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7"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03/18/2022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7,944</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89.88</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213,581</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03/18/2022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Arial" w:cs="Arial" w:eastAsia="Arial" w:hAnsi="Arial"/>
                <w:sz w:val="34"/>
                <w:szCs w:val="34"/>
                <w:color w:val="0000FF"/>
                <w:vertAlign w:val="subscript"/>
              </w:rPr>
              <w:t>45</w:t>
            </w:r>
            <w:r>
              <w:rPr>
                <w:rFonts w:ascii="Arial" w:cs="Arial" w:eastAsia="Arial" w:hAnsi="Arial"/>
                <w:sz w:val="11"/>
                <w:szCs w:val="11"/>
                <w:color w:val="008000"/>
              </w:rPr>
              <w:t>(3)</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213,626</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22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14,364 unvested RSUs in respect of Class A Common Stock which are scheduled to vest on March 17, 2023, (ii) 86,184 unvested RSUs in respect of Class A Common Stock which are scheduled to vest on January 1, 2023, (iii) 16,563 unvested RSUs in respect of Class A Common Stock which are scheduled to vest in equal installments on each of March 15, 2023 and March 15, 2024, (iv) 49,688 unvested RSUs in respect of Class A Common Stock which are scheduled to vest on January 1, 2024, and (v) 25,963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03/21/2022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2022-03-21T20:56:15Z</dcterms:created>
  <dcterms:modified xsi:type="dcterms:W3CDTF">2022-03-21T20:56:15Z</dcterms:modified>
</cp:coreProperties>
</file>