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Peterson Justin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03/15/2021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10,113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85,906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7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15, 2021.</w:t>
      </w:r>
    </w:p>
    <w:p>
      <w:pPr>
        <w:spacing w:after="0" w:line="7"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35,204 unvested RSUs in respect of Class A Common Stock which are scheduled to vest on January 1, 2022, (ii) 8,575 unvested RSUs in respect of Class A Common Stock which are scheduled to vest in equal installments on each of March 17, 2022, and March 17, 2023, (iii) 25,726 unvested RSUs in respect of Class A Common Stock which are scheduled to vest on January 1, 2023, and (iv) 10,113 unvested RSUs in respect of Class A Common Stock which are scheduled to vest as described in footnote 1 to this Form 4, in each case subject to the reporting person's continued employment through the applicable vesting date. In addition, this amount includes 4,288 RSUs which are fully vested as of the date hereof and will be settled in shares of Class A Common Stock on March 18, 2021.</w:t>
      </w:r>
    </w:p>
    <w:p>
      <w:pPr>
        <w:spacing w:after="0" w:line="17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03/17/2021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Justin Peterson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7231"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2021-03-17T20:24:40Z</dcterms:created>
  <dcterms:modified xsi:type="dcterms:W3CDTF">2021-03-17T20:24:40Z</dcterms:modified>
</cp:coreProperties>
</file>