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w:t>
      </w:r>
    </w:p>
    <w:p>
      <w:pPr>
        <w:pStyle w:val="TextBody"/>
        <w:spacing w:lineRule="auto" w:line="345" w:before="18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spacing w:lineRule="auto" w:line="345"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spacing w:lineRule="auto" w:line="288" w:before="0" w:after="0"/>
        <w:jc w:val="center"/>
        <w:rPr>
          <w:color w:val="000000"/>
        </w:rPr>
      </w:pPr>
      <w:r>
        <w:rPr>
          <w:color w:val="000000"/>
        </w:rPr>
        <w:t> </w:t>
      </w:r>
    </w:p>
    <w:p>
      <w:pPr>
        <w:pStyle w:val="TextBody"/>
        <w:spacing w:lineRule="auto" w:line="288" w:before="0" w:after="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April 27, 2023</w:t>
      </w:r>
      <w:r>
        <w:rPr>
          <w:color w:val="000000"/>
        </w:rPr>
        <w:t xml:space="preserve"> </w:t>
      </w:r>
    </w:p>
    <w:p>
      <w:pPr>
        <w:pStyle w:val="TextBody"/>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w:t>
      </w:r>
    </w:p>
    <w:p>
      <w:pPr>
        <w:pStyle w:val="TextBody"/>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Tradeweb Markets Inc.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charter)</w:t>
      </w:r>
    </w:p>
    <w:p>
      <w:pPr>
        <w:pStyle w:val="TextBody"/>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w:t>
      </w:r>
    </w:p>
    <w:p>
      <w:pPr>
        <w:pStyle w:val="TextBody"/>
        <w:spacing w:lineRule="auto" w:line="288" w:before="0" w:after="0"/>
        <w:rPr>
          <w:color w:val="000000"/>
        </w:rPr>
      </w:pPr>
      <w:r>
        <w:rPr>
          <w:color w:val="000000"/>
        </w:rPr>
        <w:t> </w:t>
      </w:r>
    </w:p>
    <w:tbl>
      <w:tblPr>
        <w:tblW w:w="5129" w:type="dxa"/>
        <w:jc w:val="center"/>
        <w:tblInd w:w="0" w:type="dxa"/>
        <w:tblCellMar>
          <w:top w:w="28" w:type="dxa"/>
          <w:left w:w="28" w:type="dxa"/>
          <w:bottom w:w="28" w:type="dxa"/>
          <w:right w:w="28" w:type="dxa"/>
        </w:tblCellMar>
      </w:tblPr>
      <w:tblGrid>
        <w:gridCol w:w="829"/>
        <w:gridCol w:w="729"/>
        <w:gridCol w:w="736"/>
        <w:gridCol w:w="394"/>
        <w:gridCol w:w="394"/>
        <w:gridCol w:w="398"/>
        <w:gridCol w:w="481"/>
        <w:gridCol w:w="481"/>
        <w:gridCol w:w="687"/>
      </w:tblGrid>
      <w:tr>
        <w:trPr/>
        <w:tc>
          <w:tcPr>
            <w:tcW w:w="82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001-38860</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83-2456358</w:t>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r>
          </w:p>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File Number)</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1177 Avenue of the Americas</w:t>
            </w:r>
          </w:p>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New York, New York</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10036</w:t>
            </w:r>
          </w:p>
        </w:tc>
      </w:tr>
      <w:tr>
        <w:trPr/>
        <w:tc>
          <w:tcPr>
            <w:tcW w:w="3480"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345"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(646) 430-6000 </w:t>
      </w:r>
    </w:p>
    <w:p>
      <w:pPr>
        <w:pStyle w:val="TextBody"/>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CellMar>
          <w:top w:w="28" w:type="dxa"/>
          <w:left w:w="28" w:type="dxa"/>
          <w:bottom w:w="28" w:type="dxa"/>
          <w:right w:w="28" w:type="dxa"/>
        </w:tblCellMar>
      </w:tblPr>
      <w:tblGrid>
        <w:gridCol w:w="124"/>
        <w:gridCol w:w="109"/>
        <w:gridCol w:w="109"/>
        <w:gridCol w:w="2685"/>
        <w:gridCol w:w="2685"/>
        <w:gridCol w:w="38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8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lineRule="auto" w:line="288" w:before="0" w:after="20"/>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903" w:type="dxa"/>
        <w:jc w:val="left"/>
        <w:tblInd w:w="0" w:type="dxa"/>
        <w:tblCellMar>
          <w:top w:w="28" w:type="dxa"/>
          <w:left w:w="28" w:type="dxa"/>
          <w:bottom w:w="28" w:type="dxa"/>
          <w:right w:w="28" w:type="dxa"/>
        </w:tblCellMar>
      </w:tblPr>
      <w:tblGrid>
        <w:gridCol w:w="1312"/>
        <w:gridCol w:w="1152"/>
        <w:gridCol w:w="1166"/>
        <w:gridCol w:w="109"/>
        <w:gridCol w:w="109"/>
        <w:gridCol w:w="109"/>
        <w:gridCol w:w="564"/>
        <w:gridCol w:w="564"/>
        <w:gridCol w:w="566"/>
        <w:gridCol w:w="109"/>
        <w:gridCol w:w="109"/>
        <w:gridCol w:w="109"/>
        <w:gridCol w:w="855"/>
        <w:gridCol w:w="855"/>
        <w:gridCol w:w="1215"/>
      </w:tblGrid>
      <w:tr>
        <w:trPr/>
        <w:tc>
          <w:tcPr>
            <w:tcW w:w="1312"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w:t>
              <w:br/>
              <w:t>registered</w:t>
            </w:r>
          </w:p>
        </w:tc>
      </w:tr>
      <w:tr>
        <w:trPr/>
        <w:tc>
          <w:tcPr>
            <w:tcW w:w="36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$0.00001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April 27, 2023, Tradeweb Markets Inc. (the “Company”) issued a press release, a copy of which is furnished as Exhibit 99.1 hereto and incorporated herein by reference, announcing financial results for the quarter ended March 31,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spacing w:before="0" w:after="0"/>
        <w:rPr/>
      </w:pPr>
      <w:r>
        <w:rPr/>
      </w:r>
    </w:p>
    <w:tbl>
      <w:tblPr>
        <w:tblW w:w="7737" w:type="dxa"/>
        <w:jc w:val="left"/>
        <w:tblInd w:w="0" w:type="dxa"/>
        <w:tblCellMar>
          <w:top w:w="28" w:type="dxa"/>
          <w:left w:w="28" w:type="dxa"/>
          <w:bottom w:w="28" w:type="dxa"/>
          <w:right w:w="28" w:type="dxa"/>
        </w:tblCellMar>
      </w:tblPr>
      <w:tblGrid>
        <w:gridCol w:w="277"/>
        <w:gridCol w:w="244"/>
        <w:gridCol w:w="245"/>
        <w:gridCol w:w="109"/>
        <w:gridCol w:w="109"/>
        <w:gridCol w:w="109"/>
        <w:gridCol w:w="1942"/>
        <w:gridCol w:w="1942"/>
        <w:gridCol w:w="2760"/>
      </w:tblGrid>
      <w:tr>
        <w:trPr/>
        <w:tc>
          <w:tcPr>
            <w:tcW w:w="27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2" w:type="dxa"/>
            <w:tcBorders/>
            <w:shd w:fill="auto" w:val="clear"/>
            <w:vAlign w:val="center"/>
          </w:tcPr>
          <w:p>
            <w:pPr>
              <w:pStyle w:val="TableContents"/>
              <w:spacing w:before="0" w:after="283"/>
              <w:rPr>
                <w:sz w:val="4"/>
                <w:szCs w:val="4"/>
              </w:rPr>
            </w:pPr>
            <w:r>
              <w:rPr>
                <w:sz w:val="4"/>
                <w:szCs w:val="4"/>
              </w:rPr>
            </w:r>
          </w:p>
        </w:tc>
        <w:tc>
          <w:tcPr>
            <w:tcW w:w="1942" w:type="dxa"/>
            <w:tcBorders/>
            <w:shd w:fill="auto" w:val="clear"/>
            <w:vAlign w:val="center"/>
          </w:tcPr>
          <w:p>
            <w:pPr>
              <w:pStyle w:val="TableContents"/>
              <w:spacing w:before="0" w:after="283"/>
              <w:rPr>
                <w:sz w:val="4"/>
                <w:szCs w:val="4"/>
              </w:rPr>
            </w:pPr>
            <w:r>
              <w:rPr>
                <w:sz w:val="4"/>
                <w:szCs w:val="4"/>
              </w:rPr>
            </w:r>
          </w:p>
        </w:tc>
        <w:tc>
          <w:tcPr>
            <w:tcW w:w="2760" w:type="dxa"/>
            <w:tcBorders/>
            <w:shd w:fill="auto" w:val="cle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Description</w:t>
            </w:r>
          </w:p>
        </w:tc>
      </w:tr>
      <w:tr>
        <w:trPr/>
        <w:tc>
          <w:tcPr>
            <w:tcW w:w="7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tw-2023xq1xex991.htm">
              <w:r>
                <w:rPr>
                  <w:rStyle w:val="InternetLink"/>
                  <w:rFonts w:ascii="Times New Roman;sans-serif" w:hAnsi="Times New Roman;sans-serif"/>
                  <w:b w:val="false"/>
                  <w:color w:val="0000FF"/>
                  <w:sz w:val="20"/>
                  <w:u w:val="single"/>
                </w:rPr>
                <w:t>99.1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tw-2023xq1xex991.htm">
              <w:r>
                <w:rPr>
                  <w:rStyle w:val="InternetLink"/>
                </w:rPr>
                <w:t xml:space="preserve">Press Release of Tradeweb Markets Inc., dated </w:t>
              </w:r>
            </w:hyperlink>
            <w:hyperlink w:anchor="tw-2023xq1xex991.htm">
              <w:r>
                <w:rPr>
                  <w:rStyle w:val="InternetLink"/>
                </w:rPr>
                <w:t>April 27, 2023</w:t>
              </w:r>
            </w:hyperlink>
            <w:hyperlink w:anchor="tw-2023xq1xex991.htm">
              <w:r>
                <w:rPr>
                  <w:rStyle w:val="InternetLink"/>
                </w:rPr>
                <w:t>.</w:t>
              </w:r>
            </w:hyperlink>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537" w:type="dxa"/>
        <w:jc w:val="left"/>
        <w:tblInd w:w="0" w:type="dxa"/>
        <w:tblCellMar>
          <w:top w:w="28" w:type="dxa"/>
          <w:left w:w="28" w:type="dxa"/>
          <w:bottom w:w="28" w:type="dxa"/>
          <w:right w:w="28" w:type="dxa"/>
        </w:tblCellMar>
      </w:tblPr>
      <w:tblGrid>
        <w:gridCol w:w="645"/>
        <w:gridCol w:w="568"/>
        <w:gridCol w:w="571"/>
        <w:gridCol w:w="109"/>
        <w:gridCol w:w="109"/>
        <w:gridCol w:w="109"/>
        <w:gridCol w:w="407"/>
        <w:gridCol w:w="407"/>
        <w:gridCol w:w="407"/>
        <w:gridCol w:w="640"/>
        <w:gridCol w:w="640"/>
        <w:gridCol w:w="925"/>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TRADEWEB MARKETS INC.</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Friedman</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Douglas Friedman</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General Counsel</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8268" w:type="dxa"/>
        <w:jc w:val="left"/>
        <w:tblInd w:w="0" w:type="dxa"/>
        <w:tblCellMar>
          <w:top w:w="28" w:type="dxa"/>
          <w:left w:w="28" w:type="dxa"/>
          <w:bottom w:w="28" w:type="dxa"/>
          <w:right w:w="28" w:type="dxa"/>
        </w:tblCellMar>
      </w:tblPr>
      <w:tblGrid>
        <w:gridCol w:w="1184"/>
        <w:gridCol w:w="1040"/>
        <w:gridCol w:w="1042"/>
        <w:gridCol w:w="109"/>
        <w:gridCol w:w="109"/>
        <w:gridCol w:w="109"/>
        <w:gridCol w:w="714"/>
        <w:gridCol w:w="714"/>
        <w:gridCol w:w="716"/>
        <w:gridCol w:w="719"/>
        <w:gridCol w:w="719"/>
        <w:gridCol w:w="721"/>
        <w:gridCol w:w="109"/>
        <w:gridCol w:w="109"/>
        <w:gridCol w:w="154"/>
      </w:tblGrid>
      <w:tr>
        <w:trPr/>
        <w:tc>
          <w:tcPr>
            <w:tcW w:w="118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009775" cy="666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09775" cy="6667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color w:val="083566"/>
                <w:sz w:val="18"/>
              </w:rPr>
            </w:pPr>
            <w:r>
              <w:rPr>
                <w:rFonts w:ascii="Arial Narrow;sans-serif" w:hAnsi="Arial Narrow;sans-serif"/>
                <w:b/>
                <w:color w:val="083566"/>
                <w:sz w:val="18"/>
              </w:rPr>
              <w:t>Investor Relations</w:t>
            </w:r>
          </w:p>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Ashley Serrao + 1 646 430 6027</w:t>
            </w:r>
          </w:p>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Ashley.Serrao@Tradeweb.com</w:t>
            </w:r>
          </w:p>
        </w:tc>
        <w:tc>
          <w:tcPr>
            <w:tcW w:w="21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color w:val="083566"/>
                <w:sz w:val="18"/>
              </w:rPr>
            </w:pPr>
            <w:r>
              <w:rPr>
                <w:rFonts w:ascii="Arial Narrow;sans-serif" w:hAnsi="Arial Narrow;sans-serif"/>
                <w:b/>
                <w:color w:val="083566"/>
                <w:sz w:val="18"/>
              </w:rPr>
              <w:t>Media Relations</w:t>
            </w:r>
          </w:p>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Daniel Noonan + 1 646 767 4677</w:t>
            </w:r>
          </w:p>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Daniel.Noonan@Tradeweb.com</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700"/>
        <w:gridCol w:w="114"/>
        <w:gridCol w:w="114"/>
        <w:gridCol w:w="187"/>
        <w:gridCol w:w="669"/>
        <w:gridCol w:w="249"/>
        <w:gridCol w:w="187"/>
        <w:gridCol w:w="669"/>
        <w:gridCol w:w="249"/>
        <w:gridCol w:w="161"/>
        <w:gridCol w:w="112"/>
        <w:gridCol w:w="112"/>
        <w:gridCol w:w="116"/>
        <w:gridCol w:w="112"/>
        <w:gridCol w:w="112"/>
        <w:gridCol w:w="314"/>
        <w:gridCol w:w="112"/>
        <w:gridCol w:w="112"/>
        <w:gridCol w:w="116"/>
        <w:gridCol w:w="112"/>
        <w:gridCol w:w="112"/>
        <w:gridCol w:w="109"/>
        <w:gridCol w:w="109"/>
        <w:gridCol w:w="109"/>
        <w:gridCol w:w="125"/>
        <w:gridCol w:w="125"/>
        <w:gridCol w:w="125"/>
        <w:gridCol w:w="125"/>
        <w:gridCol w:w="125"/>
        <w:gridCol w:w="125"/>
        <w:gridCol w:w="606"/>
        <w:gridCol w:w="125"/>
        <w:gridCol w:w="125"/>
        <w:gridCol w:w="208"/>
        <w:gridCol w:w="588"/>
        <w:gridCol w:w="125"/>
        <w:gridCol w:w="208"/>
        <w:gridCol w:w="588"/>
        <w:gridCol w:w="125"/>
        <w:gridCol w:w="342"/>
        <w:gridCol w:w="125"/>
        <w:gridCol w:w="277"/>
        <w:gridCol w:w="109"/>
        <w:gridCol w:w="109"/>
        <w:gridCol w:w="109"/>
        <w:gridCol w:w="109"/>
        <w:gridCol w:w="109"/>
        <w:gridCol w:w="109"/>
        <w:gridCol w:w="109"/>
        <w:gridCol w:w="182"/>
      </w:tblGrid>
      <w:tr>
        <w:trPr/>
        <w:tc>
          <w:tcPr>
            <w:tcW w:w="70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587" w:type="dxa"/>
            <w:gridSpan w:val="45"/>
            <w:tcBorders/>
            <w:shd w:fill="FFFFFF" w:val="clear"/>
            <w:tcMar>
              <w:top w:w="0" w:type="dxa"/>
              <w:left w:w="0" w:type="dxa"/>
              <w:bottom w:w="0" w:type="dxa"/>
              <w:right w:w="0" w:type="dxa"/>
            </w:tcMar>
            <w:vAlign w:val="center"/>
          </w:tcPr>
          <w:p>
            <w:pPr>
              <w:pStyle w:val="TableContents"/>
              <w:spacing w:lineRule="auto" w:line="360" w:before="0" w:after="0"/>
              <w:jc w:val="left"/>
              <w:rPr>
                <w:rFonts w:ascii="Arial Narrow;sans-serif" w:hAnsi="Arial Narrow;sans-serif"/>
                <w:b/>
                <w:color w:val="00ADCB"/>
                <w:sz w:val="28"/>
              </w:rPr>
            </w:pPr>
            <w:r>
              <w:rPr>
                <w:rFonts w:ascii="Arial Narrow;sans-serif" w:hAnsi="Arial Narrow;sans-serif"/>
                <w:b/>
                <w:color w:val="00ADCB"/>
                <w:sz w:val="28"/>
              </w:rPr>
              <w:t>TRADEWEB REPORTS FIRST QUARTER 2023 FINANCIAL RESULTS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587" w:type="dxa"/>
            <w:gridSpan w:val="45"/>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18"/>
              </w:rPr>
              <w:t>New York, April 27, 2023</w:t>
            </w:r>
            <w:r>
              <w:rPr>
                <w:color w:val="000000"/>
              </w:rPr>
              <w:t xml:space="preserve"> – </w:t>
            </w:r>
            <w:r>
              <w:rPr>
                <w:rFonts w:ascii="Arial;sans-serif" w:hAnsi="Arial;sans-serif"/>
                <w:b w:val="false"/>
                <w:color w:val="000000"/>
                <w:sz w:val="18"/>
              </w:rPr>
              <w:t>Tradeweb Markets Inc. (Nasdaq: TW), a leading, global operator of electronic marketplaces for rates, credit, equities and money markets, today reported financial results for the quarter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4741" w:type="dxa"/>
            <w:gridSpan w:val="21"/>
            <w:vMerge w:val="restart"/>
            <w:tcBorders/>
            <w:shd w:fill="auto" w:val="clear"/>
            <w:tcMar>
              <w:top w:w="0" w:type="dxa"/>
              <w:left w:w="0" w:type="dxa"/>
              <w:bottom w:w="0" w:type="dxa"/>
              <w:right w:w="0" w:type="dxa"/>
            </w:tcMar>
            <w:vAlign w:val="center"/>
          </w:tcPr>
          <w:p>
            <w:pPr>
              <w:pStyle w:val="TableContents"/>
              <w:spacing w:lineRule="auto" w:line="288" w:before="0" w:after="120"/>
              <w:jc w:val="left"/>
              <w:rPr/>
            </w:pPr>
            <w:r>
              <w:rPr>
                <w:rFonts w:ascii="Arial;sans-serif" w:hAnsi="Arial;sans-serif"/>
                <w:b/>
                <w:color w:val="000000"/>
                <w:sz w:val="18"/>
              </w:rPr>
              <w:t xml:space="preserve">$329.2 million </w:t>
            </w:r>
            <w:r>
              <w:rPr>
                <w:rFonts w:ascii="Arial;sans-serif" w:hAnsi="Arial;sans-serif"/>
                <w:b w:val="false"/>
                <w:color w:val="000000"/>
                <w:sz w:val="18"/>
              </w:rPr>
              <w:t xml:space="preserve">quarterly revenues increased </w:t>
            </w:r>
            <w:r>
              <w:rPr>
                <w:rFonts w:ascii="Arial;sans-serif" w:hAnsi="Arial;sans-serif"/>
                <w:b/>
                <w:color w:val="000000"/>
                <w:sz w:val="18"/>
              </w:rPr>
              <w:t xml:space="preserve">5.7% </w:t>
            </w:r>
            <w:r>
              <w:rPr>
                <w:rFonts w:ascii="Arial;sans-serif" w:hAnsi="Arial;sans-serif"/>
                <w:b w:val="false"/>
                <w:color w:val="000000"/>
                <w:sz w:val="18"/>
              </w:rPr>
              <w:t>(</w:t>
            </w:r>
            <w:r>
              <w:rPr>
                <w:rFonts w:ascii="Arial;sans-serif" w:hAnsi="Arial;sans-serif"/>
                <w:b/>
                <w:color w:val="000000"/>
                <w:sz w:val="18"/>
              </w:rPr>
              <w:t>7.5%</w:t>
            </w:r>
            <w:r>
              <w:rPr>
                <w:color w:val="000000"/>
              </w:rPr>
              <w:t xml:space="preserve"> </w:t>
            </w:r>
            <w:r>
              <w:rPr>
                <w:rFonts w:ascii="Arial;sans-serif" w:hAnsi="Arial;sans-serif"/>
                <w:b w:val="false"/>
                <w:color w:val="000000"/>
                <w:sz w:val="18"/>
              </w:rPr>
              <w:t>on a constant currency basis) compared to prior year period</w:t>
            </w:r>
          </w:p>
          <w:p>
            <w:pPr>
              <w:pStyle w:val="TableContents"/>
              <w:spacing w:lineRule="auto" w:line="288" w:before="0" w:after="120"/>
              <w:jc w:val="left"/>
              <w:rPr/>
            </w:pPr>
            <w:r>
              <w:rPr>
                <w:rFonts w:ascii="Arial;sans-serif" w:hAnsi="Arial;sans-serif"/>
                <w:b/>
                <w:color w:val="000000"/>
                <w:sz w:val="18"/>
              </w:rPr>
              <w:t>$1.4 trillion</w:t>
            </w:r>
            <w:r>
              <w:rPr>
                <w:color w:val="000000"/>
              </w:rPr>
              <w:t xml:space="preserve"> </w:t>
            </w:r>
            <w:r>
              <w:rPr>
                <w:rFonts w:ascii="Arial;sans-serif" w:hAnsi="Arial;sans-serif"/>
                <w:b w:val="false"/>
                <w:color w:val="000000"/>
                <w:sz w:val="18"/>
              </w:rPr>
              <w:t xml:space="preserve">record average daily volume (“ADV”) for the quarter, an increase of </w:t>
            </w:r>
            <w:r>
              <w:rPr>
                <w:rFonts w:ascii="Arial;sans-serif" w:hAnsi="Arial;sans-serif"/>
                <w:b/>
                <w:color w:val="000000"/>
                <w:sz w:val="18"/>
              </w:rPr>
              <w:t>16.2%</w:t>
            </w:r>
            <w:r>
              <w:rPr>
                <w:color w:val="000000"/>
              </w:rPr>
              <w:t xml:space="preserve"> </w:t>
            </w:r>
            <w:r>
              <w:rPr>
                <w:rFonts w:ascii="Arial;sans-serif" w:hAnsi="Arial;sans-serif"/>
                <w:b w:val="false"/>
                <w:color w:val="000000"/>
                <w:sz w:val="18"/>
              </w:rPr>
              <w:t>compared to prior year period, with record ADV in European government bonds, swaps/swaptions ≥ 1-year, fully electronic U.S. High Grade credit, equity convertibles/swaps/options, repurchase agreements, retail U.S. government bonds and retail money markets</w:t>
            </w:r>
          </w:p>
          <w:p>
            <w:pPr>
              <w:pStyle w:val="TableContents"/>
              <w:spacing w:lineRule="auto" w:line="288" w:before="0" w:after="120"/>
              <w:jc w:val="left"/>
              <w:rPr/>
            </w:pPr>
            <w:r>
              <w:rPr>
                <w:rFonts w:ascii="Arial;sans-serif" w:hAnsi="Arial;sans-serif"/>
                <w:b/>
                <w:color w:val="000000"/>
                <w:sz w:val="18"/>
              </w:rPr>
              <w:t>$102.2 million</w:t>
            </w:r>
            <w:r>
              <w:rPr>
                <w:color w:val="000000"/>
              </w:rPr>
              <w:t xml:space="preserve"> </w:t>
            </w:r>
            <w:r>
              <w:rPr>
                <w:rFonts w:ascii="Arial;sans-serif" w:hAnsi="Arial;sans-serif"/>
                <w:b w:val="false"/>
                <w:color w:val="000000"/>
                <w:sz w:val="18"/>
              </w:rPr>
              <w:t xml:space="preserve">net income and </w:t>
            </w:r>
            <w:r>
              <w:rPr>
                <w:rFonts w:ascii="Arial;sans-serif" w:hAnsi="Arial;sans-serif"/>
                <w:b/>
                <w:color w:val="000000"/>
                <w:sz w:val="18"/>
              </w:rPr>
              <w:t>$129.0 million</w:t>
            </w:r>
            <w:r>
              <w:rPr>
                <w:color w:val="000000"/>
              </w:rPr>
              <w:t xml:space="preserve"> </w:t>
            </w:r>
            <w:r>
              <w:rPr>
                <w:rFonts w:ascii="Arial;sans-serif" w:hAnsi="Arial;sans-serif"/>
                <w:b w:val="false"/>
                <w:color w:val="000000"/>
                <w:sz w:val="18"/>
              </w:rPr>
              <w:t xml:space="preserve">adjusted net income for the quarter, increases of </w:t>
            </w:r>
            <w:r>
              <w:rPr>
                <w:rFonts w:ascii="Arial;sans-serif" w:hAnsi="Arial;sans-serif"/>
                <w:b/>
                <w:color w:val="000000"/>
                <w:sz w:val="18"/>
              </w:rPr>
              <w:t>4.9%</w:t>
            </w:r>
            <w:r>
              <w:rPr>
                <w:color w:val="000000"/>
              </w:rPr>
              <w:t xml:space="preserve"> </w:t>
            </w:r>
            <w:r>
              <w:rPr>
                <w:rFonts w:ascii="Arial;sans-serif" w:hAnsi="Arial;sans-serif"/>
                <w:b w:val="false"/>
                <w:color w:val="000000"/>
                <w:sz w:val="18"/>
              </w:rPr>
              <w:t xml:space="preserve">and </w:t>
            </w:r>
            <w:r>
              <w:rPr>
                <w:rFonts w:ascii="Arial;sans-serif" w:hAnsi="Arial;sans-serif"/>
                <w:b/>
                <w:color w:val="000000"/>
                <w:sz w:val="18"/>
              </w:rPr>
              <w:t>12.2%</w:t>
            </w:r>
            <w:r>
              <w:rPr>
                <w:color w:val="000000"/>
              </w:rPr>
              <w:t xml:space="preserve"> </w:t>
            </w:r>
            <w:r>
              <w:rPr>
                <w:rFonts w:ascii="Arial;sans-serif" w:hAnsi="Arial;sans-serif"/>
                <w:b w:val="false"/>
                <w:color w:val="000000"/>
                <w:sz w:val="18"/>
              </w:rPr>
              <w:t>respectively from prior year period</w:t>
            </w:r>
          </w:p>
          <w:p>
            <w:pPr>
              <w:pStyle w:val="TableContents"/>
              <w:spacing w:lineRule="auto" w:line="288" w:before="0" w:after="120"/>
              <w:jc w:val="left"/>
              <w:rPr/>
            </w:pPr>
            <w:r>
              <w:rPr>
                <w:rFonts w:ascii="Arial;sans-serif" w:hAnsi="Arial;sans-serif"/>
                <w:b/>
                <w:color w:val="000000"/>
                <w:sz w:val="18"/>
              </w:rPr>
              <w:t>52.3%</w:t>
            </w:r>
            <w:r>
              <w:rPr>
                <w:color w:val="000000"/>
              </w:rPr>
              <w:t xml:space="preserve"> </w:t>
            </w:r>
            <w:r>
              <w:rPr>
                <w:rFonts w:ascii="Arial;sans-serif" w:hAnsi="Arial;sans-serif"/>
                <w:b w:val="false"/>
                <w:color w:val="000000"/>
                <w:sz w:val="18"/>
              </w:rPr>
              <w:t xml:space="preserve">adjusted EBITDA margin and </w:t>
            </w:r>
            <w:r>
              <w:rPr>
                <w:rFonts w:ascii="Arial;sans-serif" w:hAnsi="Arial;sans-serif"/>
                <w:b/>
                <w:color w:val="000000"/>
                <w:sz w:val="18"/>
              </w:rPr>
              <w:t>$172.2 million</w:t>
            </w:r>
            <w:r>
              <w:rPr>
                <w:color w:val="000000"/>
              </w:rPr>
              <w:t xml:space="preserve"> </w:t>
            </w:r>
            <w:r>
              <w:rPr>
                <w:rFonts w:ascii="Arial;sans-serif" w:hAnsi="Arial;sans-serif"/>
                <w:b w:val="false"/>
                <w:color w:val="000000"/>
                <w:sz w:val="18"/>
              </w:rPr>
              <w:t>adjusted EBITDA for the quarter, compared to 51.6% and $160.6 million respectively for prior year period</w:t>
            </w:r>
          </w:p>
          <w:p>
            <w:pPr>
              <w:pStyle w:val="TableContents"/>
              <w:spacing w:lineRule="auto" w:line="288" w:before="0" w:after="120"/>
              <w:jc w:val="left"/>
              <w:rPr/>
            </w:pPr>
            <w:r>
              <w:rPr>
                <w:rFonts w:ascii="Arial;sans-serif" w:hAnsi="Arial;sans-serif"/>
                <w:b/>
                <w:color w:val="000000"/>
                <w:sz w:val="18"/>
              </w:rPr>
              <w:t>$0.42</w:t>
            </w:r>
            <w:r>
              <w:rPr>
                <w:color w:val="000000"/>
              </w:rPr>
              <w:t xml:space="preserve"> </w:t>
            </w:r>
            <w:r>
              <w:rPr>
                <w:rFonts w:ascii="Arial;sans-serif" w:hAnsi="Arial;sans-serif"/>
                <w:b w:val="false"/>
                <w:color w:val="000000"/>
                <w:sz w:val="18"/>
              </w:rPr>
              <w:t xml:space="preserve">diluted earnings per share (“Diluted EPS”) for the quarter and </w:t>
            </w:r>
            <w:r>
              <w:rPr>
                <w:rFonts w:ascii="Arial;sans-serif" w:hAnsi="Arial;sans-serif"/>
                <w:b/>
                <w:color w:val="000000"/>
                <w:sz w:val="18"/>
              </w:rPr>
              <w:t>$0.54</w:t>
            </w:r>
            <w:r>
              <w:rPr>
                <w:color w:val="000000"/>
              </w:rPr>
              <w:t xml:space="preserve"> </w:t>
            </w:r>
            <w:r>
              <w:rPr>
                <w:rFonts w:ascii="Arial;sans-serif" w:hAnsi="Arial;sans-serif"/>
                <w:b w:val="false"/>
                <w:color w:val="000000"/>
                <w:sz w:val="18"/>
              </w:rPr>
              <w:t>adjusted diluted earnings per share</w:t>
            </w:r>
          </w:p>
          <w:p>
            <w:pPr>
              <w:pStyle w:val="TableContents"/>
              <w:spacing w:lineRule="auto" w:line="288" w:before="0" w:after="120"/>
              <w:jc w:val="left"/>
              <w:rPr/>
            </w:pPr>
            <w:r>
              <w:rPr>
                <w:rFonts w:ascii="Arial;sans-serif" w:hAnsi="Arial;sans-serif"/>
                <w:b/>
                <w:color w:val="000000"/>
                <w:sz w:val="18"/>
              </w:rPr>
              <w:t>$0.09</w:t>
            </w:r>
            <w:r>
              <w:rPr>
                <w:color w:val="000000"/>
              </w:rPr>
              <w:t xml:space="preserve"> </w:t>
            </w:r>
            <w:r>
              <w:rPr>
                <w:rFonts w:ascii="Arial;sans-serif" w:hAnsi="Arial;sans-serif"/>
                <w:b w:val="false"/>
                <w:color w:val="000000"/>
                <w:sz w:val="18"/>
              </w:rPr>
              <w:t xml:space="preserve">per share quarterly cash dividend declared; </w:t>
            </w:r>
            <w:r>
              <w:rPr>
                <w:rFonts w:ascii="Arial;sans-serif" w:hAnsi="Arial;sans-serif"/>
                <w:b/>
                <w:color w:val="000000"/>
                <w:sz w:val="18"/>
              </w:rPr>
              <w:t>$22.7 million</w:t>
            </w:r>
            <w:r>
              <w:rPr>
                <w:color w:val="000000"/>
              </w:rPr>
              <w:t xml:space="preserve"> </w:t>
            </w:r>
            <w:r>
              <w:rPr>
                <w:rFonts w:ascii="Arial;sans-serif" w:hAnsi="Arial;sans-serif"/>
                <w:b w:val="false"/>
                <w:color w:val="000000"/>
                <w:sz w:val="18"/>
              </w:rPr>
              <w:t>of shares repurchased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2" w:type="dxa"/>
            <w:gridSpan w:val="18"/>
            <w:vMerge w:val="restart"/>
            <w:tcBorders/>
            <w:shd w:fill="DEEAF6" w:val="clear"/>
            <w:tcMar>
              <w:top w:w="0" w:type="dxa"/>
              <w:left w:w="0" w:type="dxa"/>
              <w:bottom w:w="0" w:type="dxa"/>
              <w:right w:w="0" w:type="dxa"/>
            </w:tcMar>
            <w:vAlign w:val="center"/>
          </w:tcPr>
          <w:p>
            <w:pPr>
              <w:pStyle w:val="TableContents"/>
              <w:spacing w:lineRule="auto" w:line="256" w:before="60" w:after="60"/>
              <w:jc w:val="left"/>
              <w:rPr>
                <w:rFonts w:ascii="Arial;sans-serif" w:hAnsi="Arial;sans-serif"/>
                <w:b/>
                <w:color w:val="00497F"/>
                <w:sz w:val="18"/>
              </w:rPr>
            </w:pPr>
            <w:r>
              <w:rPr>
                <w:rFonts w:ascii="Arial;sans-serif" w:hAnsi="Arial;sans-serif"/>
                <w:b/>
                <w:color w:val="00497F"/>
                <w:sz w:val="18"/>
              </w:rPr>
              <w:t>Billy Hult, CEO of Tradeweb:</w:t>
            </w:r>
          </w:p>
          <w:p>
            <w:pPr>
              <w:pStyle w:val="TableContents"/>
              <w:spacing w:lineRule="auto" w:line="256" w:before="60" w:after="283"/>
              <w:jc w:val="left"/>
              <w:rPr>
                <w:rFonts w:ascii="Arial;sans-serif" w:hAnsi="Arial;sans-serif"/>
                <w:b w:val="false"/>
                <w:color w:val="000000"/>
                <w:sz w:val="18"/>
              </w:rPr>
            </w:pPr>
            <w:r>
              <w:rPr>
                <w:rFonts w:ascii="Arial;sans-serif" w:hAnsi="Arial;sans-serif"/>
                <w:b w:val="false"/>
                <w:color w:val="000000"/>
                <w:sz w:val="18"/>
              </w:rPr>
              <w:t>"Tradeweb’s client focus and broad product offering contributed to a record ADV of $1.4tn in the first quarter of 2023, led by significant increases in swaps volume and strong client engagement across rates, credit, equities and money markets. Despite challenging market conditions, including rising market volatility and economic concerns relating to banking sector turmoil, Tradeweb was steadfast in our approach to providing the best service for our clients and produced strong growth across many areas of our business. This quarter embodied who we are as a company: client-focused, resilient and innovative. Tradeweb launched a new market data service to calculate real-time iNAVs for ETFs, with BlackRock as our first client. We completed the final technology milestone of our NFI integration, with the goal to provide a better user experience for wholesale clients on our Dealerweb CLOB. Most recently, we were pleased to share that Tradeweb is in advanced discussions to acquire Yieldbroker, a leading electronic trading platform for Australia and New Zealand.”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4741" w:type="dxa"/>
            <w:gridSpan w:val="21"/>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2" w:type="dxa"/>
            <w:gridSpan w:val="18"/>
            <w:vMerge w:val="continue"/>
            <w:tcBorders/>
            <w:shd w:fill="DEEAF6"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4741" w:type="dxa"/>
            <w:gridSpan w:val="21"/>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083566"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FFFFFF"/>
                <w:sz w:val="18"/>
              </w:rPr>
            </w:pPr>
            <w:r>
              <w:rPr>
                <w:rFonts w:ascii="Arial Narrow;sans-serif" w:hAnsi="Arial Narrow;sans-serif"/>
                <w:b/>
                <w:color w:val="FFFFFF"/>
                <w:sz w:val="18"/>
              </w:rPr>
              <w:t>SELECT FINANCIAL</w:t>
              <w:br/>
              <w:t>RESULTS</w:t>
            </w:r>
          </w:p>
        </w:tc>
        <w:tc>
          <w:tcPr>
            <w:tcW w:w="1105" w:type="dxa"/>
            <w:gridSpan w:val="3"/>
            <w:tcBorders/>
            <w:shd w:fill="083566"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FFFFFF"/>
                <w:sz w:val="18"/>
              </w:rPr>
            </w:pPr>
            <w:r>
              <w:rPr>
                <w:rFonts w:ascii="Arial Narrow;sans-serif" w:hAnsi="Arial Narrow;sans-serif"/>
                <w:b/>
                <w:color w:val="FFFFFF"/>
                <w:sz w:val="18"/>
              </w:rPr>
              <w:t>1Q23</w:t>
            </w:r>
          </w:p>
        </w:tc>
        <w:tc>
          <w:tcPr>
            <w:tcW w:w="1105" w:type="dxa"/>
            <w:gridSpan w:val="3"/>
            <w:tcBorders/>
            <w:shd w:fill="083566"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FFFFFF"/>
                <w:sz w:val="18"/>
              </w:rPr>
            </w:pPr>
            <w:r>
              <w:rPr>
                <w:rFonts w:ascii="Arial Narrow;sans-serif" w:hAnsi="Arial Narrow;sans-serif"/>
                <w:b/>
                <w:color w:val="FFFFFF"/>
                <w:sz w:val="18"/>
              </w:rPr>
              <w:t>1Q22</w:t>
            </w:r>
          </w:p>
        </w:tc>
        <w:tc>
          <w:tcPr>
            <w:tcW w:w="725" w:type="dxa"/>
            <w:gridSpan w:val="6"/>
            <w:tcBorders/>
            <w:shd w:fill="083566"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FFFFFF"/>
                <w:sz w:val="18"/>
              </w:rPr>
            </w:pPr>
            <w:r>
              <w:rPr>
                <w:rFonts w:ascii="Arial Narrow;sans-serif" w:hAnsi="Arial Narrow;sans-serif"/>
                <w:b/>
                <w:color w:val="FFFFFF"/>
                <w:sz w:val="18"/>
              </w:rPr>
              <w:t>Change</w:t>
            </w:r>
          </w:p>
        </w:tc>
        <w:tc>
          <w:tcPr>
            <w:tcW w:w="878" w:type="dxa"/>
            <w:gridSpan w:val="6"/>
            <w:tcBorders/>
            <w:shd w:fill="083566" w:val="clear"/>
            <w:tcMar>
              <w:top w:w="0" w:type="dxa"/>
              <w:left w:w="0" w:type="dxa"/>
              <w:bottom w:w="0" w:type="dxa"/>
              <w:right w:w="0" w:type="dxa"/>
            </w:tcMar>
            <w:vAlign w:val="center"/>
          </w:tcPr>
          <w:p>
            <w:pPr>
              <w:pStyle w:val="TableContents"/>
              <w:spacing w:lineRule="auto" w:line="288" w:before="0" w:after="0"/>
              <w:jc w:val="center"/>
              <w:rPr>
                <w:rFonts w:ascii="Arial Narrow;sans-serif" w:hAnsi="Arial Narrow;sans-serif"/>
                <w:b/>
                <w:color w:val="FFFFFF"/>
                <w:sz w:val="18"/>
              </w:rPr>
            </w:pPr>
            <w:r>
              <w:rPr>
                <w:rFonts w:ascii="Arial Narrow;sans-serif" w:hAnsi="Arial Narrow;sans-serif"/>
                <w:b/>
                <w:color w:val="FFFFFF"/>
                <w:sz w:val="18"/>
              </w:rPr>
              <w:t>Constant</w:t>
            </w:r>
          </w:p>
          <w:p>
            <w:pPr>
              <w:pStyle w:val="TableContents"/>
              <w:spacing w:lineRule="auto" w:line="288" w:before="0" w:after="0"/>
              <w:jc w:val="center"/>
              <w:rPr>
                <w:rFonts w:ascii="Arial Narrow;sans-serif" w:hAnsi="Arial Narrow;sans-serif"/>
                <w:b/>
                <w:color w:val="FFFFFF"/>
                <w:sz w:val="18"/>
              </w:rPr>
            </w:pPr>
            <w:r>
              <w:rPr>
                <w:rFonts w:ascii="Arial Narrow;sans-serif" w:hAnsi="Arial Narrow;sans-serif"/>
                <w:b/>
                <w:color w:val="FFFFFF"/>
                <w:sz w:val="18"/>
              </w:rPr>
              <w:t>Currency</w:t>
            </w:r>
          </w:p>
          <w:p>
            <w:pPr>
              <w:pStyle w:val="TableContents"/>
              <w:spacing w:lineRule="auto" w:line="288" w:before="0" w:after="0"/>
              <w:jc w:val="center"/>
              <w:rPr/>
            </w:pPr>
            <w:r>
              <w:rPr>
                <w:rFonts w:ascii="Arial Narrow;sans-serif" w:hAnsi="Arial Narrow;sans-serif"/>
                <w:b/>
                <w:color w:val="FFFFFF"/>
                <w:sz w:val="18"/>
              </w:rPr>
              <w:t>Change</w:t>
            </w:r>
            <w:r>
              <w:rPr>
                <w:rFonts w:ascii="Arial Narrow;sans-serif" w:hAnsi="Arial Narrow;sans-serif"/>
                <w:b/>
                <w:color w:val="FFFFFF"/>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2" w:type="dxa"/>
            <w:gridSpan w:val="18"/>
            <w:tcBorders/>
            <w:shd w:fill="083566"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color w:val="FFFFFF"/>
                <w:sz w:val="18"/>
              </w:rPr>
              <w:t xml:space="preserve">ADV </w:t>
            </w:r>
            <w:r>
              <w:rPr>
                <w:rFonts w:ascii="Arial Narrow;sans-serif" w:hAnsi="Arial Narrow;sans-serif"/>
                <w:b w:val="false"/>
                <w:color w:val="FFFFFF"/>
                <w:sz w:val="18"/>
              </w:rPr>
              <w:t>(US $bn)</w:t>
            </w:r>
          </w:p>
          <w:p>
            <w:pPr>
              <w:pStyle w:val="TableContents"/>
              <w:spacing w:lineRule="auto" w:line="288" w:before="0" w:after="0"/>
              <w:jc w:val="left"/>
              <w:rPr>
                <w:rFonts w:ascii="Arial Narrow;sans-serif" w:hAnsi="Arial Narrow;sans-serif"/>
                <w:b w:val="false"/>
                <w:color w:val="FFFFFF"/>
                <w:sz w:val="18"/>
              </w:rPr>
            </w:pPr>
            <w:r>
              <w:rPr>
                <w:rFonts w:ascii="Arial Narrow;sans-serif" w:hAnsi="Arial Narrow;sans-serif"/>
                <w:b w:val="false"/>
                <w:color w:val="FFFFFF"/>
                <w:sz w:val="18"/>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4741" w:type="dxa"/>
            <w:gridSpan w:val="21"/>
            <w:tcBorders/>
            <w:shd w:fill="083566"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FFFFFF"/>
                <w:sz w:val="18"/>
              </w:rPr>
            </w:pPr>
            <w:r>
              <w:rPr>
                <w:rFonts w:ascii="Arial Narrow;sans-serif" w:hAnsi="Arial Narrow;sans-serif"/>
                <w:b w:val="false"/>
                <w:color w:val="FFFFFF"/>
                <w:sz w:val="18"/>
              </w:rPr>
              <w:t>(dollars in thousands except per share amounts)(Unaudited)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6"/>
            <w:tcBorders/>
            <w:shd w:fill="083566"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FFFFFF"/>
                <w:sz w:val="18"/>
              </w:rPr>
            </w:pPr>
            <w:r>
              <w:rPr>
                <w:rFonts w:ascii="Arial Narrow;sans-serif" w:hAnsi="Arial Narrow;sans-serif"/>
                <w:b/>
                <w:color w:val="FFFFFF"/>
                <w:sz w:val="18"/>
              </w:rPr>
              <w:t>Asset Class</w:t>
            </w:r>
          </w:p>
        </w:tc>
        <w:tc>
          <w:tcPr>
            <w:tcW w:w="856" w:type="dxa"/>
            <w:gridSpan w:val="3"/>
            <w:tcBorders/>
            <w:shd w:fill="083566"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FFFFFF"/>
                <w:sz w:val="18"/>
              </w:rPr>
            </w:pPr>
            <w:r>
              <w:rPr>
                <w:rFonts w:ascii="Arial Narrow;sans-serif" w:hAnsi="Arial Narrow;sans-serif"/>
                <w:b/>
                <w:color w:val="FFFFFF"/>
                <w:sz w:val="18"/>
              </w:rPr>
              <w:t>Product</w:t>
            </w:r>
          </w:p>
        </w:tc>
        <w:tc>
          <w:tcPr>
            <w:tcW w:w="921" w:type="dxa"/>
            <w:gridSpan w:val="3"/>
            <w:tcBorders/>
            <w:shd w:fill="083566"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FFFFFF"/>
                <w:sz w:val="18"/>
              </w:rPr>
            </w:pPr>
            <w:r>
              <w:rPr>
                <w:rFonts w:ascii="Arial Narrow;sans-serif" w:hAnsi="Arial Narrow;sans-serif"/>
                <w:b/>
                <w:color w:val="FFFFFF"/>
                <w:sz w:val="18"/>
              </w:rPr>
              <w:t>1Q23</w:t>
            </w:r>
          </w:p>
        </w:tc>
        <w:tc>
          <w:tcPr>
            <w:tcW w:w="921" w:type="dxa"/>
            <w:gridSpan w:val="3"/>
            <w:tcBorders/>
            <w:shd w:fill="083566"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FFFFFF"/>
                <w:sz w:val="18"/>
              </w:rPr>
            </w:pPr>
            <w:r>
              <w:rPr>
                <w:rFonts w:ascii="Arial Narrow;sans-serif" w:hAnsi="Arial Narrow;sans-serif"/>
                <w:b/>
                <w:color w:val="FFFFFF"/>
                <w:sz w:val="18"/>
              </w:rPr>
              <w:t>1Q22</w:t>
            </w:r>
          </w:p>
        </w:tc>
        <w:tc>
          <w:tcPr>
            <w:tcW w:w="744" w:type="dxa"/>
            <w:gridSpan w:val="3"/>
            <w:tcBorders/>
            <w:shd w:fill="083566"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FFFFFF"/>
                <w:sz w:val="18"/>
              </w:rPr>
            </w:pPr>
            <w:r>
              <w:rPr>
                <w:rFonts w:ascii="Arial Narrow;sans-serif" w:hAnsi="Arial Narrow;sans-serif"/>
                <w:b/>
                <w:color w:val="FFFFFF"/>
                <w:sz w:val="18"/>
              </w:rPr>
              <w:t>YoY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4741" w:type="dxa"/>
            <w:gridSpan w:val="21"/>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GAAP Financial Measures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Rates</w:t>
            </w:r>
          </w:p>
        </w:tc>
        <w:tc>
          <w:tcPr>
            <w:tcW w:w="8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w:t>
            </w:r>
          </w:p>
        </w:tc>
        <w:tc>
          <w:tcPr>
            <w:tcW w:w="20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363 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388 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(6.4)</w:t>
            </w:r>
          </w:p>
        </w:tc>
        <w:tc>
          <w:tcPr>
            <w:tcW w:w="27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w:t>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329,249 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311,486 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5.7</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Derivatives</w:t>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509 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361 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40.9 </w:t>
            </w:r>
          </w:p>
        </w:tc>
        <w:tc>
          <w:tcPr>
            <w:tcW w:w="27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Rates</w:t>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170,505 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160,339 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6"/>
            <w:tcBorders>
              <w:bottom w:val="single" w:sz="8" w:space="0" w:color="08356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56"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79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871 </w:t>
            </w:r>
          </w:p>
        </w:tc>
        <w:tc>
          <w:tcPr>
            <w:tcW w:w="125"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749 </w:t>
            </w:r>
          </w:p>
        </w:tc>
        <w:tc>
          <w:tcPr>
            <w:tcW w:w="125"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16.4 </w:t>
            </w:r>
          </w:p>
        </w:tc>
        <w:tc>
          <w:tcPr>
            <w:tcW w:w="277"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w:t>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89,017 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86,318 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6"/>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w:t>
            </w:r>
          </w:p>
        </w:tc>
        <w:tc>
          <w:tcPr>
            <w:tcW w:w="856" w:type="dxa"/>
            <w:gridSpan w:val="3"/>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w:t>
            </w:r>
          </w:p>
        </w:tc>
        <w:tc>
          <w:tcPr>
            <w:tcW w:w="796" w:type="dxa"/>
            <w:gridSpan w:val="2"/>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125" w:type="dxa"/>
            <w:tcBorders>
              <w:top w:val="single" w:sz="8" w:space="0" w:color="08356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125" w:type="dxa"/>
            <w:tcBorders>
              <w:top w:val="single" w:sz="8" w:space="0" w:color="08356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6.4 </w:t>
            </w:r>
          </w:p>
        </w:tc>
        <w:tc>
          <w:tcPr>
            <w:tcW w:w="277" w:type="dxa"/>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Equities</w:t>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26,203 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26,535 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Derivatives</w:t>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w:t>
            </w:r>
          </w:p>
        </w:tc>
        <w:tc>
          <w:tcPr>
            <w:tcW w:w="27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Money Markets</w:t>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14,807 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11,524 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28.5</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30.3 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6"/>
            <w:tcBorders>
              <w:bottom w:val="single" w:sz="8" w:space="0" w:color="08356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56"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79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25"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125"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w:t>
            </w:r>
          </w:p>
        </w:tc>
        <w:tc>
          <w:tcPr>
            <w:tcW w:w="277"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Market Data</w:t>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22,434 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21,366 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6.5 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6"/>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Equities</w:t>
            </w:r>
          </w:p>
        </w:tc>
        <w:tc>
          <w:tcPr>
            <w:tcW w:w="856" w:type="dxa"/>
            <w:gridSpan w:val="3"/>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w:t>
            </w:r>
          </w:p>
        </w:tc>
        <w:tc>
          <w:tcPr>
            <w:tcW w:w="796" w:type="dxa"/>
            <w:gridSpan w:val="2"/>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25" w:type="dxa"/>
            <w:tcBorders>
              <w:top w:val="single" w:sz="8" w:space="0" w:color="08356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25" w:type="dxa"/>
            <w:tcBorders>
              <w:top w:val="single" w:sz="8" w:space="0" w:color="08356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(17.8)</w:t>
            </w:r>
          </w:p>
        </w:tc>
        <w:tc>
          <w:tcPr>
            <w:tcW w:w="277" w:type="dxa"/>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6,283 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5,404 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16.3</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16.3 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Derivatives</w:t>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27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102,193 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97,445 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6"/>
            <w:tcBorders>
              <w:bottom w:val="single" w:sz="8" w:space="0" w:color="08356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56"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79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25"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25"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(8.9)</w:t>
            </w:r>
          </w:p>
        </w:tc>
        <w:tc>
          <w:tcPr>
            <w:tcW w:w="277"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Net income attributable to Tradeweb Markets Inc. </w:t>
            </w:r>
            <w:r>
              <w:rPr>
                <w:rFonts w:ascii="Arial Narrow;sans-serif" w:hAnsi="Arial Narrow;sans-serif"/>
                <w:b w:val="false"/>
                <w:color w:val="000000"/>
                <w:sz w:val="12"/>
              </w:rPr>
              <w:t>(2)</w:t>
            </w:r>
          </w:p>
        </w:tc>
        <w:tc>
          <w:tcPr>
            <w:tcW w:w="187" w:type="dxa"/>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vMerge w:val="restart"/>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87,856 </w:t>
            </w:r>
          </w:p>
        </w:tc>
        <w:tc>
          <w:tcPr>
            <w:tcW w:w="249" w:type="dxa"/>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vMerge w:val="restart"/>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82,965 </w:t>
            </w:r>
          </w:p>
        </w:tc>
        <w:tc>
          <w:tcPr>
            <w:tcW w:w="249" w:type="dxa"/>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w:t>
            </w:r>
          </w:p>
        </w:tc>
        <w:tc>
          <w:tcPr>
            <w:tcW w:w="340"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38"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6"/>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Money Markets</w:t>
            </w:r>
          </w:p>
        </w:tc>
        <w:tc>
          <w:tcPr>
            <w:tcW w:w="856" w:type="dxa"/>
            <w:gridSpan w:val="3"/>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w:t>
            </w:r>
          </w:p>
        </w:tc>
        <w:tc>
          <w:tcPr>
            <w:tcW w:w="796" w:type="dxa"/>
            <w:gridSpan w:val="2"/>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442 </w:t>
            </w:r>
          </w:p>
        </w:tc>
        <w:tc>
          <w:tcPr>
            <w:tcW w:w="125" w:type="dxa"/>
            <w:tcBorders>
              <w:top w:val="single" w:sz="8" w:space="0" w:color="08356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372 </w:t>
            </w:r>
          </w:p>
        </w:tc>
        <w:tc>
          <w:tcPr>
            <w:tcW w:w="125" w:type="dxa"/>
            <w:tcBorders>
              <w:top w:val="single" w:sz="8" w:space="0" w:color="08356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18.9 </w:t>
            </w:r>
          </w:p>
        </w:tc>
        <w:tc>
          <w:tcPr>
            <w:tcW w:w="277" w:type="dxa"/>
            <w:tcBorders>
              <w:top w:val="single" w:sz="8" w:space="0" w:color="083566"/>
            </w:tcBorders>
            <w:shd w:fill="auto"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vMerge w:val="continue"/>
            <w:tcBorders/>
            <w:shd w:fill="auto" w:val="clear"/>
            <w:tcMar>
              <w:top w:w="0" w:type="dxa"/>
              <w:left w:w="0" w:type="dxa"/>
              <w:bottom w:w="0" w:type="dxa"/>
              <w:right w:w="0" w:type="dxa"/>
            </w:tcMar>
            <w:vAlign w:val="center"/>
          </w:tcPr>
          <w:p>
            <w:pPr>
              <w:pStyle w:val="Normal"/>
              <w:rPr/>
            </w:pPr>
            <w:r>
              <w:rPr/>
            </w:r>
          </w:p>
        </w:tc>
        <w:tc>
          <w:tcPr>
            <w:tcW w:w="187" w:type="dxa"/>
            <w:vMerge w:val="continue"/>
            <w:tcBorders/>
            <w:shd w:fill="auto" w:val="clear"/>
            <w:tcMar>
              <w:top w:w="0" w:type="dxa"/>
              <w:left w:w="0" w:type="dxa"/>
              <w:bottom w:w="0" w:type="dxa"/>
              <w:right w:w="0" w:type="dxa"/>
            </w:tcMar>
            <w:vAlign w:val="center"/>
          </w:tcPr>
          <w:p>
            <w:pPr>
              <w:pStyle w:val="Normal"/>
              <w:rPr/>
            </w:pPr>
            <w:r>
              <w:rPr/>
            </w:r>
          </w:p>
        </w:tc>
        <w:tc>
          <w:tcPr>
            <w:tcW w:w="669" w:type="dxa"/>
            <w:vMerge w:val="continue"/>
            <w:tcBorders/>
            <w:shd w:fill="auto" w:val="clear"/>
            <w:tcMar>
              <w:top w:w="0" w:type="dxa"/>
              <w:left w:w="0" w:type="dxa"/>
              <w:bottom w:w="0" w:type="dxa"/>
              <w:right w:w="0" w:type="dxa"/>
            </w:tcMar>
            <w:vAlign w:val="center"/>
          </w:tcPr>
          <w:p>
            <w:pPr>
              <w:pStyle w:val="Normal"/>
              <w:rPr/>
            </w:pPr>
            <w:r>
              <w:rPr/>
            </w:r>
          </w:p>
        </w:tc>
        <w:tc>
          <w:tcPr>
            <w:tcW w:w="249" w:type="dxa"/>
            <w:vMerge w:val="continue"/>
            <w:tcBorders/>
            <w:shd w:fill="auto" w:val="clear"/>
            <w:tcMar>
              <w:top w:w="0" w:type="dxa"/>
              <w:left w:w="0" w:type="dxa"/>
              <w:bottom w:w="0" w:type="dxa"/>
              <w:right w:w="0" w:type="dxa"/>
            </w:tcMar>
            <w:vAlign w:val="center"/>
          </w:tcPr>
          <w:p>
            <w:pPr>
              <w:pStyle w:val="Normal"/>
              <w:rPr/>
            </w:pPr>
            <w:r>
              <w:rPr/>
            </w:r>
          </w:p>
        </w:tc>
        <w:tc>
          <w:tcPr>
            <w:tcW w:w="187" w:type="dxa"/>
            <w:vMerge w:val="continue"/>
            <w:tcBorders/>
            <w:shd w:fill="auto" w:val="clear"/>
            <w:tcMar>
              <w:top w:w="0" w:type="dxa"/>
              <w:left w:w="0" w:type="dxa"/>
              <w:bottom w:w="0" w:type="dxa"/>
              <w:right w:w="0" w:type="dxa"/>
            </w:tcMar>
            <w:vAlign w:val="center"/>
          </w:tcPr>
          <w:p>
            <w:pPr>
              <w:pStyle w:val="Normal"/>
              <w:rPr/>
            </w:pPr>
            <w:r>
              <w:rPr/>
            </w:r>
          </w:p>
        </w:tc>
        <w:tc>
          <w:tcPr>
            <w:tcW w:w="669" w:type="dxa"/>
            <w:vMerge w:val="continue"/>
            <w:tcBorders/>
            <w:shd w:fill="auto" w:val="clear"/>
            <w:tcMar>
              <w:top w:w="0" w:type="dxa"/>
              <w:left w:w="0" w:type="dxa"/>
              <w:bottom w:w="0" w:type="dxa"/>
              <w:right w:w="0" w:type="dxa"/>
            </w:tcMar>
            <w:vAlign w:val="center"/>
          </w:tcPr>
          <w:p>
            <w:pPr>
              <w:pStyle w:val="Normal"/>
              <w:rPr/>
            </w:pPr>
            <w:r>
              <w:rPr/>
            </w:r>
          </w:p>
        </w:tc>
        <w:tc>
          <w:tcPr>
            <w:tcW w:w="249" w:type="dxa"/>
            <w:vMerge w:val="continue"/>
            <w:tcBorders/>
            <w:shd w:fill="auto" w:val="clear"/>
            <w:tcMar>
              <w:top w:w="0" w:type="dxa"/>
              <w:left w:w="0" w:type="dxa"/>
              <w:bottom w:w="0" w:type="dxa"/>
              <w:right w:w="0" w:type="dxa"/>
            </w:tcMar>
            <w:vAlign w:val="center"/>
          </w:tcPr>
          <w:p>
            <w:pPr>
              <w:pStyle w:val="Normal"/>
              <w:rPr/>
            </w:pPr>
            <w:r>
              <w:rPr/>
            </w:r>
          </w:p>
        </w:tc>
        <w:tc>
          <w:tcPr>
            <w:tcW w:w="385" w:type="dxa"/>
            <w:gridSpan w:val="3"/>
            <w:vMerge w:val="continue"/>
            <w:tcBorders/>
            <w:shd w:fill="auto" w:val="clear"/>
            <w:tcMar>
              <w:top w:w="0" w:type="dxa"/>
              <w:left w:w="0" w:type="dxa"/>
              <w:bottom w:w="0" w:type="dxa"/>
              <w:right w:w="0" w:type="dxa"/>
            </w:tcMar>
            <w:vAlign w:val="center"/>
          </w:tcPr>
          <w:p>
            <w:pPr>
              <w:pStyle w:val="Normal"/>
              <w:rPr/>
            </w:pPr>
            <w:r>
              <w:rPr/>
            </w:r>
          </w:p>
        </w:tc>
        <w:tc>
          <w:tcPr>
            <w:tcW w:w="340" w:type="dxa"/>
            <w:gridSpan w:val="3"/>
            <w:vMerge w:val="continue"/>
            <w:tcBorders/>
            <w:shd w:fill="auto" w:val="clear"/>
            <w:tcMar>
              <w:top w:w="0" w:type="dxa"/>
              <w:left w:w="0" w:type="dxa"/>
              <w:bottom w:w="0" w:type="dxa"/>
              <w:right w:w="0" w:type="dxa"/>
            </w:tcMar>
            <w:vAlign w:val="center"/>
          </w:tcPr>
          <w:p>
            <w:pPr>
              <w:pStyle w:val="Normal"/>
              <w:rPr/>
            </w:pPr>
            <w:r>
              <w:rPr/>
            </w:r>
          </w:p>
        </w:tc>
        <w:tc>
          <w:tcPr>
            <w:tcW w:w="538" w:type="dxa"/>
            <w:gridSpan w:val="3"/>
            <w:vMerge w:val="continue"/>
            <w:tcBorders/>
            <w:shd w:fill="auto" w:val="clear"/>
            <w:tcMar>
              <w:top w:w="0" w:type="dxa"/>
              <w:left w:w="0" w:type="dxa"/>
              <w:bottom w:w="0" w:type="dxa"/>
              <w:right w:w="0" w:type="dxa"/>
            </w:tcMar>
            <w:vAlign w:val="center"/>
          </w:tcPr>
          <w:p>
            <w:pPr>
              <w:pStyle w:val="Normal"/>
              <w:rPr/>
            </w:pPr>
            <w:r>
              <w:rPr/>
            </w:r>
          </w:p>
        </w:tc>
        <w:tc>
          <w:tcPr>
            <w:tcW w:w="34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6"/>
            <w:tcBorders>
              <w:bottom w:val="single" w:sz="8" w:space="0" w:color="08356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56"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79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442 </w:t>
            </w:r>
          </w:p>
        </w:tc>
        <w:tc>
          <w:tcPr>
            <w:tcW w:w="125"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372 </w:t>
            </w:r>
          </w:p>
        </w:tc>
        <w:tc>
          <w:tcPr>
            <w:tcW w:w="125"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18.9 </w:t>
            </w:r>
          </w:p>
        </w:tc>
        <w:tc>
          <w:tcPr>
            <w:tcW w:w="277"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EPS</w:t>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0.42 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0.40 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6"/>
            <w:tcBorders>
              <w:top w:val="single" w:sz="8" w:space="0" w:color="08356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83566"/>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208" w:type="dxa"/>
            <w:tcBorders>
              <w:top w:val="single" w:sz="8" w:space="0" w:color="083566"/>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8" w:type="dxa"/>
            <w:tcBorders>
              <w:top w:val="single" w:sz="8" w:space="0" w:color="083566"/>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1,365</w:t>
            </w:r>
            <w:r>
              <w:rPr>
                <w:color w:val="000000"/>
              </w:rPr>
              <w:t> </w:t>
            </w:r>
          </w:p>
        </w:tc>
        <w:tc>
          <w:tcPr>
            <w:tcW w:w="125" w:type="dxa"/>
            <w:tcBorders>
              <w:top w:val="single" w:sz="8" w:space="0" w:color="083566"/>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83566"/>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8" w:type="dxa"/>
            <w:tcBorders>
              <w:top w:val="single" w:sz="8" w:space="0" w:color="083566"/>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1,175</w:t>
            </w:r>
            <w:r>
              <w:rPr>
                <w:color w:val="000000"/>
              </w:rPr>
              <w:t> </w:t>
            </w:r>
          </w:p>
        </w:tc>
        <w:tc>
          <w:tcPr>
            <w:tcW w:w="125" w:type="dxa"/>
            <w:tcBorders>
              <w:top w:val="single" w:sz="8" w:space="0" w:color="083566"/>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top w:val="single" w:sz="8" w:space="0" w:color="083566"/>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16.2</w:t>
            </w:r>
            <w:r>
              <w:rPr>
                <w:color w:val="000000"/>
              </w:rPr>
              <w:t> </w:t>
            </w:r>
          </w:p>
        </w:tc>
        <w:tc>
          <w:tcPr>
            <w:tcW w:w="277" w:type="dxa"/>
            <w:tcBorders>
              <w:top w:val="single" w:sz="8" w:space="0" w:color="083566"/>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margin</w:t>
            </w:r>
          </w:p>
        </w:tc>
        <w:tc>
          <w:tcPr>
            <w:tcW w:w="8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31.0 </w:t>
            </w:r>
          </w:p>
        </w:tc>
        <w:tc>
          <w:tcPr>
            <w:tcW w:w="24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8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31.3 </w:t>
            </w:r>
          </w:p>
        </w:tc>
        <w:tc>
          <w:tcPr>
            <w:tcW w:w="24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bps</w:t>
            </w:r>
          </w:p>
        </w:tc>
        <w:tc>
          <w:tcPr>
            <w:tcW w:w="5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4741" w:type="dxa"/>
            <w:gridSpan w:val="21"/>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Non-GAAP Financial Measures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Adjusted EBITDA </w:t>
            </w:r>
            <w:r>
              <w:rPr>
                <w:rFonts w:ascii="Arial Narrow;sans-serif" w:hAnsi="Arial Narrow;sans-serif"/>
                <w:b w:val="false"/>
                <w:color w:val="000000"/>
                <w:sz w:val="12"/>
              </w:rPr>
              <w:t>(1)</w:t>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172,203 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160,635 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8.9 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2" w:type="dxa"/>
            <w:gridSpan w:val="18"/>
            <w:vMerge w:val="restart"/>
            <w:tcBorders/>
            <w:shd w:fill="auto" w:val="clear"/>
            <w:tcMar>
              <w:top w:w="0" w:type="dxa"/>
              <w:left w:w="0" w:type="dxa"/>
              <w:bottom w:w="0" w:type="dxa"/>
              <w:right w:w="0" w:type="dxa"/>
            </w:tcMar>
            <w:vAlign w:val="center"/>
          </w:tcPr>
          <w:p>
            <w:pPr>
              <w:pStyle w:val="TableContents"/>
              <w:spacing w:lineRule="auto" w:line="288" w:before="0" w:after="0"/>
              <w:ind w:left="0" w:right="0" w:hanging="270"/>
              <w:jc w:val="left"/>
              <w:rPr>
                <w:rFonts w:ascii="Arial;sans-serif" w:hAnsi="Arial;sans-serif"/>
                <w:b w:val="false"/>
                <w:color w:val="000000"/>
                <w:sz w:val="13"/>
              </w:rPr>
            </w:pPr>
            <w:r>
              <w:rPr>
                <w:rFonts w:ascii="Arial;sans-serif" w:hAnsi="Arial;sans-serif"/>
                <w:b w:val="false"/>
                <w:color w:val="000000"/>
                <w:sz w:val="13"/>
              </w:rPr>
              <w:t>(1) 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pStyle w:val="TableContents"/>
              <w:spacing w:lineRule="auto" w:line="288" w:before="30" w:after="283"/>
              <w:ind w:left="0" w:right="0" w:hanging="270"/>
              <w:jc w:val="left"/>
              <w:rPr>
                <w:rFonts w:ascii="Arial;sans-serif" w:hAnsi="Arial;sans-serif"/>
                <w:b w:val="false"/>
                <w:color w:val="000000"/>
                <w:sz w:val="13"/>
              </w:rPr>
            </w:pPr>
            <w:r>
              <w:rPr>
                <w:rFonts w:ascii="Arial;sans-serif" w:hAnsi="Arial;sans-serif"/>
                <w:b w:val="false"/>
                <w:color w:val="000000"/>
                <w:sz w:val="13"/>
              </w:rPr>
              <w:t>(2) Represents net income less net income attributable to non-controlling interests.</w:t>
            </w:r>
          </w:p>
          <w:p>
            <w:pPr>
              <w:pStyle w:val="TableContents"/>
              <w:spacing w:before="0" w:after="0"/>
              <w:ind w:left="0" w:right="0" w:hanging="27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Adjusted EBITDA margin </w:t>
            </w:r>
            <w:r>
              <w:rPr>
                <w:rFonts w:ascii="Arial Narrow;sans-serif" w:hAnsi="Arial Narrow;sans-serif"/>
                <w:b w:val="false"/>
                <w:color w:val="000000"/>
                <w:sz w:val="12"/>
              </w:rPr>
              <w:t>(1)</w:t>
            </w:r>
          </w:p>
        </w:tc>
        <w:tc>
          <w:tcPr>
            <w:tcW w:w="8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52.3 </w:t>
            </w:r>
          </w:p>
        </w:tc>
        <w:tc>
          <w:tcPr>
            <w:tcW w:w="24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8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4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bps</w:t>
            </w:r>
          </w:p>
        </w:tc>
        <w:tc>
          <w:tcPr>
            <w:tcW w:w="53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+64</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2" w:type="dxa"/>
            <w:gridSpan w:val="18"/>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Adjusted EBIT </w:t>
            </w:r>
            <w:r>
              <w:rPr>
                <w:rFonts w:ascii="Arial Narrow;sans-serif" w:hAnsi="Arial Narrow;sans-serif"/>
                <w:b w:val="false"/>
                <w:color w:val="000000"/>
                <w:sz w:val="12"/>
              </w:rPr>
              <w:t>(1)</w:t>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158,416 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147,954 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8.8 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2" w:type="dxa"/>
            <w:gridSpan w:val="18"/>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Adjusted EBIT margin </w:t>
            </w:r>
            <w:r>
              <w:rPr>
                <w:rFonts w:ascii="Arial Narrow;sans-serif" w:hAnsi="Arial Narrow;sans-serif"/>
                <w:b w:val="false"/>
                <w:color w:val="000000"/>
                <w:sz w:val="12"/>
              </w:rPr>
              <w:t>(1)</w:t>
            </w:r>
          </w:p>
        </w:tc>
        <w:tc>
          <w:tcPr>
            <w:tcW w:w="8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48.1 </w:t>
            </w:r>
          </w:p>
        </w:tc>
        <w:tc>
          <w:tcPr>
            <w:tcW w:w="24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8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47.5 </w:t>
            </w:r>
          </w:p>
        </w:tc>
        <w:tc>
          <w:tcPr>
            <w:tcW w:w="24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bps</w:t>
            </w:r>
          </w:p>
        </w:tc>
        <w:tc>
          <w:tcPr>
            <w:tcW w:w="538"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2" w:type="dxa"/>
            <w:gridSpan w:val="18"/>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Adjusted Net Income </w:t>
            </w:r>
            <w:r>
              <w:rPr>
                <w:rFonts w:ascii="Arial Narrow;sans-serif" w:hAnsi="Arial Narrow;sans-serif"/>
                <w:b w:val="false"/>
                <w:color w:val="000000"/>
                <w:sz w:val="12"/>
              </w:rPr>
              <w:t>(1)</w:t>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129,035 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115,055 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12.2</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14.1 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2" w:type="dxa"/>
            <w:gridSpan w:val="18"/>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Adjusted Diluted EPS</w:t>
            </w:r>
            <w:r>
              <w:rPr>
                <w:color w:val="000000"/>
              </w:rPr>
              <w:t xml:space="preserve"> </w:t>
            </w:r>
            <w:r>
              <w:rPr>
                <w:rFonts w:ascii="Arial Narrow;sans-serif" w:hAnsi="Arial Narrow;sans-serif"/>
                <w:b w:val="false"/>
                <w:color w:val="000000"/>
                <w:sz w:val="12"/>
              </w:rPr>
              <w:t>(1)</w:t>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0.54 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0.48 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12.5</w:t>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14.9 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2" w:type="dxa"/>
            <w:gridSpan w:val="18"/>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587" w:type="dxa"/>
            <w:gridSpan w:val="45"/>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587" w:type="dxa"/>
            <w:gridSpan w:val="45"/>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85" w:type="dxa"/>
            <w:gridSpan w:val="3"/>
            <w:tcBorders/>
            <w:shd w:fill="auto" w:val="clear"/>
            <w:vAlign w:val="center"/>
          </w:tcPr>
          <w:p>
            <w:pPr>
              <w:pStyle w:val="TableContents"/>
              <w:spacing w:before="0" w:after="283"/>
              <w:rPr>
                <w:sz w:val="4"/>
                <w:szCs w:val="4"/>
              </w:rPr>
            </w:pPr>
            <w:r>
              <w:rPr>
                <w:sz w:val="4"/>
                <w:szCs w:val="4"/>
              </w:rPr>
            </w:r>
          </w:p>
        </w:tc>
        <w:tc>
          <w:tcPr>
            <w:tcW w:w="340" w:type="dxa"/>
            <w:gridSpan w:val="3"/>
            <w:tcBorders/>
            <w:shd w:fill="auto" w:val="clear"/>
            <w:vAlign w:val="center"/>
          </w:tcPr>
          <w:p>
            <w:pPr>
              <w:pStyle w:val="TableContents"/>
              <w:spacing w:before="0" w:after="283"/>
              <w:rPr>
                <w:sz w:val="4"/>
                <w:szCs w:val="4"/>
              </w:rPr>
            </w:pPr>
            <w:r>
              <w:rPr>
                <w:sz w:val="4"/>
                <w:szCs w:val="4"/>
              </w:rPr>
            </w:r>
          </w:p>
        </w:tc>
        <w:tc>
          <w:tcPr>
            <w:tcW w:w="538" w:type="dxa"/>
            <w:gridSpan w:val="3"/>
            <w:tcBorders/>
            <w:shd w:fill="auto" w:val="clear"/>
            <w:vAlign w:val="center"/>
          </w:tcPr>
          <w:p>
            <w:pPr>
              <w:pStyle w:val="TableContents"/>
              <w:spacing w:before="0" w:after="283"/>
              <w:rPr>
                <w:sz w:val="4"/>
                <w:szCs w:val="4"/>
              </w:rPr>
            </w:pPr>
            <w:r>
              <w:rPr>
                <w:sz w:val="4"/>
                <w:szCs w:val="4"/>
              </w:rPr>
            </w:r>
          </w:p>
        </w:tc>
        <w:tc>
          <w:tcPr>
            <w:tcW w:w="3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c>
          <w:tcPr>
            <w:tcW w:w="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85" w:type="dxa"/>
            <w:gridSpan w:val="3"/>
            <w:tcBorders/>
            <w:shd w:fill="auto" w:val="clear"/>
            <w:vAlign w:val="center"/>
          </w:tcPr>
          <w:p>
            <w:pPr>
              <w:pStyle w:val="TableContents"/>
              <w:spacing w:before="0" w:after="283"/>
              <w:rPr>
                <w:sz w:val="4"/>
                <w:szCs w:val="4"/>
              </w:rPr>
            </w:pPr>
            <w:r>
              <w:rPr>
                <w:sz w:val="4"/>
                <w:szCs w:val="4"/>
              </w:rPr>
            </w:r>
          </w:p>
        </w:tc>
        <w:tc>
          <w:tcPr>
            <w:tcW w:w="340" w:type="dxa"/>
            <w:gridSpan w:val="3"/>
            <w:tcBorders/>
            <w:shd w:fill="auto" w:val="clear"/>
            <w:vAlign w:val="center"/>
          </w:tcPr>
          <w:p>
            <w:pPr>
              <w:pStyle w:val="TableContents"/>
              <w:spacing w:before="0" w:after="283"/>
              <w:rPr>
                <w:sz w:val="4"/>
                <w:szCs w:val="4"/>
              </w:rPr>
            </w:pPr>
            <w:r>
              <w:rPr>
                <w:sz w:val="4"/>
                <w:szCs w:val="4"/>
              </w:rPr>
            </w:r>
          </w:p>
        </w:tc>
        <w:tc>
          <w:tcPr>
            <w:tcW w:w="538" w:type="dxa"/>
            <w:gridSpan w:val="3"/>
            <w:tcBorders/>
            <w:shd w:fill="auto" w:val="clear"/>
            <w:vAlign w:val="center"/>
          </w:tcPr>
          <w:p>
            <w:pPr>
              <w:pStyle w:val="TableContents"/>
              <w:spacing w:before="0" w:after="283"/>
              <w:rPr>
                <w:sz w:val="4"/>
                <w:szCs w:val="4"/>
              </w:rPr>
            </w:pPr>
            <w:r>
              <w:rPr>
                <w:sz w:val="4"/>
                <w:szCs w:val="4"/>
              </w:rPr>
            </w:r>
          </w:p>
        </w:tc>
        <w:tc>
          <w:tcPr>
            <w:tcW w:w="3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c>
          <w:tcPr>
            <w:tcW w:w="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928"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85" w:type="dxa"/>
            <w:gridSpan w:val="3"/>
            <w:tcBorders/>
            <w:shd w:fill="auto" w:val="clear"/>
            <w:vAlign w:val="center"/>
          </w:tcPr>
          <w:p>
            <w:pPr>
              <w:pStyle w:val="TableContents"/>
              <w:spacing w:before="0" w:after="283"/>
              <w:rPr>
                <w:sz w:val="4"/>
                <w:szCs w:val="4"/>
              </w:rPr>
            </w:pPr>
            <w:r>
              <w:rPr>
                <w:sz w:val="4"/>
                <w:szCs w:val="4"/>
              </w:rPr>
            </w:r>
          </w:p>
        </w:tc>
        <w:tc>
          <w:tcPr>
            <w:tcW w:w="340" w:type="dxa"/>
            <w:gridSpan w:val="3"/>
            <w:tcBorders/>
            <w:shd w:fill="auto" w:val="clear"/>
            <w:vAlign w:val="center"/>
          </w:tcPr>
          <w:p>
            <w:pPr>
              <w:pStyle w:val="TableContents"/>
              <w:spacing w:before="0" w:after="283"/>
              <w:rPr>
                <w:sz w:val="4"/>
                <w:szCs w:val="4"/>
              </w:rPr>
            </w:pPr>
            <w:r>
              <w:rPr>
                <w:sz w:val="4"/>
                <w:szCs w:val="4"/>
              </w:rPr>
            </w:r>
          </w:p>
        </w:tc>
        <w:tc>
          <w:tcPr>
            <w:tcW w:w="538" w:type="dxa"/>
            <w:gridSpan w:val="3"/>
            <w:tcBorders/>
            <w:shd w:fill="auto" w:val="clear"/>
            <w:vAlign w:val="center"/>
          </w:tcPr>
          <w:p>
            <w:pPr>
              <w:pStyle w:val="TableContents"/>
              <w:spacing w:before="0" w:after="283"/>
              <w:rPr>
                <w:sz w:val="4"/>
                <w:szCs w:val="4"/>
              </w:rPr>
            </w:pPr>
            <w:r>
              <w:rPr>
                <w:sz w:val="4"/>
                <w:szCs w:val="4"/>
              </w:rPr>
            </w:r>
          </w:p>
        </w:tc>
        <w:tc>
          <w:tcPr>
            <w:tcW w:w="3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c>
          <w:tcPr>
            <w:tcW w:w="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color w:val="000000"/>
        </w:rPr>
      </w:pPr>
      <w:r>
        <w:rPr>
          <w:color w:val="000000"/>
        </w:rPr>
        <w:t>    </w:t>
      </w:r>
    </w:p>
    <w:p>
      <w:pPr>
        <w:pStyle w:val="TextBody"/>
        <w:spacing w:before="0" w:after="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120"/>
        <w:rPr>
          <w:rFonts w:ascii="Arial;sans-serif" w:hAnsi="Arial;sans-serif"/>
          <w:b/>
          <w:color w:val="083566"/>
          <w:sz w:val="18"/>
        </w:rPr>
      </w:pPr>
      <w:r>
        <w:rPr>
          <w:rFonts w:ascii="Arial;sans-serif" w:hAnsi="Arial;sans-serif"/>
          <w:b/>
          <w:color w:val="083566"/>
          <w:sz w:val="18"/>
        </w:rPr>
        <w:t xml:space="preserve">DISCUSSION OF RESULTS </w:t>
      </w:r>
    </w:p>
    <w:p>
      <w:pPr>
        <w:pStyle w:val="TextBody"/>
        <w:spacing w:lineRule="auto" w:line="288" w:before="0" w:after="0"/>
        <w:rPr/>
      </w:pPr>
      <w:r>
        <w:rPr>
          <w:rFonts w:ascii="Arial;sans-serif" w:hAnsi="Arial;sans-serif"/>
          <w:b/>
          <w:color w:val="000000"/>
          <w:sz w:val="18"/>
        </w:rPr>
        <w:t>Rates</w:t>
      </w:r>
      <w:r>
        <w:rPr>
          <w:color w:val="000000"/>
        </w:rPr>
        <w:t xml:space="preserve"> – </w:t>
      </w:r>
      <w:r>
        <w:rPr>
          <w:rFonts w:ascii="Arial;sans-serif" w:hAnsi="Arial;sans-serif"/>
          <w:b w:val="false"/>
          <w:color w:val="000000"/>
          <w:sz w:val="18"/>
        </w:rPr>
        <w:t>Revenues of $170.5 million in the first quarter of 2023 increased 6.3% compared to prior year period (8.3% increase on a constant currency basis). Rates ADV was up 16.4% driven by record activity in swaps/swaptions ≥ 1-year</w:t>
      </w:r>
      <w:r>
        <w:rPr>
          <w:color w:val="000000"/>
        </w:rPr>
        <w:t xml:space="preserve"> </w:t>
      </w:r>
      <w:r>
        <w:rPr>
          <w:rFonts w:ascii="Arial;sans-serif" w:hAnsi="Arial;sans-serif"/>
          <w:b w:val="false"/>
          <w:color w:val="000000"/>
          <w:sz w:val="18"/>
        </w:rPr>
        <w:t>and &lt; 1-year and record retail U.S. government bonds.</w:t>
      </w:r>
    </w:p>
    <w:p>
      <w:pPr>
        <w:pStyle w:val="TextBody"/>
        <w:spacing w:before="0" w:after="0"/>
        <w:rPr/>
      </w:pPr>
      <w:r>
        <w:rPr/>
      </w:r>
    </w:p>
    <w:p>
      <w:pPr>
        <w:pStyle w:val="TextBody"/>
        <w:spacing w:lineRule="auto" w:line="288" w:before="0" w:after="0"/>
        <w:rPr/>
      </w:pPr>
      <w:r>
        <w:rPr>
          <w:rFonts w:ascii="Arial;sans-serif" w:hAnsi="Arial;sans-serif"/>
          <w:b/>
          <w:color w:val="000000"/>
          <w:sz w:val="18"/>
        </w:rPr>
        <w:t>Credit</w:t>
      </w:r>
      <w:r>
        <w:rPr>
          <w:color w:val="000000"/>
        </w:rPr>
        <w:t xml:space="preserve"> – </w:t>
      </w:r>
      <w:r>
        <w:rPr>
          <w:rFonts w:ascii="Arial;sans-serif" w:hAnsi="Arial;sans-serif"/>
          <w:b w:val="false"/>
          <w:color w:val="000000"/>
          <w:sz w:val="18"/>
        </w:rPr>
        <w:t>Revenues of $89.0 million in the first quarter of 2023 increased 3.1% compared to prior year period (4.7% increase on a constant currency basis). While credit ADV was down 2.8% from prior year period, we reported record ADV in fully electronic U.S. High Grade credit. On the protocol front, we achieved record ADV across global portfolio trading, U.S. credit Tradeweb AllTrade®, and U.S. credit RFQ, in the quarter. Tradeweb's share of fully electronic TRACE volume for U.S. High Grade was 13.3% compared with 12.0% in the prior year period (+136 bps) and U.S. High Yield was 6.1% compared with 7.1% in the prior year period (-102 bps).</w:t>
      </w:r>
    </w:p>
    <w:p>
      <w:pPr>
        <w:pStyle w:val="TextBody"/>
        <w:spacing w:before="0" w:after="0"/>
        <w:rPr/>
      </w:pPr>
      <w:r>
        <w:rPr/>
      </w:r>
    </w:p>
    <w:p>
      <w:pPr>
        <w:pStyle w:val="TextBody"/>
        <w:spacing w:lineRule="auto" w:line="288" w:before="0" w:after="0"/>
        <w:rPr/>
      </w:pPr>
      <w:r>
        <w:rPr>
          <w:rFonts w:ascii="Arial;sans-serif" w:hAnsi="Arial;sans-serif"/>
          <w:b/>
          <w:color w:val="000000"/>
          <w:sz w:val="18"/>
        </w:rPr>
        <w:t>Equities</w:t>
      </w:r>
      <w:r>
        <w:rPr>
          <w:color w:val="000000"/>
        </w:rPr>
        <w:t xml:space="preserve"> – </w:t>
      </w:r>
      <w:r>
        <w:rPr>
          <w:rFonts w:ascii="Arial;sans-serif" w:hAnsi="Arial;sans-serif"/>
          <w:b w:val="false"/>
          <w:color w:val="000000"/>
          <w:sz w:val="18"/>
        </w:rPr>
        <w:t>Revenues of $26.2 million in the first quarter of 2023 decreased 1.3% compared to prior year period (1.2% increase on a constant currency basis). While equities ADV was down 8.9% from prior year period, we reported record ADV in equity convertibles/swaps/options in the quarter. Strong U.S. institutional ETF activity, driven by increased adoption of Tradeweb's RFQ protocol, was more than offset by declines in wholesale activity. European volumes reflected a decline in overall market volumes.</w:t>
      </w:r>
    </w:p>
    <w:p>
      <w:pPr>
        <w:pStyle w:val="TextBody"/>
        <w:spacing w:before="0" w:after="0"/>
        <w:rPr/>
      </w:pPr>
      <w:r>
        <w:rPr/>
      </w:r>
    </w:p>
    <w:p>
      <w:pPr>
        <w:pStyle w:val="TextBody"/>
        <w:spacing w:lineRule="auto" w:line="288" w:before="0" w:after="0"/>
        <w:rPr/>
      </w:pPr>
      <w:r>
        <w:rPr>
          <w:rFonts w:ascii="Arial;sans-serif" w:hAnsi="Arial;sans-serif"/>
          <w:b/>
          <w:color w:val="000000"/>
          <w:sz w:val="18"/>
        </w:rPr>
        <w:t>Money Markets</w:t>
      </w:r>
      <w:r>
        <w:rPr>
          <w:color w:val="000000"/>
        </w:rPr>
        <w:t xml:space="preserve"> – </w:t>
      </w:r>
      <w:r>
        <w:rPr>
          <w:rFonts w:ascii="Arial;sans-serif" w:hAnsi="Arial;sans-serif"/>
          <w:b w:val="false"/>
          <w:color w:val="000000"/>
          <w:sz w:val="18"/>
        </w:rPr>
        <w:t xml:space="preserve">Revenues of $14.8 million in the first quarter of 2023 increased 28.5% compared to prior year period (30.3% increase on a constant currency basis). Money Markets ADV was up 18.9% led by record activity in repurchase agreements, record ADV in retail money markets and continued client adoption of Tradeweb's electronic trading solutions. </w:t>
      </w:r>
    </w:p>
    <w:p>
      <w:pPr>
        <w:pStyle w:val="TextBody"/>
        <w:spacing w:before="0" w:after="0"/>
        <w:rPr/>
      </w:pPr>
      <w:r>
        <w:rPr/>
      </w:r>
    </w:p>
    <w:p>
      <w:pPr>
        <w:pStyle w:val="TextBody"/>
        <w:spacing w:lineRule="auto" w:line="288" w:before="0" w:after="0"/>
        <w:rPr/>
      </w:pPr>
      <w:r>
        <w:rPr>
          <w:rFonts w:ascii="Arial;sans-serif" w:hAnsi="Arial;sans-serif"/>
          <w:b/>
          <w:color w:val="000000"/>
          <w:sz w:val="18"/>
        </w:rPr>
        <w:t>Market Data</w:t>
      </w:r>
      <w:r>
        <w:rPr>
          <w:color w:val="000000"/>
        </w:rPr>
        <w:t xml:space="preserve"> – </w:t>
      </w:r>
      <w:r>
        <w:rPr>
          <w:rFonts w:ascii="Arial;sans-serif" w:hAnsi="Arial;sans-serif"/>
          <w:b w:val="false"/>
          <w:color w:val="000000"/>
          <w:sz w:val="18"/>
        </w:rPr>
        <w:t>Revenues of $22.4 million in the first quarter of 2023 increased 5.0% compared to prior year period (6.5% on a constant currency basis). The increase was derived primarily from increased proprietary third party market data revenue.</w:t>
      </w:r>
    </w:p>
    <w:p>
      <w:pPr>
        <w:pStyle w:val="TextBody"/>
        <w:spacing w:before="0" w:after="0"/>
        <w:rPr/>
      </w:pPr>
      <w:r>
        <w:rPr/>
      </w:r>
    </w:p>
    <w:p>
      <w:pPr>
        <w:pStyle w:val="TextBody"/>
        <w:spacing w:lineRule="auto" w:line="288" w:before="0" w:after="0"/>
        <w:rPr/>
      </w:pPr>
      <w:r>
        <w:rPr>
          <w:rFonts w:ascii="Arial;sans-serif" w:hAnsi="Arial;sans-serif"/>
          <w:b/>
          <w:color w:val="000000"/>
          <w:sz w:val="18"/>
        </w:rPr>
        <w:t>Other</w:t>
      </w:r>
      <w:r>
        <w:rPr>
          <w:color w:val="000000"/>
        </w:rPr>
        <w:t xml:space="preserve"> – </w:t>
      </w:r>
      <w:r>
        <w:rPr>
          <w:rFonts w:ascii="Arial;sans-serif" w:hAnsi="Arial;sans-serif"/>
          <w:b w:val="false"/>
          <w:color w:val="000000"/>
          <w:sz w:val="18"/>
        </w:rPr>
        <w:t>Revenues of $6.3 million in the first quarter of 2023 increased 16.3% compared to prior year period (the same percentage increase on a constant currency basis). The increase was driven primarily from an increase in revenue from software development and implementation projects performed on behalf of certain clients.</w:t>
      </w:r>
    </w:p>
    <w:p>
      <w:pPr>
        <w:pStyle w:val="TextBody"/>
        <w:spacing w:before="0" w:after="0"/>
        <w:rPr/>
      </w:pPr>
      <w:r>
        <w:rPr/>
      </w:r>
    </w:p>
    <w:p>
      <w:pPr>
        <w:pStyle w:val="TextBody"/>
        <w:spacing w:lineRule="auto" w:line="288" w:before="0" w:after="0"/>
        <w:rPr/>
      </w:pPr>
      <w:r>
        <w:rPr>
          <w:rFonts w:ascii="Arial;sans-serif" w:hAnsi="Arial;sans-serif"/>
          <w:b/>
          <w:color w:val="000000"/>
          <w:sz w:val="18"/>
        </w:rPr>
        <w:t>Operating Expenses</w:t>
      </w:r>
      <w:r>
        <w:rPr>
          <w:color w:val="000000"/>
        </w:rPr>
        <w:t xml:space="preserve"> </w:t>
      </w:r>
      <w:r>
        <w:rPr>
          <w:rFonts w:ascii="Arial;sans-serif" w:hAnsi="Arial;sans-serif"/>
          <w:b w:val="false"/>
          <w:color w:val="000000"/>
          <w:sz w:val="18"/>
        </w:rPr>
        <w:t>of $206.7 million in the first quarter of 2023 increased 3.4% compared to $199.9 million in the prior year period due to higher technology and communications expenses, higher general and administrative expenses and higher professional fee expenses. These increases were partially offset by a decrease in expenses related to employee compensation and benefits, primarily due to decreases in incentive compensation</w:t>
      </w:r>
      <w:r>
        <w:rPr>
          <w:rFonts w:ascii="Arial;sans-serif" w:hAnsi="Arial;sans-serif"/>
          <w:b w:val="false"/>
          <w:color w:val="000000"/>
          <w:sz w:val="18"/>
          <w:highlight w:val="white"/>
        </w:rPr>
        <w:t>.</w:t>
      </w:r>
    </w:p>
    <w:p>
      <w:pPr>
        <w:pStyle w:val="TextBody"/>
        <w:spacing w:before="0" w:after="0"/>
        <w:rPr/>
      </w:pPr>
      <w:r>
        <w:rPr/>
      </w:r>
    </w:p>
    <w:p>
      <w:pPr>
        <w:pStyle w:val="TextBody"/>
        <w:spacing w:lineRule="auto" w:line="288" w:before="0" w:after="0"/>
        <w:rPr/>
      </w:pPr>
      <w:r>
        <w:rPr>
          <w:rFonts w:ascii="Arial;sans-serif" w:hAnsi="Arial;sans-serif"/>
          <w:b/>
          <w:color w:val="000000"/>
          <w:sz w:val="18"/>
        </w:rPr>
        <w:t xml:space="preserve">Adjusted Expenses </w:t>
      </w:r>
      <w:r>
        <w:rPr>
          <w:rFonts w:ascii="Arial;sans-serif" w:hAnsi="Arial;sans-serif"/>
          <w:b w:val="false"/>
          <w:color w:val="000000"/>
          <w:sz w:val="18"/>
        </w:rPr>
        <w:t>of $170.8 million increased 4.5% (6.4% increase on a constant currency basis) compared to the prior year period due to: higher professional fees, higher technology and communications expenses; higher general and administrative expenses and higher depreciation and amortization. Please see "Non-GAAP Financial Measures" below for additional information.</w:t>
      </w:r>
    </w:p>
    <w:p>
      <w:pPr>
        <w:pStyle w:val="TextBody"/>
        <w:spacing w:lineRule="auto" w:line="288" w:before="240" w:after="120"/>
        <w:rPr>
          <w:rFonts w:ascii="Arial;sans-serif" w:hAnsi="Arial;sans-serif"/>
          <w:b/>
          <w:color w:val="083566"/>
          <w:sz w:val="18"/>
        </w:rPr>
      </w:pPr>
      <w:r>
        <w:rPr>
          <w:rFonts w:ascii="Arial;sans-serif" w:hAnsi="Arial;sans-serif"/>
          <w:b/>
          <w:color w:val="083566"/>
          <w:sz w:val="18"/>
        </w:rPr>
        <w:t>RECENT HIGHLIGHTS</w:t>
      </w:r>
    </w:p>
    <w:p>
      <w:pPr>
        <w:pStyle w:val="TextBody"/>
        <w:spacing w:lineRule="auto" w:line="288" w:before="0" w:after="0"/>
        <w:rPr>
          <w:rFonts w:ascii="Arial;sans-serif" w:hAnsi="Arial;sans-serif"/>
          <w:b/>
          <w:color w:val="000000"/>
          <w:sz w:val="18"/>
        </w:rPr>
      </w:pPr>
      <w:r>
        <w:rPr>
          <w:rFonts w:ascii="Arial;sans-serif" w:hAnsi="Arial;sans-serif"/>
          <w:b/>
          <w:color w:val="000000"/>
          <w:sz w:val="18"/>
        </w:rPr>
        <w:t>First Quarter 2023</w:t>
      </w:r>
    </w:p>
    <w:p>
      <w:pPr>
        <w:pStyle w:val="TextBody"/>
        <w:spacing w:lineRule="auto" w:line="288" w:before="0" w:after="0"/>
        <w:ind w:left="0" w:right="0" w:hanging="360"/>
        <w:rPr/>
      </w:pPr>
      <w:r>
        <w:rPr>
          <w:color w:val="000000"/>
        </w:rPr>
        <w:t>•</w:t>
      </w:r>
      <w:r>
        <w:rPr>
          <w:rFonts w:ascii="Arial;sans-serif" w:hAnsi="Arial;sans-serif"/>
          <w:b w:val="false"/>
          <w:color w:val="000000"/>
          <w:sz w:val="18"/>
        </w:rPr>
        <w:t>Announced launch of a market data service to calculate real-time iNAVs for ETFs. BlackRock became the first ETF issuer to use Tradeweb iNAVs for its iShares ETF suite in Europe</w:t>
      </w:r>
    </w:p>
    <w:p>
      <w:pPr>
        <w:pStyle w:val="TextBody"/>
        <w:spacing w:lineRule="auto" w:line="288" w:before="0" w:after="0"/>
        <w:ind w:left="0" w:right="0" w:hanging="360"/>
        <w:rPr/>
      </w:pPr>
      <w:r>
        <w:rPr>
          <w:color w:val="000000"/>
        </w:rPr>
        <w:t>•</w:t>
      </w:r>
      <w:r>
        <w:rPr>
          <w:rFonts w:ascii="Arial;sans-serif" w:hAnsi="Arial;sans-serif"/>
          <w:b w:val="false"/>
          <w:color w:val="000000"/>
          <w:sz w:val="18"/>
        </w:rPr>
        <w:t>Completed final technology milestone of integrating the Nasdaq U.S. Fixed Income platform (formerly eSpeed) into Tradeweb's Dealerweb CLOB</w:t>
      </w:r>
    </w:p>
    <w:p>
      <w:pPr>
        <w:pStyle w:val="TextBody"/>
        <w:spacing w:lineRule="auto" w:line="288" w:before="0" w:after="0"/>
        <w:ind w:left="0" w:right="0" w:hanging="360"/>
        <w:rPr/>
      </w:pPr>
      <w:r>
        <w:rPr>
          <w:color w:val="000000"/>
        </w:rPr>
        <w:t>•</w:t>
      </w:r>
      <w:r>
        <w:rPr>
          <w:rFonts w:ascii="Arial;sans-serif" w:hAnsi="Arial;sans-serif"/>
          <w:b w:val="false"/>
          <w:color w:val="000000"/>
          <w:sz w:val="18"/>
        </w:rPr>
        <w:t>Appointed Troy Dixon to the Tradeweb Board of Directors as an independent director, effective as of March 1, 2023</w:t>
      </w:r>
    </w:p>
    <w:p>
      <w:pPr>
        <w:pStyle w:val="TextBody"/>
        <w:spacing w:lineRule="auto" w:line="288" w:before="0" w:after="0"/>
        <w:ind w:left="0" w:right="0" w:hanging="360"/>
        <w:rPr/>
      </w:pPr>
      <w:r>
        <w:rPr>
          <w:color w:val="000000"/>
        </w:rPr>
        <w:t>•</w:t>
      </w:r>
      <w:r>
        <w:rPr>
          <w:rFonts w:ascii="Arial;sans-serif" w:hAnsi="Arial;sans-serif"/>
          <w:b w:val="false"/>
          <w:color w:val="000000"/>
          <w:sz w:val="18"/>
        </w:rPr>
        <w:t xml:space="preserve">Recognized in numerous awards celebrating our company, as well as our outstanding and diverse talent, including: </w:t>
      </w:r>
      <w:r>
        <w:rPr>
          <w:rFonts w:ascii="Arial;sans-serif" w:hAnsi="Arial;sans-serif"/>
          <w:b w:val="false"/>
          <w:i/>
          <w:color w:val="000000"/>
          <w:sz w:val="18"/>
        </w:rPr>
        <w:t>Women in Technology and Data Awards, Vendor Professional of the Year - Keri Neo (WatersTechnology), Risk Awards, OTC Trading Platform of the Year (Risk.net), NOVA Awards, Top Innovator in Financial Markets (TabbFORUM)</w:t>
      </w:r>
    </w:p>
    <w:p>
      <w:pPr>
        <w:pStyle w:val="TextBody"/>
        <w:spacing w:lineRule="auto" w:line="288" w:before="120" w:after="283"/>
        <w:rPr>
          <w:rFonts w:ascii="Arial;sans-serif" w:hAnsi="Arial;sans-serif"/>
          <w:b/>
          <w:color w:val="000000"/>
          <w:sz w:val="18"/>
        </w:rPr>
      </w:pPr>
      <w:r>
        <w:rPr>
          <w:rFonts w:ascii="Arial;sans-serif" w:hAnsi="Arial;sans-serif"/>
          <w:b/>
          <w:color w:val="000000"/>
          <w:sz w:val="18"/>
        </w:rPr>
        <w:t>April 2023</w:t>
      </w:r>
    </w:p>
    <w:p>
      <w:pPr>
        <w:pStyle w:val="TextBody"/>
        <w:spacing w:lineRule="auto" w:line="288" w:before="0" w:after="0"/>
        <w:ind w:left="0" w:right="0" w:hanging="360"/>
        <w:rPr/>
      </w:pPr>
      <w:r>
        <w:rPr>
          <w:color w:val="000000"/>
        </w:rPr>
        <w:t>•</w:t>
      </w:r>
      <w:r>
        <w:rPr>
          <w:rFonts w:ascii="Arial;sans-serif" w:hAnsi="Arial;sans-serif"/>
          <w:b w:val="false"/>
          <w:color w:val="000000"/>
          <w:sz w:val="18"/>
        </w:rPr>
        <w:t>On April 26, 2023, Tradeweb announced it is in advanced discussions to acquire Yieldbroker, a leading Australian government bond and interest rate derivatives trading platform covering the institutional, wholesale, and primary markets. Tradeweb anticipates that the acquisition would be an all-cash transaction with a purchase price of AUD 125 million. This acquisition would provide Yieldbroker’s domestic client network with access to Tradeweb’s global multi-asset platform, deep liquidity and advanced technology, while Tradeweb customers worldwide would benefit from increased liquidity, pre-trade transparency, and coverage of the Australian and New Zealand debt capital markets. Tradeweb can offer no assurance that a definitive agreement will be entered into, or if entered into that a transaction will be consummated. The potential deal remains subject to Yieldbroker stockholder approval, final definitive documentation, and would be subject to customary closing conditions and regulatory reviews.</w:t>
      </w:r>
    </w:p>
    <w:p>
      <w:pPr>
        <w:pStyle w:val="TextBody"/>
        <w:spacing w:lineRule="auto" w:line="288" w:before="0" w:after="0"/>
        <w:ind w:left="0" w:right="0" w:hanging="360"/>
        <w:rPr/>
      </w:pPr>
      <w:r>
        <w:rPr>
          <w:color w:val="000000"/>
        </w:rPr>
        <w:t>•</w:t>
      </w:r>
      <w:r>
        <w:rPr>
          <w:rFonts w:ascii="Arial;sans-serif" w:hAnsi="Arial;sans-serif"/>
          <w:b w:val="false"/>
          <w:color w:val="000000"/>
          <w:sz w:val="18"/>
        </w:rPr>
        <w:t>Tradeweb, Euroclear and Informa Global Markets (IGM) jointly announced a collaboration to automate the security identification and setup process for soon-to-be issued syndicated Eurobonds in the primary market</w:t>
      </w:r>
    </w:p>
    <w:p>
      <w:pPr>
        <w:pStyle w:val="TextBody"/>
        <w:spacing w:lineRule="auto" w:line="288"/>
        <w:ind w:left="0" w:right="0" w:hanging="360"/>
        <w:rPr/>
      </w:pPr>
      <w:r>
        <w:rPr>
          <w:color w:val="000000"/>
        </w:rPr>
        <w:t>•</w:t>
      </w:r>
      <w:r>
        <w:rPr>
          <w:rFonts w:ascii="Arial;sans-serif" w:hAnsi="Arial;sans-serif"/>
          <w:b w:val="false"/>
          <w:color w:val="000000"/>
          <w:sz w:val="18"/>
        </w:rPr>
        <w:t>TW SEF filed with the CFTC a proposed new MAT ("made available to trade") list for swaps aimed at promoting continuity as swaps migrate from LIBOR to other risk-free rates</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2</w:t>
                      </w:r>
                    </w:p>
                    <w:p>
                      <w:pPr>
                        <w:pStyle w:val="TextBody"/>
                        <w:spacing w:before="0" w:after="0"/>
                        <w:rPr/>
                      </w:pPr>
                      <w:r>
                        <w:rPr/>
                      </w:r>
                    </w:p>
                  </w:txbxContent>
                </v:textbox>
              </v:rect>
            </w:pict>
          </mc:Fallback>
        </mc:AlternateContent>
      </w:r>
    </w:p>
    <w:p>
      <w:pPr>
        <w:pStyle w:val="TextBody"/>
        <w:spacing w:lineRule="auto" w:line="288" w:before="240" w:after="120"/>
        <w:rPr>
          <w:rFonts w:ascii="Arial;sans-serif" w:hAnsi="Arial;sans-serif"/>
          <w:b/>
          <w:color w:val="083566"/>
          <w:sz w:val="18"/>
        </w:rPr>
      </w:pPr>
      <w:r>
        <w:rPr>
          <w:rFonts w:ascii="Arial;sans-serif" w:hAnsi="Arial;sans-serif"/>
          <w:b/>
          <w:color w:val="083566"/>
          <w:sz w:val="18"/>
        </w:rPr>
        <w:t>CAPITAL MANAGEMENT</w:t>
      </w:r>
    </w:p>
    <w:p>
      <w:pPr>
        <w:pStyle w:val="TextBody"/>
        <w:spacing w:lineRule="auto" w:line="288" w:before="0" w:after="0"/>
        <w:ind w:left="0" w:right="0" w:hanging="360"/>
        <w:rPr/>
      </w:pPr>
      <w:r>
        <w:rPr>
          <w:color w:val="000000"/>
        </w:rPr>
        <w:t>•</w:t>
      </w:r>
      <w:r>
        <w:rPr>
          <w:rFonts w:ascii="Arial;sans-serif" w:hAnsi="Arial;sans-serif"/>
          <w:b w:val="false"/>
          <w:color w:val="000000"/>
          <w:sz w:val="18"/>
        </w:rPr>
        <w:t>$1.2 billion in cash and cash equivalents and an undrawn $500 million credit facility at March 31, 2023</w:t>
      </w:r>
    </w:p>
    <w:p>
      <w:pPr>
        <w:pStyle w:val="TextBody"/>
        <w:spacing w:lineRule="auto" w:line="288" w:before="0" w:after="0"/>
        <w:ind w:left="0" w:right="0" w:hanging="360"/>
        <w:rPr/>
      </w:pPr>
      <w:r>
        <w:rPr>
          <w:color w:val="000000"/>
        </w:rPr>
        <w:t>•</w:t>
      </w:r>
      <w:r>
        <w:rPr>
          <w:rFonts w:ascii="Arial;sans-serif" w:hAnsi="Arial;sans-serif"/>
          <w:b w:val="false"/>
          <w:color w:val="000000"/>
          <w:sz w:val="18"/>
        </w:rPr>
        <w:t>Cash capital expenditures and capitalization of software development in the first quarter 2023: $16.7 million</w:t>
      </w:r>
    </w:p>
    <w:p>
      <w:pPr>
        <w:pStyle w:val="TextBody"/>
        <w:spacing w:lineRule="auto" w:line="288" w:before="0" w:after="0"/>
        <w:ind w:left="0" w:right="0" w:hanging="360"/>
        <w:rPr/>
      </w:pPr>
      <w:r>
        <w:rPr>
          <w:color w:val="000000"/>
        </w:rPr>
        <w:t>•</w:t>
      </w:r>
      <w:r>
        <w:rPr>
          <w:rFonts w:ascii="Arial;sans-serif" w:hAnsi="Arial;sans-serif"/>
          <w:b w:val="false"/>
          <w:color w:val="000000"/>
          <w:sz w:val="18"/>
        </w:rPr>
        <w:t>Free cash flow for the trailing twelve months ended March 31, 2023 of $599.6 million, up 17.4% compared to prior year period. See “Non-GAAP Financial Measures” for additional information</w:t>
      </w:r>
    </w:p>
    <w:p>
      <w:pPr>
        <w:pStyle w:val="TextBody"/>
        <w:spacing w:lineRule="auto" w:line="288" w:before="0" w:after="0"/>
        <w:ind w:left="0" w:right="0" w:hanging="360"/>
        <w:rPr/>
      </w:pPr>
      <w:r>
        <w:rPr>
          <w:color w:val="000000"/>
        </w:rPr>
        <w:t>•</w:t>
      </w:r>
      <w:r>
        <w:rPr>
          <w:rFonts w:ascii="Arial;sans-serif" w:hAnsi="Arial;sans-serif"/>
          <w:b w:val="false"/>
          <w:color w:val="000000"/>
          <w:sz w:val="18"/>
        </w:rPr>
        <w:t>During the first quarter of 2023, as part of its share repurchase program, Tradeweb purchased 313,311 shares of Class A common stock, at an average price of $72.47, for purchases totaling $22.7 million. As of March 31, 2023, a total of $252.3 million remained available for repurchase pursuant to the share repurchase program</w:t>
      </w:r>
    </w:p>
    <w:p>
      <w:pPr>
        <w:pStyle w:val="TextBody"/>
        <w:spacing w:lineRule="auto" w:line="288" w:before="0" w:after="0"/>
        <w:ind w:left="0" w:right="0" w:hanging="360"/>
        <w:rPr/>
      </w:pPr>
      <w:r>
        <w:rPr>
          <w:color w:val="000000"/>
        </w:rPr>
        <w:t>•</w:t>
      </w:r>
      <w:r>
        <w:rPr>
          <w:rFonts w:ascii="Arial;sans-serif" w:hAnsi="Arial;sans-serif"/>
          <w:b w:val="false"/>
          <w:color w:val="000000"/>
          <w:sz w:val="18"/>
        </w:rPr>
        <w:t>$39.9 million in shares of Class A common stock were withheld in the first quarter of 2023 to satisfy tax obligations related to the exercise of stock options and vesting of restricted stock units and performance-based restricted stock units held by employees</w:t>
      </w:r>
    </w:p>
    <w:p>
      <w:pPr>
        <w:pStyle w:val="TextBody"/>
        <w:spacing w:lineRule="auto" w:line="288" w:before="0" w:after="0"/>
        <w:ind w:left="0" w:right="0" w:hanging="360"/>
        <w:rPr/>
      </w:pPr>
      <w:r>
        <w:rPr>
          <w:color w:val="000000"/>
        </w:rPr>
        <w:t>•</w:t>
      </w:r>
      <w:r>
        <w:rPr>
          <w:rFonts w:ascii="Arial;sans-serif" w:hAnsi="Arial;sans-serif"/>
          <w:b w:val="false"/>
          <w:color w:val="000000"/>
          <w:sz w:val="18"/>
        </w:rPr>
        <w:t>The Board of Directors of Tradeweb Markets Inc. declared a quarterly cash dividend of $0.09 per share of Class A common stock and Class B common stock. The dividend will be payable on June 15, 2023 to stockholders of record as of June 1, 2023</w:t>
      </w:r>
    </w:p>
    <w:p>
      <w:pPr>
        <w:pStyle w:val="TextBody"/>
        <w:spacing w:lineRule="auto" w:line="288" w:before="240" w:after="120"/>
        <w:rPr>
          <w:rFonts w:ascii="Arial;sans-serif" w:hAnsi="Arial;sans-serif"/>
          <w:b/>
          <w:color w:val="083566"/>
          <w:sz w:val="18"/>
        </w:rPr>
      </w:pPr>
      <w:r>
        <w:rPr>
          <w:rFonts w:ascii="Arial;sans-serif" w:hAnsi="Arial;sans-serif"/>
          <w:b/>
          <w:color w:val="083566"/>
          <w:sz w:val="18"/>
        </w:rPr>
        <w:t>OTHER MATTERS</w:t>
      </w:r>
    </w:p>
    <w:p>
      <w:pPr>
        <w:pStyle w:val="TextBody"/>
        <w:spacing w:lineRule="auto" w:line="288" w:before="120" w:after="120"/>
        <w:rPr>
          <w:rFonts w:ascii="Arial;sans-serif" w:hAnsi="Arial;sans-serif"/>
          <w:b/>
          <w:color w:val="000000"/>
          <w:sz w:val="18"/>
        </w:rPr>
      </w:pPr>
      <w:r>
        <w:rPr>
          <w:rFonts w:ascii="Arial;sans-serif" w:hAnsi="Arial;sans-serif"/>
          <w:b/>
          <w:color w:val="000000"/>
          <w:sz w:val="18"/>
        </w:rPr>
        <w:t xml:space="preserve">Unchanged Full-Year 2023 Guidance* </w:t>
      </w:r>
    </w:p>
    <w:p>
      <w:pPr>
        <w:pStyle w:val="TextBody"/>
        <w:spacing w:lineRule="auto" w:line="288" w:before="0" w:after="0"/>
        <w:ind w:left="0" w:right="0" w:hanging="360"/>
        <w:rPr/>
      </w:pPr>
      <w:r>
        <w:rPr>
          <w:color w:val="000000"/>
        </w:rPr>
        <w:t>•</w:t>
      </w:r>
      <w:r>
        <w:rPr>
          <w:rFonts w:ascii="Arial;sans-serif" w:hAnsi="Arial;sans-serif"/>
          <w:b w:val="false"/>
          <w:color w:val="000000"/>
          <w:sz w:val="18"/>
        </w:rPr>
        <w:t>Adjusted Expenses: $669 - 714 million</w:t>
      </w:r>
    </w:p>
    <w:p>
      <w:pPr>
        <w:pStyle w:val="TextBody"/>
        <w:spacing w:lineRule="auto" w:line="288" w:before="0" w:after="0"/>
        <w:ind w:left="0" w:right="0" w:hanging="360"/>
        <w:rPr/>
      </w:pPr>
      <w:r>
        <w:rPr>
          <w:color w:val="000000"/>
        </w:rPr>
        <w:t>•</w:t>
      </w:r>
      <w:r>
        <w:rPr>
          <w:rFonts w:ascii="Arial;sans-serif" w:hAnsi="Arial;sans-serif"/>
          <w:b w:val="false"/>
          <w:color w:val="000000"/>
          <w:sz w:val="18"/>
        </w:rPr>
        <w:t>Acquisition and Refinitiv Transaction related depreciation and amortization expense: $127 million</w:t>
      </w:r>
    </w:p>
    <w:p>
      <w:pPr>
        <w:pStyle w:val="TextBody"/>
        <w:spacing w:lineRule="auto" w:line="288" w:before="0" w:after="0"/>
        <w:ind w:left="0" w:right="0" w:hanging="360"/>
        <w:rPr/>
      </w:pPr>
      <w:r>
        <w:rPr>
          <w:color w:val="000000"/>
        </w:rPr>
        <w:t>•</w:t>
      </w:r>
      <w:r>
        <w:rPr>
          <w:rFonts w:ascii="Arial;sans-serif" w:hAnsi="Arial;sans-serif"/>
          <w:b w:val="false"/>
          <w:color w:val="000000"/>
          <w:sz w:val="18"/>
        </w:rPr>
        <w:t>Assumed non-GAAP tax rate: ~24% - 25%</w:t>
      </w:r>
    </w:p>
    <w:p>
      <w:pPr>
        <w:pStyle w:val="TextBody"/>
        <w:spacing w:lineRule="auto" w:line="288" w:before="0" w:after="0"/>
        <w:ind w:left="0" w:right="0" w:hanging="360"/>
        <w:rPr/>
      </w:pPr>
      <w:r>
        <w:rPr>
          <w:color w:val="000000"/>
        </w:rPr>
        <w:t>•</w:t>
      </w:r>
      <w:r>
        <w:rPr>
          <w:rFonts w:ascii="Arial;sans-serif" w:hAnsi="Arial;sans-serif"/>
          <w:b w:val="false"/>
          <w:color w:val="000000"/>
          <w:sz w:val="18"/>
        </w:rPr>
        <w:t>Cash costs of capital expenditures and capitalized software development: $56 - 62 million</w:t>
      </w:r>
    </w:p>
    <w:p>
      <w:pPr>
        <w:pStyle w:val="TextBody"/>
        <w:spacing w:before="0" w:after="0"/>
        <w:rPr/>
      </w:pPr>
      <w:r>
        <w:rPr/>
      </w:r>
    </w:p>
    <w:p>
      <w:pPr>
        <w:pStyle w:val="TextBody"/>
        <w:spacing w:lineRule="auto" w:line="288" w:before="0" w:after="0"/>
        <w:rPr>
          <w:rFonts w:ascii="Arial;sans-serif" w:hAnsi="Arial;sans-serif"/>
          <w:b w:val="false"/>
          <w:i/>
          <w:color w:val="000000"/>
          <w:sz w:val="16"/>
        </w:rPr>
      </w:pPr>
      <w:r>
        <w:rPr>
          <w:rFonts w:ascii="Arial;sans-serif" w:hAnsi="Arial;sans-serif"/>
          <w:b w:val="false"/>
          <w:i/>
          <w:color w:val="000000"/>
          <w:sz w:val="16"/>
        </w:rPr>
        <w:t>*GAAP operating expenses and tax rate guidance are not provided due to the inherent difficulty in quantifying certain amounts due to a variety of factors including the unpredictability in the movement of foreign currency rates.</w:t>
      </w:r>
    </w:p>
    <w:p>
      <w:pPr>
        <w:pStyle w:val="TextBody"/>
        <w:spacing w:lineRule="auto" w:line="288" w:before="240" w:after="120"/>
        <w:rPr>
          <w:rFonts w:ascii="Arial;sans-serif" w:hAnsi="Arial;sans-serif"/>
          <w:b/>
          <w:color w:val="083566"/>
          <w:sz w:val="18"/>
        </w:rPr>
      </w:pPr>
      <w:r>
        <w:rPr>
          <w:rFonts w:ascii="Arial;sans-serif" w:hAnsi="Arial;sans-serif"/>
          <w:b/>
          <w:color w:val="083566"/>
          <w:sz w:val="18"/>
        </w:rPr>
        <w:t>CONFERENCE CALL</w:t>
      </w:r>
    </w:p>
    <w:p>
      <w:pPr>
        <w:pStyle w:val="TextBody"/>
        <w:spacing w:lineRule="auto" w:line="288" w:before="0" w:after="0"/>
        <w:rPr/>
      </w:pPr>
      <w:r>
        <w:rPr>
          <w:rFonts w:ascii="Arial;sans-serif" w:hAnsi="Arial;sans-serif"/>
          <w:b w:val="false"/>
          <w:color w:val="000000"/>
          <w:sz w:val="18"/>
        </w:rPr>
        <w:t xml:space="preserve">Tradeweb Markets will hold a conference call to discuss first quarter 2023 results starting at 9:30 AM EDT today, April 27, 2023. A live, audio webcast of the conference call along with related materials will be available at </w:t>
      </w:r>
      <w:r>
        <w:rPr>
          <w:rFonts w:ascii="Arial;sans-serif" w:hAnsi="Arial;sans-serif"/>
          <w:b w:val="false"/>
          <w:color w:val="0E32E1"/>
          <w:sz w:val="18"/>
          <w:u w:val="single"/>
        </w:rPr>
        <w:t>http://investors.tradeweb.com</w:t>
      </w:r>
      <w:r>
        <w:rPr>
          <w:rFonts w:ascii="Arial;sans-serif" w:hAnsi="Arial;sans-serif"/>
          <w:b w:val="false"/>
          <w:color w:val="000000"/>
          <w:sz w:val="18"/>
        </w:rPr>
        <w:t xml:space="preserve">. Alternatively, interested parties can access the call by registering at </w:t>
      </w:r>
      <w:r>
        <w:rPr>
          <w:rFonts w:ascii="Arial;sans-serif" w:hAnsi="Arial;sans-serif"/>
          <w:b w:val="false"/>
          <w:color w:val="0E32E1"/>
          <w:sz w:val="18"/>
          <w:u w:val="single"/>
        </w:rPr>
        <w:t>https://register.vevent.com/register/BIb63c4598445f47baa5b774f5cb7cf7ae</w:t>
      </w:r>
      <w:r>
        <w:rPr>
          <w:rFonts w:ascii="Arial;sans-serif" w:hAnsi="Arial;sans-serif"/>
          <w:b w:val="false"/>
          <w:color w:val="000000"/>
          <w:sz w:val="18"/>
        </w:rPr>
        <w:t xml:space="preserve">. Once registered, the participant will receive an email confirmation with the dial-in information and a personalized PIN number to access the conference call. Only one person can use this PIN at a time. If you need additional PINs please register multiple times. </w:t>
      </w:r>
    </w:p>
    <w:p>
      <w:pPr>
        <w:pStyle w:val="TextBody"/>
        <w:spacing w:lineRule="auto" w:line="288" w:before="200" w:after="283"/>
        <w:rPr/>
      </w:pPr>
      <w:r>
        <w:rPr>
          <w:rFonts w:ascii="Arial;sans-serif" w:hAnsi="Arial;sans-serif"/>
          <w:b w:val="false"/>
          <w:color w:val="000000"/>
          <w:sz w:val="18"/>
        </w:rPr>
        <w:t xml:space="preserve">After the conference call, an archived recording will be available at </w:t>
      </w:r>
      <w:r>
        <w:rPr>
          <w:rFonts w:ascii="Arial;sans-serif" w:hAnsi="Arial;sans-serif"/>
          <w:b w:val="false"/>
          <w:color w:val="0E32E1"/>
          <w:sz w:val="18"/>
          <w:u w:val="single"/>
        </w:rPr>
        <w:t>http://investors.tradeweb.com</w:t>
      </w:r>
      <w:r>
        <w:rPr>
          <w:rFonts w:ascii="Arial;sans-serif" w:hAnsi="Arial;sans-serif"/>
          <w:b w:val="false"/>
          <w:color w:val="000000"/>
          <w:sz w:val="18"/>
        </w:rPr>
        <w:t>.</w:t>
      </w:r>
    </w:p>
    <w:p>
      <w:pPr>
        <w:pStyle w:val="TextBody"/>
        <w:spacing w:lineRule="auto" w:line="288" w:before="240" w:after="120"/>
        <w:rPr>
          <w:rFonts w:ascii="Arial;sans-serif" w:hAnsi="Arial;sans-serif"/>
          <w:b/>
          <w:color w:val="083566"/>
          <w:sz w:val="18"/>
        </w:rPr>
      </w:pPr>
      <w:r>
        <w:rPr>
          <w:rFonts w:ascii="Arial;sans-serif" w:hAnsi="Arial;sans-serif"/>
          <w:b/>
          <w:color w:val="083566"/>
          <w:sz w:val="18"/>
        </w:rPr>
        <w:t>ABOUT TRADEWEB MARKETS</w:t>
      </w:r>
    </w:p>
    <w:p>
      <w:pPr>
        <w:pStyle w:val="TextBody"/>
        <w:spacing w:lineRule="auto" w:line="288" w:before="0" w:after="0"/>
        <w:rPr/>
      </w:pPr>
      <w:r>
        <w:rPr>
          <w:rFonts w:ascii="Arial;sans-serif" w:hAnsi="Arial;sans-serif"/>
          <w:b w:val="false"/>
          <w:color w:val="000000"/>
          <w:sz w:val="18"/>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$1.1 trillion in notional value traded per day over the past four fiscal quarters. For more information, please go to </w:t>
      </w:r>
      <w:r>
        <w:rPr>
          <w:rFonts w:ascii="Arial;sans-serif" w:hAnsi="Arial;sans-serif"/>
          <w:b w:val="false"/>
          <w:color w:val="0E32E1"/>
          <w:sz w:val="18"/>
          <w:u w:val="single"/>
        </w:rPr>
        <w:t>www.tradeweb.com</w:t>
      </w:r>
      <w:r>
        <w:rPr>
          <w:rFonts w:ascii="Arial;sans-serif" w:hAnsi="Arial;sans-serif"/>
          <w:b w:val="false"/>
          <w:color w:val="0E32E1"/>
          <w:sz w:val="18"/>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3</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83566"/>
          <w:sz w:val="18"/>
        </w:rPr>
      </w:pPr>
      <w:r>
        <w:rPr>
          <w:rFonts w:ascii="Arial;sans-serif" w:hAnsi="Arial;sans-serif"/>
          <w:b/>
          <w:color w:val="083566"/>
          <w:sz w:val="18"/>
        </w:rPr>
        <w:t>TRADEWEB MARKETS INC.</w:t>
      </w:r>
    </w:p>
    <w:p>
      <w:pPr>
        <w:pStyle w:val="TextBody"/>
        <w:spacing w:lineRule="auto" w:line="288" w:before="0" w:after="0"/>
        <w:rPr>
          <w:rFonts w:ascii="Arial;sans-serif" w:hAnsi="Arial;sans-serif"/>
          <w:b/>
          <w:color w:val="083566"/>
          <w:sz w:val="18"/>
        </w:rPr>
      </w:pPr>
      <w:r>
        <w:rPr>
          <w:rFonts w:ascii="Arial;sans-serif" w:hAnsi="Arial;sans-serif"/>
          <w:b/>
          <w:color w:val="083566"/>
          <w:sz w:val="18"/>
        </w:rPr>
        <w:t>INCOME STATEMENT</w:t>
      </w:r>
    </w:p>
    <w:p>
      <w:pPr>
        <w:pStyle w:val="TextBody"/>
        <w:spacing w:lineRule="auto" w:line="288" w:before="0" w:after="0"/>
        <w:rPr>
          <w:rFonts w:ascii="Arial;sans-serif" w:hAnsi="Arial;sans-serif"/>
          <w:b/>
          <w:color w:val="083566"/>
          <w:sz w:val="18"/>
        </w:rPr>
      </w:pPr>
      <w:r>
        <w:rPr>
          <w:rFonts w:ascii="Arial;sans-serif" w:hAnsi="Arial;sans-serif"/>
          <w:b/>
          <w:color w:val="083566"/>
          <w:sz w:val="18"/>
        </w:rPr>
        <w:t>Dollars in Thousands, Except Per Share Data</w:t>
      </w:r>
    </w:p>
    <w:tbl>
      <w:tblPr>
        <w:tblW w:w="9335" w:type="dxa"/>
        <w:jc w:val="left"/>
        <w:tblInd w:w="0" w:type="dxa"/>
        <w:tblCellMar>
          <w:top w:w="28" w:type="dxa"/>
          <w:left w:w="28" w:type="dxa"/>
          <w:bottom w:w="28" w:type="dxa"/>
          <w:right w:w="28" w:type="dxa"/>
        </w:tblCellMar>
      </w:tblPr>
      <w:tblGrid>
        <w:gridCol w:w="2225"/>
        <w:gridCol w:w="1949"/>
        <w:gridCol w:w="1976"/>
        <w:gridCol w:w="109"/>
        <w:gridCol w:w="109"/>
        <w:gridCol w:w="109"/>
        <w:gridCol w:w="200"/>
        <w:gridCol w:w="716"/>
        <w:gridCol w:w="109"/>
        <w:gridCol w:w="109"/>
        <w:gridCol w:w="109"/>
        <w:gridCol w:w="109"/>
        <w:gridCol w:w="200"/>
        <w:gridCol w:w="716"/>
        <w:gridCol w:w="109"/>
        <w:gridCol w:w="109"/>
        <w:gridCol w:w="109"/>
        <w:gridCol w:w="109"/>
        <w:gridCol w:w="154"/>
      </w:tblGrid>
      <w:tr>
        <w:trPr/>
        <w:tc>
          <w:tcPr>
            <w:tcW w:w="2225"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1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Revenues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(unaudited)</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Transaction fees and commissions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266,598 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251,805 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Subscription fees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44,374 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41,455 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Refinitiv market data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2,683 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2,668 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329,249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311,486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Employee compensation and benefits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114,493 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117,991 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Technology and communications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17,567 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15,776 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Professional fees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11,176 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7,857 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Occupancy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 expenses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206,683 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199,884 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122,566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111,602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interest income (expense)</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12,491 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(447)</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(loss),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Income before taxes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135,398</w:t>
            </w:r>
            <w:r>
              <w:rPr>
                <w:color w:val="000000"/>
              </w:rPr>
              <w:t>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111,155</w:t>
            </w:r>
            <w:r>
              <w:rPr>
                <w:color w:val="000000"/>
              </w:rPr>
              <w:t>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(33,205)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102,193</w:t>
            </w:r>
            <w:r>
              <w:rPr>
                <w:color w:val="000000"/>
              </w:rPr>
              <w:t>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97,445</w:t>
            </w:r>
            <w:r>
              <w:rPr>
                <w:color w:val="000000"/>
              </w:rPr>
              <w:t>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14,337 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income attributable to Tradeweb Markets Inc.</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16"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87,856</w:t>
            </w:r>
            <w:r>
              <w:rPr>
                <w:color w:val="000000"/>
              </w:rPr>
              <w:t>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16"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82,965</w:t>
            </w:r>
            <w:r>
              <w:rPr>
                <w:color w:val="000000"/>
              </w:rPr>
              <w:t>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per share attributable to Tradeweb Markets Inc. Class A and B common stockholders: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doub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0.42 </w:t>
            </w:r>
          </w:p>
        </w:tc>
        <w:tc>
          <w:tcPr>
            <w:tcW w:w="109" w:type="dxa"/>
            <w:tcBorders>
              <w:top w:val="doub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doub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0.40 </w:t>
            </w:r>
          </w:p>
        </w:tc>
        <w:tc>
          <w:tcPr>
            <w:tcW w:w="109" w:type="dxa"/>
            <w:tcBorders>
              <w:top w:val="doub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208,105,437 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204,061,347 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210,143,734 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207,497,102 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4</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83566"/>
          <w:sz w:val="18"/>
        </w:rPr>
      </w:pPr>
      <w:r>
        <w:rPr>
          <w:rFonts w:ascii="Arial;sans-serif" w:hAnsi="Arial;sans-serif"/>
          <w:b/>
          <w:color w:val="083566"/>
          <w:sz w:val="18"/>
        </w:rPr>
        <w:t>TRADEWEB MARKETS INC.</w:t>
      </w:r>
    </w:p>
    <w:p>
      <w:pPr>
        <w:pStyle w:val="TextBody"/>
        <w:spacing w:lineRule="auto" w:line="288" w:before="0" w:after="0"/>
        <w:rPr>
          <w:rFonts w:ascii="Arial;sans-serif" w:hAnsi="Arial;sans-serif"/>
          <w:b/>
          <w:color w:val="083566"/>
          <w:sz w:val="18"/>
        </w:rPr>
      </w:pPr>
      <w:r>
        <w:rPr>
          <w:rFonts w:ascii="Arial;sans-serif" w:hAnsi="Arial;sans-serif"/>
          <w:b/>
          <w:color w:val="083566"/>
          <w:sz w:val="18"/>
        </w:rPr>
        <w:t>RECONCILIATION OF NON-GAAP FINANCIAL MEASURES (UNAUDITED)</w:t>
      </w:r>
    </w:p>
    <w:p>
      <w:pPr>
        <w:pStyle w:val="TextBody"/>
        <w:spacing w:lineRule="auto" w:line="288" w:before="0" w:after="0"/>
        <w:rPr>
          <w:rFonts w:ascii="Arial;sans-serif" w:hAnsi="Arial;sans-serif"/>
          <w:b/>
          <w:color w:val="083566"/>
          <w:sz w:val="18"/>
        </w:rPr>
      </w:pPr>
      <w:r>
        <w:rPr>
          <w:rFonts w:ascii="Arial;sans-serif" w:hAnsi="Arial;sans-serif"/>
          <w:b/>
          <w:color w:val="083566"/>
          <w:sz w:val="18"/>
        </w:rPr>
        <w:t>Dollars in Thousands, Except per Share Data</w:t>
      </w:r>
    </w:p>
    <w:tbl>
      <w:tblPr>
        <w:tblW w:w="10205" w:type="dxa"/>
        <w:jc w:val="left"/>
        <w:tblInd w:w="0" w:type="dxa"/>
        <w:tblCellMar>
          <w:top w:w="28" w:type="dxa"/>
          <w:left w:w="28" w:type="dxa"/>
          <w:bottom w:w="28" w:type="dxa"/>
          <w:right w:w="28" w:type="dxa"/>
        </w:tblCellMar>
      </w:tblPr>
      <w:tblGrid>
        <w:gridCol w:w="2508"/>
        <w:gridCol w:w="2209"/>
        <w:gridCol w:w="2215"/>
        <w:gridCol w:w="109"/>
        <w:gridCol w:w="109"/>
        <w:gridCol w:w="109"/>
        <w:gridCol w:w="181"/>
        <w:gridCol w:w="646"/>
        <w:gridCol w:w="241"/>
        <w:gridCol w:w="109"/>
        <w:gridCol w:w="109"/>
        <w:gridCol w:w="109"/>
        <w:gridCol w:w="181"/>
        <w:gridCol w:w="646"/>
        <w:gridCol w:w="241"/>
        <w:gridCol w:w="109"/>
        <w:gridCol w:w="109"/>
        <w:gridCol w:w="109"/>
        <w:gridCol w:w="156"/>
      </w:tblGrid>
      <w:tr>
        <w:trPr/>
        <w:tc>
          <w:tcPr>
            <w:tcW w:w="2508"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c>
          <w:tcPr>
            <w:tcW w:w="2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6932"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Reconciliation of Net Income to Adjusted EBITDA, Adjusted EBITDA Margin, Adjusted EBIT and Adjusted EBIT Margin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693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(dollars in thousands)</w:t>
            </w:r>
          </w:p>
        </w:tc>
        <w:tc>
          <w:tcPr>
            <w:tcW w:w="483" w:type="dxa"/>
            <w:gridSpan w:val="4"/>
            <w:tcBorders/>
            <w:shd w:fill="auto" w:val="clear"/>
          </w:tcPr>
          <w:p>
            <w:pPr>
              <w:pStyle w:val="TableContents"/>
              <w:spacing w:before="0" w:after="283"/>
              <w:rPr>
                <w:sz w:val="4"/>
                <w:szCs w:val="4"/>
              </w:rPr>
            </w:pPr>
            <w:r>
              <w:rPr>
                <w:sz w:val="4"/>
                <w:szCs w:val="4"/>
              </w:rPr>
            </w:r>
          </w:p>
        </w:tc>
      </w:tr>
      <w:tr>
        <w:trPr/>
        <w:tc>
          <w:tcPr>
            <w:tcW w:w="6932"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102,193 </w:t>
            </w:r>
          </w:p>
        </w:tc>
        <w:tc>
          <w:tcPr>
            <w:tcW w:w="241"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97,445 </w:t>
            </w:r>
          </w:p>
        </w:tc>
        <w:tc>
          <w:tcPr>
            <w:tcW w:w="241"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Merger and acquisition transaction and integration costs </w:t>
            </w:r>
            <w:r>
              <w:rPr>
                <w:rFonts w:ascii="Arial Narrow;sans-serif" w:hAnsi="Arial Narrow;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Net interest (income) expense</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(12,491)</w:t>
            </w:r>
          </w:p>
        </w:tc>
        <w:tc>
          <w:tcPr>
            <w:tcW w:w="241"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447 </w:t>
            </w:r>
          </w:p>
        </w:tc>
        <w:tc>
          <w:tcPr>
            <w:tcW w:w="241"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45,404 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44,450 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Stock-based compensation expense </w:t>
            </w:r>
            <w:r>
              <w:rPr>
                <w:rFonts w:ascii="Arial Narrow;sans-serif" w:hAnsi="Arial Narrow;sans-serif"/>
                <w:b w:val="false"/>
                <w:color w:val="000000"/>
                <w:sz w:val="12"/>
              </w:rPr>
              <w:t>(2)</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850 </w:t>
            </w:r>
          </w:p>
        </w:tc>
        <w:tc>
          <w:tcPr>
            <w:tcW w:w="241"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3,869 </w:t>
            </w:r>
          </w:p>
        </w:tc>
        <w:tc>
          <w:tcPr>
            <w:tcW w:w="241"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33,205 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13,710 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Foreign exchange (gains) / losses </w:t>
            </w:r>
            <w:r>
              <w:rPr>
                <w:rFonts w:ascii="Arial Narrow;sans-serif" w:hAnsi="Arial Narrow;sans-serif"/>
                <w:b w:val="false"/>
                <w:color w:val="000000"/>
                <w:sz w:val="12"/>
              </w:rPr>
              <w:t>(3)</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2,798 </w:t>
            </w:r>
          </w:p>
        </w:tc>
        <w:tc>
          <w:tcPr>
            <w:tcW w:w="241"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732 </w:t>
            </w:r>
          </w:p>
        </w:tc>
        <w:tc>
          <w:tcPr>
            <w:tcW w:w="241"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Tax receivable agreement liability adjustment </w:t>
            </w:r>
            <w:r>
              <w:rPr>
                <w:rFonts w:ascii="Arial Narrow;sans-serif" w:hAnsi="Arial Narrow;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Other (income) loss, net</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(341)</w:t>
            </w:r>
          </w:p>
        </w:tc>
        <w:tc>
          <w:tcPr>
            <w:tcW w:w="241"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1"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172,203 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160,635 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Less: Depreciation and amortization</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(45,404)</w:t>
            </w:r>
          </w:p>
        </w:tc>
        <w:tc>
          <w:tcPr>
            <w:tcW w:w="241" w:type="dxa"/>
            <w:tcBorders>
              <w:top w:val="doub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(44,450)</w:t>
            </w:r>
          </w:p>
        </w:tc>
        <w:tc>
          <w:tcPr>
            <w:tcW w:w="241" w:type="dxa"/>
            <w:tcBorders>
              <w:top w:val="doub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Add: D&amp;A related to acquisitions and the Refinitiv Transaction </w:t>
            </w:r>
            <w:r>
              <w:rPr>
                <w:rFonts w:ascii="Arial Narrow;sans-serif" w:hAnsi="Arial Narrow;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31,617 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31,769 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EBIT</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158,416 </w:t>
            </w:r>
          </w:p>
        </w:tc>
        <w:tc>
          <w:tcPr>
            <w:tcW w:w="241"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147,954 </w:t>
            </w:r>
          </w:p>
        </w:tc>
        <w:tc>
          <w:tcPr>
            <w:tcW w:w="241"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Net income margin</w:t>
            </w:r>
            <w:r>
              <w:rPr>
                <w:color w:val="000000"/>
              </w:rPr>
              <w:t xml:space="preserve"> </w:t>
            </w:r>
            <w:r>
              <w:rPr>
                <w:rFonts w:ascii="Arial Narrow;sans-serif" w:hAnsi="Arial Narrow;sans-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31.0 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31.3 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Adjusted EBITDA margin </w:t>
            </w:r>
            <w:r>
              <w:rPr>
                <w:rFonts w:ascii="Arial Narrow;sans-serif" w:hAnsi="Arial Narrow;sans-serif"/>
                <w:b w:val="false"/>
                <w:color w:val="000000"/>
                <w:sz w:val="12"/>
              </w:rPr>
              <w:t>(6)</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52.3 </w:t>
            </w:r>
          </w:p>
        </w:tc>
        <w:tc>
          <w:tcPr>
            <w:tcW w:w="241"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41"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Adjusted EBIT margin </w:t>
            </w:r>
            <w:r>
              <w:rPr>
                <w:rFonts w:ascii="Arial Narrow;sans-serif" w:hAnsi="Arial Narrow;sans-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48.1 </w:t>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47.5 </w:t>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2916"/>
        <w:gridCol w:w="2867"/>
        <w:gridCol w:w="408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6" w:type="dxa"/>
            <w:tcBorders/>
            <w:shd w:fill="auto" w:val="clear"/>
            <w:vAlign w:val="center"/>
          </w:tcPr>
          <w:p>
            <w:pPr>
              <w:pStyle w:val="TableContents"/>
              <w:spacing w:before="0" w:after="283"/>
              <w:rPr>
                <w:sz w:val="4"/>
                <w:szCs w:val="4"/>
              </w:rPr>
            </w:pPr>
            <w:r>
              <w:rPr>
                <w:sz w:val="4"/>
                <w:szCs w:val="4"/>
              </w:rPr>
            </w:r>
          </w:p>
        </w:tc>
        <w:tc>
          <w:tcPr>
            <w:tcW w:w="2867" w:type="dxa"/>
            <w:tcBorders/>
            <w:shd w:fill="auto" w:val="clear"/>
            <w:vAlign w:val="center"/>
          </w:tcPr>
          <w:p>
            <w:pPr>
              <w:pStyle w:val="TableContents"/>
              <w:spacing w:before="0" w:after="283"/>
              <w:rPr>
                <w:sz w:val="4"/>
                <w:szCs w:val="4"/>
              </w:rPr>
            </w:pPr>
            <w:r>
              <w:rPr>
                <w:sz w:val="4"/>
                <w:szCs w:val="4"/>
              </w:rPr>
            </w:r>
          </w:p>
        </w:tc>
        <w:tc>
          <w:tcPr>
            <w:tcW w:w="408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0"/>
              <w:rPr>
                <w:rFonts w:ascii="Arial;sans-serif" w:hAnsi="Arial;sans-serif"/>
                <w:b w:val="false"/>
                <w:color w:val="000000"/>
                <w:sz w:val="13"/>
              </w:rPr>
            </w:pPr>
            <w:r>
              <w:rPr>
                <w:rFonts w:ascii="Arial;sans-serif" w:hAnsi="Arial;sans-serif"/>
                <w:b w:val="false"/>
                <w:color w:val="000000"/>
                <w:sz w:val="13"/>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13"/>
              </w:rPr>
              <w:t>Represents non-cash stock-based compensation expense associated with the Special Option Award and post-IPO options awarded in 2019 and payroll taxes associated with the exercise of such options.</w:t>
            </w:r>
            <w:r>
              <w:rPr>
                <w:color w:val="000000"/>
              </w:rPr>
              <w:t xml:space="preserve"> </w:t>
            </w:r>
            <w:r>
              <w:rPr>
                <w:rFonts w:ascii="Arial;sans-serif" w:hAnsi="Arial;sans-serif"/>
                <w:b w:val="false"/>
                <w:color w:val="000000"/>
                <w:sz w:val="13"/>
              </w:rPr>
              <w:t>During the three months ended March 31, 2022, this adjustment also includes $1.7 million of non-cash accelerated stock-based compensation expense and related payroll taxes associated with our former CFO and former CEO.</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unrealized gain or loss recognized on foreign currency forward contracts and foreign exchange gain or loss from the revaluation of cash denominated in a different currency than the entity’s functional currency.</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(6)</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80"/>
              <w:jc w:val="left"/>
              <w:rPr>
                <w:rFonts w:ascii="Arial;sans-serif" w:hAnsi="Arial;sans-serif"/>
                <w:b w:val="false"/>
                <w:color w:val="000000"/>
                <w:sz w:val="13"/>
              </w:rPr>
            </w:pPr>
            <w:r>
              <w:rPr>
                <w:rFonts w:ascii="Arial;sans-serif" w:hAnsi="Arial;sans-serif"/>
                <w:b w:val="false"/>
                <w:color w:val="000000"/>
                <w:sz w:val="13"/>
              </w:rPr>
              <w:t>Net income margin, Adjusted EBITDA margin and Adjusted EBIT margin are defined as net income, Adjusted EBITDA and Adjusted EBIT, respectively, divided by revenue for the applicable period.</w:t>
            </w:r>
          </w:p>
        </w:tc>
      </w:tr>
    </w:tbl>
    <w:tbl>
      <w:tblPr>
        <w:tblW w:w="9400" w:type="dxa"/>
        <w:jc w:val="left"/>
        <w:tblInd w:w="0" w:type="dxa"/>
        <w:tblCellMar>
          <w:top w:w="28" w:type="dxa"/>
          <w:left w:w="28" w:type="dxa"/>
          <w:bottom w:w="28" w:type="dxa"/>
          <w:right w:w="28" w:type="dxa"/>
        </w:tblCellMar>
      </w:tblPr>
      <w:tblGrid>
        <w:gridCol w:w="2041"/>
        <w:gridCol w:w="1797"/>
        <w:gridCol w:w="1802"/>
        <w:gridCol w:w="109"/>
        <w:gridCol w:w="109"/>
        <w:gridCol w:w="109"/>
        <w:gridCol w:w="243"/>
        <w:gridCol w:w="868"/>
        <w:gridCol w:w="146"/>
        <w:gridCol w:w="146"/>
        <w:gridCol w:w="146"/>
        <w:gridCol w:w="146"/>
        <w:gridCol w:w="243"/>
        <w:gridCol w:w="868"/>
        <w:gridCol w:w="146"/>
        <w:gridCol w:w="109"/>
        <w:gridCol w:w="109"/>
        <w:gridCol w:w="109"/>
        <w:gridCol w:w="154"/>
      </w:tblGrid>
      <w:tr>
        <w:trPr/>
        <w:tc>
          <w:tcPr>
            <w:tcW w:w="2041" w:type="dxa"/>
            <w:tcBorders/>
            <w:shd w:fill="auto" w:val="clear"/>
            <w:vAlign w:val="center"/>
          </w:tcPr>
          <w:p>
            <w:pPr>
              <w:pStyle w:val="TableContents"/>
              <w:spacing w:before="0" w:after="283"/>
              <w:rPr>
                <w:sz w:val="4"/>
                <w:szCs w:val="4"/>
              </w:rPr>
            </w:pPr>
            <w:r>
              <w:rPr>
                <w:sz w:val="4"/>
                <w:szCs w:val="4"/>
              </w:rPr>
            </w:r>
          </w:p>
        </w:tc>
        <w:tc>
          <w:tcPr>
            <w:tcW w:w="1797" w:type="dxa"/>
            <w:tcBorders/>
            <w:shd w:fill="auto" w:val="clear"/>
            <w:vAlign w:val="center"/>
          </w:tcPr>
          <w:p>
            <w:pPr>
              <w:pStyle w:val="TableContents"/>
              <w:spacing w:before="0" w:after="283"/>
              <w:rPr>
                <w:sz w:val="4"/>
                <w:szCs w:val="4"/>
              </w:rPr>
            </w:pPr>
            <w:r>
              <w:rPr>
                <w:sz w:val="4"/>
                <w:szCs w:val="4"/>
              </w:rPr>
            </w:r>
          </w:p>
        </w:tc>
        <w:tc>
          <w:tcPr>
            <w:tcW w:w="1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640"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Reconciliation of Net Income to Adjusted Net Income and Adjusted Diluted EPS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64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(in thousands, except per share amounts)</w:t>
            </w:r>
          </w:p>
        </w:tc>
        <w:tc>
          <w:tcPr>
            <w:tcW w:w="481" w:type="dxa"/>
            <w:gridSpan w:val="4"/>
            <w:tcBorders/>
            <w:shd w:fill="auto" w:val="clear"/>
          </w:tcPr>
          <w:p>
            <w:pPr>
              <w:pStyle w:val="TableContents"/>
              <w:spacing w:before="0" w:after="283"/>
              <w:rPr>
                <w:sz w:val="4"/>
                <w:szCs w:val="4"/>
              </w:rPr>
            </w:pPr>
            <w:r>
              <w:rPr>
                <w:sz w:val="4"/>
                <w:szCs w:val="4"/>
              </w:rPr>
            </w:r>
          </w:p>
        </w:tc>
      </w:tr>
      <w:tr>
        <w:trPr/>
        <w:tc>
          <w:tcPr>
            <w:tcW w:w="5640"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Earnings per diluted share</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8"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0.42 </w:t>
            </w:r>
          </w:p>
        </w:tc>
        <w:tc>
          <w:tcPr>
            <w:tcW w:w="14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8"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0.40 </w:t>
            </w:r>
          </w:p>
        </w:tc>
        <w:tc>
          <w:tcPr>
            <w:tcW w:w="14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Tradeweb Markets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87,856 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82,965 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Net income attributable to non-controlling interests </w:t>
            </w:r>
            <w:r>
              <w:rPr>
                <w:rFonts w:ascii="Arial Narrow;sans-serif" w:hAnsi="Arial Narrow;sans-serif"/>
                <w:b w:val="false"/>
                <w:color w:val="000000"/>
                <w:sz w:val="12"/>
              </w:rPr>
              <w:t>(1)</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14,337 </w:t>
            </w:r>
          </w:p>
        </w:tc>
        <w:tc>
          <w:tcPr>
            <w:tcW w:w="14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14,480 </w:t>
            </w:r>
          </w:p>
        </w:tc>
        <w:tc>
          <w:tcPr>
            <w:tcW w:w="14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102,193 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97,445 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Provision for income taxes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33,205 </w:t>
            </w:r>
          </w:p>
        </w:tc>
        <w:tc>
          <w:tcPr>
            <w:tcW w:w="14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13,710 </w:t>
            </w:r>
          </w:p>
        </w:tc>
        <w:tc>
          <w:tcPr>
            <w:tcW w:w="14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Merger and acquisition transaction and integration costs </w:t>
            </w:r>
            <w:r>
              <w:rPr>
                <w:rFonts w:ascii="Arial Narrow;sans-serif" w:hAnsi="Arial Narrow;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585 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D&amp;A related to acquisitions and the Refinitiv Transaction </w:t>
            </w:r>
            <w:r>
              <w:rPr>
                <w:rFonts w:ascii="Arial Narrow;sans-serif" w:hAnsi="Arial Narrow;sans-serif"/>
                <w:b w:val="false"/>
                <w:color w:val="000000"/>
                <w:sz w:val="12"/>
              </w:rPr>
              <w:t>(3)</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31,617 </w:t>
            </w:r>
          </w:p>
        </w:tc>
        <w:tc>
          <w:tcPr>
            <w:tcW w:w="14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31,769 </w:t>
            </w:r>
          </w:p>
        </w:tc>
        <w:tc>
          <w:tcPr>
            <w:tcW w:w="14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Stock-based compensation expense </w:t>
            </w:r>
            <w:r>
              <w:rPr>
                <w:rFonts w:ascii="Arial Narrow;sans-serif" w:hAnsi="Arial Narrow;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850 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3,869 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Foreign exchange (gains) / losses </w:t>
            </w:r>
            <w:r>
              <w:rPr>
                <w:rFonts w:ascii="Arial Narrow;sans-serif" w:hAnsi="Arial Narrow;sans-serif"/>
                <w:b w:val="false"/>
                <w:color w:val="000000"/>
                <w:sz w:val="12"/>
              </w:rPr>
              <w:t>(5)</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2,798 </w:t>
            </w:r>
          </w:p>
        </w:tc>
        <w:tc>
          <w:tcPr>
            <w:tcW w:w="14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732 </w:t>
            </w:r>
          </w:p>
        </w:tc>
        <w:tc>
          <w:tcPr>
            <w:tcW w:w="14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Tax receivable agreement liability adjustment </w:t>
            </w:r>
            <w:r>
              <w:rPr>
                <w:rFonts w:ascii="Arial Narrow;sans-serif" w:hAnsi="Arial Narrow;sans-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Other (income) loss, net</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(341)</w:t>
            </w:r>
          </w:p>
        </w:tc>
        <w:tc>
          <w:tcPr>
            <w:tcW w:w="14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Net Income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170,907 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147,507 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Adjusted income taxes </w:t>
            </w:r>
            <w:r>
              <w:rPr>
                <w:rFonts w:ascii="Arial Narrow;sans-serif" w:hAnsi="Arial Narrow;sans-serif"/>
                <w:b w:val="false"/>
                <w:color w:val="000000"/>
                <w:sz w:val="12"/>
              </w:rPr>
              <w:t>(7)</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(41,872)</w:t>
            </w:r>
          </w:p>
        </w:tc>
        <w:tc>
          <w:tcPr>
            <w:tcW w:w="14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(32,452)</w:t>
            </w:r>
          </w:p>
        </w:tc>
        <w:tc>
          <w:tcPr>
            <w:tcW w:w="14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129,035 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115,055 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Adjusted Diluted EPS </w:t>
            </w:r>
            <w:r>
              <w:rPr>
                <w:rFonts w:ascii="Arial Narrow;sans-serif" w:hAnsi="Arial Narrow;sans-serif"/>
                <w:b w:val="false"/>
                <w:color w:val="000000"/>
                <w:sz w:val="12"/>
              </w:rPr>
              <w:t>(8)</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8"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0.54 </w:t>
            </w:r>
          </w:p>
        </w:tc>
        <w:tc>
          <w:tcPr>
            <w:tcW w:w="146"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8"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8"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0.48 </w:t>
            </w:r>
          </w:p>
        </w:tc>
        <w:tc>
          <w:tcPr>
            <w:tcW w:w="146"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5</w:t>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2881"/>
        <w:gridCol w:w="2881"/>
        <w:gridCol w:w="41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41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0"/>
              <w:rPr>
                <w:rFonts w:ascii="Arial;sans-serif" w:hAnsi="Arial;sans-serif"/>
                <w:b w:val="false"/>
                <w:color w:val="000000"/>
                <w:sz w:val="13"/>
              </w:rPr>
            </w:pPr>
            <w:r>
              <w:rPr>
                <w:rFonts w:ascii="Arial;sans-serif" w:hAnsi="Arial;sans-serif"/>
                <w:b w:val="false"/>
                <w:color w:val="000000"/>
                <w:sz w:val="13"/>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rFonts w:ascii="Arial;sans-serif" w:hAnsi="Arial;sans-serif"/>
                <w:b w:val="false"/>
                <w:color w:val="000000"/>
                <w:sz w:val="13"/>
              </w:rPr>
            </w:pPr>
            <w:r>
              <w:rPr>
                <w:rFonts w:ascii="Arial;sans-serif" w:hAnsi="Arial;sans-serif"/>
                <w:b w:val="false"/>
                <w:color w:val="000000"/>
                <w:sz w:val="13"/>
              </w:rPr>
              <w:t>Represents the reallocation of net income attributable to non-controlling interests from the assumed exchange of all outstanding LLC Interests held by non-controlling interests for shares of Class A or Class B common stock.</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non-cash stock-based compensation expense associated with the Special Option Award and post-IPO options awarded in 2019 and payroll taxes associated with the exercise of such options. During the three months ended March 31, 2022, this adjustment also includes $1.7 million of non-cash accelerated stock-based compensation expense and related payroll taxes associated with our former CFO and former CEO.</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unrealized gain or loss recognized on foreign currency forward contracts and foreign exchange gain or loss from the revaluation of cash denominated in a different currency than the entity’s functional currency.</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(6)</w:t>
            </w:r>
          </w:p>
        </w:tc>
        <w:tc>
          <w:tcPr>
            <w:tcW w:w="9863" w:type="dxa"/>
            <w:gridSpan w:val="3"/>
            <w:tcBorders/>
            <w:shd w:fill="auto" w:val="clear"/>
            <w:tcMar>
              <w:top w:w="0" w:type="dxa"/>
              <w:left w:w="0" w:type="dxa"/>
              <w:bottom w:w="0" w:type="dxa"/>
              <w:right w:w="0" w:type="dxa"/>
            </w:tcMar>
            <w:vAlign w:val="center"/>
          </w:tcPr>
          <w:p>
            <w:pPr>
              <w:pStyle w:val="TableContents"/>
              <w:spacing w:lineRule="auto" w:line="276" w:before="0" w:after="80"/>
              <w:jc w:val="left"/>
              <w:rPr>
                <w:rFonts w:ascii="Arial;sans-serif" w:hAnsi="Arial;sans-serif"/>
                <w:b w:val="false"/>
                <w:color w:val="000000"/>
                <w:sz w:val="13"/>
              </w:rPr>
            </w:pPr>
            <w:r>
              <w:rPr>
                <w:rFonts w:ascii="Arial;sans-serif" w:hAnsi="Arial;sans-serif"/>
                <w:b w:val="false"/>
                <w:color w:val="000000"/>
                <w:sz w:val="13"/>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(7)</w:t>
            </w:r>
          </w:p>
        </w:tc>
        <w:tc>
          <w:tcPr>
            <w:tcW w:w="986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3"/>
              </w:rPr>
            </w:pPr>
            <w:r>
              <w:rPr>
                <w:rFonts w:ascii="Arial;sans-serif" w:hAnsi="Arial;sans-serif"/>
                <w:b w:val="false"/>
                <w:color w:val="000000"/>
                <w:sz w:val="13"/>
              </w:rPr>
              <w:t>Represents corporate income taxes at an assumed effective tax rate of 24.5% and 22.0% applied to Adjusted Net Income before income taxes for the three months ended March 31, 2023 and 2022, respectively.</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(8)</w:t>
            </w:r>
          </w:p>
        </w:tc>
        <w:tc>
          <w:tcPr>
            <w:tcW w:w="986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Arial;sans-serif" w:hAnsi="Arial;sans-serif"/>
                <w:b w:val="false"/>
                <w:color w:val="000000"/>
                <w:sz w:val="13"/>
              </w:rPr>
            </w:pPr>
            <w:r>
              <w:rPr>
                <w:rFonts w:ascii="Arial;sans-serif" w:hAnsi="Arial;sans-serif"/>
                <w:b w:val="false"/>
                <w:color w:val="000000"/>
                <w:sz w:val="13"/>
              </w:rPr>
              <w:t>For a summary of the calculation of Adjusted Diluted EPS, see “Reconciliation of Diluted Weighted Average Shares Outstanding to Adjusted Diluted Weighted Average Shares Outstanding and Adjusted Diluted EPS” below.</w:t>
            </w:r>
          </w:p>
        </w:tc>
      </w:tr>
    </w:tbl>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The following table summarizes the calculation of Adjusted Diluted EPS for the periods presented:</w:t>
      </w:r>
    </w:p>
    <w:tbl>
      <w:tblPr>
        <w:tblW w:w="10205" w:type="dxa"/>
        <w:jc w:val="left"/>
        <w:tblInd w:w="0" w:type="dxa"/>
        <w:tblCellMar>
          <w:top w:w="28" w:type="dxa"/>
          <w:left w:w="28" w:type="dxa"/>
          <w:bottom w:w="28" w:type="dxa"/>
          <w:right w:w="28" w:type="dxa"/>
        </w:tblCellMar>
      </w:tblPr>
      <w:tblGrid>
        <w:gridCol w:w="2540"/>
        <w:gridCol w:w="2236"/>
        <w:gridCol w:w="2243"/>
        <w:gridCol w:w="109"/>
        <w:gridCol w:w="109"/>
        <w:gridCol w:w="109"/>
        <w:gridCol w:w="200"/>
        <w:gridCol w:w="716"/>
        <w:gridCol w:w="109"/>
        <w:gridCol w:w="109"/>
        <w:gridCol w:w="109"/>
        <w:gridCol w:w="109"/>
        <w:gridCol w:w="200"/>
        <w:gridCol w:w="716"/>
        <w:gridCol w:w="109"/>
        <w:gridCol w:w="109"/>
        <w:gridCol w:w="109"/>
        <w:gridCol w:w="109"/>
        <w:gridCol w:w="155"/>
      </w:tblGrid>
      <w:tr>
        <w:trPr/>
        <w:tc>
          <w:tcPr>
            <w:tcW w:w="2540" w:type="dxa"/>
            <w:tcBorders/>
            <w:shd w:fill="auto" w:val="clear"/>
            <w:vAlign w:val="center"/>
          </w:tcPr>
          <w:p>
            <w:pPr>
              <w:pStyle w:val="TableContents"/>
              <w:spacing w:before="0" w:after="283"/>
              <w:rPr>
                <w:sz w:val="4"/>
                <w:szCs w:val="4"/>
              </w:rPr>
            </w:pPr>
            <w:r>
              <w:rPr>
                <w:sz w:val="4"/>
                <w:szCs w:val="4"/>
              </w:rPr>
            </w:r>
          </w:p>
        </w:tc>
        <w:tc>
          <w:tcPr>
            <w:tcW w:w="2236" w:type="dxa"/>
            <w:tcBorders/>
            <w:shd w:fill="auto" w:val="clear"/>
            <w:vAlign w:val="center"/>
          </w:tcPr>
          <w:p>
            <w:pPr>
              <w:pStyle w:val="TableContents"/>
              <w:spacing w:before="0" w:after="283"/>
              <w:rPr>
                <w:sz w:val="4"/>
                <w:szCs w:val="4"/>
              </w:rPr>
            </w:pPr>
            <w:r>
              <w:rPr>
                <w:sz w:val="4"/>
                <w:szCs w:val="4"/>
              </w:rPr>
            </w:r>
          </w:p>
        </w:tc>
        <w:tc>
          <w:tcPr>
            <w:tcW w:w="2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9"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Reconciliation of Diluted Weighted Average Shares Outstanding to Adjusted Diluted Weighted Average Shares Outstanding and Adjusted Diluted EPS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701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701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9" w:type="dxa"/>
            <w:gridSpan w:val="3"/>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Diluted weighted average shares of Class A and Class B common stock outstanding</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210,143,734 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207,497,102 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Weighted average of other participating securities </w:t>
            </w:r>
            <w:r>
              <w:rPr>
                <w:rFonts w:ascii="Arial Narrow;sans-serif" w:hAnsi="Arial Narrow;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291,772 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53,756 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9"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Assumed exchange of LLC Interests for shares of Class A or Class B common stock</w:t>
            </w:r>
            <w:r>
              <w:rPr>
                <w:color w:val="000000"/>
              </w:rPr>
              <w:t xml:space="preserve"> </w:t>
            </w:r>
            <w:r>
              <w:rPr>
                <w:rFonts w:ascii="Arial Narrow;sans-serif" w:hAnsi="Arial Narrow;sans-serif"/>
                <w:b w:val="false"/>
                <w:color w:val="000000"/>
                <w:sz w:val="12"/>
              </w:rPr>
              <w:t>(2)</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26,340,754 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30,296,879 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236,776,260 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237,847,737 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9"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Net Income (in thousands)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doub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129,035 </w:t>
            </w:r>
          </w:p>
        </w:tc>
        <w:tc>
          <w:tcPr>
            <w:tcW w:w="109" w:type="dxa"/>
            <w:tcBorders>
              <w:top w:val="doub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doub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115,055 </w:t>
            </w:r>
          </w:p>
        </w:tc>
        <w:tc>
          <w:tcPr>
            <w:tcW w:w="109" w:type="dxa"/>
            <w:tcBorders>
              <w:top w:val="doub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Diluted EPS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0.54 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0"/>
              <w:rPr>
                <w:rFonts w:ascii="Arial;sans-serif" w:hAnsi="Arial;sans-serif"/>
                <w:b w:val="false"/>
                <w:color w:val="000000"/>
                <w:sz w:val="13"/>
              </w:rPr>
            </w:pPr>
            <w:r>
              <w:rPr>
                <w:rFonts w:ascii="Arial;sans-serif" w:hAnsi="Arial;sans-serif"/>
                <w:b w:val="false"/>
                <w:color w:val="000000"/>
                <w:sz w:val="13"/>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20" w:after="283"/>
              <w:jc w:val="left"/>
              <w:rPr>
                <w:rFonts w:ascii="Arial;sans-serif" w:hAnsi="Arial;sans-serif"/>
                <w:b w:val="false"/>
                <w:color w:val="000000"/>
                <w:sz w:val="13"/>
              </w:rPr>
            </w:pPr>
            <w:r>
              <w:rPr>
                <w:rFonts w:ascii="Arial;sans-serif" w:hAnsi="Arial;sans-serif"/>
                <w:b w:val="false"/>
                <w:color w:val="000000"/>
                <w:sz w:val="13"/>
              </w:rPr>
              <w:t>Represents weighted average unvested restricted stock units and unsettled vested performance-based restricted stock units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20" w:after="283"/>
              <w:jc w:val="left"/>
              <w:rPr>
                <w:rFonts w:ascii="Arial;sans-serif" w:hAnsi="Arial;sans-serif"/>
                <w:b w:val="false"/>
                <w:color w:val="000000"/>
                <w:sz w:val="13"/>
              </w:rPr>
            </w:pPr>
            <w:r>
              <w:rPr>
                <w:rFonts w:ascii="Arial;sans-serif" w:hAnsi="Arial;sans-serif"/>
                <w:b w:val="false"/>
                <w:color w:val="000000"/>
                <w:sz w:val="13"/>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tc>
      </w:tr>
    </w:tbl>
    <w:tbl>
      <w:tblPr>
        <w:tblW w:w="7282" w:type="dxa"/>
        <w:jc w:val="left"/>
        <w:tblInd w:w="0" w:type="dxa"/>
        <w:tblCellMar>
          <w:top w:w="28" w:type="dxa"/>
          <w:left w:w="28" w:type="dxa"/>
          <w:bottom w:w="28" w:type="dxa"/>
          <w:right w:w="28" w:type="dxa"/>
        </w:tblCellMar>
      </w:tblPr>
      <w:tblGrid>
        <w:gridCol w:w="1547"/>
        <w:gridCol w:w="1362"/>
        <w:gridCol w:w="1366"/>
        <w:gridCol w:w="109"/>
        <w:gridCol w:w="109"/>
        <w:gridCol w:w="109"/>
        <w:gridCol w:w="181"/>
        <w:gridCol w:w="646"/>
        <w:gridCol w:w="109"/>
        <w:gridCol w:w="109"/>
        <w:gridCol w:w="109"/>
        <w:gridCol w:w="109"/>
        <w:gridCol w:w="181"/>
        <w:gridCol w:w="646"/>
        <w:gridCol w:w="109"/>
        <w:gridCol w:w="109"/>
        <w:gridCol w:w="109"/>
        <w:gridCol w:w="109"/>
        <w:gridCol w:w="154"/>
      </w:tblGrid>
      <w:tr>
        <w:trPr/>
        <w:tc>
          <w:tcPr>
            <w:tcW w:w="1547"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7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Reconciliation of Operating Expenses to Adjusted Expenses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1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7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4275"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206,683 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199,884 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Merger and acquisition transaction and integration costs </w:t>
            </w:r>
            <w:r>
              <w:rPr>
                <w:rFonts w:ascii="Arial Narrow;sans-serif" w:hAnsi="Arial Narrow;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D&amp;A related to acquisitions and the Refinitiv Transaction </w:t>
            </w:r>
            <w:r>
              <w:rPr>
                <w:rFonts w:ascii="Arial Narrow;sans-serif" w:hAnsi="Arial Narrow;sans-serif"/>
                <w:b w:val="false"/>
                <w:color w:val="000000"/>
                <w:sz w:val="12"/>
              </w:rPr>
              <w:t>(2)</w:t>
            </w:r>
          </w:p>
        </w:tc>
        <w:tc>
          <w:tcPr>
            <w:tcW w:w="327"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(31,617)</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(31,769)</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Stock-based compensation expense </w:t>
            </w:r>
            <w:r>
              <w:rPr>
                <w:rFonts w:ascii="Arial Narrow;sans-serif" w:hAnsi="Arial Narrow;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Foreign exchange gains / (losses) </w:t>
            </w:r>
            <w:r>
              <w:rPr>
                <w:rFonts w:ascii="Arial Narrow;sans-serif" w:hAnsi="Arial Narrow;sans-serif"/>
                <w:b w:val="false"/>
                <w:color w:val="000000"/>
                <w:sz w:val="12"/>
              </w:rPr>
              <w:t>(4)</w:t>
            </w:r>
          </w:p>
        </w:tc>
        <w:tc>
          <w:tcPr>
            <w:tcW w:w="327"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(2,798)</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(732)</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Adjusted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170,833 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163,532 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2916"/>
        <w:gridCol w:w="2867"/>
        <w:gridCol w:w="408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6" w:type="dxa"/>
            <w:tcBorders/>
            <w:shd w:fill="auto" w:val="clear"/>
            <w:vAlign w:val="center"/>
          </w:tcPr>
          <w:p>
            <w:pPr>
              <w:pStyle w:val="TableContents"/>
              <w:spacing w:before="0" w:after="283"/>
              <w:rPr>
                <w:sz w:val="4"/>
                <w:szCs w:val="4"/>
              </w:rPr>
            </w:pPr>
            <w:r>
              <w:rPr>
                <w:sz w:val="4"/>
                <w:szCs w:val="4"/>
              </w:rPr>
            </w:r>
          </w:p>
        </w:tc>
        <w:tc>
          <w:tcPr>
            <w:tcW w:w="2867" w:type="dxa"/>
            <w:tcBorders/>
            <w:shd w:fill="auto" w:val="clear"/>
            <w:vAlign w:val="center"/>
          </w:tcPr>
          <w:p>
            <w:pPr>
              <w:pStyle w:val="TableContents"/>
              <w:spacing w:before="0" w:after="283"/>
              <w:rPr>
                <w:sz w:val="4"/>
                <w:szCs w:val="4"/>
              </w:rPr>
            </w:pPr>
            <w:r>
              <w:rPr>
                <w:sz w:val="4"/>
                <w:szCs w:val="4"/>
              </w:rPr>
            </w:r>
          </w:p>
        </w:tc>
        <w:tc>
          <w:tcPr>
            <w:tcW w:w="408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0"/>
              <w:rPr>
                <w:rFonts w:ascii="Arial;sans-serif" w:hAnsi="Arial;sans-serif"/>
                <w:b w:val="false"/>
                <w:color w:val="000000"/>
                <w:sz w:val="13"/>
              </w:rPr>
            </w:pPr>
            <w:r>
              <w:rPr>
                <w:rFonts w:ascii="Arial;sans-serif" w:hAnsi="Arial;sans-serif"/>
                <w:b w:val="false"/>
                <w:color w:val="000000"/>
                <w:sz w:val="13"/>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13"/>
              </w:rPr>
              <w:t>Represents non-cash stock-based compensation expense associated with the Special Option Award and post-IPO options awarded in 2019 and payroll taxes associated with the exercise of such options.</w:t>
            </w:r>
            <w:r>
              <w:rPr>
                <w:color w:val="000000"/>
              </w:rPr>
              <w:t xml:space="preserve"> </w:t>
            </w:r>
            <w:r>
              <w:rPr>
                <w:rFonts w:ascii="Arial;sans-serif" w:hAnsi="Arial;sans-serif"/>
                <w:b w:val="false"/>
                <w:color w:val="000000"/>
                <w:sz w:val="13"/>
              </w:rPr>
              <w:t>During the three months ended March 31, 2022, this adjustment also includes $1.7 million of non-cash accelerated stock-based compensation expense and related payroll taxes associated with our former CFO and former CEO.</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3"/>
              </w:rPr>
            </w:pPr>
            <w:r>
              <w:rPr>
                <w:rFonts w:ascii="Arial;sans-serif" w:hAnsi="Arial;sans-serif"/>
                <w:b w:val="false"/>
                <w:color w:val="000000"/>
                <w:sz w:val="13"/>
              </w:rPr>
              <w:t>Represents unrealized gain or loss recognized on foreign currency forward contracts and foreign exchange gain or loss from the revaluation of cash denominated in a different currency than the entity’s functional currency.</w:t>
            </w:r>
          </w:p>
        </w:tc>
      </w:tr>
    </w:tbl>
    <w:p>
      <w:pPr>
        <w:pStyle w:val="TextBody"/>
        <w:spacing w:before="0" w:after="44"/>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6</w:t>
                      </w:r>
                    </w:p>
                    <w:p>
                      <w:pPr>
                        <w:pStyle w:val="TextBody"/>
                        <w:spacing w:before="0" w:after="0"/>
                        <w:rPr/>
                      </w:pPr>
                      <w:r>
                        <w:rPr/>
                      </w:r>
                    </w:p>
                  </w:txbxContent>
                </v:textbox>
              </v:rect>
            </w:pict>
          </mc:Fallback>
        </mc:AlternateContent>
      </w:r>
    </w:p>
    <w:tbl>
      <w:tblPr>
        <w:tblW w:w="8717" w:type="dxa"/>
        <w:jc w:val="left"/>
        <w:tblInd w:w="0" w:type="dxa"/>
        <w:tblCellMar>
          <w:top w:w="28" w:type="dxa"/>
          <w:left w:w="28" w:type="dxa"/>
          <w:bottom w:w="28" w:type="dxa"/>
          <w:right w:w="28" w:type="dxa"/>
        </w:tblCellMar>
      </w:tblPr>
      <w:tblGrid>
        <w:gridCol w:w="1867"/>
        <w:gridCol w:w="1644"/>
        <w:gridCol w:w="1649"/>
        <w:gridCol w:w="109"/>
        <w:gridCol w:w="109"/>
        <w:gridCol w:w="109"/>
        <w:gridCol w:w="244"/>
        <w:gridCol w:w="872"/>
        <w:gridCol w:w="147"/>
        <w:gridCol w:w="147"/>
        <w:gridCol w:w="147"/>
        <w:gridCol w:w="147"/>
        <w:gridCol w:w="244"/>
        <w:gridCol w:w="872"/>
        <w:gridCol w:w="147"/>
        <w:gridCol w:w="109"/>
        <w:gridCol w:w="154"/>
      </w:tblGrid>
      <w:tr>
        <w:trPr/>
        <w:tc>
          <w:tcPr>
            <w:tcW w:w="1867"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7"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 xml:space="preserve">Trailing Twelve Months Ended March 31, </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Reconciliation of Cash Flow from Operating Activities to Free Cash Flow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 from operating activities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72"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658,419 </w:t>
            </w:r>
          </w:p>
        </w:tc>
        <w:tc>
          <w:tcPr>
            <w:tcW w:w="14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72"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567,692 </w:t>
            </w:r>
          </w:p>
        </w:tc>
        <w:tc>
          <w:tcPr>
            <w:tcW w:w="14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Capitalization of software development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(37,738)</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(35,183)</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Purchases of furniture, equipment and leasehold improvements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(21,032)</w:t>
            </w:r>
          </w:p>
        </w:tc>
        <w:tc>
          <w:tcPr>
            <w:tcW w:w="14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(21,580)</w:t>
            </w:r>
          </w:p>
        </w:tc>
        <w:tc>
          <w:tcPr>
            <w:tcW w:w="14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Free Cash Flow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599,649 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510,929 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83566"/>
          <w:sz w:val="18"/>
        </w:rPr>
      </w:pPr>
      <w:r>
        <w:rPr>
          <w:rFonts w:ascii="Arial;sans-serif" w:hAnsi="Arial;sans-serif"/>
          <w:b/>
          <w:color w:val="083566"/>
          <w:sz w:val="18"/>
        </w:rPr>
        <w:t>TRADEWEB MARKETS INC.</w:t>
      </w:r>
    </w:p>
    <w:p>
      <w:pPr>
        <w:pStyle w:val="TextBody"/>
        <w:spacing w:lineRule="auto" w:line="288" w:before="0" w:after="0"/>
        <w:rPr>
          <w:rFonts w:ascii="Arial;sans-serif" w:hAnsi="Arial;sans-serif"/>
          <w:b/>
          <w:color w:val="083566"/>
          <w:sz w:val="18"/>
        </w:rPr>
      </w:pPr>
      <w:r>
        <w:rPr>
          <w:rFonts w:ascii="Arial;sans-serif" w:hAnsi="Arial;sans-serif"/>
          <w:b/>
          <w:color w:val="083566"/>
          <w:sz w:val="18"/>
        </w:rPr>
        <w:t>BASIC AND DILUTED EPS CALCULATIONS (UNAUDITED)</w:t>
      </w:r>
    </w:p>
    <w:p>
      <w:pPr>
        <w:pStyle w:val="TextBody"/>
        <w:spacing w:lineRule="auto" w:line="288" w:before="0" w:after="0"/>
        <w:rPr>
          <w:rFonts w:ascii="Arial;sans-serif" w:hAnsi="Arial;sans-serif"/>
          <w:b/>
          <w:color w:val="083566"/>
          <w:sz w:val="18"/>
        </w:rPr>
      </w:pPr>
      <w:r>
        <w:rPr>
          <w:rFonts w:ascii="Arial;sans-serif" w:hAnsi="Arial;sans-serif"/>
          <w:b/>
          <w:color w:val="083566"/>
          <w:sz w:val="18"/>
        </w:rPr>
        <w:t>Dollars in Thousands, Except per Share Data</w:t>
      </w:r>
    </w:p>
    <w:p>
      <w:pPr>
        <w:pStyle w:val="TextBody"/>
        <w:spacing w:before="0" w:after="0"/>
        <w:rPr/>
      </w:pPr>
      <w:r>
        <w:rPr/>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The following table summarizes the basic and diluted earnings per share calculations for Tradeweb Markets Inc.:</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139"/>
        <w:gridCol w:w="1881"/>
        <w:gridCol w:w="1887"/>
        <w:gridCol w:w="109"/>
        <w:gridCol w:w="109"/>
        <w:gridCol w:w="109"/>
        <w:gridCol w:w="324"/>
        <w:gridCol w:w="962"/>
        <w:gridCol w:w="182"/>
        <w:gridCol w:w="182"/>
        <w:gridCol w:w="182"/>
        <w:gridCol w:w="182"/>
        <w:gridCol w:w="324"/>
        <w:gridCol w:w="962"/>
        <w:gridCol w:w="182"/>
        <w:gridCol w:w="109"/>
        <w:gridCol w:w="109"/>
        <w:gridCol w:w="109"/>
        <w:gridCol w:w="162"/>
      </w:tblGrid>
      <w:tr>
        <w:trPr/>
        <w:tc>
          <w:tcPr>
            <w:tcW w:w="2139"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c>
          <w:tcPr>
            <w:tcW w:w="1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gridSpan w:val="2"/>
            <w:tcBorders/>
            <w:shd w:fill="auto" w:val="clear"/>
          </w:tcPr>
          <w:p>
            <w:pPr>
              <w:pStyle w:val="TableContents"/>
              <w:spacing w:before="0" w:after="283"/>
              <w:rPr>
                <w:sz w:val="4"/>
                <w:szCs w:val="4"/>
              </w:rPr>
            </w:pPr>
            <w:r>
              <w:rPr>
                <w:sz w:val="4"/>
                <w:szCs w:val="4"/>
              </w:rPr>
            </w:r>
          </w:p>
        </w:tc>
      </w:tr>
      <w:tr>
        <w:trPr/>
        <w:tc>
          <w:tcPr>
            <w:tcW w:w="590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EPS: Net income attributable to Tradeweb Markets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gridSpan w:val="2"/>
            <w:tcBorders/>
            <w:shd w:fill="auto" w:val="clear"/>
          </w:tcPr>
          <w:p>
            <w:pPr>
              <w:pStyle w:val="TableContents"/>
              <w:spacing w:before="0" w:after="283"/>
              <w:rPr>
                <w:sz w:val="4"/>
                <w:szCs w:val="4"/>
              </w:rPr>
            </w:pPr>
            <w:r>
              <w:rPr>
                <w:sz w:val="4"/>
                <w:szCs w:val="4"/>
              </w:rPr>
            </w:r>
          </w:p>
        </w:tc>
      </w:tr>
      <w:tr>
        <w:trPr/>
        <w:tc>
          <w:tcPr>
            <w:tcW w:w="590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5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(in thousands, except share and per share amounts)</w:t>
            </w:r>
          </w:p>
        </w:tc>
        <w:tc>
          <w:tcPr>
            <w:tcW w:w="489" w:type="dxa"/>
            <w:gridSpan w:val="4"/>
            <w:tcBorders/>
            <w:shd w:fill="auto" w:val="clear"/>
          </w:tcPr>
          <w:p>
            <w:pPr>
              <w:pStyle w:val="TableContents"/>
              <w:spacing w:before="0" w:after="283"/>
              <w:rPr>
                <w:sz w:val="4"/>
                <w:szCs w:val="4"/>
              </w:rPr>
            </w:pPr>
            <w:r>
              <w:rPr>
                <w:sz w:val="4"/>
                <w:szCs w:val="4"/>
              </w:rPr>
            </w:r>
          </w:p>
        </w:tc>
      </w:tr>
      <w:tr>
        <w:trPr/>
        <w:tc>
          <w:tcPr>
            <w:tcW w:w="5907"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u w:val="single"/>
              </w:rPr>
            </w:pPr>
            <w:r>
              <w:rPr>
                <w:rFonts w:ascii="Arial Narrow;sans-serif" w:hAnsi="Arial Narrow;sans-serif"/>
                <w:b w:val="false"/>
                <w:color w:val="000000"/>
                <w:sz w:val="18"/>
                <w:u w:val="single"/>
              </w:rPr>
              <w:t>Numerator:</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Tradeweb Markets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87,856 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82,965 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Less: Distributed and undistributed earnings allocated to unvested RSUs and unsettled vested PRSUs </w:t>
            </w:r>
            <w:r>
              <w:rPr>
                <w:rFonts w:ascii="Arial Narrow;sans-serif" w:hAnsi="Arial Narrow;sans-serif"/>
                <w:b w:val="false"/>
                <w:color w:val="000000"/>
                <w:sz w:val="12"/>
              </w:rPr>
              <w:t>(1)</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(123)</w:t>
            </w:r>
          </w:p>
        </w:tc>
        <w:tc>
          <w:tcPr>
            <w:tcW w:w="182"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w:t>
            </w:r>
          </w:p>
        </w:tc>
        <w:tc>
          <w:tcPr>
            <w:tcW w:w="182"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outstanding shares of Class A and Class B common stock - 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87,733 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82,943 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double" w:sz="8" w:space="0" w:color="000000"/>
            </w:tcBorders>
            <w:shd w:fill="D5DCE4"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double" w:sz="8" w:space="0" w:color="000000"/>
            </w:tcBorders>
            <w:shd w:fill="D5DCE4"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u w:val="single"/>
              </w:rPr>
            </w:pPr>
            <w:r>
              <w:rPr>
                <w:rFonts w:ascii="Arial Narrow;sans-serif" w:hAnsi="Arial Narrow;sans-serif"/>
                <w:b w:val="false"/>
                <w:color w:val="000000"/>
                <w:sz w:val="18"/>
                <w:u w:val="single"/>
              </w:rPr>
              <w:t>Denominator: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D5DCE4"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average shares of Class A and Class B common stock outstanding - Basic</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208,105,437 </w:t>
            </w:r>
          </w:p>
        </w:tc>
        <w:tc>
          <w:tcPr>
            <w:tcW w:w="182"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204,061,347 </w:t>
            </w:r>
          </w:p>
        </w:tc>
        <w:tc>
          <w:tcPr>
            <w:tcW w:w="182"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Dilutive effect of PRSUs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286,563 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770,765 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Dilutive effect of options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1,469,219 </w:t>
            </w:r>
          </w:p>
        </w:tc>
        <w:tc>
          <w:tcPr>
            <w:tcW w:w="182"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2,322,027 </w:t>
            </w:r>
          </w:p>
        </w:tc>
        <w:tc>
          <w:tcPr>
            <w:tcW w:w="182"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Dilutive effect of RSUs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282,515 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342,963 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Dilutive effect of PSUs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2"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2"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average shares of Class A and Class B common stock outstanding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210,143,734 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207,497,102 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double" w:sz="8" w:space="0" w:color="000000"/>
            </w:tcBorders>
            <w:shd w:fill="D5DCE4"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double" w:sz="8" w:space="0" w:color="000000"/>
            </w:tcBorders>
            <w:shd w:fill="D5DCE4"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per share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per share - Diluted</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2"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0.42 </w:t>
            </w:r>
          </w:p>
        </w:tc>
        <w:tc>
          <w:tcPr>
            <w:tcW w:w="182"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46"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2"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0.40 </w:t>
            </w:r>
          </w:p>
        </w:tc>
        <w:tc>
          <w:tcPr>
            <w:tcW w:w="182" w:type="dxa"/>
            <w:tcBorders>
              <w:top w:val="double" w:sz="8" w:space="0" w:color="000000"/>
              <w:bottom w:val="double" w:sz="8" w:space="0" w:color="000000"/>
            </w:tcBorders>
            <w:shd w:fill="D5DC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2889"/>
        <w:gridCol w:w="2889"/>
        <w:gridCol w:w="40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40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0"/>
              <w:rPr>
                <w:rFonts w:ascii="Arial;sans-serif" w:hAnsi="Arial;sans-serif"/>
                <w:b w:val="false"/>
                <w:color w:val="000000"/>
                <w:sz w:val="13"/>
              </w:rPr>
            </w:pPr>
            <w:r>
              <w:rPr>
                <w:rFonts w:ascii="Arial;sans-serif" w:hAnsi="Arial;sans-serif"/>
                <w:b w:val="false"/>
                <w:color w:val="000000"/>
                <w:sz w:val="13"/>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3"/>
              </w:rPr>
            </w:pPr>
            <w:r>
              <w:rPr>
                <w:rFonts w:ascii="Arial;sans-serif" w:hAnsi="Arial;sans-serif"/>
                <w:b w:val="false"/>
                <w:color w:val="000000"/>
                <w:sz w:val="13"/>
              </w:rPr>
              <w:t>During the three months ended March 31, 2023 and 2022, there was a total of 291,772 and 53,756, respectively, weighted average unvested RSUs and unsettled vested PRSUs that were considered a participating security for purposes of calculating earnings per share in accordance with the two-class method.</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83566"/>
          <w:sz w:val="18"/>
        </w:rPr>
      </w:pPr>
      <w:r>
        <w:rPr>
          <w:rFonts w:ascii="Arial;sans-serif" w:hAnsi="Arial;sans-serif"/>
          <w:b/>
          <w:color w:val="083566"/>
          <w:sz w:val="18"/>
        </w:rPr>
        <w:t>TRADEWEB MARKETS INC.</w:t>
      </w:r>
    </w:p>
    <w:p>
      <w:pPr>
        <w:pStyle w:val="TextBody"/>
        <w:spacing w:lineRule="auto" w:line="288" w:before="0" w:after="0"/>
        <w:rPr>
          <w:rFonts w:ascii="Arial;sans-serif" w:hAnsi="Arial;sans-serif"/>
          <w:b/>
          <w:color w:val="083566"/>
          <w:sz w:val="18"/>
        </w:rPr>
      </w:pPr>
      <w:r>
        <w:rPr>
          <w:rFonts w:ascii="Arial;sans-serif" w:hAnsi="Arial;sans-serif"/>
          <w:b/>
          <w:color w:val="083566"/>
          <w:sz w:val="18"/>
        </w:rPr>
        <w:t>REVENUES BY ASSET CLASS (UNAUDITED)</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08"/>
        <w:gridCol w:w="269"/>
        <w:gridCol w:w="271"/>
        <w:gridCol w:w="109"/>
        <w:gridCol w:w="109"/>
        <w:gridCol w:w="109"/>
        <w:gridCol w:w="181"/>
        <w:gridCol w:w="646"/>
        <w:gridCol w:w="109"/>
        <w:gridCol w:w="109"/>
        <w:gridCol w:w="109"/>
        <w:gridCol w:w="109"/>
        <w:gridCol w:w="181"/>
        <w:gridCol w:w="571"/>
        <w:gridCol w:w="109"/>
        <w:gridCol w:w="109"/>
        <w:gridCol w:w="109"/>
        <w:gridCol w:w="109"/>
        <w:gridCol w:w="181"/>
        <w:gridCol w:w="646"/>
        <w:gridCol w:w="109"/>
        <w:gridCol w:w="109"/>
        <w:gridCol w:w="109"/>
        <w:gridCol w:w="109"/>
        <w:gridCol w:w="181"/>
        <w:gridCol w:w="571"/>
        <w:gridCol w:w="109"/>
        <w:gridCol w:w="109"/>
        <w:gridCol w:w="109"/>
        <w:gridCol w:w="109"/>
        <w:gridCol w:w="181"/>
        <w:gridCol w:w="571"/>
        <w:gridCol w:w="109"/>
        <w:gridCol w:w="109"/>
        <w:gridCol w:w="109"/>
        <w:gridCol w:w="109"/>
        <w:gridCol w:w="181"/>
        <w:gridCol w:w="496"/>
        <w:gridCol w:w="109"/>
        <w:gridCol w:w="109"/>
        <w:gridCol w:w="109"/>
        <w:gridCol w:w="109"/>
        <w:gridCol w:w="210"/>
        <w:gridCol w:w="211"/>
        <w:gridCol w:w="356"/>
        <w:gridCol w:w="109"/>
        <w:gridCol w:w="109"/>
        <w:gridCol w:w="109"/>
        <w:gridCol w:w="210"/>
        <w:gridCol w:w="211"/>
        <w:gridCol w:w="302"/>
      </w:tblGrid>
      <w:tr>
        <w:trPr/>
        <w:tc>
          <w:tcPr>
            <w:tcW w:w="30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r>
      <w:tr>
        <w:trPr/>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Change</w:t>
            </w:r>
          </w:p>
        </w:tc>
      </w:tr>
      <w:tr>
        <w:trPr/>
        <w:tc>
          <w:tcPr>
            <w:tcW w:w="84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Revenues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Variable</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Fixed</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Variable</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Fixed</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Variable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Fixed</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7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Variable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Fixed</w:t>
            </w:r>
          </w:p>
        </w:tc>
      </w:tr>
      <w:tr>
        <w:trPr/>
        <w:tc>
          <w:tcPr>
            <w:tcW w:w="8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0" w:type="dxa"/>
            <w:gridSpan w:val="45"/>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(dollars in thousands)</w:t>
            </w:r>
          </w:p>
        </w:tc>
      </w:tr>
      <w:tr>
        <w:trPr/>
        <w:tc>
          <w:tcPr>
            <w:tcW w:w="848"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Rates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114,168 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56,337 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103,389 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56,950 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10,779 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(613)</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2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10.4 </w:t>
            </w:r>
          </w:p>
        </w:tc>
        <w:tc>
          <w:tcPr>
            <w:tcW w:w="35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302"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8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6,653 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79,648 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3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30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848"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Equities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23,897 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2,306 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24,151 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2,384 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(254)</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(78)</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2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35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w:t>
            </w:r>
          </w:p>
        </w:tc>
        <w:tc>
          <w:tcPr>
            <w:tcW w:w="302"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8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Money Markets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43.2 </w:t>
            </w:r>
          </w:p>
        </w:tc>
        <w:tc>
          <w:tcPr>
            <w:tcW w:w="3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30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848"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Market Data</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22,434 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21,366 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1,068 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2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6"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302"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8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16.3 </w:t>
            </w:r>
          </w:p>
        </w:tc>
        <w:tc>
          <w:tcPr>
            <w:tcW w:w="30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848"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230,843 </w:t>
            </w:r>
          </w:p>
        </w:tc>
        <w:tc>
          <w:tcPr>
            <w:tcW w:w="109"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98,406 </w:t>
            </w:r>
          </w:p>
        </w:tc>
        <w:tc>
          <w:tcPr>
            <w:tcW w:w="109"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214,462 </w:t>
            </w:r>
          </w:p>
        </w:tc>
        <w:tc>
          <w:tcPr>
            <w:tcW w:w="109"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97,024 </w:t>
            </w:r>
          </w:p>
        </w:tc>
        <w:tc>
          <w:tcPr>
            <w:tcW w:w="109"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16,381 </w:t>
            </w:r>
          </w:p>
        </w:tc>
        <w:tc>
          <w:tcPr>
            <w:tcW w:w="109"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1,382 </w:t>
            </w:r>
          </w:p>
        </w:tc>
        <w:tc>
          <w:tcPr>
            <w:tcW w:w="109" w:type="dxa"/>
            <w:tcBorders>
              <w:top w:val="single" w:sz="8" w:space="0" w:color="000000"/>
              <w:bottom w:val="double" w:sz="8" w:space="0" w:color="000000"/>
            </w:tcBorders>
            <w:shd w:fill="D5DCE4"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2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35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302"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7</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83566"/>
          <w:sz w:val="18"/>
        </w:rPr>
      </w:pPr>
      <w:r>
        <w:rPr>
          <w:rFonts w:ascii="Arial;sans-serif" w:hAnsi="Arial;sans-serif"/>
          <w:b/>
          <w:color w:val="083566"/>
          <w:sz w:val="18"/>
        </w:rPr>
        <w:t>TRADEWEB MARKETS INC.</w:t>
      </w:r>
    </w:p>
    <w:p>
      <w:pPr>
        <w:pStyle w:val="TextBody"/>
        <w:spacing w:lineRule="auto" w:line="288" w:before="0" w:after="0"/>
        <w:rPr>
          <w:rFonts w:ascii="Arial;sans-serif" w:hAnsi="Arial;sans-serif"/>
          <w:b/>
          <w:color w:val="083566"/>
          <w:sz w:val="18"/>
        </w:rPr>
      </w:pPr>
      <w:r>
        <w:rPr>
          <w:rFonts w:ascii="Arial;sans-serif" w:hAnsi="Arial;sans-serif"/>
          <w:b/>
          <w:color w:val="083566"/>
          <w:sz w:val="18"/>
        </w:rPr>
        <w:t>AVERAGE VARIABLE FEES PER MILLION DOLLARS OF VOLUME (UNAUDITED)</w:t>
      </w:r>
    </w:p>
    <w:p>
      <w:pPr>
        <w:pStyle w:val="TextBody"/>
        <w:spacing w:before="0" w:after="0"/>
        <w:rPr/>
      </w:pPr>
      <w:r>
        <w:rPr/>
      </w:r>
    </w:p>
    <w:tbl>
      <w:tblPr>
        <w:tblW w:w="6653" w:type="dxa"/>
        <w:jc w:val="left"/>
        <w:tblInd w:w="0" w:type="dxa"/>
        <w:tblCellMar>
          <w:top w:w="28" w:type="dxa"/>
          <w:left w:w="28" w:type="dxa"/>
          <w:bottom w:w="28" w:type="dxa"/>
          <w:right w:w="28" w:type="dxa"/>
        </w:tblCellMar>
      </w:tblPr>
      <w:tblGrid>
        <w:gridCol w:w="1082"/>
        <w:gridCol w:w="954"/>
        <w:gridCol w:w="963"/>
        <w:gridCol w:w="109"/>
        <w:gridCol w:w="109"/>
        <w:gridCol w:w="109"/>
        <w:gridCol w:w="181"/>
        <w:gridCol w:w="571"/>
        <w:gridCol w:w="109"/>
        <w:gridCol w:w="109"/>
        <w:gridCol w:w="109"/>
        <w:gridCol w:w="109"/>
        <w:gridCol w:w="181"/>
        <w:gridCol w:w="571"/>
        <w:gridCol w:w="109"/>
        <w:gridCol w:w="109"/>
        <w:gridCol w:w="109"/>
        <w:gridCol w:w="109"/>
        <w:gridCol w:w="232"/>
        <w:gridCol w:w="233"/>
        <w:gridCol w:w="486"/>
      </w:tblGrid>
      <w:tr>
        <w:trPr/>
        <w:tc>
          <w:tcPr>
            <w:tcW w:w="1082"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March 31,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YoY</w:t>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Change</w:t>
            </w:r>
          </w:p>
        </w:tc>
      </w:tr>
      <w:tr>
        <w:trPr/>
        <w:tc>
          <w:tcPr>
            <w:tcW w:w="2999"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Rates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2.09</w:t>
            </w:r>
            <w:r>
              <w:rPr>
                <w:color w:val="000000"/>
              </w:rPr>
              <w:t>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2.22</w:t>
            </w:r>
            <w:r>
              <w:rPr>
                <w:color w:val="000000"/>
              </w:rPr>
              <w:t> </w:t>
            </w:r>
          </w:p>
        </w:tc>
        <w:tc>
          <w:tcPr>
            <w:tcW w:w="109"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(5.7)</w:t>
            </w:r>
          </w:p>
        </w:tc>
        <w:tc>
          <w:tcPr>
            <w:tcW w:w="486"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Rates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24.0 </w:t>
            </w:r>
          </w:p>
        </w:tc>
        <w:tc>
          <w:tcPr>
            <w:tcW w:w="4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99"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Rates Derivatives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1.78 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2.40 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(26.0)</w:t>
            </w:r>
          </w:p>
        </w:tc>
        <w:tc>
          <w:tcPr>
            <w:tcW w:w="48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Rates Derivatives (greater than 1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(23.5)</w:t>
            </w:r>
          </w:p>
        </w:tc>
        <w:tc>
          <w:tcPr>
            <w:tcW w:w="4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99" w:type="dxa"/>
            <w:gridSpan w:val="3"/>
            <w:tcBorders/>
            <w:shd w:fill="D5DCE4"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Other Rates Derivatives </w:t>
            </w:r>
            <w:r>
              <w:rPr>
                <w:rFonts w:ascii="Arial Narrow;sans-serif" w:hAnsi="Arial Narrow;sans-serif"/>
                <w:b w:val="false"/>
                <w:color w:val="000000"/>
                <w:sz w:val="12"/>
              </w:rPr>
              <w:t>(1)</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0.17 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0.21 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(21.0)</w:t>
            </w:r>
          </w:p>
        </w:tc>
        <w:tc>
          <w:tcPr>
            <w:tcW w:w="48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Credit</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40.75</w:t>
            </w:r>
            <w:r>
              <w:rPr>
                <w:color w:val="000000"/>
              </w:rPr>
              <w:t>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38.51</w:t>
            </w:r>
            <w:r>
              <w:rPr>
                <w:color w:val="000000"/>
              </w:rPr>
              <w:t>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5.8</w:t>
            </w:r>
            <w:r>
              <w:rPr>
                <w:color w:val="000000"/>
              </w:rPr>
              <w:t> </w:t>
            </w:r>
          </w:p>
        </w:tc>
        <w:tc>
          <w:tcPr>
            <w:tcW w:w="48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val="false"/>
                <w:color w:val="000000"/>
                <w:sz w:val="18"/>
              </w:rPr>
              <w:t xml:space="preserve">Cash Credit </w:t>
            </w:r>
            <w:r>
              <w:rPr>
                <w:rFonts w:ascii="Arial Narrow;sans-serif" w:hAnsi="Arial Narrow;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147.49 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(0.8)</w:t>
            </w:r>
          </w:p>
        </w:tc>
        <w:tc>
          <w:tcPr>
            <w:tcW w:w="4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99"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 Derivatives and U.S. Cash “EP”</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6.32 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6.91 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(8.4)</w:t>
            </w:r>
          </w:p>
        </w:tc>
        <w:tc>
          <w:tcPr>
            <w:tcW w:w="48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Equities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19.64</w:t>
            </w:r>
            <w:r>
              <w:rPr>
                <w:color w:val="000000"/>
              </w:rPr>
              <w:t>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18.10</w:t>
            </w:r>
            <w:r>
              <w:rPr>
                <w:color w:val="000000"/>
              </w:rPr>
              <w:t>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8.5</w:t>
            </w:r>
            <w:r>
              <w:rPr>
                <w:color w:val="000000"/>
              </w:rPr>
              <w:t> </w:t>
            </w:r>
          </w:p>
        </w:tc>
        <w:tc>
          <w:tcPr>
            <w:tcW w:w="48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Equities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15.9 </w:t>
            </w:r>
          </w:p>
        </w:tc>
        <w:tc>
          <w:tcPr>
            <w:tcW w:w="4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99"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Equities Derivatives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7.21 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6.18 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16.6 </w:t>
            </w:r>
          </w:p>
        </w:tc>
        <w:tc>
          <w:tcPr>
            <w:tcW w:w="48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Money Markets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0.38</w:t>
            </w:r>
            <w:r>
              <w:rPr>
                <w:color w:val="000000"/>
              </w:rPr>
              <w:t>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0.31</w:t>
            </w:r>
            <w:r>
              <w:rPr>
                <w:color w:val="000000"/>
              </w:rPr>
              <w:t>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20.2</w:t>
            </w:r>
            <w:r>
              <w:rPr>
                <w:color w:val="000000"/>
              </w:rPr>
              <w:t> </w:t>
            </w:r>
          </w:p>
        </w:tc>
        <w:tc>
          <w:tcPr>
            <w:tcW w:w="48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2.71</w:t>
            </w:r>
            <w:r>
              <w:rPr>
                <w:color w:val="000000"/>
              </w:rPr>
              <w:t>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D5DCE4"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2.93</w:t>
            </w:r>
            <w:r>
              <w:rPr>
                <w:color w:val="000000"/>
              </w:rPr>
              <w:t> </w:t>
            </w:r>
          </w:p>
        </w:tc>
        <w:tc>
          <w:tcPr>
            <w:tcW w:w="109"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(7.8)</w:t>
            </w:r>
          </w:p>
        </w:tc>
        <w:tc>
          <w:tcPr>
            <w:tcW w:w="486"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 Narrow;sans-serif" w:hAnsi="Arial Narrow;sans-serif"/>
                <w:b/>
                <w:color w:val="000000"/>
                <w:sz w:val="18"/>
              </w:rPr>
              <w:t xml:space="preserve">Total excluding Other Rates Derivatives </w:t>
            </w:r>
            <w:r>
              <w:rPr>
                <w:rFonts w:ascii="Arial Narrow;sans-serif" w:hAnsi="Arial Narrow;sans-serif"/>
                <w:b/>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3.20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3.33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(3.9)</w:t>
            </w:r>
          </w:p>
        </w:tc>
        <w:tc>
          <w:tcPr>
            <w:tcW w:w="4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bl>
    <w:tbl>
      <w:tblPr>
        <w:tblW w:w="10205" w:type="dxa"/>
        <w:jc w:val="left"/>
        <w:tblInd w:w="0" w:type="dxa"/>
        <w:tblCellMar>
          <w:top w:w="28" w:type="dxa"/>
          <w:left w:w="28" w:type="dxa"/>
          <w:bottom w:w="28" w:type="dxa"/>
          <w:right w:w="28" w:type="dxa"/>
        </w:tblCellMar>
      </w:tblPr>
      <w:tblGrid>
        <w:gridCol w:w="124"/>
        <w:gridCol w:w="109"/>
        <w:gridCol w:w="109"/>
        <w:gridCol w:w="2894"/>
        <w:gridCol w:w="2872"/>
        <w:gridCol w:w="40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4"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3"/>
              </w:rPr>
            </w:pPr>
            <w:r>
              <w:rPr>
                <w:rFonts w:ascii="Arial;sans-serif" w:hAnsi="Arial;sans-serif"/>
                <w:b w:val="false"/>
                <w:color w:val="000000"/>
                <w:sz w:val="13"/>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rFonts w:ascii="Arial;sans-serif" w:hAnsi="Arial;sans-serif"/>
                <w:b w:val="false"/>
                <w:color w:val="000000"/>
                <w:sz w:val="13"/>
              </w:rPr>
            </w:pPr>
            <w:r>
              <w:rPr>
                <w:rFonts w:ascii="Arial;sans-serif" w:hAnsi="Arial;sans-serif"/>
                <w:b w:val="false"/>
                <w:color w:val="000000"/>
                <w:sz w:val="13"/>
              </w:rPr>
              <w:t>Includes Swaps/Swaptions of tenor less than 1 year and Rates Futures.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The “Cash Credit” category represents the “Credit” asset class excluding (1) Credit Derivatives and (2) U.S. High Grade and High Yield electronically processed (“EP”) activity.</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3"/>
              </w:rPr>
            </w:pPr>
            <w:r>
              <w:rPr>
                <w:rFonts w:ascii="Arial;sans-serif" w:hAnsi="Arial;sans-serif"/>
                <w:b w:val="false"/>
                <w:color w:val="000000"/>
                <w:sz w:val="13"/>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13"/>
              </w:rPr>
            </w:pPr>
            <w:r>
              <w:rPr>
                <w:rFonts w:ascii="Arial;sans-serif" w:hAnsi="Arial;sans-serif"/>
                <w:b w:val="false"/>
                <w:color w:val="000000"/>
                <w:sz w:val="13"/>
              </w:rPr>
              <w:t>Included to contextualize the impact of short-tenored Swaps/Swaptions and Rates Futures on totals for all periods presented.</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8</w:t>
                      </w:r>
                    </w:p>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83566"/>
          <w:sz w:val="18"/>
        </w:rPr>
      </w:pPr>
      <w:r>
        <w:rPr>
          <w:rFonts w:ascii="Arial;sans-serif" w:hAnsi="Arial;sans-serif"/>
          <w:b/>
          <w:color w:val="083566"/>
          <w:sz w:val="18"/>
        </w:rPr>
        <w:t>TRADEWEB MARKETS INC.</w:t>
      </w:r>
    </w:p>
    <w:p>
      <w:pPr>
        <w:pStyle w:val="TextBody"/>
        <w:spacing w:lineRule="auto" w:line="288" w:before="0" w:after="0"/>
        <w:rPr>
          <w:rFonts w:ascii="Arial;sans-serif" w:hAnsi="Arial;sans-serif"/>
          <w:b/>
          <w:color w:val="083566"/>
          <w:sz w:val="18"/>
        </w:rPr>
      </w:pPr>
      <w:r>
        <w:rPr>
          <w:rFonts w:ascii="Arial;sans-serif" w:hAnsi="Arial;sans-serif"/>
          <w:b/>
          <w:color w:val="083566"/>
          <w:sz w:val="18"/>
        </w:rPr>
        <w:t>AVERAGE DAILY VOLUME (UNAUDITED)</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89"/>
        <w:gridCol w:w="321"/>
        <w:gridCol w:w="311"/>
        <w:gridCol w:w="818"/>
        <w:gridCol w:w="779"/>
        <w:gridCol w:w="791"/>
        <w:gridCol w:w="109"/>
        <w:gridCol w:w="109"/>
        <w:gridCol w:w="109"/>
        <w:gridCol w:w="195"/>
        <w:gridCol w:w="843"/>
        <w:gridCol w:w="117"/>
        <w:gridCol w:w="211"/>
        <w:gridCol w:w="1002"/>
        <w:gridCol w:w="127"/>
        <w:gridCol w:w="109"/>
        <w:gridCol w:w="109"/>
        <w:gridCol w:w="109"/>
        <w:gridCol w:w="195"/>
        <w:gridCol w:w="843"/>
        <w:gridCol w:w="117"/>
        <w:gridCol w:w="211"/>
        <w:gridCol w:w="1002"/>
        <w:gridCol w:w="127"/>
        <w:gridCol w:w="109"/>
        <w:gridCol w:w="109"/>
        <w:gridCol w:w="109"/>
        <w:gridCol w:w="267"/>
        <w:gridCol w:w="265"/>
        <w:gridCol w:w="293"/>
      </w:tblGrid>
      <w:tr>
        <w:trPr/>
        <w:tc>
          <w:tcPr>
            <w:tcW w:w="38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2023 Q1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2022 Q1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YoY</w:t>
            </w:r>
          </w:p>
        </w:tc>
      </w:tr>
      <w:tr>
        <w:trPr/>
        <w:tc>
          <w:tcPr>
            <w:tcW w:w="10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Asset Class</w:t>
            </w:r>
          </w:p>
        </w:tc>
        <w:tc>
          <w:tcPr>
            <w:tcW w:w="23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Product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ADV (USD mm)</w:t>
            </w:r>
          </w:p>
        </w:tc>
        <w:tc>
          <w:tcPr>
            <w:tcW w:w="13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Volume (USD mm)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ADV (USD mm)</w:t>
            </w:r>
          </w:p>
        </w:tc>
        <w:tc>
          <w:tcPr>
            <w:tcW w:w="13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Volume (USD mm)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ADV</w:t>
            </w:r>
          </w:p>
        </w:tc>
      </w:tr>
      <w:tr>
        <w:trPr/>
        <w:tc>
          <w:tcPr>
            <w:tcW w:w="1021" w:type="dxa"/>
            <w:gridSpan w:val="3"/>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Rates</w:t>
            </w:r>
          </w:p>
        </w:tc>
        <w:tc>
          <w:tcPr>
            <w:tcW w:w="2388" w:type="dxa"/>
            <w:gridSpan w:val="3"/>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43"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362,618</w:t>
            </w:r>
            <w:r>
              <w:rPr>
                <w:color w:val="000000"/>
              </w:rPr>
              <w:t> </w:t>
            </w:r>
          </w:p>
        </w:tc>
        <w:tc>
          <w:tcPr>
            <w:tcW w:w="11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002"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22,568,694</w:t>
            </w:r>
            <w:r>
              <w:rPr>
                <w:color w:val="000000"/>
              </w:rPr>
              <w:t> </w:t>
            </w:r>
          </w:p>
        </w:tc>
        <w:tc>
          <w:tcPr>
            <w:tcW w:w="12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43"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387,505</w:t>
            </w:r>
            <w:r>
              <w:rPr>
                <w:color w:val="000000"/>
              </w:rPr>
              <w:t> </w:t>
            </w:r>
          </w:p>
        </w:tc>
        <w:tc>
          <w:tcPr>
            <w:tcW w:w="11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002"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24,060,508</w:t>
            </w:r>
            <w:r>
              <w:rPr>
                <w:color w:val="000000"/>
              </w:rPr>
              <w:t> </w:t>
            </w:r>
          </w:p>
        </w:tc>
        <w:tc>
          <w:tcPr>
            <w:tcW w:w="12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(6.42)</w:t>
            </w:r>
          </w:p>
        </w:tc>
        <w:tc>
          <w:tcPr>
            <w:tcW w:w="293"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U.S. Government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144,070 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8,932,353 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149,564 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9,272,997 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(3.67)</w:t>
            </w:r>
          </w:p>
        </w:tc>
        <w:tc>
          <w:tcPr>
            <w:tcW w:w="2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European Government Bonds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42,636 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2,728,696 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38,945 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2,453,565 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9.48 </w:t>
            </w:r>
          </w:p>
        </w:tc>
        <w:tc>
          <w:tcPr>
            <w:tcW w:w="293"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Mortgages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170,203 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10,552,565 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193,844 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12,018,341 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(12.20)</w:t>
            </w:r>
          </w:p>
        </w:tc>
        <w:tc>
          <w:tcPr>
            <w:tcW w:w="2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Other Government Bonds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5,710 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355,079 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5,151 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315,605 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10.84 </w:t>
            </w:r>
          </w:p>
        </w:tc>
        <w:tc>
          <w:tcPr>
            <w:tcW w:w="293"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508,675</w:t>
            </w: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31,989,758</w:t>
            </w: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361,041</w:t>
            </w: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22,531,755</w:t>
            </w: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40.89</w:t>
            </w:r>
            <w:r>
              <w:rPr>
                <w:color w:val="000000"/>
              </w:rPr>
              <w:t> </w:t>
            </w:r>
          </w:p>
        </w:tc>
        <w:tc>
          <w:tcPr>
            <w:tcW w:w="2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Swaps/Swaptions ≥ 1Y</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285,896 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17,965,246 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210,550 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13,143,966 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35.78 </w:t>
            </w:r>
          </w:p>
        </w:tc>
        <w:tc>
          <w:tcPr>
            <w:tcW w:w="293"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Swaps/Swaptions &lt; 1Y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221,202 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13,926,695 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148,430 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9,260,040 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49.03 </w:t>
            </w:r>
          </w:p>
        </w:tc>
        <w:tc>
          <w:tcPr>
            <w:tcW w:w="2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Futures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1,577 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97,816 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2,060 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127,749 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(23.45)</w:t>
            </w:r>
          </w:p>
        </w:tc>
        <w:tc>
          <w:tcPr>
            <w:tcW w:w="293"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871,293</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54,558,452</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748,546</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46,592,263</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16.40</w:t>
            </w:r>
            <w:r>
              <w:rPr>
                <w:color w:val="000000"/>
              </w:rPr>
              <w:t>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Credit</w:t>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11,497</w:t>
            </w:r>
            <w:r>
              <w:rPr>
                <w:color w:val="000000"/>
              </w:rPr>
              <w:t> </w:t>
            </w:r>
          </w:p>
        </w:tc>
        <w:tc>
          <w:tcPr>
            <w:tcW w:w="11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714,878</w:t>
            </w:r>
            <w:r>
              <w:rPr>
                <w:color w:val="000000"/>
              </w:rPr>
              <w:t> </w:t>
            </w:r>
          </w:p>
        </w:tc>
        <w:tc>
          <w:tcPr>
            <w:tcW w:w="12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10,807</w:t>
            </w:r>
            <w:r>
              <w:rPr>
                <w:color w:val="000000"/>
              </w:rPr>
              <w:t> </w:t>
            </w:r>
          </w:p>
        </w:tc>
        <w:tc>
          <w:tcPr>
            <w:tcW w:w="11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667,197</w:t>
            </w:r>
            <w:r>
              <w:rPr>
                <w:color w:val="000000"/>
              </w:rPr>
              <w:t> </w:t>
            </w:r>
          </w:p>
        </w:tc>
        <w:tc>
          <w:tcPr>
            <w:tcW w:w="12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6.38</w:t>
            </w:r>
            <w:r>
              <w:rPr>
                <w:color w:val="000000"/>
              </w:rPr>
              <w:t> </w:t>
            </w:r>
          </w:p>
        </w:tc>
        <w:tc>
          <w:tcPr>
            <w:tcW w:w="293"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U.S. High Grade - Fully Electronic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4,129 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256,013 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3,083 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191,135 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33.94 </w:t>
            </w:r>
          </w:p>
        </w:tc>
        <w:tc>
          <w:tcPr>
            <w:tcW w:w="2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U.S. High Grade - Electronically Processed</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3,137 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194,472 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2,838 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175,975 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10.51 </w:t>
            </w:r>
          </w:p>
        </w:tc>
        <w:tc>
          <w:tcPr>
            <w:tcW w:w="293"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U.S. High Yield - Fully Electronic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674 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41,764 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773 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47,948 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(12.90)</w:t>
            </w:r>
          </w:p>
        </w:tc>
        <w:tc>
          <w:tcPr>
            <w:tcW w:w="2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U.S. High Yield - Electronically Processed</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372 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23,093 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410 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25,393 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(9.05)</w:t>
            </w:r>
          </w:p>
        </w:tc>
        <w:tc>
          <w:tcPr>
            <w:tcW w:w="293"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European Credit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2,046 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130,939 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2,109 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132,856 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(2.98)</w:t>
            </w:r>
          </w:p>
        </w:tc>
        <w:tc>
          <w:tcPr>
            <w:tcW w:w="2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Municipal Bonds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312 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19,316 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249 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15,449 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25.03 </w:t>
            </w:r>
          </w:p>
        </w:tc>
        <w:tc>
          <w:tcPr>
            <w:tcW w:w="293"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Chinese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42,133 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1,252 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72,641 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(42.98)</w:t>
            </w:r>
          </w:p>
        </w:tc>
        <w:tc>
          <w:tcPr>
            <w:tcW w:w="2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Other Credit Bonds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113 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7,148 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5,800 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22.40 </w:t>
            </w:r>
          </w:p>
        </w:tc>
        <w:tc>
          <w:tcPr>
            <w:tcW w:w="293"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20,806</w:t>
            </w: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1,306,491</w:t>
            </w: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22,420</w:t>
            </w: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1,401,929</w:t>
            </w: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(7.20)</w:t>
            </w:r>
          </w:p>
        </w:tc>
        <w:tc>
          <w:tcPr>
            <w:tcW w:w="2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Swaps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20,806 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1,306,491 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22,420 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1,401,929 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(7.20)</w:t>
            </w:r>
          </w:p>
        </w:tc>
        <w:tc>
          <w:tcPr>
            <w:tcW w:w="293"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32,303</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2,021,369</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33,227</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2,069,127</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(2.78)</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Equities</w:t>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10,491</w:t>
            </w:r>
            <w:r>
              <w:rPr>
                <w:color w:val="000000"/>
              </w:rPr>
              <w:t> </w:t>
            </w:r>
          </w:p>
        </w:tc>
        <w:tc>
          <w:tcPr>
            <w:tcW w:w="11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656,069</w:t>
            </w:r>
            <w:r>
              <w:rPr>
                <w:color w:val="000000"/>
              </w:rPr>
              <w:t> </w:t>
            </w:r>
          </w:p>
        </w:tc>
        <w:tc>
          <w:tcPr>
            <w:tcW w:w="12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12,766</w:t>
            </w:r>
            <w:r>
              <w:rPr>
                <w:color w:val="000000"/>
              </w:rPr>
              <w:t> </w:t>
            </w:r>
          </w:p>
        </w:tc>
        <w:tc>
          <w:tcPr>
            <w:tcW w:w="11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795,184</w:t>
            </w:r>
            <w:r>
              <w:rPr>
                <w:color w:val="000000"/>
              </w:rPr>
              <w:t> </w:t>
            </w:r>
          </w:p>
        </w:tc>
        <w:tc>
          <w:tcPr>
            <w:tcW w:w="12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(17.82)</w:t>
            </w:r>
          </w:p>
        </w:tc>
        <w:tc>
          <w:tcPr>
            <w:tcW w:w="293"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U.S. ETFs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7,663 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475,075 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9,050 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561,091 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(15.33)</w:t>
            </w:r>
          </w:p>
        </w:tc>
        <w:tc>
          <w:tcPr>
            <w:tcW w:w="2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European ETFs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2,828 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180,994 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3,716 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234,094 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(23.89)</w:t>
            </w:r>
          </w:p>
        </w:tc>
        <w:tc>
          <w:tcPr>
            <w:tcW w:w="293"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9,043</w:t>
            </w: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562,478</w:t>
            </w: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8,683</w:t>
            </w: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539,189</w:t>
            </w: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4.14</w:t>
            </w:r>
            <w:r>
              <w:rPr>
                <w:color w:val="000000"/>
              </w:rPr>
              <w:t> </w:t>
            </w:r>
          </w:p>
        </w:tc>
        <w:tc>
          <w:tcPr>
            <w:tcW w:w="2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Convertibles/Swaps/Options</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6,056 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376,950 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3,370 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209,391 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79.72 </w:t>
            </w:r>
          </w:p>
        </w:tc>
        <w:tc>
          <w:tcPr>
            <w:tcW w:w="293"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Futures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2,987 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185,528 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5,314 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329,798 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(43.78)</w:t>
            </w:r>
          </w:p>
        </w:tc>
        <w:tc>
          <w:tcPr>
            <w:tcW w:w="2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19,533</w:t>
            </w:r>
            <w:r>
              <w:rPr>
                <w:color w:val="000000"/>
              </w:rPr>
              <w:t> </w:t>
            </w:r>
          </w:p>
        </w:tc>
        <w:tc>
          <w:tcPr>
            <w:tcW w:w="11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1,218,547</w:t>
            </w:r>
            <w:r>
              <w:rPr>
                <w:color w:val="000000"/>
              </w:rPr>
              <w:t> </w:t>
            </w:r>
          </w:p>
        </w:tc>
        <w:tc>
          <w:tcPr>
            <w:tcW w:w="12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21,449</w:t>
            </w:r>
            <w:r>
              <w:rPr>
                <w:color w:val="000000"/>
              </w:rPr>
              <w:t> </w:t>
            </w:r>
          </w:p>
        </w:tc>
        <w:tc>
          <w:tcPr>
            <w:tcW w:w="11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1,334,373</w:t>
            </w:r>
            <w:r>
              <w:rPr>
                <w:color w:val="000000"/>
              </w:rPr>
              <w:t> </w:t>
            </w:r>
          </w:p>
        </w:tc>
        <w:tc>
          <w:tcPr>
            <w:tcW w:w="12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(8.93)</w:t>
            </w:r>
          </w:p>
        </w:tc>
        <w:tc>
          <w:tcPr>
            <w:tcW w:w="293"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Money Markets</w:t>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441,607</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27,534,565</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371,578</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23,107,647</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18.85</w:t>
            </w:r>
            <w:r>
              <w:rPr>
                <w:color w:val="000000"/>
              </w:rPr>
              <w:t>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Repurchase Agreements (Repo)</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425,350 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26,525,708 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353,820 </w:t>
            </w:r>
          </w:p>
        </w:tc>
        <w:tc>
          <w:tcPr>
            <w:tcW w:w="11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22,006,261 </w:t>
            </w:r>
          </w:p>
        </w:tc>
        <w:tc>
          <w:tcPr>
            <w:tcW w:w="127" w:type="dxa"/>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20.22 </w:t>
            </w:r>
          </w:p>
        </w:tc>
        <w:tc>
          <w:tcPr>
            <w:tcW w:w="293" w:type="dxa"/>
            <w:tcBorders/>
            <w:shd w:fill="D5DCE4"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Other Money Markets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16,257 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1,008,857 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17,758 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1,101,386 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(8.46)</w:t>
            </w:r>
          </w:p>
        </w:tc>
        <w:tc>
          <w:tcPr>
            <w:tcW w:w="2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441,607</w:t>
            </w:r>
            <w:r>
              <w:rPr>
                <w:color w:val="000000"/>
              </w:rPr>
              <w:t> </w:t>
            </w:r>
          </w:p>
        </w:tc>
        <w:tc>
          <w:tcPr>
            <w:tcW w:w="11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27,534,565</w:t>
            </w:r>
            <w:r>
              <w:rPr>
                <w:color w:val="000000"/>
              </w:rPr>
              <w:t> </w:t>
            </w:r>
          </w:p>
        </w:tc>
        <w:tc>
          <w:tcPr>
            <w:tcW w:w="12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371,578</w:t>
            </w:r>
            <w:r>
              <w:rPr>
                <w:color w:val="000000"/>
              </w:rPr>
              <w:t> </w:t>
            </w:r>
          </w:p>
        </w:tc>
        <w:tc>
          <w:tcPr>
            <w:tcW w:w="11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23,107,647</w:t>
            </w:r>
            <w:r>
              <w:rPr>
                <w:color w:val="000000"/>
              </w:rPr>
              <w:t> </w:t>
            </w:r>
          </w:p>
        </w:tc>
        <w:tc>
          <w:tcPr>
            <w:tcW w:w="127" w:type="dxa"/>
            <w:tcBorders>
              <w:top w:val="single" w:sz="8" w:space="0" w:color="000000"/>
            </w:tcBorders>
            <w:shd w:fill="D5DCE4"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18.85</w:t>
            </w:r>
            <w:r>
              <w:rPr>
                <w:color w:val="000000"/>
              </w:rPr>
              <w:t> </w:t>
            </w:r>
          </w:p>
        </w:tc>
        <w:tc>
          <w:tcPr>
            <w:tcW w:w="293" w:type="dxa"/>
            <w:tcBorders>
              <w:top w:val="single" w:sz="8" w:space="0" w:color="000000"/>
            </w:tcBorders>
            <w:shd w:fill="D5DCE4"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5DCE4"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left w:val="single" w:sz="8" w:space="0" w:color="000000"/>
            </w:tcBorders>
            <w:shd w:fill="D5DCE4" w:val="clear"/>
            <w:tcMar>
              <w:top w:w="3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ADV (USD mm)</w:t>
            </w:r>
          </w:p>
        </w:tc>
        <w:tc>
          <w:tcPr>
            <w:tcW w:w="1340" w:type="dxa"/>
            <w:gridSpan w:val="3"/>
            <w:tcBorders>
              <w:top w:val="single" w:sz="8" w:space="0" w:color="000000"/>
              <w:left w:val="single" w:sz="8" w:space="0" w:color="000000"/>
            </w:tcBorders>
            <w:shd w:fill="D5DCE4" w:val="clear"/>
            <w:tcMar>
              <w:top w:w="3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Volume (USD mm)</w:t>
            </w:r>
          </w:p>
        </w:tc>
        <w:tc>
          <w:tcPr>
            <w:tcW w:w="327" w:type="dxa"/>
            <w:gridSpan w:val="3"/>
            <w:tcBorders>
              <w:top w:val="single" w:sz="8" w:space="0" w:color="000000"/>
            </w:tcBorders>
            <w:shd w:fill="D5DCE4"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left w:val="single" w:sz="8" w:space="0" w:color="000000"/>
            </w:tcBorders>
            <w:shd w:fill="D5DCE4" w:val="clear"/>
            <w:tcMar>
              <w:top w:w="3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ADV (USD mm)</w:t>
            </w:r>
          </w:p>
        </w:tc>
        <w:tc>
          <w:tcPr>
            <w:tcW w:w="1340" w:type="dxa"/>
            <w:gridSpan w:val="3"/>
            <w:tcBorders>
              <w:top w:val="single" w:sz="8" w:space="0" w:color="000000"/>
              <w:left w:val="single" w:sz="8" w:space="0" w:color="000000"/>
            </w:tcBorders>
            <w:shd w:fill="D5DCE4" w:val="clear"/>
            <w:tcMar>
              <w:top w:w="3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Volume (USD mm)</w:t>
            </w:r>
          </w:p>
        </w:tc>
        <w:tc>
          <w:tcPr>
            <w:tcW w:w="327" w:type="dxa"/>
            <w:gridSpan w:val="3"/>
            <w:tcBorders>
              <w:top w:val="single" w:sz="8" w:space="0" w:color="000000"/>
            </w:tcBorders>
            <w:shd w:fill="D5DCE4" w:val="clear"/>
            <w:tcMar>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top w:val="single" w:sz="8" w:space="0" w:color="000000"/>
              <w:left w:val="single" w:sz="8" w:space="0" w:color="000000"/>
              <w:right w:val="single" w:sz="8" w:space="0" w:color="000000"/>
            </w:tcBorders>
            <w:shd w:fill="D5DCE4" w:val="clear"/>
            <w:tcMar>
              <w:top w:w="30" w:type="dxa"/>
              <w:bottom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YoY</w:t>
            </w:r>
          </w:p>
        </w:tc>
      </w:tr>
      <w:tr>
        <w:trPr/>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8"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5"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1,364,737</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0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85,332,933</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5"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1,174,801</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10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73,103,409</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88" w:before="0" w:after="283"/>
              <w:jc w:val="right"/>
              <w:rPr/>
            </w:pPr>
            <w:r>
              <w:rPr>
                <w:rFonts w:ascii="Arial Narrow;sans-serif" w:hAnsi="Arial Narrow;sans-serif"/>
                <w:b/>
                <w:color w:val="000000"/>
                <w:sz w:val="18"/>
              </w:rPr>
              <w:t>16.20</w:t>
            </w:r>
            <w:r>
              <w:rPr>
                <w:color w:val="000000"/>
              </w:rPr>
              <w:t> </w:t>
            </w:r>
          </w:p>
        </w:tc>
        <w:tc>
          <w:tcPr>
            <w:tcW w:w="293" w:type="dxa"/>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spacing w:lineRule="auto" w:line="288" w:before="0" w:after="283"/>
              <w:jc w:val="right"/>
              <w:rPr>
                <w:rFonts w:ascii="Arial Narrow;sans-serif" w:hAnsi="Arial Narrow;sans-serif"/>
                <w:b/>
                <w:color w:val="000000"/>
                <w:sz w:val="18"/>
              </w:rPr>
            </w:pPr>
            <w:r>
              <w:rPr>
                <w:rFonts w:ascii="Arial Narrow;sans-serif" w:hAnsi="Arial Narrow;sans-serif"/>
                <w:b/>
                <w:color w:val="000000"/>
                <w:sz w:val="18"/>
              </w:rPr>
              <w:t>%</w:t>
            </w:r>
          </w:p>
        </w:tc>
      </w:tr>
    </w:tbl>
    <w:p>
      <w:pPr>
        <w:pStyle w:val="TextBody"/>
        <w:spacing w:before="0" w:after="0"/>
        <w:rPr/>
      </w:pPr>
      <w:r>
        <w:rPr/>
      </w:r>
    </w:p>
    <w:p>
      <w:pPr>
        <w:pStyle w:val="TextBody"/>
        <w:spacing w:lineRule="auto" w:line="288" w:before="0" w:after="0"/>
        <w:rPr/>
      </w:pPr>
      <w:r>
        <w:rPr>
          <w:rFonts w:ascii="Arial;sans-serif" w:hAnsi="Arial;sans-serif"/>
          <w:b w:val="false"/>
          <w:color w:val="000000"/>
          <w:sz w:val="18"/>
        </w:rPr>
        <w:t xml:space="preserve">To access historical traded volumes, go to </w:t>
      </w:r>
      <w:r>
        <w:rPr>
          <w:rFonts w:ascii="Arial;sans-serif" w:hAnsi="Arial;sans-serif"/>
          <w:b w:val="false"/>
          <w:color w:val="0E32E1"/>
          <w:sz w:val="18"/>
          <w:u w:val="single"/>
        </w:rPr>
        <w:t>https://www.tradeweb.com/newsroom/monthly-activity-reports/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9</w:t>
                      </w:r>
                    </w:p>
                    <w:p>
                      <w:pPr>
                        <w:pStyle w:val="TextBody"/>
                        <w:spacing w:before="0" w:after="0"/>
                        <w:rPr/>
                      </w:pPr>
                      <w:r>
                        <w:rPr/>
                      </w:r>
                    </w:p>
                  </w:txbxContent>
                </v:textbox>
              </v:rect>
            </w:pict>
          </mc:Fallback>
        </mc:AlternateContent>
      </w:r>
    </w:p>
    <w:p>
      <w:pPr>
        <w:pStyle w:val="TextBody"/>
        <w:spacing w:lineRule="auto" w:line="288" w:before="240" w:after="120"/>
        <w:rPr>
          <w:rFonts w:ascii="Arial;sans-serif" w:hAnsi="Arial;sans-serif"/>
          <w:b/>
          <w:color w:val="083566"/>
          <w:sz w:val="18"/>
        </w:rPr>
      </w:pPr>
      <w:r>
        <w:rPr>
          <w:rFonts w:ascii="Arial;sans-serif" w:hAnsi="Arial;sans-serif"/>
          <w:b/>
          <w:color w:val="083566"/>
          <w:sz w:val="18"/>
        </w:rPr>
        <w:t>BASIS OF PRESENTATION</w:t>
      </w:r>
    </w:p>
    <w:p>
      <w:pPr>
        <w:pStyle w:val="TextBody"/>
        <w:spacing w:lineRule="auto" w:line="288" w:before="0" w:after="0"/>
        <w:rPr>
          <w:rFonts w:ascii="Arial;sans-serif" w:hAnsi="Arial;sans-serif"/>
          <w:b w:val="false"/>
          <w:color w:val="000000"/>
          <w:sz w:val="18"/>
        </w:rPr>
      </w:pPr>
      <w:r>
        <w:rPr>
          <w:rFonts w:ascii="Arial;sans-serif" w:hAnsi="Arial;sans-serif"/>
          <w:b w:val="false"/>
          <w:color w:val="000000"/>
          <w:sz w:val="18"/>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Numerical figures included in this release have been subject to rounding adjustments and as a result totals may not be the arithmetic aggregation of the amounts that precede them and figures expressed as percentages may not total 100%.</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 xml:space="preserve">Please refer to the Company's previously filed Quarterly Reports on Form 10-Q and Annual Report on Form 10-K for capitalized terms not otherwise defined herein. </w:t>
      </w:r>
    </w:p>
    <w:p>
      <w:pPr>
        <w:pStyle w:val="TextBody"/>
        <w:spacing w:lineRule="auto" w:line="288" w:before="240" w:after="120"/>
        <w:rPr>
          <w:rFonts w:ascii="Arial;sans-serif" w:hAnsi="Arial;sans-serif"/>
          <w:b/>
          <w:color w:val="083566"/>
          <w:sz w:val="18"/>
        </w:rPr>
      </w:pPr>
      <w:r>
        <w:rPr>
          <w:rFonts w:ascii="Arial;sans-serif" w:hAnsi="Arial;sans-serif"/>
          <w:b/>
          <w:color w:val="083566"/>
          <w:sz w:val="18"/>
        </w:rPr>
        <w:t>UNAUDITED INTERIM RESULTS</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The interim financial results presented herein for the three months ended March 31, 2023 and 2022 are unaudited. Operating results for interim periods are not necessarily indicative of the results that may be expected for the full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Arial;sans-serif" w:hAnsi="Arial;sans-serif"/>
          <w:b/>
          <w:color w:val="083566"/>
          <w:sz w:val="18"/>
        </w:rPr>
      </w:pPr>
      <w:r>
        <w:rPr>
          <w:rFonts w:ascii="Arial;sans-serif" w:hAnsi="Arial;sans-serif"/>
          <w:b/>
          <w:color w:val="083566"/>
          <w:sz w:val="18"/>
        </w:rPr>
        <w:t>FORWARD-LOOKING STATEMENTS</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 xml:space="preserve">This release contains forward-looking statements within the meaning of the federal securities laws. Statements related to, among other things, our guidance, including full-year 2023 guidance, future performance, the industry and markets in which we operate, our expectations, beliefs, plans, strategies, objectives, prospects and assumptions and future events are forward-looking statements. </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Arial;sans-serif" w:hAnsi="Arial;sans-serif"/>
          <w:b/>
          <w:color w:val="083566"/>
          <w:sz w:val="18"/>
        </w:rPr>
      </w:pPr>
      <w:r>
        <w:rPr>
          <w:rFonts w:ascii="Arial;sans-serif" w:hAnsi="Arial;sans-serif"/>
          <w:b/>
          <w:color w:val="083566"/>
          <w:sz w:val="18"/>
        </w:rPr>
        <w:t>NON-GAAP FINANCIAL MEASURES</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We use Adjusted Expenses as a supplemental metric to evaluate our underlying operating performance over time by removing items that are not related to day-to-day operations or are non-cash expenses.</w:t>
      </w:r>
      <w:r>
        <w:br w:type="page"/>
      </w: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10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10</w:t>
                      </w:r>
                    </w:p>
                    <w:p>
                      <w:pPr>
                        <w:pStyle w:val="TextBody"/>
                        <w:spacing w:before="0" w:after="0"/>
                        <w:rPr/>
                      </w:pPr>
                      <w:r>
                        <w:rPr/>
                      </w:r>
                    </w:p>
                  </w:txbxContent>
                </v:textbox>
              </v:rect>
            </w:pict>
          </mc:Fallback>
        </mc:AlternateConten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 xml:space="preserve">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 </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Arial;sans-serif" w:hAnsi="Arial;sans-serif"/>
          <w:b/>
          <w:color w:val="083566"/>
          <w:sz w:val="18"/>
        </w:rPr>
      </w:pPr>
      <w:r>
        <w:rPr>
          <w:rFonts w:ascii="Arial;sans-serif" w:hAnsi="Arial;sans-serif"/>
          <w:b/>
          <w:color w:val="083566"/>
          <w:sz w:val="18"/>
        </w:rPr>
        <w:t>MARKET AND INDUSTRY DATA</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pStyle w:val="TextBody"/>
        <w:spacing w:lineRule="auto" w:line="288" w:before="0" w:after="0"/>
        <w:rPr>
          <w:rFonts w:ascii="Arial;sans-serif" w:hAnsi="Arial;sans-serif"/>
          <w:b/>
          <w:color w:val="083566"/>
          <w:sz w:val="18"/>
        </w:rPr>
      </w:pPr>
      <w:r>
        <w:rPr>
          <w:rFonts w:ascii="Arial;sans-serif" w:hAnsi="Arial;sans-serif"/>
          <w:b/>
          <w:color w:val="083566"/>
          <w:sz w:val="18"/>
        </w:rPr>
        <w:t>TRADEWEB SOCIAL MEDIA</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pStyle w:val="TextBody"/>
        <w:spacing w:before="0" w:after="0"/>
        <w:rPr/>
      </w:pPr>
      <w:r>
        <w:rPr/>
      </w:r>
    </w:p>
    <w:p>
      <w:pPr>
        <w:pStyle w:val="TextBody"/>
        <w:spacing w:lineRule="auto" w:line="288"/>
        <w:jc w:val="center"/>
        <w:rPr>
          <w:rFonts w:ascii="Arial;sans-serif" w:hAnsi="Arial;sans-serif"/>
          <w:b w:val="false"/>
          <w:color w:val="000000"/>
          <w:sz w:val="18"/>
        </w:rPr>
      </w:pPr>
      <w:r>
        <w:rPr>
          <w:rFonts w:ascii="Arial;sans-serif" w:hAnsi="Arial;sans-serif"/>
          <w:b w:val="false"/>
          <w:color w:val="000000"/>
          <w:sz w:val="18"/>
        </w:rPr>
        <w:t># # #</w:t>
      </w:r>
      <w:r>
        <w:br w:type="page"/>
      </w:r>
    </w:p>
    <w:p>
      <w:pPr>
        <w:pStyle w:val="TextBody"/>
        <w:spacing w:before="0" w:after="283"/>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11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 | 11</w:t>
                      </w:r>
                    </w:p>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Narrow">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6528</Words>
  <CharactersWithSpaces>42804</CharactersWithSpaces>
  <Paragraphs>1291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