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w:t>
      </w:r>
    </w:p>
    <w:p>
      <w:pPr>
        <w:spacing w:after="0" w:line="33"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210820</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229870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1"/>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February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223520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1"/>
        <w:spacing w:after="0"/>
        <w:rPr>
          <w:sz w:val="20"/>
          <w:szCs w:val="20"/>
          <w:color w:val="auto"/>
        </w:rPr>
      </w:pPr>
      <w:r>
        <w:rPr>
          <w:rFonts w:ascii="Arial" w:cs="Arial" w:eastAsia="Arial" w:hAnsi="Arial"/>
          <w:sz w:val="32"/>
          <w:szCs w:val="32"/>
          <w:b w:val="1"/>
          <w:bCs w:val="1"/>
          <w:color w:val="auto"/>
        </w:rPr>
        <w:t>Tradeweb Markets Inc.</w:t>
      </w:r>
    </w:p>
    <w:p>
      <w:pPr>
        <w:spacing w:after="0" w:line="40" w:lineRule="exact"/>
        <w:rPr>
          <w:sz w:val="24"/>
          <w:szCs w:val="24"/>
          <w:color w:val="auto"/>
        </w:rPr>
      </w:pPr>
    </w:p>
    <w:p>
      <w:pPr>
        <w:jc w:val="center"/>
        <w:ind w:right="11"/>
        <w:spacing w:after="0"/>
        <w:rPr>
          <w:sz w:val="20"/>
          <w:szCs w:val="20"/>
          <w:color w:val="auto"/>
        </w:rPr>
      </w:pPr>
      <w:r>
        <w:rPr>
          <w:rFonts w:ascii="Arial" w:cs="Arial" w:eastAsia="Arial" w:hAnsi="Arial"/>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210820</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ectPr>
          <w:pgSz w:w="11900" w:h="16838" w:orient="portrait"/>
          <w:cols w:equalWidth="0" w:num="1">
            <w:col w:w="10409"/>
          </w:cols>
          <w:pgMar w:left="751" w:top="436" w:right="7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369"/>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9"/>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129"/>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600"/>
        <w:spacing w:after="0"/>
        <w:rPr>
          <w:sz w:val="20"/>
          <w:szCs w:val="20"/>
          <w:color w:val="auto"/>
        </w:rPr>
      </w:pPr>
      <w:r>
        <w:rPr>
          <w:rFonts w:ascii="Arial" w:cs="Arial" w:eastAsia="Arial" w:hAnsi="Arial"/>
          <w:sz w:val="18"/>
          <w:szCs w:val="18"/>
          <w:b w:val="1"/>
          <w:bCs w:val="1"/>
          <w:color w:val="auto"/>
        </w:rPr>
        <w:t>001-38860</w:t>
      </w:r>
    </w:p>
    <w:p>
      <w:pPr>
        <w:spacing w:after="0" w:line="27"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60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83-2456358</w:t>
      </w:r>
    </w:p>
    <w:p>
      <w:pPr>
        <w:spacing w:after="0" w:line="27"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9" w:space="720"/>
            <w:col w:w="2560" w:space="720"/>
            <w:col w:w="2400"/>
          </w:cols>
          <w:pgMar w:left="751" w:top="436" w:right="739" w:bottom="1440" w:gutter="0" w:footer="0" w:header="0"/>
          <w:type w:val="continuous"/>
        </w:sectPr>
      </w:pPr>
    </w:p>
    <w:p>
      <w:pPr>
        <w:spacing w:after="0" w:line="20" w:lineRule="exact"/>
        <w:rPr>
          <w:sz w:val="24"/>
          <w:szCs w:val="24"/>
          <w:color w:val="auto"/>
        </w:rPr>
      </w:pPr>
    </w:p>
    <w:p>
      <w:pPr>
        <w:jc w:val="center"/>
        <w:ind w:right="1491"/>
        <w:spacing w:after="0"/>
        <w:rPr>
          <w:sz w:val="20"/>
          <w:szCs w:val="20"/>
          <w:color w:val="auto"/>
        </w:rPr>
      </w:pPr>
      <w:r>
        <w:rPr>
          <w:rFonts w:ascii="Arial" w:cs="Arial" w:eastAsia="Arial" w:hAnsi="Arial"/>
          <w:sz w:val="18"/>
          <w:szCs w:val="18"/>
          <w:b w:val="1"/>
          <w:bCs w:val="1"/>
          <w:color w:val="auto"/>
        </w:rPr>
        <w:t>1177 Avenue of the Americas</w:t>
      </w:r>
    </w:p>
    <w:p>
      <w:pPr>
        <w:spacing w:after="0" w:line="27" w:lineRule="exact"/>
        <w:rPr>
          <w:sz w:val="24"/>
          <w:szCs w:val="24"/>
          <w:color w:val="auto"/>
        </w:rPr>
      </w:pPr>
    </w:p>
    <w:p>
      <w:pPr>
        <w:jc w:val="center"/>
        <w:ind w:right="1491"/>
        <w:spacing w:after="0"/>
        <w:rPr>
          <w:sz w:val="20"/>
          <w:szCs w:val="20"/>
          <w:color w:val="auto"/>
        </w:rPr>
      </w:pPr>
      <w:r>
        <w:rPr>
          <w:rFonts w:ascii="Arial" w:cs="Arial" w:eastAsia="Arial" w:hAnsi="Arial"/>
          <w:sz w:val="18"/>
          <w:szCs w:val="18"/>
          <w:b w:val="1"/>
          <w:bCs w:val="1"/>
          <w:color w:val="auto"/>
        </w:rPr>
        <w:t>New York, New York</w:t>
      </w:r>
    </w:p>
    <w:p>
      <w:pPr>
        <w:spacing w:after="0" w:line="9" w:lineRule="exact"/>
        <w:rPr>
          <w:sz w:val="24"/>
          <w:szCs w:val="24"/>
          <w:color w:val="auto"/>
        </w:rPr>
      </w:pPr>
    </w:p>
    <w:p>
      <w:pPr>
        <w:jc w:val="center"/>
        <w:ind w:right="1491"/>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jc w:val="center"/>
        <w:ind w:right="2200"/>
        <w:spacing w:after="0"/>
        <w:rPr>
          <w:sz w:val="20"/>
          <w:szCs w:val="20"/>
          <w:color w:val="auto"/>
        </w:rPr>
      </w:pPr>
      <w:r>
        <w:rPr>
          <w:rFonts w:ascii="Arial" w:cs="Arial" w:eastAsia="Arial" w:hAnsi="Arial"/>
          <w:sz w:val="18"/>
          <w:szCs w:val="18"/>
          <w:b w:val="1"/>
          <w:bCs w:val="1"/>
          <w:color w:val="auto"/>
        </w:rPr>
        <w:t>10036</w:t>
      </w:r>
    </w:p>
    <w:p>
      <w:pPr>
        <w:spacing w:after="0" w:line="27" w:lineRule="exact"/>
        <w:rPr>
          <w:sz w:val="24"/>
          <w:szCs w:val="24"/>
          <w:color w:val="auto"/>
        </w:rPr>
      </w:pPr>
    </w:p>
    <w:p>
      <w:pPr>
        <w:jc w:val="center"/>
        <w:ind w:right="22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689" w:space="720"/>
            <w:col w:w="3000"/>
          </w:cols>
          <w:pgMar w:left="751" w:top="436" w:right="739" w:bottom="1440" w:gutter="0" w:footer="0" w:header="0"/>
          <w:type w:val="continuous"/>
        </w:sectPr>
      </w:pPr>
    </w:p>
    <w:p>
      <w:pPr>
        <w:spacing w:after="0" w:line="30" w:lineRule="exact"/>
        <w:rPr>
          <w:sz w:val="24"/>
          <w:szCs w:val="24"/>
          <w:color w:val="auto"/>
        </w:rPr>
      </w:pPr>
    </w:p>
    <w:p>
      <w:pPr>
        <w:jc w:val="center"/>
        <w:ind w:right="-8"/>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2475865</wp:posOffset>
            </wp:positionH>
            <wp:positionV relativeFrom="paragraph">
              <wp:posOffset>180340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9"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89" w:hanging="389"/>
        <w:spacing w:after="0"/>
        <w:tabs>
          <w:tab w:leader="none" w:pos="38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89" w:hanging="389"/>
        <w:spacing w:after="0"/>
        <w:tabs>
          <w:tab w:leader="none" w:pos="38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89" w:hanging="389"/>
        <w:spacing w:after="0"/>
        <w:tabs>
          <w:tab w:leader="none" w:pos="38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 w:right="1980" w:hanging="9"/>
        <w:spacing w:after="0" w:line="504" w:lineRule="auto"/>
        <w:tabs>
          <w:tab w:leader="none" w:pos="39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9" w:type="dxa"/>
        <w:tblCellMar>
          <w:top w:w="0" w:type="dxa"/>
          <w:left w:w="0" w:type="dxa"/>
          <w:bottom w:w="0" w:type="dxa"/>
          <w:right w:w="0" w:type="dxa"/>
        </w:tblCellMar>
      </w:tblPr>
      <w:tr>
        <w:trPr>
          <w:trHeight w:val="149"/>
        </w:trPr>
        <w:tc>
          <w:tcPr>
            <w:tcW w:w="4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Title of each class</w:t>
            </w:r>
          </w:p>
        </w:tc>
        <w:tc>
          <w:tcPr>
            <w:tcW w:w="2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Trading Symbol(s)</w:t>
            </w:r>
          </w:p>
        </w:tc>
        <w:tc>
          <w:tcPr>
            <w:tcW w:w="3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Name of each exchange on which</w:t>
            </w:r>
          </w:p>
        </w:tc>
        <w:tc>
          <w:tcPr>
            <w:tcW w:w="0" w:type="dxa"/>
            <w:vAlign w:val="bottom"/>
          </w:tcPr>
          <w:p>
            <w:pPr>
              <w:spacing w:after="0"/>
              <w:rPr>
                <w:sz w:val="1"/>
                <w:szCs w:val="1"/>
                <w:color w:val="auto"/>
              </w:rPr>
            </w:pPr>
          </w:p>
        </w:tc>
      </w:tr>
      <w:tr>
        <w:trPr>
          <w:trHeight w:val="171"/>
        </w:trPr>
        <w:tc>
          <w:tcPr>
            <w:tcW w:w="4100" w:type="dxa"/>
            <w:vAlign w:val="bottom"/>
            <w:gridSpan w:val="2"/>
            <w:vMerge w:val="continue"/>
          </w:tcPr>
          <w:p>
            <w:pPr>
              <w:spacing w:after="0"/>
              <w:rPr>
                <w:sz w:val="14"/>
                <w:szCs w:val="14"/>
                <w:color w:val="auto"/>
              </w:rPr>
            </w:pPr>
          </w:p>
        </w:tc>
        <w:tc>
          <w:tcPr>
            <w:tcW w:w="2960" w:type="dxa"/>
            <w:vAlign w:val="bottom"/>
            <w:gridSpan w:val="2"/>
            <w:vMerge w:val="continue"/>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0" w:type="dxa"/>
            <w:vAlign w:val="bottom"/>
          </w:tcPr>
          <w:p>
            <w:pPr>
              <w:spacing w:after="0"/>
              <w:rPr>
                <w:sz w:val="1"/>
                <w:szCs w:val="1"/>
                <w:color w:val="auto"/>
              </w:rPr>
            </w:pP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 par value $0.00001</w:t>
            </w:r>
          </w:p>
        </w:tc>
        <w:tc>
          <w:tcPr>
            <w:tcW w:w="20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TW</w:t>
            </w:r>
          </w:p>
        </w:tc>
        <w:tc>
          <w:tcPr>
            <w:tcW w:w="200" w:type="dxa"/>
            <w:vAlign w:val="bottom"/>
          </w:tcPr>
          <w:p>
            <w:pPr>
              <w:spacing w:after="0"/>
              <w:rPr>
                <w:sz w:val="19"/>
                <w:szCs w:val="19"/>
                <w:color w:val="auto"/>
              </w:rPr>
            </w:pPr>
          </w:p>
        </w:tc>
        <w:tc>
          <w:tcPr>
            <w:tcW w:w="3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9" w:right="1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229"/>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9"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125095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142240</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665480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9"/>
          </w:cols>
          <w:pgMar w:left="751" w:top="436" w:right="7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February 12, 2020, Tradeweb Markets Inc. (the “Company”) issued a press release, a copy of which is furnished as Exhibit 99.1 hereto and incorporated herein by reference, announcing financial results for the year ended December 31, 2019.</w:t>
      </w:r>
    </w:p>
    <w:p>
      <w:pPr>
        <w:spacing w:after="0" w:line="181"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17"/>
          <w:szCs w:val="17"/>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tab/>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7860" w:type="dxa"/>
            <w:vAlign w:val="bottom"/>
            <w:gridSpan w:val="2"/>
            <w:vMerge w:val="restart"/>
          </w:tcPr>
          <w:p>
            <w:pPr>
              <w:ind w:left="33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78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8140" w:type="dxa"/>
            <w:vAlign w:val="bottom"/>
            <w:gridSpan w:val="3"/>
          </w:tcPr>
          <w:p>
            <w:pPr>
              <w:ind w:left="28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of Tradeweb Markets Inc., dated February 12, 2020.</w:t>
              </w:r>
            </w:hyperlink>
          </w:p>
        </w:tc>
        <w:tc>
          <w:tcPr>
            <w:tcW w:w="0" w:type="dxa"/>
            <w:vAlign w:val="bottom"/>
          </w:tcPr>
          <w:p>
            <w:pPr>
              <w:spacing w:after="0"/>
              <w:rPr>
                <w:sz w:val="1"/>
                <w:szCs w:val="1"/>
                <w:color w:val="auto"/>
              </w:rPr>
            </w:pPr>
          </w:p>
        </w:tc>
      </w:tr>
      <w:tr>
        <w:trPr>
          <w:trHeight w:val="885"/>
        </w:trPr>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Borders>
              <w:top w:val="single" w:sz="8" w:color="0000EE"/>
            </w:tcBorders>
          </w:tcPr>
          <w:p>
            <w:pPr>
              <w:jc w:val="right"/>
              <w:ind w:right="1319"/>
              <w:spacing w:after="0"/>
              <w:rPr>
                <w:sz w:val="20"/>
                <w:szCs w:val="20"/>
                <w:color w:val="auto"/>
              </w:rPr>
            </w:pPr>
            <w:r>
              <w:rPr>
                <w:rFonts w:ascii="Arial" w:cs="Arial" w:eastAsia="Arial" w:hAnsi="Arial"/>
                <w:sz w:val="18"/>
                <w:szCs w:val="18"/>
                <w:color w:val="auto"/>
              </w:rPr>
              <w:t>2</w:t>
            </w:r>
          </w:p>
        </w:tc>
        <w:tc>
          <w:tcPr>
            <w:tcW w:w="3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940" w:type="dxa"/>
            <w:vAlign w:val="bottom"/>
            <w:gridSpan w:val="2"/>
          </w:tcPr>
          <w:p>
            <w:pPr>
              <w:ind w:left="1340"/>
              <w:spacing w:after="0"/>
              <w:rPr>
                <w:sz w:val="20"/>
                <w:szCs w:val="20"/>
                <w:color w:val="auto"/>
              </w:rPr>
            </w:pPr>
            <w:r>
              <w:rPr>
                <w:rFonts w:ascii="Arial" w:cs="Arial" w:eastAsia="Arial" w:hAnsi="Arial"/>
                <w:sz w:val="18"/>
                <w:szCs w:val="18"/>
                <w:color w:val="auto"/>
              </w:rPr>
              <w:t>TRADEWEB MARKETS INC.</w:t>
            </w:r>
          </w:p>
        </w:tc>
      </w:tr>
      <w:tr>
        <w:trPr>
          <w:trHeight w:val="648"/>
        </w:trPr>
        <w:tc>
          <w:tcPr>
            <w:tcW w:w="3120" w:type="dxa"/>
            <w:vAlign w:val="bottom"/>
          </w:tcPr>
          <w:p>
            <w:pPr>
              <w:spacing w:after="0"/>
              <w:rPr>
                <w:sz w:val="20"/>
                <w:szCs w:val="20"/>
                <w:color w:val="auto"/>
              </w:rPr>
            </w:pPr>
            <w:r>
              <w:rPr>
                <w:rFonts w:ascii="Arial" w:cs="Arial" w:eastAsia="Arial" w:hAnsi="Arial"/>
                <w:sz w:val="18"/>
                <w:szCs w:val="18"/>
                <w:color w:val="auto"/>
              </w:rPr>
              <w:t>Date: February 12, 2020</w:t>
            </w:r>
          </w:p>
        </w:tc>
        <w:tc>
          <w:tcPr>
            <w:tcW w:w="5940" w:type="dxa"/>
            <w:vAlign w:val="bottom"/>
            <w:gridSpan w:val="2"/>
          </w:tcPr>
          <w:p>
            <w:pPr>
              <w:ind w:left="1340"/>
              <w:spacing w:after="0"/>
              <w:rPr>
                <w:sz w:val="20"/>
                <w:szCs w:val="20"/>
                <w:color w:val="auto"/>
              </w:rPr>
            </w:pPr>
            <w:r>
              <w:rPr>
                <w:rFonts w:ascii="Arial" w:cs="Arial" w:eastAsia="Arial" w:hAnsi="Arial"/>
                <w:sz w:val="18"/>
                <w:szCs w:val="18"/>
                <w:color w:val="auto"/>
              </w:rPr>
              <w:t>By:  /s/ Douglas Friedman</w:t>
            </w:r>
          </w:p>
        </w:tc>
      </w:tr>
      <w:tr>
        <w:trPr>
          <w:trHeight w:val="195"/>
        </w:trPr>
        <w:tc>
          <w:tcPr>
            <w:tcW w:w="3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Friedman</w:t>
            </w:r>
          </w:p>
        </w:tc>
      </w:tr>
      <w:tr>
        <w:trPr>
          <w:trHeight w:val="230"/>
        </w:trPr>
        <w:tc>
          <w:tcPr>
            <w:tcW w:w="31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Title: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358140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NEWS RELEASE</w:t>
      </w:r>
    </w:p>
    <w:p>
      <w:pPr>
        <w:spacing w:after="0" w:line="193" w:lineRule="exact"/>
        <w:rPr>
          <w:sz w:val="20"/>
          <w:szCs w:val="20"/>
          <w:color w:val="auto"/>
        </w:rPr>
      </w:pPr>
    </w:p>
    <w:p>
      <w:pPr>
        <w:ind w:left="2320"/>
        <w:spacing w:after="0"/>
        <w:rPr>
          <w:sz w:val="20"/>
          <w:szCs w:val="20"/>
          <w:color w:val="auto"/>
        </w:rPr>
      </w:pPr>
      <w:r>
        <w:rPr>
          <w:rFonts w:ascii="Arial" w:cs="Arial" w:eastAsia="Arial" w:hAnsi="Arial"/>
          <w:sz w:val="22"/>
          <w:szCs w:val="22"/>
          <w:b w:val="1"/>
          <w:bCs w:val="1"/>
          <w:color w:val="auto"/>
        </w:rPr>
        <w:t>TRADEWEB REPORTS FOURTH QUARTER</w:t>
      </w:r>
    </w:p>
    <w:p>
      <w:pPr>
        <w:spacing w:after="0" w:line="16" w:lineRule="exact"/>
        <w:rPr>
          <w:sz w:val="20"/>
          <w:szCs w:val="20"/>
          <w:color w:val="auto"/>
        </w:rPr>
      </w:pPr>
    </w:p>
    <w:p>
      <w:pPr>
        <w:ind w:left="2260"/>
        <w:spacing w:after="0"/>
        <w:rPr>
          <w:sz w:val="20"/>
          <w:szCs w:val="20"/>
          <w:color w:val="auto"/>
        </w:rPr>
      </w:pPr>
      <w:r>
        <w:rPr>
          <w:rFonts w:ascii="Arial" w:cs="Arial" w:eastAsia="Arial" w:hAnsi="Arial"/>
          <w:sz w:val="22"/>
          <w:szCs w:val="22"/>
          <w:b w:val="1"/>
          <w:bCs w:val="1"/>
          <w:color w:val="auto"/>
        </w:rPr>
        <w:t>AND FULL YEAR 2019 FINANCIAL RESULTS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w:t>
      </w:r>
    </w:p>
    <w:p>
      <w:pPr>
        <w:spacing w:after="0" w:line="18" w:lineRule="exact"/>
        <w:rPr>
          <w:sz w:val="20"/>
          <w:szCs w:val="20"/>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Average daily volume (ADV) of $684.6 billion for the quarter increased 16.3%</w:t>
      </w:r>
    </w:p>
    <w:p>
      <w:pPr>
        <w:spacing w:after="0" w:line="9" w:lineRule="exact"/>
        <w:rPr>
          <w:rFonts w:ascii="Arial" w:cs="Arial" w:eastAsia="Arial" w:hAnsi="Arial"/>
          <w:sz w:val="18"/>
          <w:szCs w:val="18"/>
          <w:color w:val="auto"/>
        </w:rPr>
      </w:pPr>
    </w:p>
    <w:p>
      <w:pPr>
        <w:ind w:left="660" w:right="320" w:hanging="333"/>
        <w:spacing w:after="0" w:line="23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Record quarterly ADV in US high-grade and high-yield credit; record market share for US high-grade TRACE volume of 15.8% and fully-electronic US high-grade TRACE volume of 7.3%</w:t>
      </w:r>
    </w:p>
    <w:p>
      <w:pPr>
        <w:spacing w:after="0" w:line="1" w:lineRule="exact"/>
        <w:rPr>
          <w:rFonts w:ascii="Arial" w:cs="Arial" w:eastAsia="Arial" w:hAnsi="Arial"/>
          <w:sz w:val="18"/>
          <w:szCs w:val="18"/>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Revenues of $197.3 million increased 10.5% (11.7% on a constant currency basis)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Net income of $57.3 million for the quarter compared to $29.3 million for the prior year period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Adjusted EBITDA margin of 46.9% for the quarter compared to 36.6% for the prior year period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Declared quarterly cash dividend of $0.08 per share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2019</w:t>
      </w:r>
    </w:p>
    <w:p>
      <w:pPr>
        <w:spacing w:after="0" w:line="18" w:lineRule="exact"/>
        <w:rPr>
          <w:sz w:val="20"/>
          <w:szCs w:val="20"/>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Record full year ADV of $725.4 billion increased 32.3%</w:t>
      </w:r>
    </w:p>
    <w:p>
      <w:pPr>
        <w:spacing w:after="0" w:line="9" w:lineRule="exact"/>
        <w:rPr>
          <w:rFonts w:ascii="Arial" w:cs="Arial" w:eastAsia="Arial" w:hAnsi="Arial"/>
          <w:sz w:val="18"/>
          <w:szCs w:val="18"/>
          <w:color w:val="auto"/>
        </w:rPr>
      </w:pPr>
    </w:p>
    <w:p>
      <w:pPr>
        <w:ind w:left="660" w:right="80" w:hanging="333"/>
        <w:spacing w:after="0" w:line="23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Record full year ADV in US and European government bonds, mortgages, interest rate swaps, US high-grade and high-yield credit, credit derivatives, US and European ETFs, and repurchase agreements</w:t>
      </w:r>
    </w:p>
    <w:p>
      <w:pPr>
        <w:spacing w:after="0" w:line="2"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Record revenues of $775.6 million increased 13.3% (15.1% on a constant currency basis)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Net income of $173.0 million for the year</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Adjusted EBITDA margin of 45.5% for the year</w:t>
      </w:r>
    </w:p>
    <w:p>
      <w:pPr>
        <w:spacing w:after="0" w:line="21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NEW YORK – February 12, 2020 – Tradeweb Markets Inc. (Nasdaq: TW), a leading, global operator of electronic marketplaces for rates, credit, equities and money markets, today reported financial results for the quarter and full-year ended December 31, 2019.</w:t>
      </w:r>
    </w:p>
    <w:p>
      <w:pPr>
        <w:spacing w:after="0" w:line="189"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 xml:space="preserve">Lee Olesky, Chief Executive Officer of Tradeweb Markets, said, “A strong fourth quarter </w:t>
      </w:r>
      <w:r>
        <w:rPr>
          <w:rFonts w:ascii="Arial" w:cs="Arial" w:eastAsia="Arial" w:hAnsi="Arial"/>
          <w:sz w:val="18"/>
          <w:szCs w:val="18"/>
          <w:color w:val="222222"/>
        </w:rPr>
        <w:t>contributed to another</w:t>
      </w:r>
      <w:r>
        <w:rPr>
          <w:rFonts w:ascii="Arial" w:cs="Arial" w:eastAsia="Arial" w:hAnsi="Arial"/>
          <w:sz w:val="18"/>
          <w:szCs w:val="18"/>
          <w:color w:val="auto"/>
        </w:rPr>
        <w:t xml:space="preserve"> </w:t>
      </w:r>
      <w:r>
        <w:rPr>
          <w:rFonts w:ascii="Arial" w:cs="Arial" w:eastAsia="Arial" w:hAnsi="Arial"/>
          <w:sz w:val="18"/>
          <w:szCs w:val="18"/>
          <w:color w:val="222222"/>
        </w:rPr>
        <w:t>record year at Tradeweb. T</w:t>
      </w:r>
      <w:r>
        <w:rPr>
          <w:rFonts w:ascii="Arial" w:cs="Arial" w:eastAsia="Arial" w:hAnsi="Arial"/>
          <w:sz w:val="18"/>
          <w:szCs w:val="18"/>
          <w:color w:val="000000"/>
        </w:rPr>
        <w:t>he resulting r</w:t>
      </w:r>
      <w:r>
        <w:rPr>
          <w:rFonts w:ascii="Arial" w:cs="Arial" w:eastAsia="Arial" w:hAnsi="Arial"/>
          <w:sz w:val="18"/>
          <w:szCs w:val="18"/>
          <w:color w:val="222222"/>
        </w:rPr>
        <w:t xml:space="preserve">evenue growth, margin expansion and free cash flow generation underscore the power of Tradeweb’s model. Adoption of electronic trading is accelerating as market participants gain a deeper appreciation for the functionality, </w:t>
      </w:r>
      <w:r>
        <w:rPr>
          <w:rFonts w:ascii="Arial" w:cs="Arial" w:eastAsia="Arial" w:hAnsi="Arial"/>
          <w:sz w:val="18"/>
          <w:szCs w:val="18"/>
          <w:color w:val="000000"/>
        </w:rPr>
        <w:t>efficiencies, data and analytics it delivers. Record full-year</w:t>
      </w:r>
      <w:r>
        <w:rPr>
          <w:rFonts w:ascii="Arial" w:cs="Arial" w:eastAsia="Arial" w:hAnsi="Arial"/>
          <w:sz w:val="18"/>
          <w:szCs w:val="18"/>
          <w:color w:val="222222"/>
        </w:rPr>
        <w:t xml:space="preserve"> </w:t>
      </w:r>
      <w:r>
        <w:rPr>
          <w:rFonts w:ascii="Arial" w:cs="Arial" w:eastAsia="Arial" w:hAnsi="Arial"/>
          <w:sz w:val="18"/>
          <w:szCs w:val="18"/>
          <w:color w:val="000000"/>
        </w:rPr>
        <w:t xml:space="preserve">average daily volume of $725 billion in 2019 demonstrates the extent to which innovation is driving Tradeweb’s growth within </w:t>
      </w:r>
      <w:r>
        <w:rPr>
          <w:rFonts w:ascii="Arial" w:cs="Arial" w:eastAsia="Arial" w:hAnsi="Arial"/>
          <w:sz w:val="18"/>
          <w:szCs w:val="18"/>
          <w:color w:val="222222"/>
        </w:rPr>
        <w:t>an expanding market</w:t>
      </w:r>
      <w:r>
        <w:rPr>
          <w:rFonts w:ascii="Arial" w:cs="Arial" w:eastAsia="Arial" w:hAnsi="Arial"/>
          <w:sz w:val="18"/>
          <w:szCs w:val="18"/>
          <w:color w:val="000000"/>
        </w:rPr>
        <w:t>. We’re excited about the opportunity ahead and remain focused on driving greater connectivity across the global markets and broad client network we serve.”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Gross revenue increased 10.5% (11.7% on a constant currency basis) compared to the prior year period to</w:t>
      </w:r>
    </w:p>
    <w:p>
      <w:pPr>
        <w:jc w:val="both"/>
        <w:ind w:right="300"/>
        <w:spacing w:after="0"/>
        <w:rPr>
          <w:sz w:val="20"/>
          <w:szCs w:val="20"/>
          <w:color w:val="auto"/>
        </w:rPr>
      </w:pPr>
      <w:r>
        <w:rPr>
          <w:rFonts w:ascii="Arial" w:cs="Arial" w:eastAsia="Arial" w:hAnsi="Arial"/>
          <w:sz w:val="18"/>
          <w:szCs w:val="18"/>
          <w:color w:val="auto"/>
        </w:rPr>
        <w:t>$197.3 million for the fourth quarter of 2019. Net income increased 95.4% compared to the prior year period to $57.3 million for the fourth quarter of 2019 due primarily to higher revenues. GAAP earnings per diluted share (Diluted EPS) for Tradeweb Markets Inc. was $0.25 for the fourth quarter of 2019.</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796" w:right="1419" w:bottom="1440" w:gutter="0" w:footer="0" w:header="0"/>
        </w:sectPr>
      </w:pPr>
    </w:p>
    <w:bookmarkStart w:id="4" w:name="page5"/>
    <w:bookmarkEnd w:id="4"/>
    <w:p>
      <w:pPr>
        <w:ind w:righ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Adjusted EBITDA margin increased to 46.9% for the fourth quarter of 2019 compared to 36.6% for the prior year period, representing an increase of 1,029 basis points (1,110 bps on a constant currency basis). Adjusted Net Income per diluted share (Adjusted Diluted EPS) was $0.26 for the fourth quarter of 2019.</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Constant</w:t>
            </w:r>
          </w:p>
        </w:tc>
      </w:tr>
      <w:tr>
        <w:trPr>
          <w:trHeight w:val="130"/>
        </w:trPr>
        <w:tc>
          <w:tcPr>
            <w:tcW w:w="5420" w:type="dxa"/>
            <w:vAlign w:val="bottom"/>
            <w:gridSpan w:val="2"/>
          </w:tcPr>
          <w:p>
            <w:pPr>
              <w:spacing w:after="0" w:line="130" w:lineRule="exact"/>
              <w:rPr>
                <w:sz w:val="20"/>
                <w:szCs w:val="20"/>
                <w:color w:val="auto"/>
              </w:rPr>
            </w:pPr>
            <w:r>
              <w:rPr>
                <w:rFonts w:ascii="Arial" w:cs="Arial" w:eastAsia="Arial" w:hAnsi="Arial"/>
                <w:sz w:val="13"/>
                <w:szCs w:val="13"/>
                <w:b w:val="1"/>
                <w:bCs w:val="1"/>
                <w:color w:val="auto"/>
              </w:rPr>
              <w:t>Select Financial Results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3"/>
                <w:szCs w:val="13"/>
                <w:b w:val="1"/>
                <w:bCs w:val="1"/>
                <w:color w:val="auto"/>
              </w:rPr>
              <w:t>Currency</w:t>
            </w:r>
          </w:p>
        </w:tc>
      </w:tr>
      <w:tr>
        <w:trPr>
          <w:trHeight w:val="162"/>
        </w:trPr>
        <w:tc>
          <w:tcPr>
            <w:tcW w:w="5420" w:type="dxa"/>
            <w:vAlign w:val="bottom"/>
            <w:gridSpan w:val="2"/>
          </w:tcPr>
          <w:p>
            <w:pPr>
              <w:spacing w:after="0"/>
              <w:rPr>
                <w:sz w:val="20"/>
                <w:szCs w:val="20"/>
                <w:color w:val="auto"/>
              </w:rPr>
            </w:pPr>
            <w:r>
              <w:rPr>
                <w:rFonts w:ascii="Arial" w:cs="Arial" w:eastAsia="Arial" w:hAnsi="Arial"/>
                <w:sz w:val="13"/>
                <w:szCs w:val="13"/>
                <w:b w:val="1"/>
                <w:bCs w:val="1"/>
                <w:color w:val="auto"/>
              </w:rPr>
              <w:t>(dollars in thousands except per share amounts)</w:t>
            </w:r>
          </w:p>
        </w:tc>
        <w:tc>
          <w:tcPr>
            <w:tcW w:w="14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4Q19</w:t>
            </w:r>
          </w:p>
        </w:tc>
        <w:tc>
          <w:tcPr>
            <w:tcW w:w="16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4Q18</w:t>
            </w:r>
          </w:p>
        </w:tc>
        <w:tc>
          <w:tcPr>
            <w:tcW w:w="880" w:type="dxa"/>
            <w:vAlign w:val="bottom"/>
            <w:gridSpan w:val="2"/>
          </w:tcPr>
          <w:p>
            <w:pPr>
              <w:jc w:val="right"/>
              <w:ind w:right="182"/>
              <w:spacing w:after="0"/>
              <w:rPr>
                <w:sz w:val="20"/>
                <w:szCs w:val="20"/>
                <w:color w:val="auto"/>
              </w:rPr>
            </w:pPr>
            <w:r>
              <w:rPr>
                <w:rFonts w:ascii="Arial" w:cs="Arial" w:eastAsia="Arial" w:hAnsi="Arial"/>
                <w:sz w:val="13"/>
                <w:szCs w:val="13"/>
                <w:b w:val="1"/>
                <w:bCs w:val="1"/>
                <w:color w:val="auto"/>
                <w:w w:val="98"/>
              </w:rPr>
              <w:t>% Change</w:t>
            </w: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 xml:space="preserve">Growth </w:t>
            </w:r>
            <w:r>
              <w:rPr>
                <w:rFonts w:ascii="Arial" w:cs="Arial" w:eastAsia="Arial" w:hAnsi="Arial"/>
                <w:sz w:val="14"/>
                <w:szCs w:val="14"/>
                <w:b w:val="1"/>
                <w:bCs w:val="1"/>
                <w:color w:val="auto"/>
                <w:vertAlign w:val="superscript"/>
              </w:rPr>
              <w:t>(</w:t>
            </w:r>
            <w:r>
              <w:rPr>
                <w:rFonts w:ascii="Arial" w:cs="Arial" w:eastAsia="Arial" w:hAnsi="Arial"/>
                <w:sz w:val="14"/>
                <w:szCs w:val="14"/>
                <w:color w:val="auto"/>
                <w:vertAlign w:val="superscript"/>
              </w:rPr>
              <w:t>1)</w:t>
            </w:r>
          </w:p>
        </w:tc>
      </w:tr>
      <w:tr>
        <w:trPr>
          <w:trHeight w:val="129"/>
        </w:trPr>
        <w:tc>
          <w:tcPr>
            <w:tcW w:w="52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Gross revenue</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197,308</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178,637</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10.5</w:t>
            </w:r>
          </w:p>
        </w:tc>
        <w:tc>
          <w:tcPr>
            <w:tcW w:w="200" w:type="dxa"/>
            <w:vAlign w:val="bottom"/>
            <w:tcBorders>
              <w:top w:val="single" w:sz="8" w:color="CCEEFF"/>
            </w:tcBorders>
            <w:shd w:val="clear" w:color="auto" w:fill="CCEEFF"/>
          </w:tcPr>
          <w:p>
            <w:pPr>
              <w:jc w:val="right"/>
              <w:ind w:right="42"/>
              <w:spacing w:after="0" w:line="129" w:lineRule="exact"/>
              <w:rPr>
                <w:sz w:val="20"/>
                <w:szCs w:val="20"/>
                <w:color w:val="auto"/>
              </w:rPr>
            </w:pPr>
            <w:r>
              <w:rPr>
                <w:rFonts w:ascii="Arial" w:cs="Arial" w:eastAsia="Arial" w:hAnsi="Arial"/>
                <w:sz w:val="12"/>
                <w:szCs w:val="12"/>
                <w:color w:val="auto"/>
                <w:w w:val="74"/>
              </w:rPr>
              <w:t>%</w:t>
            </w: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11.7</w:t>
            </w:r>
          </w:p>
        </w:tc>
        <w:tc>
          <w:tcPr>
            <w:tcW w:w="220" w:type="dxa"/>
            <w:vAlign w:val="bottom"/>
            <w:tcBorders>
              <w:top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6"/>
              </w:rPr>
              <w:t>%</w:t>
            </w:r>
          </w:p>
        </w:tc>
      </w:tr>
      <w:tr>
        <w:trPr>
          <w:trHeight w:val="135"/>
        </w:trPr>
        <w:tc>
          <w:tcPr>
            <w:tcW w:w="54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Rates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107,539</w:t>
            </w:r>
          </w:p>
        </w:tc>
        <w:tc>
          <w:tcPr>
            <w:tcW w:w="1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97,592</w:t>
            </w:r>
          </w:p>
        </w:tc>
        <w:tc>
          <w:tcPr>
            <w:tcW w:w="180" w:type="dxa"/>
            <w:vAlign w:val="bottom"/>
          </w:tcPr>
          <w:p>
            <w:pPr>
              <w:spacing w:after="0"/>
              <w:rPr>
                <w:sz w:val="11"/>
                <w:szCs w:val="11"/>
                <w:color w:val="auto"/>
              </w:rPr>
            </w:pPr>
          </w:p>
        </w:tc>
        <w:tc>
          <w:tcPr>
            <w:tcW w:w="8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10.2 %</w:t>
            </w:r>
          </w:p>
        </w:tc>
        <w:tc>
          <w:tcPr>
            <w:tcW w:w="8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10.8 %</w:t>
            </w:r>
          </w:p>
        </w:tc>
      </w:tr>
      <w:tr>
        <w:trPr>
          <w:trHeight w:val="135"/>
        </w:trPr>
        <w:tc>
          <w:tcPr>
            <w:tcW w:w="54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Credit</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43,542</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37,204</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17.0 %</w:t>
            </w:r>
          </w:p>
        </w:tc>
        <w:tc>
          <w:tcPr>
            <w:tcW w:w="88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20.0 %</w:t>
            </w:r>
          </w:p>
        </w:tc>
      </w:tr>
      <w:tr>
        <w:trPr>
          <w:trHeight w:val="135"/>
        </w:trPr>
        <w:tc>
          <w:tcPr>
            <w:tcW w:w="54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Equities</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11,665</w:t>
            </w:r>
          </w:p>
        </w:tc>
        <w:tc>
          <w:tcPr>
            <w:tcW w:w="1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12,592</w:t>
            </w:r>
          </w:p>
        </w:tc>
        <w:tc>
          <w:tcPr>
            <w:tcW w:w="180" w:type="dxa"/>
            <w:vAlign w:val="bottom"/>
          </w:tcPr>
          <w:p>
            <w:pPr>
              <w:spacing w:after="0"/>
              <w:rPr>
                <w:sz w:val="11"/>
                <w:szCs w:val="11"/>
                <w:color w:val="auto"/>
              </w:rPr>
            </w:pPr>
          </w:p>
        </w:tc>
        <w:tc>
          <w:tcPr>
            <w:tcW w:w="8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(7.4)%</w:t>
            </w:r>
          </w:p>
        </w:tc>
        <w:tc>
          <w:tcPr>
            <w:tcW w:w="8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(5.4)%</w:t>
            </w:r>
          </w:p>
        </w:tc>
      </w:tr>
      <w:tr>
        <w:trPr>
          <w:trHeight w:val="135"/>
        </w:trPr>
        <w:tc>
          <w:tcPr>
            <w:tcW w:w="54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Money Markets</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10,027</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9,493</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5.6 %</w:t>
            </w:r>
          </w:p>
        </w:tc>
        <w:tc>
          <w:tcPr>
            <w:tcW w:w="88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6.3 %</w:t>
            </w:r>
          </w:p>
        </w:tc>
      </w:tr>
      <w:tr>
        <w:trPr>
          <w:trHeight w:val="135"/>
        </w:trPr>
        <w:tc>
          <w:tcPr>
            <w:tcW w:w="54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Market Data</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19,361</w:t>
            </w:r>
          </w:p>
        </w:tc>
        <w:tc>
          <w:tcPr>
            <w:tcW w:w="1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16,733</w:t>
            </w:r>
          </w:p>
        </w:tc>
        <w:tc>
          <w:tcPr>
            <w:tcW w:w="180" w:type="dxa"/>
            <w:vAlign w:val="bottom"/>
          </w:tcPr>
          <w:p>
            <w:pPr>
              <w:spacing w:after="0"/>
              <w:rPr>
                <w:sz w:val="11"/>
                <w:szCs w:val="11"/>
                <w:color w:val="auto"/>
              </w:rPr>
            </w:pPr>
          </w:p>
        </w:tc>
        <w:tc>
          <w:tcPr>
            <w:tcW w:w="8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15.7 %</w:t>
            </w:r>
          </w:p>
        </w:tc>
        <w:tc>
          <w:tcPr>
            <w:tcW w:w="8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15.9 %</w:t>
            </w:r>
          </w:p>
        </w:tc>
      </w:tr>
      <w:tr>
        <w:trPr>
          <w:trHeight w:val="135"/>
        </w:trPr>
        <w:tc>
          <w:tcPr>
            <w:tcW w:w="54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Other</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5,174</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5,023</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3.0 %</w:t>
            </w:r>
          </w:p>
        </w:tc>
        <w:tc>
          <w:tcPr>
            <w:tcW w:w="88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5.4 %</w:t>
            </w:r>
          </w:p>
        </w:tc>
      </w:tr>
      <w:tr>
        <w:trPr>
          <w:trHeight w:val="135"/>
        </w:trPr>
        <w:tc>
          <w:tcPr>
            <w:tcW w:w="54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Net income </w:t>
            </w:r>
            <w:r>
              <w:rPr>
                <w:rFonts w:ascii="Arial" w:cs="Arial" w:eastAsia="Arial" w:hAnsi="Arial"/>
                <w:sz w:val="14"/>
                <w:szCs w:val="14"/>
                <w:color w:val="auto"/>
                <w:vertAlign w:val="superscript"/>
              </w:rPr>
              <w:t>(2)</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57,278</w:t>
            </w:r>
          </w:p>
        </w:tc>
        <w:tc>
          <w:tcPr>
            <w:tcW w:w="1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29,307</w:t>
            </w:r>
          </w:p>
        </w:tc>
        <w:tc>
          <w:tcPr>
            <w:tcW w:w="180" w:type="dxa"/>
            <w:vAlign w:val="bottom"/>
          </w:tcPr>
          <w:p>
            <w:pPr>
              <w:spacing w:after="0"/>
              <w:rPr>
                <w:sz w:val="11"/>
                <w:szCs w:val="11"/>
                <w:color w:val="auto"/>
              </w:rPr>
            </w:pPr>
          </w:p>
        </w:tc>
        <w:tc>
          <w:tcPr>
            <w:tcW w:w="8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95.4 %</w:t>
            </w:r>
          </w:p>
        </w:tc>
        <w:tc>
          <w:tcPr>
            <w:tcW w:w="8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 %</w:t>
            </w:r>
          </w:p>
        </w:tc>
      </w:tr>
      <w:tr>
        <w:trPr>
          <w:trHeight w:val="135"/>
        </w:trPr>
        <w:tc>
          <w:tcPr>
            <w:tcW w:w="5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Net income attributable to Tradeweb Markets Inc.</w:t>
            </w:r>
            <w:r>
              <w:rPr>
                <w:rFonts w:ascii="Arial" w:cs="Arial" w:eastAsia="Arial" w:hAnsi="Arial"/>
                <w:sz w:val="14"/>
                <w:szCs w:val="14"/>
                <w:color w:val="auto"/>
                <w:vertAlign w:val="superscript"/>
              </w:rPr>
              <w:t>(3)</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41,329</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 %</w:t>
            </w:r>
          </w:p>
        </w:tc>
        <w:tc>
          <w:tcPr>
            <w:tcW w:w="88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 %</w:t>
            </w:r>
          </w:p>
        </w:tc>
      </w:tr>
      <w:tr>
        <w:trPr>
          <w:trHeight w:val="135"/>
        </w:trPr>
        <w:tc>
          <w:tcPr>
            <w:tcW w:w="542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Diluted EPS </w:t>
            </w:r>
            <w:r>
              <w:rPr>
                <w:rFonts w:ascii="Arial" w:cs="Arial" w:eastAsia="Arial" w:hAnsi="Arial"/>
                <w:sz w:val="14"/>
                <w:szCs w:val="14"/>
                <w:color w:val="auto"/>
                <w:vertAlign w:val="superscript"/>
              </w:rPr>
              <w:t>(4)</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0.25</w:t>
            </w:r>
          </w:p>
        </w:tc>
        <w:tc>
          <w:tcPr>
            <w:tcW w:w="1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0.13</w:t>
            </w:r>
          </w:p>
        </w:tc>
        <w:tc>
          <w:tcPr>
            <w:tcW w:w="180" w:type="dxa"/>
            <w:vAlign w:val="bottom"/>
          </w:tcPr>
          <w:p>
            <w:pPr>
              <w:spacing w:after="0"/>
              <w:rPr>
                <w:sz w:val="11"/>
                <w:szCs w:val="11"/>
                <w:color w:val="auto"/>
              </w:rPr>
            </w:pPr>
          </w:p>
        </w:tc>
        <w:tc>
          <w:tcPr>
            <w:tcW w:w="8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92.3 %</w:t>
            </w:r>
          </w:p>
        </w:tc>
        <w:tc>
          <w:tcPr>
            <w:tcW w:w="8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 %</w:t>
            </w:r>
          </w:p>
        </w:tc>
      </w:tr>
      <w:tr>
        <w:trPr>
          <w:trHeight w:val="135"/>
        </w:trPr>
        <w:tc>
          <w:tcPr>
            <w:tcW w:w="54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Non-GAAP Financial Measures</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35"/>
        </w:trPr>
        <w:tc>
          <w:tcPr>
            <w:tcW w:w="54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 xml:space="preserve">Adjusted EBITDA </w:t>
            </w:r>
            <w:r>
              <w:rPr>
                <w:rFonts w:ascii="Arial" w:cs="Arial" w:eastAsia="Arial" w:hAnsi="Arial"/>
                <w:sz w:val="14"/>
                <w:szCs w:val="14"/>
                <w:color w:val="auto"/>
                <w:vertAlign w:val="superscript"/>
              </w:rPr>
              <w:t>(5)</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92,441</w:t>
            </w:r>
          </w:p>
        </w:tc>
        <w:tc>
          <w:tcPr>
            <w:tcW w:w="1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65,308</w:t>
            </w:r>
          </w:p>
        </w:tc>
        <w:tc>
          <w:tcPr>
            <w:tcW w:w="180" w:type="dxa"/>
            <w:vAlign w:val="bottom"/>
          </w:tcPr>
          <w:p>
            <w:pPr>
              <w:spacing w:after="0"/>
              <w:rPr>
                <w:sz w:val="11"/>
                <w:szCs w:val="11"/>
                <w:color w:val="auto"/>
              </w:rPr>
            </w:pPr>
          </w:p>
        </w:tc>
        <w:tc>
          <w:tcPr>
            <w:tcW w:w="8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41.5 %</w:t>
            </w:r>
          </w:p>
        </w:tc>
        <w:tc>
          <w:tcPr>
            <w:tcW w:w="8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45.6 %</w:t>
            </w:r>
          </w:p>
        </w:tc>
      </w:tr>
      <w:tr>
        <w:trPr>
          <w:trHeight w:val="135"/>
        </w:trPr>
        <w:tc>
          <w:tcPr>
            <w:tcW w:w="54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 xml:space="preserve">Adjusted EBITDA margin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46.9 %</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36.6 %</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1,029 bps</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1,110 bps</w:t>
            </w:r>
          </w:p>
        </w:tc>
      </w:tr>
      <w:tr>
        <w:trPr>
          <w:trHeight w:val="135"/>
        </w:trPr>
        <w:tc>
          <w:tcPr>
            <w:tcW w:w="54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 xml:space="preserve">Adjusted EBIT </w:t>
            </w:r>
            <w:r>
              <w:rPr>
                <w:rFonts w:ascii="Arial" w:cs="Arial" w:eastAsia="Arial" w:hAnsi="Arial"/>
                <w:sz w:val="14"/>
                <w:szCs w:val="14"/>
                <w:color w:val="auto"/>
                <w:vertAlign w:val="superscript"/>
              </w:rPr>
              <w:t>(5)</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81,482</w:t>
            </w:r>
          </w:p>
        </w:tc>
        <w:tc>
          <w:tcPr>
            <w:tcW w:w="1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54,701</w:t>
            </w:r>
          </w:p>
        </w:tc>
        <w:tc>
          <w:tcPr>
            <w:tcW w:w="180" w:type="dxa"/>
            <w:vAlign w:val="bottom"/>
          </w:tcPr>
          <w:p>
            <w:pPr>
              <w:spacing w:after="0"/>
              <w:rPr>
                <w:sz w:val="11"/>
                <w:szCs w:val="11"/>
                <w:color w:val="auto"/>
              </w:rPr>
            </w:pPr>
          </w:p>
        </w:tc>
        <w:tc>
          <w:tcPr>
            <w:tcW w:w="8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49.0 %</w:t>
            </w:r>
          </w:p>
        </w:tc>
        <w:tc>
          <w:tcPr>
            <w:tcW w:w="8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53.8 %</w:t>
            </w:r>
          </w:p>
        </w:tc>
      </w:tr>
      <w:tr>
        <w:trPr>
          <w:trHeight w:val="135"/>
        </w:trPr>
        <w:tc>
          <w:tcPr>
            <w:tcW w:w="54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 xml:space="preserve">Adjusted EBIT margin </w:t>
            </w:r>
            <w:r>
              <w:rPr>
                <w:rFonts w:ascii="Arial" w:cs="Arial" w:eastAsia="Arial" w:hAnsi="Arial"/>
                <w:sz w:val="14"/>
                <w:szCs w:val="14"/>
                <w:color w:val="auto"/>
                <w:vertAlign w:val="superscript"/>
              </w:rPr>
              <w:t>(5)</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41.3 %</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30.6 %</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1,068 bps</w:t>
            </w:r>
          </w:p>
        </w:tc>
        <w:tc>
          <w:tcPr>
            <w:tcW w:w="8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1,155 bps</w:t>
            </w:r>
          </w:p>
        </w:tc>
      </w:tr>
      <w:tr>
        <w:trPr>
          <w:trHeight w:val="135"/>
        </w:trPr>
        <w:tc>
          <w:tcPr>
            <w:tcW w:w="5420" w:type="dxa"/>
            <w:vAlign w:val="bottom"/>
            <w:gridSpan w:val="2"/>
          </w:tcPr>
          <w:p>
            <w:pPr>
              <w:ind w:left="120"/>
              <w:spacing w:after="0" w:line="135" w:lineRule="exact"/>
              <w:rPr>
                <w:sz w:val="20"/>
                <w:szCs w:val="20"/>
                <w:color w:val="auto"/>
              </w:rPr>
            </w:pPr>
            <w:r>
              <w:rPr>
                <w:rFonts w:ascii="Arial" w:cs="Arial" w:eastAsia="Arial" w:hAnsi="Arial"/>
                <w:sz w:val="13"/>
                <w:szCs w:val="13"/>
                <w:color w:val="auto"/>
              </w:rPr>
              <w:t xml:space="preserve">Adjusted Net Income </w:t>
            </w:r>
            <w:r>
              <w:rPr>
                <w:rFonts w:ascii="Arial" w:cs="Arial" w:eastAsia="Arial" w:hAnsi="Arial"/>
                <w:sz w:val="14"/>
                <w:szCs w:val="14"/>
                <w:color w:val="auto"/>
                <w:vertAlign w:val="superscript"/>
              </w:rPr>
              <w:t>(5)</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60,489</w:t>
            </w:r>
          </w:p>
        </w:tc>
        <w:tc>
          <w:tcPr>
            <w:tcW w:w="180" w:type="dxa"/>
            <w:vAlign w:val="bottom"/>
          </w:tcPr>
          <w:p>
            <w:pPr>
              <w:spacing w:after="0"/>
              <w:rPr>
                <w:sz w:val="11"/>
                <w:szCs w:val="11"/>
                <w:color w:val="auto"/>
              </w:rPr>
            </w:pPr>
          </w:p>
        </w:tc>
        <w:tc>
          <w:tcPr>
            <w:tcW w:w="160" w:type="dxa"/>
            <w:vAlign w:val="bottom"/>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40,839</w:t>
            </w:r>
          </w:p>
        </w:tc>
        <w:tc>
          <w:tcPr>
            <w:tcW w:w="180" w:type="dxa"/>
            <w:vAlign w:val="bottom"/>
          </w:tcPr>
          <w:p>
            <w:pPr>
              <w:spacing w:after="0"/>
              <w:rPr>
                <w:sz w:val="11"/>
                <w:szCs w:val="11"/>
                <w:color w:val="auto"/>
              </w:rPr>
            </w:pPr>
          </w:p>
        </w:tc>
        <w:tc>
          <w:tcPr>
            <w:tcW w:w="880" w:type="dxa"/>
            <w:vAlign w:val="bottom"/>
            <w:gridSpan w:val="2"/>
          </w:tcPr>
          <w:p>
            <w:pPr>
              <w:jc w:val="right"/>
              <w:ind w:right="42"/>
              <w:spacing w:after="0" w:line="135" w:lineRule="exact"/>
              <w:rPr>
                <w:sz w:val="20"/>
                <w:szCs w:val="20"/>
                <w:color w:val="auto"/>
              </w:rPr>
            </w:pPr>
            <w:r>
              <w:rPr>
                <w:rFonts w:ascii="Arial" w:cs="Arial" w:eastAsia="Arial" w:hAnsi="Arial"/>
                <w:sz w:val="13"/>
                <w:szCs w:val="13"/>
                <w:color w:val="auto"/>
              </w:rPr>
              <w:t>48.1 %</w:t>
            </w:r>
          </w:p>
        </w:tc>
        <w:tc>
          <w:tcPr>
            <w:tcW w:w="88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52.9 %</w:t>
            </w:r>
          </w:p>
        </w:tc>
      </w:tr>
      <w:tr>
        <w:trPr>
          <w:trHeight w:val="135"/>
        </w:trPr>
        <w:tc>
          <w:tcPr>
            <w:tcW w:w="5420" w:type="dxa"/>
            <w:vAlign w:val="bottom"/>
            <w:gridSpan w:val="2"/>
            <w:shd w:val="clear" w:color="auto" w:fill="CCEEFF"/>
          </w:tcPr>
          <w:p>
            <w:pPr>
              <w:ind w:left="120"/>
              <w:spacing w:after="0" w:line="135" w:lineRule="exact"/>
              <w:rPr>
                <w:sz w:val="20"/>
                <w:szCs w:val="20"/>
                <w:color w:val="auto"/>
              </w:rPr>
            </w:pPr>
            <w:r>
              <w:rPr>
                <w:rFonts w:ascii="Arial" w:cs="Arial" w:eastAsia="Arial" w:hAnsi="Arial"/>
                <w:sz w:val="13"/>
                <w:szCs w:val="13"/>
                <w:color w:val="auto"/>
              </w:rPr>
              <w:t xml:space="preserve">Adjusted Diluted EPS </w:t>
            </w:r>
            <w:r>
              <w:rPr>
                <w:rFonts w:ascii="Arial" w:cs="Arial" w:eastAsia="Arial" w:hAnsi="Arial"/>
                <w:sz w:val="14"/>
                <w:szCs w:val="14"/>
                <w:color w:val="auto"/>
                <w:vertAlign w:val="superscript"/>
              </w:rPr>
              <w:t>(5)(6)</w:t>
            </w: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0.26</w:t>
            </w: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0.18</w:t>
            </w:r>
          </w:p>
        </w:tc>
        <w:tc>
          <w:tcPr>
            <w:tcW w:w="1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42"/>
              <w:spacing w:after="0" w:line="135" w:lineRule="exact"/>
              <w:rPr>
                <w:sz w:val="20"/>
                <w:szCs w:val="20"/>
                <w:color w:val="auto"/>
              </w:rPr>
            </w:pPr>
            <w:r>
              <w:rPr>
                <w:rFonts w:ascii="Arial" w:cs="Arial" w:eastAsia="Arial" w:hAnsi="Arial"/>
                <w:sz w:val="13"/>
                <w:szCs w:val="13"/>
                <w:color w:val="auto"/>
              </w:rPr>
              <w:t>42.2 %</w:t>
            </w:r>
          </w:p>
        </w:tc>
        <w:tc>
          <w:tcPr>
            <w:tcW w:w="880" w:type="dxa"/>
            <w:vAlign w:val="bottom"/>
            <w:gridSpan w:val="2"/>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46.7 %</w:t>
            </w:r>
          </w:p>
        </w:tc>
      </w:tr>
    </w:tbl>
    <w:p>
      <w:pPr>
        <w:spacing w:after="0" w:line="210" w:lineRule="exact"/>
        <w:rPr>
          <w:sz w:val="20"/>
          <w:szCs w:val="20"/>
          <w:color w:val="auto"/>
        </w:rPr>
      </w:pPr>
    </w:p>
    <w:p>
      <w:pPr>
        <w:ind w:left="660" w:right="240" w:hanging="333"/>
        <w:spacing w:after="0" w:line="230"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Constant currency growth is a non-GAAP financial measure that reflects growth for the period excluding the impact of foreign currency fluctuations. See "Non-GAAP Financial Measures" below for additional information.</w:t>
      </w:r>
    </w:p>
    <w:p>
      <w:pPr>
        <w:spacing w:after="0" w:line="37" w:lineRule="exact"/>
        <w:rPr>
          <w:rFonts w:ascii="Arial" w:cs="Arial" w:eastAsia="Arial" w:hAnsi="Arial"/>
          <w:sz w:val="13"/>
          <w:szCs w:val="13"/>
          <w:color w:val="auto"/>
        </w:rPr>
      </w:pPr>
    </w:p>
    <w:p>
      <w:pPr>
        <w:ind w:left="660" w:right="280" w:hanging="333"/>
        <w:spacing w:after="0" w:line="225"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Net income for the fourth quarter of 2019 and 2018 was impacted by net depreciation and amortization expense of $18.9 million and $16.0 million, respectively, as a result of the Refinitiv Transaction and the subsequent revaluation of our balance sheet. See "Presentation" below for additional information regarding the Refinitiv Transaction.</w:t>
      </w:r>
    </w:p>
    <w:p>
      <w:pPr>
        <w:spacing w:after="0" w:line="38" w:lineRule="exact"/>
        <w:rPr>
          <w:rFonts w:ascii="Arial" w:cs="Arial" w:eastAsia="Arial" w:hAnsi="Arial"/>
          <w:sz w:val="13"/>
          <w:szCs w:val="13"/>
          <w:color w:val="auto"/>
        </w:rPr>
      </w:pPr>
    </w:p>
    <w:p>
      <w:pPr>
        <w:ind w:left="660" w:hanging="333"/>
        <w:spacing w:after="0"/>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net income less net income attributable to non-controlling interests.</w:t>
      </w:r>
    </w:p>
    <w:p>
      <w:pPr>
        <w:spacing w:after="0" w:line="39" w:lineRule="exact"/>
        <w:rPr>
          <w:rFonts w:ascii="Arial" w:cs="Arial" w:eastAsia="Arial" w:hAnsi="Arial"/>
          <w:sz w:val="13"/>
          <w:szCs w:val="13"/>
          <w:color w:val="auto"/>
        </w:rPr>
      </w:pPr>
    </w:p>
    <w:p>
      <w:pPr>
        <w:ind w:left="660" w:right="100" w:hanging="333"/>
        <w:spacing w:after="0" w:line="247" w:lineRule="auto"/>
        <w:tabs>
          <w:tab w:leader="none" w:pos="660" w:val="left"/>
        </w:tabs>
        <w:numPr>
          <w:ilvl w:val="0"/>
          <w:numId w:val="4"/>
        </w:numPr>
        <w:rPr>
          <w:rFonts w:ascii="Arial" w:cs="Arial" w:eastAsia="Arial" w:hAnsi="Arial"/>
          <w:sz w:val="12"/>
          <w:szCs w:val="12"/>
          <w:color w:val="auto"/>
        </w:rPr>
      </w:pPr>
      <w:r>
        <w:rPr>
          <w:rFonts w:ascii="Arial" w:cs="Arial" w:eastAsia="Arial" w:hAnsi="Arial"/>
          <w:sz w:val="12"/>
          <w:szCs w:val="12"/>
          <w:color w:val="auto"/>
        </w:rPr>
        <w:t>We present Diluted EPS for Tradeweb Markets Inc. for the fourth quarter of 2019 and for Tradeweb Markets LLC for the fourth quarter of 2018, as the Reorganization Transactions and the IPO were completed in April 2019. As a consequence, the Diluted EPS information for Tradeweb Markets Inc. and Tradeweb Markets LLC is not comparable. See “Presentation” and “Basic and Diluted EPS Calculations” below for additional information.</w:t>
      </w:r>
    </w:p>
    <w:p>
      <w:pPr>
        <w:spacing w:after="0" w:line="33" w:lineRule="exact"/>
        <w:rPr>
          <w:rFonts w:ascii="Arial" w:cs="Arial" w:eastAsia="Arial" w:hAnsi="Arial"/>
          <w:sz w:val="12"/>
          <w:szCs w:val="12"/>
          <w:color w:val="auto"/>
        </w:rPr>
      </w:pPr>
    </w:p>
    <w:p>
      <w:pPr>
        <w:ind w:left="660" w:right="20" w:hanging="333"/>
        <w:spacing w:after="0" w:line="225"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Adjusted EBITDA, Adjusted EBITDA margin, Adjusted EBIT, Adjusted EBIT margin, Adjusted Net Income and Adjusted Diluted EPS are non-GAAP financial measures. See "Non-GAAP Financial Measures" below and the attached schedules for additional information and reconciliations of such non-GAAP financial measures.</w:t>
      </w:r>
    </w:p>
    <w:p>
      <w:pPr>
        <w:spacing w:after="0" w:line="38" w:lineRule="exact"/>
        <w:rPr>
          <w:rFonts w:ascii="Arial" w:cs="Arial" w:eastAsia="Arial" w:hAnsi="Arial"/>
          <w:sz w:val="13"/>
          <w:szCs w:val="13"/>
          <w:color w:val="auto"/>
        </w:rPr>
      </w:pPr>
    </w:p>
    <w:p>
      <w:pPr>
        <w:ind w:left="660" w:right="40" w:hanging="333"/>
        <w:spacing w:after="0" w:line="223" w:lineRule="auto"/>
        <w:tabs>
          <w:tab w:leader="none" w:pos="66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present Adjusted Diluted EPS for Tradeweb Markets Inc. for the fourth quarter of 2019 and for Tradeweb Markets LLC for the fourth quarter of 2018. Because Adjusted Diluted EPS includes certain tax related adjustments to reflect an assumed effective tax rate for all periods presented and, for the fourth quarter of 2019, assumes all equity interests of Tradeweb Markets LLC are exchanged for shares of Class A or Class B common stock, we believe that Adjusted Diluted EPS for Tradeweb Markets Inc. and Tradeweb Markets LLC are comparable.</w:t>
      </w:r>
    </w:p>
    <w:p>
      <w:pPr>
        <w:spacing w:after="0" w:line="246"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222222"/>
        </w:rPr>
        <w:t>“Diversification across products, protocols, client sectors and regions drove continued double-digit growth in total trading activity in the fourth quarter. New highs for volumes and market share in US credit reflect heightened client demand for advanced trading protocols such as portfolio trading, all-to-all trading and session-based trading. Rates cash and derivatives volumes surged on higher trading activity in mortgages and interest rate derivatives. AiEX automated trading accounted for more than a quarter of total institutional tickets across all products during the quarter as clients look for ways to improve workflows,” added Mr. Olesky.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w:t>
      </w:r>
    </w:p>
    <w:p>
      <w:pPr>
        <w:spacing w:after="0" w:line="18"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b w:val="1"/>
          <w:bCs w:val="1"/>
          <w:color w:val="auto"/>
        </w:rPr>
        <w:t xml:space="preserve">Rates </w:t>
      </w:r>
      <w:r>
        <w:rPr>
          <w:rFonts w:ascii="Arial" w:cs="Arial" w:eastAsia="Arial" w:hAnsi="Arial"/>
          <w:sz w:val="18"/>
          <w:szCs w:val="18"/>
          <w:color w:val="auto"/>
        </w:rPr>
        <w:t>– Revenues from rates of $107.5 million in the fourth quarter of 2019 increased 10.2%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2018 (10.8% on a constant currency basis). ADV in rates of $451.3 billion for the fourth quarter of 2019 increased 19.1% due mainly to increased trading activity in mortgages and interest rate swaps and swaptions.</w:t>
      </w:r>
    </w:p>
    <w:p>
      <w:pPr>
        <w:spacing w:after="0" w:line="16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b w:val="1"/>
          <w:bCs w:val="1"/>
          <w:color w:val="auto"/>
        </w:rPr>
        <w:t xml:space="preserve">Credit – </w:t>
      </w:r>
      <w:r>
        <w:rPr>
          <w:rFonts w:ascii="Arial" w:cs="Arial" w:eastAsia="Arial" w:hAnsi="Arial"/>
          <w:sz w:val="18"/>
          <w:szCs w:val="18"/>
          <w:color w:val="auto"/>
        </w:rPr>
        <w:t>Revenues from credit of $ 43.5 million in the fourth quarter of 2019 increased 17.0%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2018 (20.0% on a constant currency basis). ADV in credit of $13.2 billion for the fourth quarter of 2019 increased 9.8% due mainly to new quarterly records for US high-grade and high-yield credit plus increased trading activity in European credit.</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27" w:right="1419" w:bottom="1440" w:gutter="0" w:footer="0" w:header="0"/>
        </w:sectPr>
      </w:pPr>
    </w:p>
    <w:bookmarkStart w:id="5" w:name="page6"/>
    <w:bookmarkEnd w:id="5"/>
    <w:p>
      <w:pPr>
        <w:jc w:val="both"/>
        <w:ind w:right="20"/>
        <w:spacing w:after="0" w:line="25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 xml:space="preserve">Equities </w:t>
      </w:r>
      <w:r>
        <w:rPr>
          <w:rFonts w:ascii="Arial" w:cs="Arial" w:eastAsia="Arial" w:hAnsi="Arial"/>
          <w:sz w:val="18"/>
          <w:szCs w:val="18"/>
          <w:color w:val="auto"/>
        </w:rPr>
        <w:t>– Revenues from equities of $11.7 million in the fourth quarter of 2019 decreased 7.4%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of 2018 (-5.4% on a constant currency basis). ADV in equities of $9.0 billion for the fourth quarter of 2019 increased 5.2% due mainly to a new quarterly record for convertibles, swaps and options.</w:t>
      </w:r>
    </w:p>
    <w:p>
      <w:pPr>
        <w:spacing w:after="0" w:line="156"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b w:val="1"/>
          <w:bCs w:val="1"/>
          <w:color w:val="auto"/>
        </w:rPr>
        <w:t xml:space="preserve">Money Markets </w:t>
      </w:r>
      <w:r>
        <w:rPr>
          <w:rFonts w:ascii="Arial" w:cs="Arial" w:eastAsia="Arial" w:hAnsi="Arial"/>
          <w:sz w:val="18"/>
          <w:szCs w:val="18"/>
          <w:color w:val="auto"/>
        </w:rPr>
        <w:t>– Revenues from money markets of $10.0 million in the fourth quarter of 2019 increased 5.6%</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fourth quarter of 2018 (6.3% on a constant currency basis). ADV in money markets of $211.1 billion for the fourth quarter of 2019 rose 11.7% due to the continued growth of bilateral electronic trading in repurchase agreements.</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color w:val="auto"/>
        </w:rPr>
        <w:t xml:space="preserve">Market Data </w:t>
      </w:r>
      <w:r>
        <w:rPr>
          <w:rFonts w:ascii="Arial" w:cs="Arial" w:eastAsia="Arial" w:hAnsi="Arial"/>
          <w:sz w:val="18"/>
          <w:szCs w:val="18"/>
          <w:color w:val="auto"/>
        </w:rPr>
        <w:t>– Revenues from market data of $19.4 million in the fourth quarter of 2019 increased 15.7%</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fourth quarter of 2018 (15.9% on a constant currency basis) due to the delivery of additional data under our market data license agreement with Refinitiv.</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 Operating expenses of $143.0 million in the fourth quarter of 2019 decreased 2.5%</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fourth quarter of 2018 and was impacted by a net depreciation and amortization expense of</w:t>
      </w:r>
    </w:p>
    <w:p>
      <w:pPr>
        <w:spacing w:after="0" w:line="234" w:lineRule="auto"/>
        <w:rPr>
          <w:sz w:val="20"/>
          <w:szCs w:val="20"/>
          <w:color w:val="auto"/>
        </w:rPr>
      </w:pPr>
      <w:r>
        <w:rPr>
          <w:rFonts w:ascii="Arial" w:cs="Arial" w:eastAsia="Arial" w:hAnsi="Arial"/>
          <w:sz w:val="18"/>
          <w:szCs w:val="18"/>
          <w:color w:val="auto"/>
        </w:rPr>
        <w:t>$18.9 million as a result of the Refinitiv Transaction and the subsequent revaluation of our balance sheet as well</w:t>
      </w:r>
    </w:p>
    <w:p>
      <w:pPr>
        <w:spacing w:after="0" w:line="235" w:lineRule="auto"/>
        <w:rPr>
          <w:sz w:val="20"/>
          <w:szCs w:val="20"/>
          <w:color w:val="auto"/>
        </w:rPr>
      </w:pPr>
      <w:r>
        <w:rPr>
          <w:rFonts w:ascii="Arial" w:cs="Arial" w:eastAsia="Arial" w:hAnsi="Arial"/>
          <w:sz w:val="18"/>
          <w:szCs w:val="18"/>
          <w:color w:val="auto"/>
        </w:rPr>
        <w:t>as non-cash stock-based compensation expense and payroll taxes of $2.7 million, which were related to the</w:t>
      </w:r>
    </w:p>
    <w:p>
      <w:pPr>
        <w:spacing w:after="0" w:line="235" w:lineRule="auto"/>
        <w:rPr>
          <w:sz w:val="20"/>
          <w:szCs w:val="20"/>
          <w:color w:val="auto"/>
        </w:rPr>
      </w:pPr>
      <w:r>
        <w:rPr>
          <w:rFonts w:ascii="Arial" w:cs="Arial" w:eastAsia="Arial" w:hAnsi="Arial"/>
          <w:sz w:val="18"/>
          <w:szCs w:val="18"/>
          <w:color w:val="auto"/>
        </w:rPr>
        <w:t>Special Option Award and post-IPO options awarded in 2019 and options exercised during the quarter,</w:t>
      </w:r>
    </w:p>
    <w:p>
      <w:pPr>
        <w:spacing w:after="0" w:line="235" w:lineRule="auto"/>
        <w:rPr>
          <w:sz w:val="20"/>
          <w:szCs w:val="20"/>
          <w:color w:val="auto"/>
        </w:rPr>
      </w:pPr>
      <w:r>
        <w:rPr>
          <w:rFonts w:ascii="Arial" w:cs="Arial" w:eastAsia="Arial" w:hAnsi="Arial"/>
          <w:sz w:val="18"/>
          <w:szCs w:val="18"/>
          <w:color w:val="auto"/>
        </w:rPr>
        <w:t>respectively. Excluding these items, as well as certain gains and losses, Adjusted Expenses were $115.8 million</w:t>
      </w:r>
    </w:p>
    <w:p>
      <w:pPr>
        <w:spacing w:after="0" w:line="235" w:lineRule="auto"/>
        <w:rPr>
          <w:sz w:val="20"/>
          <w:szCs w:val="20"/>
          <w:color w:val="auto"/>
        </w:rPr>
      </w:pPr>
      <w:r>
        <w:rPr>
          <w:rFonts w:ascii="Arial" w:cs="Arial" w:eastAsia="Arial" w:hAnsi="Arial"/>
          <w:sz w:val="18"/>
          <w:szCs w:val="18"/>
          <w:color w:val="auto"/>
        </w:rPr>
        <w:t>in the fourth quarter of 2019. Adjusted Expenses decreased 6.5% year over year primarily due to higher fourth</w:t>
      </w:r>
    </w:p>
    <w:p>
      <w:pPr>
        <w:spacing w:after="0" w:line="235" w:lineRule="auto"/>
        <w:rPr>
          <w:sz w:val="20"/>
          <w:szCs w:val="20"/>
          <w:color w:val="auto"/>
        </w:rPr>
      </w:pPr>
      <w:r>
        <w:rPr>
          <w:rFonts w:ascii="Arial" w:cs="Arial" w:eastAsia="Arial" w:hAnsi="Arial"/>
          <w:sz w:val="18"/>
          <w:szCs w:val="18"/>
          <w:color w:val="auto"/>
        </w:rPr>
        <w:t>quarter 2018 expenses associated with the timing of performance-related compensation expense. Please see</w:t>
      </w:r>
    </w:p>
    <w:p>
      <w:pPr>
        <w:spacing w:after="0"/>
        <w:rPr>
          <w:sz w:val="20"/>
          <w:szCs w:val="20"/>
          <w:color w:val="auto"/>
        </w:rPr>
      </w:pPr>
      <w:r>
        <w:rPr>
          <w:rFonts w:ascii="Arial" w:cs="Arial" w:eastAsia="Arial" w:hAnsi="Arial"/>
          <w:sz w:val="18"/>
          <w:szCs w:val="18"/>
          <w:color w:val="auto"/>
        </w:rPr>
        <w:t>"Non-GAAP Financial Measures" below for additional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2019</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Gross revenue increased 13.3% (15.1% on a constant currency basis) compared to the combined year ended December 31, 2018 to a record $775.6 million in 2019. Net income was $173.0 million in 2019. Net income in 2019 was impacted by net depreciation and amortization expense of $71.5 million as a result of the Refinitiv Transaction and the subsequent revaluation of our balance sheet as well as non-cash stock-based compensation expense and payroll taxes of $25.1 million, which were primarily related to the Special Option Award, as a result of the completion of the IPO during the second quarter of 2019, and options exercised in 2019, respectively. Diluted EPS for Tradeweb Markets Inc. was $0.54 and Diluted EPS for Tradeweb Markets LLC was $0.19 for 2019.</w:t>
      </w:r>
    </w:p>
    <w:p>
      <w:pPr>
        <w:spacing w:after="0" w:line="19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Adjusted EBITDA margin increased to 45.5% for 2019 compared to 40.8% for the combined year ended December 31, 2018, representing an increase of 471 basis points (530 bps on a constant currency basis). Adjusted Diluted EPS for Tradeweb Markets Inc. was $0.77 and Adjusted Diluted EPS for Tradeweb Markets LLC was $0.23 for 2019.</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3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Successor</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Combined</w:t>
            </w:r>
            <w:r>
              <w:rPr>
                <w:rFonts w:ascii="Arial" w:cs="Arial" w:eastAsia="Arial" w:hAnsi="Arial"/>
                <w:sz w:val="14"/>
                <w:szCs w:val="14"/>
                <w:b w:val="1"/>
                <w:bCs w:val="1"/>
                <w:color w:val="auto"/>
                <w:vertAlign w:val="superscript"/>
              </w:rPr>
              <w:t>(1)</w:t>
            </w:r>
          </w:p>
        </w:tc>
        <w:tc>
          <w:tcPr>
            <w:tcW w:w="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7"/>
              </w:rPr>
              <w:t>Successor</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Predecessor</w:t>
            </w: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rPr>
              <w:t>October 1,</w:t>
            </w: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ind w:right="17"/>
              <w:spacing w:after="0" w:line="107" w:lineRule="exact"/>
              <w:rPr>
                <w:sz w:val="20"/>
                <w:szCs w:val="20"/>
                <w:color w:val="auto"/>
              </w:rPr>
            </w:pPr>
            <w:r>
              <w:rPr>
                <w:rFonts w:ascii="Arial" w:cs="Arial" w:eastAsia="Arial" w:hAnsi="Arial"/>
                <w:sz w:val="12"/>
                <w:szCs w:val="12"/>
                <w:b w:val="1"/>
                <w:bCs w:val="1"/>
                <w:color w:val="auto"/>
              </w:rPr>
              <w:t>January 1,</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Year Ended</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Year Ended</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98"/>
              </w:rPr>
              <w:t>2018 to</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2018 to</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Constant</w:t>
            </w:r>
          </w:p>
        </w:tc>
        <w:tc>
          <w:tcPr>
            <w:tcW w:w="0" w:type="dxa"/>
            <w:vAlign w:val="bottom"/>
          </w:tcPr>
          <w:p>
            <w:pPr>
              <w:spacing w:after="0"/>
              <w:rPr>
                <w:sz w:val="1"/>
                <w:szCs w:val="1"/>
                <w:color w:val="auto"/>
              </w:rPr>
            </w:pPr>
          </w:p>
        </w:tc>
      </w:tr>
      <w:tr>
        <w:trPr>
          <w:trHeight w:val="135"/>
        </w:trPr>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December</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December</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5"/>
              </w:rPr>
              <w:t>December</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98"/>
              </w:rPr>
              <w:t>September</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580" w:type="dxa"/>
            <w:vAlign w:val="bottom"/>
          </w:tcPr>
          <w:p>
            <w:pPr>
              <w:spacing w:after="0" w:line="130" w:lineRule="exact"/>
              <w:rPr>
                <w:sz w:val="20"/>
                <w:szCs w:val="20"/>
                <w:color w:val="auto"/>
              </w:rPr>
            </w:pPr>
            <w:r>
              <w:rPr>
                <w:rFonts w:ascii="Arial" w:cs="Arial" w:eastAsia="Arial" w:hAnsi="Arial"/>
                <w:sz w:val="13"/>
                <w:szCs w:val="13"/>
                <w:b w:val="1"/>
                <w:bCs w:val="1"/>
                <w:color w:val="auto"/>
              </w:rPr>
              <w:t>Select Full Year Financial Results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right"/>
              <w:ind w:right="218"/>
              <w:spacing w:after="0" w:line="130" w:lineRule="exact"/>
              <w:rPr>
                <w:sz w:val="20"/>
                <w:szCs w:val="20"/>
                <w:color w:val="auto"/>
              </w:rPr>
            </w:pPr>
            <w:r>
              <w:rPr>
                <w:rFonts w:ascii="Arial" w:cs="Arial" w:eastAsia="Arial" w:hAnsi="Arial"/>
                <w:sz w:val="13"/>
                <w:szCs w:val="13"/>
                <w:b w:val="1"/>
                <w:bCs w:val="1"/>
                <w:color w:val="auto"/>
              </w:rPr>
              <w:t>31,</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jc w:val="right"/>
              <w:ind w:right="197"/>
              <w:spacing w:after="0" w:line="130" w:lineRule="exact"/>
              <w:rPr>
                <w:sz w:val="20"/>
                <w:szCs w:val="20"/>
                <w:color w:val="auto"/>
              </w:rPr>
            </w:pPr>
            <w:r>
              <w:rPr>
                <w:rFonts w:ascii="Arial" w:cs="Arial" w:eastAsia="Arial" w:hAnsi="Arial"/>
                <w:sz w:val="13"/>
                <w:szCs w:val="13"/>
                <w:b w:val="1"/>
                <w:bCs w:val="1"/>
                <w:color w:val="auto"/>
              </w:rPr>
              <w:t>31,</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217"/>
              <w:spacing w:after="0" w:line="130" w:lineRule="exact"/>
              <w:rPr>
                <w:sz w:val="20"/>
                <w:szCs w:val="20"/>
                <w:color w:val="auto"/>
              </w:rPr>
            </w:pPr>
            <w:r>
              <w:rPr>
                <w:rFonts w:ascii="Arial" w:cs="Arial" w:eastAsia="Arial" w:hAnsi="Arial"/>
                <w:sz w:val="13"/>
                <w:szCs w:val="13"/>
                <w:b w:val="1"/>
                <w:bCs w:val="1"/>
                <w:color w:val="auto"/>
              </w:rPr>
              <w:t>31,</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37"/>
              <w:spacing w:after="0" w:line="130" w:lineRule="exact"/>
              <w:rPr>
                <w:sz w:val="20"/>
                <w:szCs w:val="20"/>
                <w:color w:val="auto"/>
              </w:rPr>
            </w:pPr>
            <w:r>
              <w:rPr>
                <w:rFonts w:ascii="Arial" w:cs="Arial" w:eastAsia="Arial" w:hAnsi="Arial"/>
                <w:sz w:val="13"/>
                <w:szCs w:val="13"/>
                <w:b w:val="1"/>
                <w:bCs w:val="1"/>
                <w:color w:val="auto"/>
              </w:rPr>
              <w:t>30,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3"/>
                <w:szCs w:val="13"/>
                <w:b w:val="1"/>
                <w:bCs w:val="1"/>
                <w:color w:val="auto"/>
              </w:rPr>
              <w:t>Currency</w:t>
            </w:r>
          </w:p>
        </w:tc>
        <w:tc>
          <w:tcPr>
            <w:tcW w:w="0" w:type="dxa"/>
            <w:vAlign w:val="bottom"/>
          </w:tcPr>
          <w:p>
            <w:pPr>
              <w:spacing w:after="0"/>
              <w:rPr>
                <w:sz w:val="1"/>
                <w:szCs w:val="1"/>
                <w:color w:val="auto"/>
              </w:rPr>
            </w:pPr>
          </w:p>
        </w:tc>
      </w:tr>
      <w:tr>
        <w:trPr>
          <w:trHeight w:val="162"/>
        </w:trPr>
        <w:tc>
          <w:tcPr>
            <w:tcW w:w="3580" w:type="dxa"/>
            <w:vAlign w:val="bottom"/>
          </w:tcPr>
          <w:p>
            <w:pPr>
              <w:spacing w:after="0"/>
              <w:rPr>
                <w:sz w:val="20"/>
                <w:szCs w:val="20"/>
                <w:color w:val="auto"/>
              </w:rPr>
            </w:pPr>
            <w:r>
              <w:rPr>
                <w:rFonts w:ascii="Arial" w:cs="Arial" w:eastAsia="Arial" w:hAnsi="Arial"/>
                <w:sz w:val="13"/>
                <w:szCs w:val="13"/>
                <w:b w:val="1"/>
                <w:bCs w:val="1"/>
                <w:color w:val="auto"/>
              </w:rPr>
              <w:t>(dollars in thousands except per share amounts)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58"/>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82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w w:val="98"/>
              </w:rPr>
              <w:t>% Change</w:t>
            </w:r>
          </w:p>
        </w:tc>
        <w:tc>
          <w:tcPr>
            <w:tcW w:w="840" w:type="dxa"/>
            <w:vAlign w:val="bottom"/>
            <w:gridSpan w:val="2"/>
          </w:tcPr>
          <w:p>
            <w:pPr>
              <w:ind w:left="80"/>
              <w:spacing w:after="0"/>
              <w:rPr>
                <w:sz w:val="20"/>
                <w:szCs w:val="20"/>
                <w:color w:val="auto"/>
              </w:rPr>
            </w:pPr>
            <w:r>
              <w:rPr>
                <w:rFonts w:ascii="Arial" w:cs="Arial" w:eastAsia="Arial" w:hAnsi="Arial"/>
                <w:sz w:val="13"/>
                <w:szCs w:val="13"/>
                <w:b w:val="1"/>
                <w:bCs w:val="1"/>
                <w:color w:val="auto"/>
              </w:rPr>
              <w:t>Growth</w:t>
            </w:r>
            <w:r>
              <w:rPr>
                <w:rFonts w:ascii="Arial" w:cs="Arial" w:eastAsia="Arial" w:hAnsi="Arial"/>
                <w:sz w:val="14"/>
                <w:szCs w:val="14"/>
                <w:b w:val="1"/>
                <w:bCs w:val="1"/>
                <w:color w:val="auto"/>
                <w:vertAlign w:val="superscript"/>
              </w:rPr>
              <w:t>(2</w:t>
            </w:r>
            <w:r>
              <w:rPr>
                <w:rFonts w:ascii="Arial" w:cs="Arial" w:eastAsia="Arial" w:hAnsi="Arial"/>
                <w:sz w:val="14"/>
                <w:szCs w:val="14"/>
                <w:color w:val="auto"/>
                <w:vertAlign w:val="superscript"/>
              </w:rPr>
              <w:t>)</w:t>
            </w:r>
          </w:p>
        </w:tc>
        <w:tc>
          <w:tcPr>
            <w:tcW w:w="0" w:type="dxa"/>
            <w:vAlign w:val="bottom"/>
          </w:tcPr>
          <w:p>
            <w:pPr>
              <w:spacing w:after="0"/>
              <w:rPr>
                <w:sz w:val="1"/>
                <w:szCs w:val="1"/>
                <w:color w:val="auto"/>
              </w:rPr>
            </w:pPr>
          </w:p>
        </w:tc>
      </w:tr>
      <w:tr>
        <w:trPr>
          <w:trHeight w:val="129"/>
        </w:trPr>
        <w:tc>
          <w:tcPr>
            <w:tcW w:w="35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Gross revenue</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9"/>
                <w:szCs w:val="9"/>
                <w:color w:val="auto"/>
                <w:w w:val="78"/>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775,566</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684,408</w:t>
            </w: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178,637</w:t>
            </w:r>
          </w:p>
        </w:tc>
        <w:tc>
          <w:tcPr>
            <w:tcW w:w="14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505,771</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13.3</w:t>
            </w:r>
          </w:p>
        </w:tc>
        <w:tc>
          <w:tcPr>
            <w:tcW w:w="16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1"/>
              </w:rPr>
              <w:t>%</w:t>
            </w:r>
          </w:p>
        </w:tc>
        <w:tc>
          <w:tcPr>
            <w:tcW w:w="6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15.1</w:t>
            </w:r>
          </w:p>
        </w:tc>
        <w:tc>
          <w:tcPr>
            <w:tcW w:w="160" w:type="dxa"/>
            <w:vAlign w:val="bottom"/>
            <w:tcBorders>
              <w:top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Rates</w:t>
            </w:r>
          </w:p>
        </w:tc>
        <w:tc>
          <w:tcPr>
            <w:tcW w:w="240" w:type="dxa"/>
            <w:vAlign w:val="bottom"/>
            <w:gridSpan w:val="2"/>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434,197</w:t>
            </w:r>
          </w:p>
        </w:tc>
        <w:tc>
          <w:tcPr>
            <w:tcW w:w="140" w:type="dxa"/>
            <w:vAlign w:val="bottom"/>
            <w:tcBorders>
              <w:right w:val="single" w:sz="8" w:color="auto"/>
            </w:tcBorders>
          </w:tcPr>
          <w:p>
            <w:pPr>
              <w:spacing w:after="0"/>
              <w:rPr>
                <w:sz w:val="11"/>
                <w:szCs w:val="11"/>
                <w:color w:val="auto"/>
              </w:rPr>
            </w:pPr>
          </w:p>
        </w:tc>
        <w:tc>
          <w:tcPr>
            <w:tcW w:w="22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379,233</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97,592</w:t>
            </w:r>
          </w:p>
        </w:tc>
        <w:tc>
          <w:tcPr>
            <w:tcW w:w="140" w:type="dxa"/>
            <w:vAlign w:val="bottom"/>
            <w:tcBorders>
              <w:right w:val="single" w:sz="8" w:color="auto"/>
            </w:tcBorders>
          </w:tcPr>
          <w:p>
            <w:pPr>
              <w:spacing w:after="0"/>
              <w:rPr>
                <w:sz w:val="11"/>
                <w:szCs w:val="11"/>
                <w:color w:val="auto"/>
              </w:rPr>
            </w:pP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281,641</w:t>
            </w:r>
          </w:p>
        </w:tc>
        <w:tc>
          <w:tcPr>
            <w:tcW w:w="100" w:type="dxa"/>
            <w:vAlign w:val="bottom"/>
          </w:tcPr>
          <w:p>
            <w:pPr>
              <w:spacing w:after="0"/>
              <w:rPr>
                <w:sz w:val="11"/>
                <w:szCs w:val="11"/>
                <w:color w:val="auto"/>
              </w:rPr>
            </w:pPr>
          </w:p>
        </w:tc>
        <w:tc>
          <w:tcPr>
            <w:tcW w:w="82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 xml:space="preserve">14.5 </w:t>
            </w:r>
            <w:r>
              <w:rPr>
                <w:rFonts w:ascii="Arial" w:cs="Arial" w:eastAsia="Arial" w:hAnsi="Arial"/>
                <w:sz w:val="10"/>
                <w:szCs w:val="10"/>
                <w:color w:val="auto"/>
              </w:rPr>
              <w:t>%</w:t>
            </w:r>
          </w:p>
        </w:tc>
        <w:tc>
          <w:tcPr>
            <w:tcW w:w="84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 xml:space="preserve">15.7 </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Credit</w:t>
            </w:r>
          </w:p>
        </w:tc>
        <w:tc>
          <w:tcPr>
            <w:tcW w:w="240" w:type="dxa"/>
            <w:vAlign w:val="bottom"/>
            <w:gridSpan w:val="2"/>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162,154</w:t>
            </w:r>
          </w:p>
        </w:tc>
        <w:tc>
          <w:tcPr>
            <w:tcW w:w="140" w:type="dxa"/>
            <w:vAlign w:val="bottom"/>
            <w:tcBorders>
              <w:right w:val="single" w:sz="8" w:color="auto"/>
            </w:tcBorders>
            <w:shd w:val="clear" w:color="auto" w:fill="CCEEFF"/>
          </w:tcPr>
          <w:p>
            <w:pPr>
              <w:spacing w:after="0"/>
              <w:rPr>
                <w:sz w:val="11"/>
                <w:szCs w:val="11"/>
                <w:color w:val="auto"/>
              </w:rPr>
            </w:pPr>
          </w:p>
        </w:tc>
        <w:tc>
          <w:tcPr>
            <w:tcW w:w="2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139,656</w:t>
            </w:r>
          </w:p>
        </w:tc>
        <w:tc>
          <w:tcPr>
            <w:tcW w:w="1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37,204</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102,452</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 xml:space="preserve">16.1 </w:t>
            </w:r>
            <w:r>
              <w:rPr>
                <w:rFonts w:ascii="Arial" w:cs="Arial" w:eastAsia="Arial" w:hAnsi="Arial"/>
                <w:sz w:val="10"/>
                <w:szCs w:val="10"/>
                <w:color w:val="auto"/>
              </w:rPr>
              <w:t>%</w:t>
            </w:r>
          </w:p>
        </w:tc>
        <w:tc>
          <w:tcPr>
            <w:tcW w:w="84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 xml:space="preserve">19.5 </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Equities</w:t>
            </w:r>
          </w:p>
        </w:tc>
        <w:tc>
          <w:tcPr>
            <w:tcW w:w="240" w:type="dxa"/>
            <w:vAlign w:val="bottom"/>
            <w:gridSpan w:val="2"/>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46,912</w:t>
            </w:r>
          </w:p>
        </w:tc>
        <w:tc>
          <w:tcPr>
            <w:tcW w:w="140" w:type="dxa"/>
            <w:vAlign w:val="bottom"/>
            <w:tcBorders>
              <w:right w:val="single" w:sz="8" w:color="auto"/>
            </w:tcBorders>
          </w:tcPr>
          <w:p>
            <w:pPr>
              <w:spacing w:after="0"/>
              <w:rPr>
                <w:sz w:val="11"/>
                <w:szCs w:val="11"/>
                <w:color w:val="auto"/>
              </w:rPr>
            </w:pPr>
          </w:p>
        </w:tc>
        <w:tc>
          <w:tcPr>
            <w:tcW w:w="22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40,939</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12,592</w:t>
            </w:r>
          </w:p>
        </w:tc>
        <w:tc>
          <w:tcPr>
            <w:tcW w:w="140" w:type="dxa"/>
            <w:vAlign w:val="bottom"/>
            <w:tcBorders>
              <w:right w:val="single" w:sz="8" w:color="auto"/>
            </w:tcBorders>
          </w:tcPr>
          <w:p>
            <w:pPr>
              <w:spacing w:after="0"/>
              <w:rPr>
                <w:sz w:val="11"/>
                <w:szCs w:val="11"/>
                <w:color w:val="auto"/>
              </w:rPr>
            </w:pP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28,347</w:t>
            </w:r>
          </w:p>
        </w:tc>
        <w:tc>
          <w:tcPr>
            <w:tcW w:w="100" w:type="dxa"/>
            <w:vAlign w:val="bottom"/>
          </w:tcPr>
          <w:p>
            <w:pPr>
              <w:spacing w:after="0"/>
              <w:rPr>
                <w:sz w:val="11"/>
                <w:szCs w:val="11"/>
                <w:color w:val="auto"/>
              </w:rPr>
            </w:pPr>
          </w:p>
        </w:tc>
        <w:tc>
          <w:tcPr>
            <w:tcW w:w="82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 xml:space="preserve">14.6 </w:t>
            </w:r>
            <w:r>
              <w:rPr>
                <w:rFonts w:ascii="Arial" w:cs="Arial" w:eastAsia="Arial" w:hAnsi="Arial"/>
                <w:sz w:val="10"/>
                <w:szCs w:val="10"/>
                <w:color w:val="auto"/>
              </w:rPr>
              <w:t>%</w:t>
            </w:r>
          </w:p>
        </w:tc>
        <w:tc>
          <w:tcPr>
            <w:tcW w:w="84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 xml:space="preserve">18.5 </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Money Markets</w:t>
            </w:r>
          </w:p>
        </w:tc>
        <w:tc>
          <w:tcPr>
            <w:tcW w:w="240" w:type="dxa"/>
            <w:vAlign w:val="bottom"/>
            <w:gridSpan w:val="2"/>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40,392</w:t>
            </w:r>
          </w:p>
        </w:tc>
        <w:tc>
          <w:tcPr>
            <w:tcW w:w="140" w:type="dxa"/>
            <w:vAlign w:val="bottom"/>
            <w:tcBorders>
              <w:right w:val="single" w:sz="8" w:color="auto"/>
            </w:tcBorders>
            <w:shd w:val="clear" w:color="auto" w:fill="CCEEFF"/>
          </w:tcPr>
          <w:p>
            <w:pPr>
              <w:spacing w:after="0"/>
              <w:rPr>
                <w:sz w:val="11"/>
                <w:szCs w:val="11"/>
                <w:color w:val="auto"/>
              </w:rPr>
            </w:pPr>
          </w:p>
        </w:tc>
        <w:tc>
          <w:tcPr>
            <w:tcW w:w="2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34,741</w:t>
            </w:r>
          </w:p>
        </w:tc>
        <w:tc>
          <w:tcPr>
            <w:tcW w:w="1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9,493</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25,248</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 xml:space="preserve">16.3 </w:t>
            </w:r>
            <w:r>
              <w:rPr>
                <w:rFonts w:ascii="Arial" w:cs="Arial" w:eastAsia="Arial" w:hAnsi="Arial"/>
                <w:sz w:val="10"/>
                <w:szCs w:val="10"/>
                <w:color w:val="auto"/>
              </w:rPr>
              <w:t>%</w:t>
            </w:r>
          </w:p>
        </w:tc>
        <w:tc>
          <w:tcPr>
            <w:tcW w:w="84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 xml:space="preserve">17.2 </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580" w:type="dxa"/>
            <w:vAlign w:val="bottom"/>
          </w:tcPr>
          <w:p>
            <w:pPr>
              <w:ind w:left="120"/>
              <w:spacing w:after="0" w:line="135" w:lineRule="exact"/>
              <w:rPr>
                <w:sz w:val="20"/>
                <w:szCs w:val="20"/>
                <w:color w:val="auto"/>
              </w:rPr>
            </w:pPr>
            <w:r>
              <w:rPr>
                <w:rFonts w:ascii="Arial" w:cs="Arial" w:eastAsia="Arial" w:hAnsi="Arial"/>
                <w:sz w:val="13"/>
                <w:szCs w:val="13"/>
                <w:color w:val="auto"/>
              </w:rPr>
              <w:t>Market Data</w:t>
            </w:r>
          </w:p>
        </w:tc>
        <w:tc>
          <w:tcPr>
            <w:tcW w:w="240" w:type="dxa"/>
            <w:vAlign w:val="bottom"/>
            <w:gridSpan w:val="2"/>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70,722</w:t>
            </w:r>
          </w:p>
        </w:tc>
        <w:tc>
          <w:tcPr>
            <w:tcW w:w="140" w:type="dxa"/>
            <w:vAlign w:val="bottom"/>
            <w:tcBorders>
              <w:right w:val="single" w:sz="8" w:color="auto"/>
            </w:tcBorders>
          </w:tcPr>
          <w:p>
            <w:pPr>
              <w:spacing w:after="0"/>
              <w:rPr>
                <w:sz w:val="11"/>
                <w:szCs w:val="11"/>
                <w:color w:val="auto"/>
              </w:rPr>
            </w:pPr>
          </w:p>
        </w:tc>
        <w:tc>
          <w:tcPr>
            <w:tcW w:w="22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63,792</w:t>
            </w:r>
          </w:p>
        </w:tc>
        <w:tc>
          <w:tcPr>
            <w:tcW w:w="1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16,733</w:t>
            </w:r>
          </w:p>
        </w:tc>
        <w:tc>
          <w:tcPr>
            <w:tcW w:w="140" w:type="dxa"/>
            <w:vAlign w:val="bottom"/>
            <w:tcBorders>
              <w:right w:val="single" w:sz="8" w:color="auto"/>
            </w:tcBorders>
          </w:tcPr>
          <w:p>
            <w:pPr>
              <w:spacing w:after="0"/>
              <w:rPr>
                <w:sz w:val="11"/>
                <w:szCs w:val="11"/>
                <w:color w:val="auto"/>
              </w:rPr>
            </w:pP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47,059</w:t>
            </w:r>
          </w:p>
        </w:tc>
        <w:tc>
          <w:tcPr>
            <w:tcW w:w="100" w:type="dxa"/>
            <w:vAlign w:val="bottom"/>
          </w:tcPr>
          <w:p>
            <w:pPr>
              <w:spacing w:after="0"/>
              <w:rPr>
                <w:sz w:val="11"/>
                <w:szCs w:val="11"/>
                <w:color w:val="auto"/>
              </w:rPr>
            </w:pPr>
          </w:p>
        </w:tc>
        <w:tc>
          <w:tcPr>
            <w:tcW w:w="82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 xml:space="preserve">10.9 </w:t>
            </w:r>
            <w:r>
              <w:rPr>
                <w:rFonts w:ascii="Arial" w:cs="Arial" w:eastAsia="Arial" w:hAnsi="Arial"/>
                <w:sz w:val="10"/>
                <w:szCs w:val="10"/>
                <w:color w:val="auto"/>
              </w:rPr>
              <w:t>%</w:t>
            </w:r>
          </w:p>
        </w:tc>
        <w:tc>
          <w:tcPr>
            <w:tcW w:w="84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 xml:space="preserve">11.6 </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w:t>
            </w:r>
          </w:p>
        </w:tc>
        <w:tc>
          <w:tcPr>
            <w:tcW w:w="240" w:type="dxa"/>
            <w:vAlign w:val="bottom"/>
            <w:gridSpan w:val="2"/>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21,189</w:t>
            </w:r>
          </w:p>
        </w:tc>
        <w:tc>
          <w:tcPr>
            <w:tcW w:w="140" w:type="dxa"/>
            <w:vAlign w:val="bottom"/>
            <w:tcBorders>
              <w:right w:val="single" w:sz="8" w:color="auto"/>
            </w:tcBorders>
            <w:shd w:val="clear" w:color="auto" w:fill="CCEEFF"/>
          </w:tcPr>
          <w:p>
            <w:pPr>
              <w:spacing w:after="0"/>
              <w:rPr>
                <w:sz w:val="11"/>
                <w:szCs w:val="11"/>
                <w:color w:val="auto"/>
              </w:rPr>
            </w:pPr>
          </w:p>
        </w:tc>
        <w:tc>
          <w:tcPr>
            <w:tcW w:w="2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26,047</w:t>
            </w:r>
          </w:p>
        </w:tc>
        <w:tc>
          <w:tcPr>
            <w:tcW w:w="1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5,023</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21,024</w:t>
            </w: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(18.7)</w:t>
            </w:r>
            <w:r>
              <w:rPr>
                <w:rFonts w:ascii="Arial" w:cs="Arial" w:eastAsia="Arial" w:hAnsi="Arial"/>
                <w:sz w:val="10"/>
                <w:szCs w:val="10"/>
                <w:color w:val="auto"/>
              </w:rPr>
              <w:t>%</w:t>
            </w:r>
          </w:p>
        </w:tc>
        <w:tc>
          <w:tcPr>
            <w:tcW w:w="84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(16.7)</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580" w:type="dxa"/>
            <w:vAlign w:val="bottom"/>
          </w:tcPr>
          <w:p>
            <w:pPr>
              <w:spacing w:after="0" w:line="135" w:lineRule="exact"/>
              <w:rPr>
                <w:sz w:val="20"/>
                <w:szCs w:val="20"/>
                <w:color w:val="auto"/>
              </w:rPr>
            </w:pPr>
            <w:r>
              <w:rPr>
                <w:rFonts w:ascii="Arial" w:cs="Arial" w:eastAsia="Arial" w:hAnsi="Arial"/>
                <w:sz w:val="13"/>
                <w:szCs w:val="13"/>
                <w:color w:val="auto"/>
              </w:rPr>
              <w:t xml:space="preserve">Net income </w:t>
            </w:r>
            <w:r>
              <w:rPr>
                <w:rFonts w:ascii="Arial" w:cs="Arial" w:eastAsia="Arial" w:hAnsi="Arial"/>
                <w:sz w:val="14"/>
                <w:szCs w:val="14"/>
                <w:color w:val="auto"/>
                <w:vertAlign w:val="superscript"/>
              </w:rPr>
              <w:t>(3)</w:t>
            </w:r>
          </w:p>
        </w:tc>
        <w:tc>
          <w:tcPr>
            <w:tcW w:w="240" w:type="dxa"/>
            <w:vAlign w:val="bottom"/>
            <w:gridSpan w:val="2"/>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173,024</w:t>
            </w:r>
          </w:p>
        </w:tc>
        <w:tc>
          <w:tcPr>
            <w:tcW w:w="140" w:type="dxa"/>
            <w:vAlign w:val="bottom"/>
            <w:tcBorders>
              <w:right w:val="single" w:sz="8" w:color="auto"/>
            </w:tcBorders>
          </w:tcPr>
          <w:p>
            <w:pPr>
              <w:spacing w:after="0"/>
              <w:rPr>
                <w:sz w:val="11"/>
                <w:szCs w:val="11"/>
                <w:color w:val="auto"/>
              </w:rPr>
            </w:pPr>
          </w:p>
        </w:tc>
        <w:tc>
          <w:tcPr>
            <w:tcW w:w="220" w:type="dxa"/>
            <w:vAlign w:val="bottom"/>
            <w:gridSpan w:val="2"/>
          </w:tcPr>
          <w:p>
            <w:pPr>
              <w:ind w:left="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29,307</w:t>
            </w:r>
          </w:p>
        </w:tc>
        <w:tc>
          <w:tcPr>
            <w:tcW w:w="140" w:type="dxa"/>
            <w:vAlign w:val="bottom"/>
            <w:tcBorders>
              <w:right w:val="single" w:sz="8" w:color="auto"/>
            </w:tcBorders>
          </w:tcPr>
          <w:p>
            <w:pPr>
              <w:spacing w:after="0"/>
              <w:rPr>
                <w:sz w:val="11"/>
                <w:szCs w:val="11"/>
                <w:color w:val="auto"/>
              </w:rPr>
            </w:pPr>
          </w:p>
        </w:tc>
        <w:tc>
          <w:tcPr>
            <w:tcW w:w="140" w:type="dxa"/>
            <w:vAlign w:val="bottom"/>
            <w:gridSpan w:val="2"/>
          </w:tcPr>
          <w:p>
            <w:pPr>
              <w:ind w:left="60"/>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130,160</w:t>
            </w:r>
          </w:p>
        </w:tc>
        <w:tc>
          <w:tcPr>
            <w:tcW w:w="100" w:type="dxa"/>
            <w:vAlign w:val="bottom"/>
          </w:tcPr>
          <w:p>
            <w:pPr>
              <w:spacing w:after="0"/>
              <w:rPr>
                <w:sz w:val="11"/>
                <w:szCs w:val="11"/>
                <w:color w:val="auto"/>
              </w:rPr>
            </w:pPr>
          </w:p>
        </w:tc>
        <w:tc>
          <w:tcPr>
            <w:tcW w:w="82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w:t>
            </w:r>
          </w:p>
        </w:tc>
        <w:tc>
          <w:tcPr>
            <w:tcW w:w="840" w:type="dxa"/>
            <w:vAlign w:val="bottom"/>
            <w:gridSpan w:val="2"/>
          </w:tcPr>
          <w:p>
            <w:pPr>
              <w:jc w:val="right"/>
              <w:ind w:right="6"/>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3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attributable to Tradeweb Markets Inc.</w:t>
            </w:r>
            <w:r>
              <w:rPr>
                <w:rFonts w:ascii="Arial" w:cs="Arial" w:eastAsia="Arial" w:hAnsi="Arial"/>
                <w:sz w:val="14"/>
                <w:szCs w:val="14"/>
                <w:color w:val="auto"/>
                <w:vertAlign w:val="superscript"/>
              </w:rPr>
              <w:t>(4)</w:t>
            </w:r>
          </w:p>
        </w:tc>
        <w:tc>
          <w:tcPr>
            <w:tcW w:w="240" w:type="dxa"/>
            <w:vAlign w:val="bottom"/>
            <w:gridSpan w:val="2"/>
            <w:shd w:val="clear" w:color="auto" w:fill="CCEEFF"/>
          </w:tcPr>
          <w:p>
            <w:pPr>
              <w:jc w:val="right"/>
              <w:ind w:right="21"/>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83,769</w:t>
            </w:r>
          </w:p>
        </w:tc>
        <w:tc>
          <w:tcPr>
            <w:tcW w:w="140" w:type="dxa"/>
            <w:vAlign w:val="bottom"/>
            <w:tcBorders>
              <w:right w:val="single" w:sz="8" w:color="auto"/>
            </w:tcBorders>
            <w:shd w:val="clear" w:color="auto" w:fill="CCEEFF"/>
          </w:tcPr>
          <w:p>
            <w:pPr>
              <w:spacing w:after="0"/>
              <w:rPr>
                <w:sz w:val="11"/>
                <w:szCs w:val="11"/>
                <w:color w:val="auto"/>
              </w:rPr>
            </w:pPr>
          </w:p>
        </w:tc>
        <w:tc>
          <w:tcPr>
            <w:tcW w:w="2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right w:val="single" w:sz="8" w:color="auto"/>
            </w:tcBorders>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w:t>
            </w:r>
          </w:p>
        </w:tc>
        <w:tc>
          <w:tcPr>
            <w:tcW w:w="840" w:type="dxa"/>
            <w:vAlign w:val="bottom"/>
            <w:gridSpan w:val="2"/>
            <w:shd w:val="clear" w:color="auto" w:fill="CCEEFF"/>
          </w:tcPr>
          <w:p>
            <w:pPr>
              <w:jc w:val="right"/>
              <w:ind w:right="6"/>
              <w:spacing w:after="0" w:line="135" w:lineRule="exact"/>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0"/>
        </w:trPr>
        <w:tc>
          <w:tcPr>
            <w:tcW w:w="3580" w:type="dxa"/>
            <w:vAlign w:val="bottom"/>
            <w:vMerge w:val="restart"/>
          </w:tcPr>
          <w:p>
            <w:pPr>
              <w:spacing w:after="0"/>
              <w:rPr>
                <w:sz w:val="20"/>
                <w:szCs w:val="20"/>
                <w:color w:val="auto"/>
              </w:rPr>
            </w:pPr>
            <w:r>
              <w:rPr>
                <w:rFonts w:ascii="Arial" w:cs="Arial" w:eastAsia="Arial" w:hAnsi="Arial"/>
                <w:sz w:val="13"/>
                <w:szCs w:val="13"/>
                <w:color w:val="auto"/>
              </w:rPr>
              <w:t xml:space="preserve">Diluted EPS </w:t>
            </w:r>
            <w:r>
              <w:rPr>
                <w:rFonts w:ascii="Arial" w:cs="Arial" w:eastAsia="Arial" w:hAnsi="Arial"/>
                <w:sz w:val="14"/>
                <w:szCs w:val="14"/>
                <w:color w:val="auto"/>
                <w:vertAlign w:val="superscript"/>
              </w:rPr>
              <w:t>(5)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jc w:val="right"/>
              <w:spacing w:after="0" w:line="111" w:lineRule="exact"/>
              <w:rPr>
                <w:sz w:val="20"/>
                <w:szCs w:val="20"/>
                <w:color w:val="auto"/>
              </w:rPr>
            </w:pPr>
            <w:r>
              <w:rPr>
                <w:rFonts w:ascii="Arial" w:cs="Arial" w:eastAsia="Arial" w:hAnsi="Arial"/>
                <w:sz w:val="11"/>
                <w:szCs w:val="11"/>
                <w:color w:val="auto"/>
              </w:rPr>
              <w:t xml:space="preserve">0.19 </w:t>
            </w:r>
            <w:r>
              <w:rPr>
                <w:rFonts w:ascii="Arial" w:cs="Arial" w:eastAsia="Arial" w:hAnsi="Arial"/>
                <w:sz w:val="12"/>
                <w:szCs w:val="12"/>
                <w:color w:val="auto"/>
                <w:vertAlign w:val="superscript"/>
              </w:rPr>
              <w:t>(a)</w:t>
            </w:r>
            <w:r>
              <w:rPr>
                <w:rFonts w:ascii="Arial" w:cs="Arial" w:eastAsia="Arial" w:hAnsi="Arial"/>
                <w:sz w:val="11"/>
                <w:szCs w:val="11"/>
                <w:color w:val="auto"/>
              </w:rPr>
              <w:t xml:space="preserve"> /</w:t>
            </w: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 xml:space="preserve">0.13 </w:t>
            </w:r>
            <w:r>
              <w:rPr>
                <w:rFonts w:ascii="Arial" w:cs="Arial" w:eastAsia="Arial" w:hAnsi="Arial"/>
                <w:sz w:val="14"/>
                <w:szCs w:val="14"/>
                <w:color w:val="auto"/>
                <w:vertAlign w:val="superscript"/>
              </w:rPr>
              <w:t>(a)</w:t>
            </w:r>
          </w:p>
        </w:tc>
        <w:tc>
          <w:tcPr>
            <w:tcW w:w="14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3"/>
                <w:szCs w:val="13"/>
                <w:color w:val="auto"/>
              </w:rPr>
              <w:t xml:space="preserve">0.60 </w:t>
            </w:r>
            <w:r>
              <w:rPr>
                <w:rFonts w:ascii="Arial" w:cs="Arial" w:eastAsia="Arial" w:hAnsi="Arial"/>
                <w:sz w:val="14"/>
                <w:szCs w:val="14"/>
                <w:color w:val="auto"/>
                <w:vertAlign w:val="superscript"/>
              </w:rPr>
              <w:t>(a)</w:t>
            </w: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3580" w:type="dxa"/>
            <w:vAlign w:val="bottom"/>
            <w:vMerge w:val="continue"/>
          </w:tcPr>
          <w:p>
            <w:pPr>
              <w:spacing w:after="0"/>
              <w:rPr>
                <w:sz w:val="13"/>
                <w:szCs w:val="13"/>
                <w:color w:val="auto"/>
              </w:rPr>
            </w:pPr>
          </w:p>
        </w:tc>
        <w:tc>
          <w:tcPr>
            <w:tcW w:w="240" w:type="dxa"/>
            <w:vAlign w:val="bottom"/>
            <w:gridSpan w:val="2"/>
          </w:tcPr>
          <w:p>
            <w:pPr>
              <w:jc w:val="right"/>
              <w:ind w:right="21"/>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60" w:lineRule="exact"/>
              <w:rPr>
                <w:sz w:val="20"/>
                <w:szCs w:val="20"/>
                <w:color w:val="auto"/>
              </w:rPr>
            </w:pPr>
            <w:r>
              <w:rPr>
                <w:rFonts w:ascii="Arial" w:cs="Arial" w:eastAsia="Arial" w:hAnsi="Arial"/>
                <w:sz w:val="13"/>
                <w:szCs w:val="13"/>
                <w:color w:val="auto"/>
              </w:rPr>
              <w:t xml:space="preserve">0.54 </w:t>
            </w:r>
            <w:r>
              <w:rPr>
                <w:rFonts w:ascii="Arial" w:cs="Arial" w:eastAsia="Arial" w:hAnsi="Arial"/>
                <w:sz w:val="14"/>
                <w:szCs w:val="14"/>
                <w:color w:val="auto"/>
                <w:vertAlign w:val="superscript"/>
              </w:rPr>
              <w:t>(b)</w:t>
            </w:r>
          </w:p>
        </w:tc>
        <w:tc>
          <w:tcPr>
            <w:tcW w:w="140" w:type="dxa"/>
            <w:vAlign w:val="bottom"/>
            <w:tcBorders>
              <w:right w:val="single" w:sz="8" w:color="auto"/>
            </w:tcBorders>
          </w:tcPr>
          <w:p>
            <w:pPr>
              <w:spacing w:after="0"/>
              <w:rPr>
                <w:sz w:val="13"/>
                <w:szCs w:val="13"/>
                <w:color w:val="auto"/>
              </w:rPr>
            </w:pP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62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40" w:type="dxa"/>
            <w:vAlign w:val="bottom"/>
            <w:gridSpan w:val="2"/>
          </w:tcPr>
          <w:p>
            <w:pPr>
              <w:ind w:left="60"/>
              <w:spacing w:after="0"/>
              <w:rPr>
                <w:sz w:val="20"/>
                <w:szCs w:val="20"/>
                <w:color w:val="auto"/>
              </w:rPr>
            </w:pPr>
            <w:r>
              <w:rPr>
                <w:rFonts w:ascii="Arial" w:cs="Arial" w:eastAsia="Arial" w:hAnsi="Arial"/>
                <w:sz w:val="13"/>
                <w:szCs w:val="13"/>
                <w:color w:val="auto"/>
                <w:w w:val="82"/>
              </w:rPr>
              <w:t>$</w:t>
            </w:r>
          </w:p>
        </w:tc>
        <w:tc>
          <w:tcPr>
            <w:tcW w:w="800" w:type="dxa"/>
            <w:vAlign w:val="bottom"/>
            <w:gridSpan w:val="2"/>
            <w:vMerge w:val="continue"/>
          </w:tcPr>
          <w:p>
            <w:pPr>
              <w:spacing w:after="0"/>
              <w:rPr>
                <w:sz w:val="13"/>
                <w:szCs w:val="13"/>
                <w:color w:val="auto"/>
              </w:rPr>
            </w:pPr>
          </w:p>
        </w:tc>
        <w:tc>
          <w:tcPr>
            <w:tcW w:w="820" w:type="dxa"/>
            <w:vAlign w:val="bottom"/>
            <w:gridSpan w:val="2"/>
          </w:tcPr>
          <w:p>
            <w:pPr>
              <w:jc w:val="right"/>
              <w:ind w:right="6"/>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w:t>
            </w:r>
          </w:p>
        </w:tc>
        <w:tc>
          <w:tcPr>
            <w:tcW w:w="840" w:type="dxa"/>
            <w:vAlign w:val="bottom"/>
            <w:gridSpan w:val="2"/>
          </w:tcPr>
          <w:p>
            <w:pPr>
              <w:jc w:val="right"/>
              <w:ind w:right="6"/>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38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2"/>
        </w:trPr>
        <w:tc>
          <w:tcPr>
            <w:tcW w:w="4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7"/>
              </w:rPr>
              <w:t>Successor</w:t>
            </w:r>
          </w:p>
        </w:tc>
        <w:tc>
          <w:tcPr>
            <w:tcW w:w="80" w:type="dxa"/>
            <w:vAlign w:val="bottom"/>
          </w:tcPr>
          <w:p>
            <w:pPr>
              <w:spacing w:after="0" w:line="20" w:lineRule="exact"/>
              <w:rPr>
                <w:sz w:val="1"/>
                <w:szCs w:val="1"/>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Successor</w:t>
            </w:r>
          </w:p>
        </w:tc>
        <w:tc>
          <w:tcPr>
            <w:tcW w:w="2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line="20" w:lineRule="exact"/>
              <w:rPr>
                <w:sz w:val="1"/>
                <w:szCs w:val="1"/>
                <w:color w:val="auto"/>
              </w:rPr>
            </w:pPr>
          </w:p>
        </w:tc>
      </w:tr>
      <w:tr>
        <w:trPr>
          <w:trHeight w:val="135"/>
        </w:trPr>
        <w:tc>
          <w:tcPr>
            <w:tcW w:w="4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Borders>
              <w:top w:val="single" w:sz="8" w:color="auto"/>
            </w:tcBorders>
            <w:gridSpan w:val="2"/>
          </w:tcPr>
          <w:p>
            <w:pPr>
              <w:jc w:val="center"/>
              <w:spacing w:after="0" w:line="107" w:lineRule="exact"/>
              <w:rPr>
                <w:sz w:val="20"/>
                <w:szCs w:val="20"/>
                <w:color w:val="auto"/>
              </w:rPr>
            </w:pPr>
            <w:r>
              <w:rPr>
                <w:rFonts w:ascii="Arial" w:cs="Arial" w:eastAsia="Arial" w:hAnsi="Arial"/>
                <w:sz w:val="12"/>
                <w:szCs w:val="12"/>
                <w:b w:val="1"/>
                <w:bCs w:val="1"/>
                <w:color w:val="auto"/>
              </w:rPr>
              <w:t>October 1, 2018</w:t>
            </w:r>
          </w:p>
        </w:tc>
        <w:tc>
          <w:tcPr>
            <w:tcW w:w="16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January 1, 2018</w:t>
            </w: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95"/>
              </w:rPr>
              <w:t>Year Ended</w:t>
            </w:r>
          </w:p>
        </w:tc>
        <w:tc>
          <w:tcPr>
            <w:tcW w:w="8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to</w:t>
            </w: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to</w:t>
            </w:r>
          </w:p>
        </w:tc>
        <w:tc>
          <w:tcPr>
            <w:tcW w:w="0" w:type="dxa"/>
            <w:vAlign w:val="bottom"/>
          </w:tcPr>
          <w:p>
            <w:pPr>
              <w:spacing w:after="0"/>
              <w:rPr>
                <w:sz w:val="1"/>
                <w:szCs w:val="1"/>
                <w:color w:val="auto"/>
              </w:rPr>
            </w:pPr>
          </w:p>
        </w:tc>
      </w:tr>
      <w:tr>
        <w:trPr>
          <w:trHeight w:val="135"/>
        </w:trPr>
        <w:tc>
          <w:tcPr>
            <w:tcW w:w="4960" w:type="dxa"/>
            <w:vAlign w:val="bottom"/>
          </w:tcPr>
          <w:p>
            <w:pPr>
              <w:spacing w:after="0" w:line="135" w:lineRule="exact"/>
              <w:rPr>
                <w:sz w:val="20"/>
                <w:szCs w:val="20"/>
                <w:color w:val="auto"/>
              </w:rPr>
            </w:pPr>
            <w:r>
              <w:rPr>
                <w:rFonts w:ascii="Arial" w:cs="Arial" w:eastAsia="Arial" w:hAnsi="Arial"/>
                <w:sz w:val="13"/>
                <w:szCs w:val="13"/>
                <w:b w:val="1"/>
                <w:bCs w:val="1"/>
                <w:color w:val="auto"/>
              </w:rPr>
              <w:t>Select Full Year Financial Results</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September 30,</w:t>
            </w:r>
          </w:p>
        </w:tc>
        <w:tc>
          <w:tcPr>
            <w:tcW w:w="0" w:type="dxa"/>
            <w:vAlign w:val="bottom"/>
          </w:tcPr>
          <w:p>
            <w:pPr>
              <w:spacing w:after="0"/>
              <w:rPr>
                <w:sz w:val="1"/>
                <w:szCs w:val="1"/>
                <w:color w:val="auto"/>
              </w:rPr>
            </w:pPr>
          </w:p>
        </w:tc>
      </w:tr>
      <w:tr>
        <w:trPr>
          <w:trHeight w:val="157"/>
        </w:trPr>
        <w:tc>
          <w:tcPr>
            <w:tcW w:w="49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(dollars in thousands except per share amounts)</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38"/>
              <w:spacing w:after="0"/>
              <w:rPr>
                <w:sz w:val="20"/>
                <w:szCs w:val="20"/>
                <w:color w:val="auto"/>
              </w:rPr>
            </w:pPr>
            <w:r>
              <w:rPr>
                <w:rFonts w:ascii="Arial" w:cs="Arial" w:eastAsia="Arial" w:hAnsi="Arial"/>
                <w:sz w:val="13"/>
                <w:szCs w:val="13"/>
                <w:b w:val="1"/>
                <w:bCs w:val="1"/>
                <w:color w:val="auto"/>
                <w:w w:val="96"/>
              </w:rPr>
              <w:t>2019</w:t>
            </w:r>
          </w:p>
        </w:tc>
        <w:tc>
          <w:tcPr>
            <w:tcW w:w="3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2018</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9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Non-GAAP Financial Measures</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tcPr>
          <w:p>
            <w:pPr>
              <w:ind w:left="120"/>
              <w:spacing w:after="0" w:line="135" w:lineRule="exact"/>
              <w:rPr>
                <w:sz w:val="20"/>
                <w:szCs w:val="20"/>
                <w:color w:val="auto"/>
              </w:rPr>
            </w:pPr>
            <w:r>
              <w:rPr>
                <w:rFonts w:ascii="Arial" w:cs="Arial" w:eastAsia="Arial" w:hAnsi="Arial"/>
                <w:sz w:val="13"/>
                <w:szCs w:val="13"/>
                <w:color w:val="auto"/>
              </w:rPr>
              <w:t xml:space="preserve">Adjusted EBITDA </w:t>
            </w:r>
            <w:r>
              <w:rPr>
                <w:rFonts w:ascii="Arial" w:cs="Arial" w:eastAsia="Arial" w:hAnsi="Arial"/>
                <w:sz w:val="14"/>
                <w:szCs w:val="14"/>
                <w:color w:val="auto"/>
                <w:vertAlign w:val="superscript"/>
              </w:rPr>
              <w:t>(6)</w:t>
            </w:r>
          </w:p>
        </w:tc>
        <w:tc>
          <w:tcPr>
            <w:tcW w:w="2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353,162</w:t>
            </w:r>
          </w:p>
        </w:tc>
        <w:tc>
          <w:tcPr>
            <w:tcW w:w="3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65,308</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214,091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 xml:space="preserve">Adjusted EBITDA margin </w:t>
            </w:r>
            <w:r>
              <w:rPr>
                <w:rFonts w:ascii="Arial" w:cs="Arial" w:eastAsia="Arial" w:hAnsi="Arial"/>
                <w:sz w:val="14"/>
                <w:szCs w:val="14"/>
                <w:color w:val="auto"/>
                <w:vertAlign w:val="superscript"/>
              </w:rPr>
              <w:t>(6)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 xml:space="preserve">45.5 </w:t>
            </w: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 xml:space="preserve">36.6 </w:t>
            </w:r>
            <w:r>
              <w:rPr>
                <w:rFonts w:ascii="Arial" w:cs="Arial" w:eastAsia="Arial" w:hAnsi="Arial"/>
                <w:sz w:val="10"/>
                <w:szCs w:val="10"/>
                <w:color w:val="auto"/>
              </w:rPr>
              <w:t>%</w:t>
            </w:r>
          </w:p>
        </w:tc>
        <w:tc>
          <w:tcPr>
            <w:tcW w:w="20" w:type="dxa"/>
            <w:vAlign w:val="bottom"/>
            <w:shd w:val="clear" w:color="auto" w:fill="000000"/>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 xml:space="preserve">42.3 </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4960" w:type="dxa"/>
            <w:vAlign w:val="bottom"/>
          </w:tcPr>
          <w:p>
            <w:pPr>
              <w:ind w:left="120"/>
              <w:spacing w:after="0" w:line="135" w:lineRule="exact"/>
              <w:rPr>
                <w:sz w:val="20"/>
                <w:szCs w:val="20"/>
                <w:color w:val="auto"/>
              </w:rPr>
            </w:pPr>
            <w:r>
              <w:rPr>
                <w:rFonts w:ascii="Arial" w:cs="Arial" w:eastAsia="Arial" w:hAnsi="Arial"/>
                <w:sz w:val="13"/>
                <w:szCs w:val="13"/>
                <w:color w:val="auto"/>
              </w:rPr>
              <w:t xml:space="preserve">Adjusted EBIT </w:t>
            </w:r>
            <w:r>
              <w:rPr>
                <w:rFonts w:ascii="Arial" w:cs="Arial" w:eastAsia="Arial" w:hAnsi="Arial"/>
                <w:sz w:val="14"/>
                <w:szCs w:val="14"/>
                <w:color w:val="auto"/>
                <w:vertAlign w:val="superscript"/>
              </w:rPr>
              <w:t>(6)</w:t>
            </w:r>
          </w:p>
        </w:tc>
        <w:tc>
          <w:tcPr>
            <w:tcW w:w="2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311,397</w:t>
            </w:r>
          </w:p>
        </w:tc>
        <w:tc>
          <w:tcPr>
            <w:tcW w:w="3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54,701</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184,859</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6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 xml:space="preserve">Adjusted EBIT margin </w:t>
            </w:r>
            <w:r>
              <w:rPr>
                <w:rFonts w:ascii="Arial" w:cs="Arial" w:eastAsia="Arial" w:hAnsi="Arial"/>
                <w:sz w:val="14"/>
                <w:szCs w:val="14"/>
                <w:color w:val="auto"/>
                <w:vertAlign w:val="superscript"/>
              </w:rPr>
              <w:t>(6)</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 xml:space="preserve">40.2 </w:t>
            </w:r>
            <w:r>
              <w:rPr>
                <w:rFonts w:ascii="Arial" w:cs="Arial" w:eastAsia="Arial" w:hAnsi="Arial"/>
                <w:sz w:val="10"/>
                <w:szCs w:val="10"/>
                <w:color w:val="auto"/>
              </w:rPr>
              <w:t>%</w:t>
            </w:r>
          </w:p>
        </w:tc>
        <w:tc>
          <w:tcPr>
            <w:tcW w:w="80" w:type="dxa"/>
            <w:vAlign w:val="bottom"/>
            <w:shd w:val="clear" w:color="auto" w:fill="CCEEFF"/>
          </w:tcPr>
          <w:p>
            <w:pPr>
              <w:spacing w:after="0"/>
              <w:rPr>
                <w:sz w:val="11"/>
                <w:szCs w:val="11"/>
                <w:color w:val="auto"/>
              </w:rPr>
            </w:pPr>
          </w:p>
        </w:tc>
        <w:tc>
          <w:tcPr>
            <w:tcW w:w="11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 xml:space="preserve">30.6 </w:t>
            </w:r>
            <w:r>
              <w:rPr>
                <w:rFonts w:ascii="Arial" w:cs="Arial" w:eastAsia="Arial" w:hAnsi="Arial"/>
                <w:sz w:val="10"/>
                <w:szCs w:val="10"/>
                <w:color w:val="auto"/>
              </w:rPr>
              <w:t>%</w:t>
            </w:r>
          </w:p>
        </w:tc>
        <w:tc>
          <w:tcPr>
            <w:tcW w:w="20" w:type="dxa"/>
            <w:vAlign w:val="bottom"/>
            <w:shd w:val="clear" w:color="auto" w:fill="000000"/>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 xml:space="preserve">36.5 </w:t>
            </w: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5"/>
        </w:trPr>
        <w:tc>
          <w:tcPr>
            <w:tcW w:w="4960" w:type="dxa"/>
            <w:vAlign w:val="bottom"/>
          </w:tcPr>
          <w:p>
            <w:pPr>
              <w:ind w:left="120"/>
              <w:spacing w:after="0" w:line="135" w:lineRule="exact"/>
              <w:rPr>
                <w:sz w:val="20"/>
                <w:szCs w:val="20"/>
                <w:color w:val="auto"/>
              </w:rPr>
            </w:pPr>
            <w:r>
              <w:rPr>
                <w:rFonts w:ascii="Arial" w:cs="Arial" w:eastAsia="Arial" w:hAnsi="Arial"/>
                <w:sz w:val="13"/>
                <w:szCs w:val="13"/>
                <w:color w:val="auto"/>
              </w:rPr>
              <w:t xml:space="preserve">Adjusted Net Income </w:t>
            </w:r>
            <w:r>
              <w:rPr>
                <w:rFonts w:ascii="Arial" w:cs="Arial" w:eastAsia="Arial" w:hAnsi="Arial"/>
                <w:sz w:val="14"/>
                <w:szCs w:val="14"/>
                <w:color w:val="auto"/>
                <w:vertAlign w:val="superscript"/>
              </w:rPr>
              <w:t>(6)</w:t>
            </w:r>
          </w:p>
        </w:tc>
        <w:tc>
          <w:tcPr>
            <w:tcW w:w="2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230,935</w:t>
            </w:r>
          </w:p>
        </w:tc>
        <w:tc>
          <w:tcPr>
            <w:tcW w:w="3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40,839</w:t>
            </w:r>
          </w:p>
        </w:tc>
        <w:tc>
          <w:tcPr>
            <w:tcW w:w="1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line="135" w:lineRule="exact"/>
              <w:rPr>
                <w:sz w:val="20"/>
                <w:szCs w:val="20"/>
                <w:color w:val="auto"/>
              </w:rPr>
            </w:pPr>
            <w:r>
              <w:rPr>
                <w:rFonts w:ascii="Arial" w:cs="Arial" w:eastAsia="Arial" w:hAnsi="Arial"/>
                <w:sz w:val="13"/>
                <w:szCs w:val="13"/>
                <w:color w:val="auto"/>
              </w:rPr>
              <w:t>137,327</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496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 xml:space="preserve">Adjusted Diluted EPS </w:t>
            </w:r>
            <w:r>
              <w:rPr>
                <w:rFonts w:ascii="Arial" w:cs="Arial" w:eastAsia="Arial" w:hAnsi="Arial"/>
                <w:sz w:val="14"/>
                <w:szCs w:val="14"/>
                <w:color w:val="auto"/>
                <w:vertAlign w:val="superscript"/>
              </w:rPr>
              <w:t>(6)(7)</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60" w:type="dxa"/>
            <w:vAlign w:val="bottom"/>
            <w:gridSpan w:val="2"/>
            <w:shd w:val="clear" w:color="auto" w:fill="CCEEFF"/>
          </w:tcPr>
          <w:p>
            <w:pPr>
              <w:jc w:val="right"/>
              <w:ind w:right="360"/>
              <w:spacing w:after="0" w:line="111" w:lineRule="exact"/>
              <w:rPr>
                <w:sz w:val="20"/>
                <w:szCs w:val="20"/>
                <w:color w:val="auto"/>
              </w:rPr>
            </w:pPr>
            <w:r>
              <w:rPr>
                <w:rFonts w:ascii="Arial" w:cs="Arial" w:eastAsia="Arial" w:hAnsi="Arial"/>
                <w:sz w:val="11"/>
                <w:szCs w:val="11"/>
                <w:color w:val="auto"/>
              </w:rPr>
              <w:t xml:space="preserve">0.23 </w:t>
            </w:r>
            <w:r>
              <w:rPr>
                <w:rFonts w:ascii="Arial" w:cs="Arial" w:eastAsia="Arial" w:hAnsi="Arial"/>
                <w:sz w:val="12"/>
                <w:szCs w:val="12"/>
                <w:color w:val="auto"/>
                <w:vertAlign w:val="superscript"/>
              </w:rPr>
              <w:t>(a)</w:t>
            </w:r>
            <w:r>
              <w:rPr>
                <w:rFonts w:ascii="Arial" w:cs="Arial" w:eastAsia="Arial" w:hAnsi="Arial"/>
                <w:sz w:val="11"/>
                <w:szCs w:val="11"/>
                <w:color w:val="auto"/>
              </w:rPr>
              <w:t xml:space="preserve"> /</w:t>
            </w:r>
          </w:p>
        </w:tc>
        <w:tc>
          <w:tcPr>
            <w:tcW w:w="80" w:type="dxa"/>
            <w:vAlign w:val="bottom"/>
            <w:shd w:val="clear" w:color="auto" w:fill="CCEEFF"/>
          </w:tcPr>
          <w:p>
            <w:pPr>
              <w:spacing w:after="0"/>
              <w:rPr>
                <w:sz w:val="9"/>
                <w:szCs w:val="9"/>
                <w:color w:val="auto"/>
              </w:rPr>
            </w:pPr>
          </w:p>
        </w:tc>
        <w:tc>
          <w:tcPr>
            <w:tcW w:w="11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 xml:space="preserve">0.18 </w:t>
            </w:r>
            <w:r>
              <w:rPr>
                <w:rFonts w:ascii="Arial" w:cs="Arial" w:eastAsia="Arial" w:hAnsi="Arial"/>
                <w:sz w:val="14"/>
                <w:szCs w:val="14"/>
                <w:color w:val="auto"/>
                <w:vertAlign w:val="superscript"/>
              </w:rPr>
              <w:t>(a)</w:t>
            </w:r>
          </w:p>
        </w:tc>
        <w:tc>
          <w:tcPr>
            <w:tcW w:w="20" w:type="dxa"/>
            <w:vAlign w:val="bottom"/>
            <w:shd w:val="clear" w:color="auto" w:fill="000000"/>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 xml:space="preserve">0.64 </w:t>
            </w:r>
            <w:r>
              <w:rPr>
                <w:rFonts w:ascii="Arial" w:cs="Arial" w:eastAsia="Arial" w:hAnsi="Arial"/>
                <w:sz w:val="14"/>
                <w:szCs w:val="14"/>
                <w:color w:val="auto"/>
                <w:vertAlign w:val="superscript"/>
              </w:rPr>
              <w:t>(a)</w:t>
            </w:r>
          </w:p>
        </w:tc>
        <w:tc>
          <w:tcPr>
            <w:tcW w:w="0" w:type="dxa"/>
            <w:vAlign w:val="bottom"/>
          </w:tcPr>
          <w:p>
            <w:pPr>
              <w:spacing w:after="0"/>
              <w:rPr>
                <w:sz w:val="1"/>
                <w:szCs w:val="1"/>
                <w:color w:val="auto"/>
              </w:rPr>
            </w:pPr>
          </w:p>
        </w:tc>
      </w:tr>
      <w:tr>
        <w:trPr>
          <w:trHeight w:val="160"/>
        </w:trPr>
        <w:tc>
          <w:tcPr>
            <w:tcW w:w="4960" w:type="dxa"/>
            <w:vAlign w:val="bottom"/>
            <w:vMerge w:val="continue"/>
            <w:shd w:val="clear" w:color="auto" w:fill="CCEEFF"/>
          </w:tcPr>
          <w:p>
            <w:pPr>
              <w:spacing w:after="0"/>
              <w:rPr>
                <w:sz w:val="13"/>
                <w:szCs w:val="13"/>
                <w:color w:val="auto"/>
              </w:rPr>
            </w:pP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260" w:type="dxa"/>
            <w:vAlign w:val="bottom"/>
            <w:gridSpan w:val="2"/>
            <w:shd w:val="clear" w:color="auto" w:fill="CCEEFF"/>
          </w:tcPr>
          <w:p>
            <w:pPr>
              <w:jc w:val="right"/>
              <w:ind w:right="380"/>
              <w:spacing w:after="0" w:line="160" w:lineRule="exact"/>
              <w:rPr>
                <w:sz w:val="20"/>
                <w:szCs w:val="20"/>
                <w:color w:val="auto"/>
              </w:rPr>
            </w:pPr>
            <w:r>
              <w:rPr>
                <w:rFonts w:ascii="Arial" w:cs="Arial" w:eastAsia="Arial" w:hAnsi="Arial"/>
                <w:sz w:val="13"/>
                <w:szCs w:val="13"/>
                <w:color w:val="auto"/>
              </w:rPr>
              <w:t xml:space="preserve">0.77 </w:t>
            </w:r>
            <w:r>
              <w:rPr>
                <w:rFonts w:ascii="Arial" w:cs="Arial" w:eastAsia="Arial" w:hAnsi="Arial"/>
                <w:sz w:val="14"/>
                <w:szCs w:val="14"/>
                <w:color w:val="auto"/>
                <w:vertAlign w:val="superscript"/>
              </w:rPr>
              <w:t>(b)</w:t>
            </w: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vMerge w:val="continue"/>
            <w:shd w:val="clear" w:color="auto" w:fill="CCEEFF"/>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ind w:left="80" w:hanging="77"/>
        <w:spacing w:after="0"/>
        <w:tabs>
          <w:tab w:leader="none" w:pos="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Presents information for Tradeweb Markets LLC (pre-IPO period).</w:t>
      </w:r>
    </w:p>
    <w:p>
      <w:pPr>
        <w:spacing w:after="0" w:line="39" w:lineRule="exact"/>
        <w:rPr>
          <w:rFonts w:ascii="Arial" w:cs="Arial" w:eastAsia="Arial" w:hAnsi="Arial"/>
          <w:sz w:val="13"/>
          <w:szCs w:val="13"/>
          <w:color w:val="auto"/>
        </w:rPr>
      </w:pPr>
    </w:p>
    <w:p>
      <w:pPr>
        <w:ind w:left="80" w:hanging="77"/>
        <w:spacing w:after="0"/>
        <w:tabs>
          <w:tab w:leader="none" w:pos="80" w:val="left"/>
        </w:tabs>
        <w:numPr>
          <w:ilvl w:val="0"/>
          <w:numId w:val="5"/>
        </w:numPr>
        <w:rPr>
          <w:rFonts w:ascii="Arial" w:cs="Arial" w:eastAsia="Arial" w:hAnsi="Arial"/>
          <w:sz w:val="13"/>
          <w:szCs w:val="13"/>
          <w:color w:val="auto"/>
        </w:rPr>
      </w:pPr>
      <w:r>
        <w:rPr>
          <w:rFonts w:ascii="Arial" w:cs="Arial" w:eastAsia="Arial" w:hAnsi="Arial"/>
          <w:sz w:val="13"/>
          <w:szCs w:val="13"/>
          <w:color w:val="auto"/>
        </w:rPr>
        <w:t>(b) Presents information for Tradeweb Markets Inc. (post-IPO period).</w:t>
      </w:r>
    </w:p>
    <w:p>
      <w:pPr>
        <w:spacing w:after="0" w:line="255" w:lineRule="exact"/>
        <w:rPr>
          <w:rFonts w:ascii="Arial" w:cs="Arial" w:eastAsia="Arial" w:hAnsi="Arial"/>
          <w:sz w:val="13"/>
          <w:szCs w:val="13"/>
          <w:color w:val="auto"/>
        </w:rPr>
      </w:pPr>
    </w:p>
    <w:p>
      <w:pPr>
        <w:ind w:left="660" w:right="160" w:hanging="333"/>
        <w:spacing w:after="0" w:line="225" w:lineRule="auto"/>
        <w:tabs>
          <w:tab w:leader="none" w:pos="660" w:val="left"/>
        </w:tabs>
        <w:numPr>
          <w:ilvl w:val="1"/>
          <w:numId w:val="5"/>
        </w:numPr>
        <w:rPr>
          <w:rFonts w:ascii="Arial" w:cs="Arial" w:eastAsia="Arial" w:hAnsi="Arial"/>
          <w:sz w:val="13"/>
          <w:szCs w:val="13"/>
          <w:color w:val="auto"/>
        </w:rPr>
      </w:pPr>
      <w:r>
        <w:rPr>
          <w:rFonts w:ascii="Arial" w:cs="Arial" w:eastAsia="Arial" w:hAnsi="Arial"/>
          <w:sz w:val="13"/>
          <w:szCs w:val="13"/>
          <w:color w:val="auto"/>
        </w:rPr>
        <w:t>Represents the combined revenues of the successor and predecessor periods for the full year ended December 31, 2018. This combination was performed by mathematical addition and is not a presentation made in accordance with GAAP. Revenue accounts were not impacted by the Refinitiv Transaction or the application of pushdown accounting. See "Presentation" below for additional information.</w:t>
      </w:r>
    </w:p>
    <w:p>
      <w:pPr>
        <w:spacing w:after="0" w:line="38" w:lineRule="exact"/>
        <w:rPr>
          <w:rFonts w:ascii="Arial" w:cs="Arial" w:eastAsia="Arial" w:hAnsi="Arial"/>
          <w:sz w:val="13"/>
          <w:szCs w:val="13"/>
          <w:color w:val="auto"/>
        </w:rPr>
      </w:pPr>
    </w:p>
    <w:p>
      <w:pPr>
        <w:ind w:left="660" w:right="240" w:hanging="333"/>
        <w:spacing w:after="0" w:line="230" w:lineRule="auto"/>
        <w:tabs>
          <w:tab w:leader="none" w:pos="660" w:val="left"/>
        </w:tabs>
        <w:numPr>
          <w:ilvl w:val="1"/>
          <w:numId w:val="5"/>
        </w:numPr>
        <w:rPr>
          <w:rFonts w:ascii="Arial" w:cs="Arial" w:eastAsia="Arial" w:hAnsi="Arial"/>
          <w:sz w:val="13"/>
          <w:szCs w:val="13"/>
          <w:color w:val="auto"/>
        </w:rPr>
      </w:pPr>
      <w:r>
        <w:rPr>
          <w:rFonts w:ascii="Arial" w:cs="Arial" w:eastAsia="Arial" w:hAnsi="Arial"/>
          <w:sz w:val="13"/>
          <w:szCs w:val="13"/>
          <w:color w:val="auto"/>
        </w:rPr>
        <w:t>Constant currency growth is a non-GAAP financial measure that reflects growth for the period excluding the impact of foreign currency fluctuations. See "Non-GAAP Financial Measures" below for additional information.</w:t>
      </w:r>
    </w:p>
    <w:p>
      <w:pPr>
        <w:spacing w:after="0" w:line="37" w:lineRule="exact"/>
        <w:rPr>
          <w:rFonts w:ascii="Arial" w:cs="Arial" w:eastAsia="Arial" w:hAnsi="Arial"/>
          <w:sz w:val="13"/>
          <w:szCs w:val="13"/>
          <w:color w:val="auto"/>
        </w:rPr>
      </w:pPr>
    </w:p>
    <w:p>
      <w:pPr>
        <w:ind w:left="660" w:right="20" w:hanging="333"/>
        <w:spacing w:after="0" w:line="223" w:lineRule="auto"/>
        <w:tabs>
          <w:tab w:leader="none" w:pos="660" w:val="left"/>
        </w:tabs>
        <w:numPr>
          <w:ilvl w:val="1"/>
          <w:numId w:val="5"/>
        </w:numPr>
        <w:rPr>
          <w:rFonts w:ascii="Arial" w:cs="Arial" w:eastAsia="Arial" w:hAnsi="Arial"/>
          <w:sz w:val="13"/>
          <w:szCs w:val="13"/>
          <w:color w:val="auto"/>
        </w:rPr>
      </w:pPr>
      <w:r>
        <w:rPr>
          <w:rFonts w:ascii="Arial" w:cs="Arial" w:eastAsia="Arial" w:hAnsi="Arial"/>
          <w:sz w:val="13"/>
          <w:szCs w:val="13"/>
          <w:color w:val="auto"/>
        </w:rPr>
        <w:t>Net income for 2019 was impacted by net depreciation and amortization expense of $71.5 million as a result of the Refinitiv Transaction and the subsequent revaluation of our balance sheet as well as non-cash stock-based compensation expense and payroll taxes of $25.1 million, which were primarily related to the Special Option Award and options exercised in 2019, respectively. See "Presentation" below for additional information regarding the Refinitiv Transaction.</w:t>
      </w:r>
    </w:p>
    <w:p>
      <w:pPr>
        <w:spacing w:after="0" w:line="38" w:lineRule="exact"/>
        <w:rPr>
          <w:rFonts w:ascii="Arial" w:cs="Arial" w:eastAsia="Arial" w:hAnsi="Arial"/>
          <w:sz w:val="13"/>
          <w:szCs w:val="13"/>
          <w:color w:val="auto"/>
        </w:rPr>
      </w:pPr>
    </w:p>
    <w:p>
      <w:pPr>
        <w:ind w:left="660" w:hanging="333"/>
        <w:spacing w:after="0"/>
        <w:tabs>
          <w:tab w:leader="none" w:pos="660" w:val="left"/>
        </w:tabs>
        <w:numPr>
          <w:ilvl w:val="1"/>
          <w:numId w:val="5"/>
        </w:numPr>
        <w:rPr>
          <w:rFonts w:ascii="Arial" w:cs="Arial" w:eastAsia="Arial" w:hAnsi="Arial"/>
          <w:sz w:val="13"/>
          <w:szCs w:val="13"/>
          <w:color w:val="auto"/>
        </w:rPr>
      </w:pPr>
      <w:r>
        <w:rPr>
          <w:rFonts w:ascii="Arial" w:cs="Arial" w:eastAsia="Arial" w:hAnsi="Arial"/>
          <w:sz w:val="13"/>
          <w:szCs w:val="13"/>
          <w:color w:val="auto"/>
        </w:rPr>
        <w:t>Represents net income less net income attributable to non-controlling interests.</w:t>
      </w:r>
    </w:p>
    <w:p>
      <w:pPr>
        <w:spacing w:after="0" w:line="39" w:lineRule="exact"/>
        <w:rPr>
          <w:rFonts w:ascii="Arial" w:cs="Arial" w:eastAsia="Arial" w:hAnsi="Arial"/>
          <w:sz w:val="13"/>
          <w:szCs w:val="13"/>
          <w:color w:val="auto"/>
        </w:rPr>
      </w:pPr>
    </w:p>
    <w:p>
      <w:pPr>
        <w:ind w:left="660" w:right="180" w:hanging="333"/>
        <w:spacing w:after="0" w:line="225" w:lineRule="auto"/>
        <w:tabs>
          <w:tab w:leader="none" w:pos="660" w:val="left"/>
        </w:tabs>
        <w:numPr>
          <w:ilvl w:val="1"/>
          <w:numId w:val="5"/>
        </w:numPr>
        <w:rPr>
          <w:rFonts w:ascii="Arial" w:cs="Arial" w:eastAsia="Arial" w:hAnsi="Arial"/>
          <w:sz w:val="13"/>
          <w:szCs w:val="13"/>
          <w:color w:val="auto"/>
        </w:rPr>
      </w:pPr>
      <w:r>
        <w:rPr>
          <w:rFonts w:ascii="Arial" w:cs="Arial" w:eastAsia="Arial" w:hAnsi="Arial"/>
          <w:sz w:val="13"/>
          <w:szCs w:val="13"/>
          <w:color w:val="auto"/>
        </w:rPr>
        <w:t>We present Diluted EPS for Tradeweb Markets LLC for pre-IPO periods, as the Reorganization Transactions and the IPO were completed in April 2019. As a consequence, the Diluted EPS information for Tradeweb Markets Inc. and Tradeweb Markets LLC is not comparable. See “Presentation” and “Basic and Diluted EPS Calculations” below for additional information.</w:t>
      </w:r>
    </w:p>
    <w:p>
      <w:pPr>
        <w:spacing w:after="0" w:line="38" w:lineRule="exact"/>
        <w:rPr>
          <w:rFonts w:ascii="Arial" w:cs="Arial" w:eastAsia="Arial" w:hAnsi="Arial"/>
          <w:sz w:val="13"/>
          <w:szCs w:val="13"/>
          <w:color w:val="auto"/>
        </w:rPr>
      </w:pPr>
    </w:p>
    <w:p>
      <w:pPr>
        <w:ind w:left="660" w:right="20" w:hanging="333"/>
        <w:spacing w:after="0" w:line="225" w:lineRule="auto"/>
        <w:tabs>
          <w:tab w:leader="none" w:pos="660" w:val="left"/>
        </w:tabs>
        <w:numPr>
          <w:ilvl w:val="1"/>
          <w:numId w:val="5"/>
        </w:numPr>
        <w:rPr>
          <w:rFonts w:ascii="Arial" w:cs="Arial" w:eastAsia="Arial" w:hAnsi="Arial"/>
          <w:sz w:val="13"/>
          <w:szCs w:val="13"/>
          <w:color w:val="auto"/>
        </w:rPr>
      </w:pPr>
      <w:r>
        <w:rPr>
          <w:rFonts w:ascii="Arial" w:cs="Arial" w:eastAsia="Arial" w:hAnsi="Arial"/>
          <w:sz w:val="13"/>
          <w:szCs w:val="13"/>
          <w:color w:val="auto"/>
        </w:rPr>
        <w:t>Adjusted EBITDA, Adjusted EBITDA margin, Adjusted EBIT, Adjusted EBIT margin, Adjusted Net Income and Adjusted Diluted EPS are non-GAAP financial measures. See "Non-GAAP Financial Measures" below and the attached schedules for additional information and reconciliations of such non-GAAP financial measures.</w:t>
      </w:r>
    </w:p>
    <w:p>
      <w:pPr>
        <w:spacing w:after="0" w:line="38" w:lineRule="exact"/>
        <w:rPr>
          <w:rFonts w:ascii="Arial" w:cs="Arial" w:eastAsia="Arial" w:hAnsi="Arial"/>
          <w:sz w:val="13"/>
          <w:szCs w:val="13"/>
          <w:color w:val="auto"/>
        </w:rPr>
      </w:pPr>
    </w:p>
    <w:p>
      <w:pPr>
        <w:ind w:left="660" w:right="60" w:hanging="333"/>
        <w:spacing w:after="0" w:line="223" w:lineRule="auto"/>
        <w:tabs>
          <w:tab w:leader="none" w:pos="660" w:val="left"/>
        </w:tabs>
        <w:numPr>
          <w:ilvl w:val="1"/>
          <w:numId w:val="5"/>
        </w:numPr>
        <w:rPr>
          <w:rFonts w:ascii="Arial" w:cs="Arial" w:eastAsia="Arial" w:hAnsi="Arial"/>
          <w:sz w:val="13"/>
          <w:szCs w:val="13"/>
          <w:color w:val="auto"/>
        </w:rPr>
      </w:pPr>
      <w:r>
        <w:rPr>
          <w:rFonts w:ascii="Arial" w:cs="Arial" w:eastAsia="Arial" w:hAnsi="Arial"/>
          <w:sz w:val="13"/>
          <w:szCs w:val="13"/>
          <w:color w:val="auto"/>
        </w:rPr>
        <w:t>We present Adjusted Diluted EPS for Tradeweb Markets LLC for pre-IPO periods. Because Adjusted Diluted EPS includes certain tax related adjustments to reflect an assumed effective tax rate for all periods presented and, for 2019, assumes all equity interests of Tradeweb Markets LLC are exchanged for shares of Class A or Class B common stock, we believe that Adjusted Diluted EPS for Tradeweb Markets Inc. and Tradeweb Markets LLC are comparable.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8"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Assets as of December 31, 2019 included $ 460.7 million in unrestricted cash and cash equivalents. In 2019, Tradeweb generated $311.0 million of cash flow from operating activities and $266.5 million of Free Cash Flow. Please see "Non-GAAP Financial Measures" below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Follow-On Offering</w:t>
      </w:r>
    </w:p>
    <w:p>
      <w:pPr>
        <w:spacing w:after="0" w:line="1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 xml:space="preserve">During the fourth quarter, Tradeweb Markets Inc. completed a follow-on offering of 19,881,059 shares of Class A Common stock at a price to the public of $42.00 per share, which includes the full exercise of the underwriters’ </w:t>
      </w:r>
      <w:r>
        <w:rPr>
          <w:rFonts w:ascii="Arial" w:cs="Arial" w:eastAsia="Arial" w:hAnsi="Arial"/>
          <w:sz w:val="18"/>
          <w:szCs w:val="18"/>
          <w:color w:val="auto"/>
          <w:highlight w:val="white"/>
        </w:rPr>
        <w:t xml:space="preserve">option to purchase an additional 2,593,181 shares. </w:t>
      </w:r>
      <w:r>
        <w:rPr>
          <w:rFonts w:ascii="Arial" w:cs="Arial" w:eastAsia="Arial" w:hAnsi="Arial"/>
          <w:sz w:val="18"/>
          <w:szCs w:val="18"/>
          <w:color w:val="auto"/>
        </w:rPr>
        <w:t>Tradeweb Markets Inc. used the proceeds of $810.0 million</w:t>
      </w:r>
      <w:r>
        <w:rPr>
          <w:rFonts w:ascii="Arial" w:cs="Arial" w:eastAsia="Arial" w:hAnsi="Arial"/>
          <w:sz w:val="18"/>
          <w:szCs w:val="18"/>
          <w:color w:val="auto"/>
          <w:highlight w:val="white"/>
        </w:rPr>
        <w:t xml:space="preserve"> </w:t>
      </w:r>
      <w:r>
        <w:rPr>
          <w:rFonts w:ascii="Arial" w:cs="Arial" w:eastAsia="Arial" w:hAnsi="Arial"/>
          <w:sz w:val="18"/>
          <w:szCs w:val="18"/>
          <w:color w:val="auto"/>
        </w:rPr>
        <w:t>from the offering, net of underwriting discounts and commissions, but before estimated offering expenses, to purchase equity interests from certain existing owners. Refinitiv continues to own a controlling interest in Tradeweb following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3740785</wp:posOffset>
            </wp:positionH>
            <wp:positionV relativeFrom="paragraph">
              <wp:posOffset>-648970</wp:posOffset>
            </wp:positionV>
            <wp:extent cx="1835150"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35150" cy="12890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Full-Year 2020 Guidance*</w:t>
      </w:r>
    </w:p>
    <w:p>
      <w:pPr>
        <w:spacing w:after="0" w:line="18" w:lineRule="exact"/>
        <w:rPr>
          <w:sz w:val="20"/>
          <w:szCs w:val="20"/>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expenses of $495 - $510 million</w:t>
      </w:r>
    </w:p>
    <w:p>
      <w:pPr>
        <w:spacing w:after="0" w:line="9" w:lineRule="exact"/>
        <w:rPr>
          <w:rFonts w:ascii="Arial" w:cs="Arial" w:eastAsia="Arial" w:hAnsi="Arial"/>
          <w:sz w:val="18"/>
          <w:szCs w:val="18"/>
          <w:color w:val="auto"/>
        </w:rPr>
      </w:pPr>
    </w:p>
    <w:p>
      <w:pPr>
        <w:ind w:left="1080" w:hanging="261"/>
        <w:spacing w:after="0" w:line="234"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approximately $5 million of new investments, primarily in data strategy and cybersecurity</w:t>
      </w:r>
    </w:p>
    <w:p>
      <w:pPr>
        <w:ind w:left="1080" w:hanging="261"/>
        <w:spacing w:after="0" w:line="234" w:lineRule="auto"/>
        <w:tabs>
          <w:tab w:leader="none" w:pos="10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Includes approximately $3 million of duplicative rent expense</w:t>
      </w: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Assumed non-GAAP tax rate of 22.0%</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Capital expenditures and capitalization of software of $45 - $50 million</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Acquisition and Refinitiv Transaction related depreciation and amortization expense of $110 million</w:t>
      </w:r>
    </w:p>
    <w:p>
      <w:pPr>
        <w:spacing w:after="0" w:line="203" w:lineRule="exact"/>
        <w:rPr>
          <w:sz w:val="20"/>
          <w:szCs w:val="20"/>
          <w:color w:val="auto"/>
        </w:rPr>
      </w:pPr>
    </w:p>
    <w:p>
      <w:pPr>
        <w:ind w:left="320" w:right="160"/>
        <w:spacing w:after="0" w:line="279"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w:t>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47" w:right="14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Dividend</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Tradeweb Markets Inc. declared a cash dividend of $0.08 per share of Class A common stock and Class B common stock for the fourth quarter of 2019. The dividend will be payable on March 16, 2020 to stockholders of record as of March 2,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Tradeweb Markets will hold a conference call to discuss fourth quarter 2019 results starting at 8:30 a.m. Eastern Time today, February 12, 2020. A live, audio webcast of the conference call along with related materials will be available at http://investors.tradeweb.com. Alternatively, interested parties can access the call by dialing </w:t>
      </w:r>
      <w:r>
        <w:rPr>
          <w:rFonts w:ascii="Arial" w:cs="Arial" w:eastAsia="Arial" w:hAnsi="Arial"/>
          <w:sz w:val="18"/>
          <w:szCs w:val="18"/>
          <w:color w:val="333333"/>
        </w:rPr>
        <w:t xml:space="preserve">866-221-1629 </w:t>
      </w:r>
      <w:r>
        <w:rPr>
          <w:rFonts w:ascii="Arial" w:cs="Arial" w:eastAsia="Arial" w:hAnsi="Arial"/>
          <w:sz w:val="18"/>
          <w:szCs w:val="18"/>
          <w:color w:val="000000"/>
        </w:rPr>
        <w:t>(U.S.) or +1</w:t>
      </w:r>
      <w:r>
        <w:rPr>
          <w:rFonts w:ascii="Arial" w:cs="Arial" w:eastAsia="Arial" w:hAnsi="Arial"/>
          <w:sz w:val="18"/>
          <w:szCs w:val="18"/>
          <w:color w:val="333333"/>
        </w:rPr>
        <w:t xml:space="preserve"> 470-495-9175 </w:t>
      </w:r>
      <w:r>
        <w:rPr>
          <w:rFonts w:ascii="Arial" w:cs="Arial" w:eastAsia="Arial" w:hAnsi="Arial"/>
          <w:sz w:val="18"/>
          <w:szCs w:val="18"/>
          <w:color w:val="000000"/>
        </w:rPr>
        <w:t>(international) and entering passcode 3072418. After the conference call, an</w:t>
      </w:r>
      <w:r>
        <w:rPr>
          <w:rFonts w:ascii="Arial" w:cs="Arial" w:eastAsia="Arial" w:hAnsi="Arial"/>
          <w:sz w:val="18"/>
          <w:szCs w:val="18"/>
          <w:color w:val="333333"/>
        </w:rPr>
        <w:t xml:space="preserve"> </w:t>
      </w:r>
      <w:r>
        <w:rPr>
          <w:rFonts w:ascii="Arial" w:cs="Arial" w:eastAsia="Arial" w:hAnsi="Arial"/>
          <w:sz w:val="18"/>
          <w:szCs w:val="18"/>
          <w:color w:val="000000"/>
        </w:rPr>
        <w:t>archived recording will be available at http://investors.tradeweb.com.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This release contains forward-looking statements within the meaning of the federal securities laws. Statements related to, among other things, our guidance, including 2020 guidance, and future performance, the industry and markets in which we operate, our expectations, beliefs, plans, strategies, objectives, prospects and assumptions and future events are forward-looking statements.</w:t>
      </w:r>
    </w:p>
    <w:p>
      <w:pPr>
        <w:spacing w:after="0" w:line="18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performance and our actual results of operations, financial condition or liquidity, and the development of the industry and markets in which we operate, may differ materially from the forward-looking statements contained in this release. In addition, even if our results of operations, financial condition, or liquidity, and events in the industry and markets in which we operate, are consistent with the forward-looking statements contained in this release, they may not be predictive of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historical financial information and other disclosures contained in this press release relate to periods that ended both prior to and after the completion of the Reorganization Transactions and the IPO of Tradeweb Markets Inc. (unless the context otherwise requires, together with its subsidiaries, referred to as “we,” “our,” “Tradeweb,” “Tradeweb Markets” or the “Company”). The IPO closed on April 8, 2019. As a result of certain reorganization transactions (the “Reorganization Transactions”) completed in connection with the IPO, on April 4, 2019, Tradeweb Markets Inc. became a holding company whose only material assets consist of its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 The historical financial information contained in this press release relating to periods prior to and including March 31, 2019, which we refer to as the “pre-IPO period,” pertain to TWM LLC, the predecessor of Tradeweb Markets Inc. for financial reporting purposes. The historical financial information contained in this press release relating to periods beginning on April 1, 2019, and through and including December 31, 2019, which we refer to as the “post-IPO period,” pertain to</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08" w:right="1419" w:bottom="1440" w:gutter="0" w:footer="0" w:header="0"/>
        </w:sectPr>
      </w:pPr>
    </w:p>
    <w:bookmarkStart w:id="8" w:name="page9"/>
    <w:bookmarkEnd w:id="8"/>
    <w:p>
      <w:pPr>
        <w:ind w:right="100"/>
        <w:spacing w:after="0" w:line="24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 The pre-IPO period excludes, and the post-IPO period includes, our financial results from April 1, 2019 through April 3, 2019, which are not material.</w:t>
      </w:r>
    </w:p>
    <w:p>
      <w:pPr>
        <w:spacing w:after="0" w:line="18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On October 1, 2018, Refinitiv Holdings Ltd. (“Refinitiv”), which is controlled by certain investment funds affiliated with The Blackstone Group L.P., an affiliate of Canada Pension Plan Investment Board, an affiliate of GIC Special Investments Pte. Ltd. and certain co-investors, indirectly acquired substantially all of the financial and risk business of Thomson Reuters Corporation and Thomson Reuters Corporation indirectly acquired a non-controlling ownership interest in Refinitiv (collectively, the “Refinitiv Transaction”). As a result of the Refinitiv Transaction, as a consolidating subsidiary of Refinitiv, we accounted for the Refinitiv Transaction using pushdown accounting. Due to the change in the basis of accounting resulting from the application of pushdown accounting, the financial information for the period beginning on October 1, 2018, and through and including December 31, 2019, or the “successor period,” and the financial information for the periods prior to, and including, September 30, 2018, or the “predecessor period,” are not comparable. However, the change in basis resulting from the Refinitiv Transaction did not materially impact certain financial information. Accordingly, we present certain financial information for the year ended December 31, 2018 on a combined basis as the change in basis resulting from the Refinitiv Transaction did not impact such financial information and, we believe it provides a meaningful method of comparison to other periods. The combined financial information is being presented for informational purposes only and (i) has not been prepared on a pro forma basis as if the Refinitiv Transaction occurred on the first day of the period, (ii) may not reflect the actual results we would have achieved absent the Refinitiv Transaction, (iii) may not be predictive of future results of operations and (iv) should not be viewed as a substitute for the financial results of the separate periods presented in accordance with GAAP.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This release contains “non-GAAP financial measures,” including Adjusted EBITDA, Adjusted EBITDA margin, Adjusted EBIT, Adjusted EBIT margin, Adjusted Net Income, Adjusted Diluted EPS, Adjusted Expenses and Free Cash Flow, which are supplemental financial measures that are not calculated or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9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8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189"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use Adjusted Expenses as a supplemental metric to evaluate our underlying operating performance over time by removing items that are not related to day-to-day operations or are non-cash expenses.</w:t>
      </w:r>
    </w:p>
    <w:p>
      <w:pPr>
        <w:spacing w:after="0" w:line="183"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We use Free Cash Flow to assess our liquidity in a way that considers the amount of cash generated from our core operations after expenditures for capitalized software development costs and furniture, equipment and leasehold improvements.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27" w:right="1419" w:bottom="1440" w:gutter="0" w:footer="0" w:header="0"/>
        </w:sectPr>
      </w:pPr>
    </w:p>
    <w:bookmarkStart w:id="9" w:name="page10"/>
    <w:bookmarkEnd w:id="9"/>
    <w:p>
      <w:pPr>
        <w:ind w:right="1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earnings per share, operating income, operating expenses or cash flow from operating activities or any other financial measure derived in accordance with GAAP. You are encouraged to evaluate each adjustment included in the reconciliations. In addition, in evaluating Adjusted EBITDA, Adjusted EBITDA margin, Adjusted EBIT, Adjusted EBIT margin, Adjusted Net Income, Adjusted Diluted EPS, Adjusted Expenses and Free Cash Flow, you should be aware that in the future we may incur expenses similar to the adjustments in the presentation of these non-GAAP financial measures. 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9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present certain growth information on a “constant currency” basis. Since our consolidated financial statements are presented in U.S. dollars, we must translate non-U.S. dollar revenues and expenses into U.S. dollars. Constant currency growth, which is a non-GAAP financial measure, is defined as growth excluding the effects of foreign currency fluctuations. Constant currency information is calculated by translating the current period and prior period’s results using the average exchange rates for 2018. We use constant currency growth as a supplemental metric to evaluate our underlying performance between periods by removing the impact of foreign currency fluctuations. We present certain constant currency growth information because we believe it provides investors and analysts a useful comparison of our results and trends between periods. This information should be considered in addition to, not as a substitute for, results reported in accordance with GAAP, and may not be comparable to similarly titled measures used by other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Social Media</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Investors and others should note that Tradeweb Markets announces material financial and operational information using its investor relations website, press releases, SEC filings and public conference calls and webcasts. Information about Tradeweb Markets, its business and its results of operations may also be announced by posts on the Company’s accounts on the following social media channels: Instagram, LinkedIn and Twitter. The information that we post through these social media channels may be deemed material. As a result, we encourage investors, the media, and others interested in Tradeweb Markets to monitor these social media channels in addition to following our press releases, SEC filings and public conference calls and webcasts. These social media channels may be updated from time to time on our investor relations website.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18"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color w:val="auto"/>
        </w:rPr>
        <w:t>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$720 billion in notional value traded per day over the past four fiscal quarters.</w:t>
      </w:r>
    </w:p>
    <w:p>
      <w:pPr>
        <w:sectPr>
          <w:pgSz w:w="11900" w:h="16838" w:orient="portrait"/>
          <w:cols w:equalWidth="0" w:num="1">
            <w:col w:w="9060"/>
          </w:cols>
          <w:pgMar w:left="1420" w:top="827" w:right="1419" w:bottom="1440" w:gutter="0" w:footer="0" w:header="0"/>
        </w:sect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Ashley Serrao, Tradeweb + 1 646 430 6027</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Ashley.Serrao@Tradeweb.com</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Jonathan Mairs, Tradeweb +1 646 430 6176</w:t>
      </w:r>
    </w:p>
    <w:p>
      <w:pPr>
        <w:spacing w:after="0"/>
        <w:rPr>
          <w:sz w:val="20"/>
          <w:szCs w:val="20"/>
          <w:color w:val="auto"/>
        </w:rPr>
      </w:pPr>
      <w:r>
        <w:rPr>
          <w:rFonts w:ascii="Arial" w:cs="Arial" w:eastAsia="Arial" w:hAnsi="Arial"/>
          <w:sz w:val="18"/>
          <w:szCs w:val="18"/>
          <w:color w:val="auto"/>
        </w:rPr>
        <w:t>Jonathan.Mairs@Tradeweb.com</w:t>
      </w:r>
    </w:p>
    <w:p>
      <w:pPr>
        <w:spacing w:after="0" w:line="198" w:lineRule="exact"/>
        <w:rPr>
          <w:sz w:val="20"/>
          <w:szCs w:val="20"/>
          <w:color w:val="auto"/>
        </w:rPr>
      </w:pPr>
    </w:p>
    <w:p>
      <w:pPr>
        <w:sectPr>
          <w:pgSz w:w="11900" w:h="16838" w:orient="portrait"/>
          <w:cols w:equalWidth="0" w:num="2">
            <w:col w:w="3820" w:space="720"/>
            <w:col w:w="4520"/>
          </w:cols>
          <w:pgMar w:left="1420" w:top="827" w:right="1419" w:bottom="1440" w:gutter="0" w:footer="0" w:header="0"/>
          <w:type w:val="continuous"/>
        </w:sectPr>
      </w:pPr>
    </w:p>
    <w:p>
      <w:pPr>
        <w:ind w:left="426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11" w:lineRule="exact"/>
        <w:rPr>
          <w:sz w:val="20"/>
          <w:szCs w:val="20"/>
          <w:color w:val="auto"/>
        </w:rPr>
      </w:pPr>
    </w:p>
    <w:p>
      <w:pPr>
        <w:sectPr>
          <w:pgSz w:w="11900" w:h="16838" w:orient="portrait"/>
          <w:cols w:equalWidth="0" w:num="2">
            <w:col w:w="4560" w:space="140"/>
            <w:col w:w="4360"/>
          </w:cols>
          <w:pgMar w:left="1420" w:top="827" w:right="1419" w:bottom="1440" w:gutter="0" w:footer="0" w:header="0"/>
          <w:type w:val="continuous"/>
        </w:sectPr>
      </w:pPr>
    </w:p>
    <w:p>
      <w:pPr>
        <w:spacing w:after="0" w:line="399" w:lineRule="exact"/>
        <w:rPr>
          <w:sz w:val="20"/>
          <w:szCs w:val="20"/>
          <w:color w:val="auto"/>
        </w:rPr>
      </w:pPr>
    </w:p>
    <w:p>
      <w:pPr>
        <w:jc w:val="right"/>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504825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27" w:right="141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Successor</w:t>
            </w: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7"/>
              </w:rPr>
              <w:t>Successor</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7"/>
              </w:rPr>
              <w:t>Predecessor</w:t>
            </w: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vMerge w:val="restart"/>
          </w:tcPr>
          <w:p>
            <w:pPr>
              <w:jc w:val="center"/>
              <w:ind w:right="18"/>
              <w:spacing w:after="0"/>
              <w:rPr>
                <w:sz w:val="20"/>
                <w:szCs w:val="20"/>
                <w:color w:val="auto"/>
              </w:rPr>
            </w:pPr>
            <w:r>
              <w:rPr>
                <w:rFonts w:ascii="Arial" w:cs="Arial" w:eastAsia="Arial" w:hAnsi="Arial"/>
                <w:sz w:val="13"/>
                <w:szCs w:val="13"/>
                <w:b w:val="1"/>
                <w:bCs w:val="1"/>
                <w:color w:val="auto"/>
                <w:w w:val="97"/>
              </w:rPr>
              <w:t>Predecessor</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3"/>
            <w:vMerge w:val="continue"/>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Three Months Ended</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center"/>
              <w:ind w:right="79"/>
              <w:spacing w:after="0" w:line="107" w:lineRule="exact"/>
              <w:rPr>
                <w:sz w:val="20"/>
                <w:szCs w:val="20"/>
                <w:color w:val="auto"/>
              </w:rPr>
            </w:pPr>
            <w:r>
              <w:rPr>
                <w:rFonts w:ascii="Arial" w:cs="Arial" w:eastAsia="Arial" w:hAnsi="Arial"/>
                <w:sz w:val="12"/>
                <w:szCs w:val="12"/>
                <w:b w:val="1"/>
                <w:bCs w:val="1"/>
                <w:color w:val="auto"/>
              </w:rPr>
              <w:t>Year Ended</w:t>
            </w:r>
          </w:p>
        </w:tc>
        <w:tc>
          <w:tcPr>
            <w:tcW w:w="80" w:type="dxa"/>
            <w:vAlign w:val="bottom"/>
          </w:tcPr>
          <w:p>
            <w:pPr>
              <w:spacing w:after="0"/>
              <w:rPr>
                <w:sz w:val="9"/>
                <w:szCs w:val="9"/>
                <w:color w:val="auto"/>
              </w:rPr>
            </w:pPr>
          </w:p>
        </w:tc>
        <w:tc>
          <w:tcPr>
            <w:tcW w:w="112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October 1, 2018 to</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gridSpan w:val="2"/>
          </w:tcPr>
          <w:p>
            <w:pPr>
              <w:jc w:val="center"/>
              <w:spacing w:after="0" w:line="107" w:lineRule="exact"/>
              <w:rPr>
                <w:sz w:val="20"/>
                <w:szCs w:val="20"/>
                <w:color w:val="auto"/>
              </w:rPr>
            </w:pPr>
            <w:r>
              <w:rPr>
                <w:rFonts w:ascii="Arial" w:cs="Arial" w:eastAsia="Arial" w:hAnsi="Arial"/>
                <w:sz w:val="12"/>
                <w:szCs w:val="12"/>
                <w:b w:val="1"/>
                <w:bCs w:val="1"/>
                <w:color w:val="auto"/>
              </w:rPr>
              <w:t>January 1, 2018 to</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center"/>
              <w:ind w:right="18"/>
              <w:spacing w:after="0" w:line="107" w:lineRule="exact"/>
              <w:rPr>
                <w:sz w:val="20"/>
                <w:szCs w:val="20"/>
                <w:color w:val="auto"/>
              </w:rPr>
            </w:pPr>
            <w:r>
              <w:rPr>
                <w:rFonts w:ascii="Arial" w:cs="Arial" w:eastAsia="Arial" w:hAnsi="Arial"/>
                <w:sz w:val="12"/>
                <w:szCs w:val="12"/>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1"/>
                <w:szCs w:val="11"/>
                <w:color w:val="auto"/>
              </w:rPr>
            </w:pPr>
          </w:p>
        </w:tc>
        <w:tc>
          <w:tcPr>
            <w:tcW w:w="9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September 30,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center"/>
              <w:ind w:right="38"/>
              <w:spacing w:after="0" w:line="135" w:lineRule="exact"/>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4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2019</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79"/>
              <w:spacing w:after="0"/>
              <w:rPr>
                <w:sz w:val="20"/>
                <w:szCs w:val="20"/>
                <w:color w:val="auto"/>
              </w:rPr>
            </w:pPr>
            <w:r>
              <w:rPr>
                <w:rFonts w:ascii="Arial" w:cs="Arial" w:eastAsia="Arial" w:hAnsi="Arial"/>
                <w:sz w:val="13"/>
                <w:szCs w:val="13"/>
                <w:b w:val="1"/>
                <w:bCs w:val="1"/>
                <w:color w:val="auto"/>
                <w:w w:val="96"/>
              </w:rPr>
              <w:t>2019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Borders>
              <w:bottom w:val="single" w:sz="8" w:color="CCEEFF"/>
              <w:right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2018</w:t>
            </w:r>
          </w:p>
        </w:tc>
        <w:tc>
          <w:tcPr>
            <w:tcW w:w="2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18"/>
              <w:spacing w:after="0"/>
              <w:rPr>
                <w:sz w:val="20"/>
                <w:szCs w:val="20"/>
                <w:color w:val="auto"/>
              </w:rPr>
            </w:pPr>
            <w:r>
              <w:rPr>
                <w:rFonts w:ascii="Arial" w:cs="Arial" w:eastAsia="Arial" w:hAnsi="Arial"/>
                <w:sz w:val="13"/>
                <w:szCs w:val="13"/>
                <w:b w:val="1"/>
                <w:bCs w:val="1"/>
                <w:color w:val="auto"/>
                <w:w w:val="96"/>
              </w:rPr>
              <w:t>2017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Revenues</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ind w:right="197"/>
              <w:spacing w:after="0" w:line="129" w:lineRule="exact"/>
              <w:rPr>
                <w:sz w:val="20"/>
                <w:szCs w:val="20"/>
                <w:color w:val="auto"/>
              </w:rPr>
            </w:pPr>
            <w:r>
              <w:rPr>
                <w:rFonts w:ascii="Arial" w:cs="Arial" w:eastAsia="Arial" w:hAnsi="Arial"/>
                <w:sz w:val="13"/>
                <w:szCs w:val="13"/>
                <w:color w:val="auto"/>
              </w:rPr>
              <w:t>(unaudited)</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59"/>
              <w:spacing w:after="0" w:line="129" w:lineRule="exact"/>
              <w:rPr>
                <w:sz w:val="20"/>
                <w:szCs w:val="20"/>
                <w:color w:val="auto"/>
              </w:rPr>
            </w:pPr>
            <w:r>
              <w:rPr>
                <w:rFonts w:ascii="Arial" w:cs="Arial" w:eastAsia="Arial" w:hAnsi="Arial"/>
                <w:sz w:val="13"/>
                <w:szCs w:val="13"/>
                <w:color w:val="auto"/>
              </w:rPr>
              <w:t>(unaudited)</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Transaction fees</w:t>
            </w:r>
          </w:p>
        </w:tc>
        <w:tc>
          <w:tcPr>
            <w:tcW w:w="260" w:type="dxa"/>
            <w:vAlign w:val="bottom"/>
            <w:gridSpan w:val="2"/>
          </w:tcPr>
          <w:p>
            <w:pPr>
              <w:jc w:val="right"/>
              <w:ind w:right="2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104,245</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423,583</w:t>
            </w: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97,130</w:t>
            </w:r>
          </w:p>
        </w:tc>
        <w:tc>
          <w:tcPr>
            <w:tcW w:w="100" w:type="dxa"/>
            <w:vAlign w:val="bottom"/>
            <w:tcBorders>
              <w:right w:val="single" w:sz="8" w:color="auto"/>
            </w:tcBorders>
          </w:tcPr>
          <w:p>
            <w:pPr>
              <w:spacing w:after="0"/>
              <w:rPr>
                <w:sz w:val="11"/>
                <w:szCs w:val="11"/>
                <w:color w:val="auto"/>
              </w:rPr>
            </w:pPr>
          </w:p>
        </w:tc>
        <w:tc>
          <w:tcPr>
            <w:tcW w:w="1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273,751</w:t>
            </w:r>
          </w:p>
        </w:tc>
        <w:tc>
          <w:tcPr>
            <w:tcW w:w="2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267,020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Subscription fees</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34,333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138,731</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33,052</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107,130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144,409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Commissions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41,165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149,365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32,840</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79,830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96,745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Refinitiv market data fees</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15,383</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55,635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13,467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36,851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50,125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Borders>
              <w:bottom w:val="single" w:sz="8" w:color="CCEEFF"/>
            </w:tcBorders>
            <w:gridSpan w:val="2"/>
          </w:tcPr>
          <w:p>
            <w:pPr>
              <w:ind w:left="100"/>
              <w:spacing w:after="0" w:line="135" w:lineRule="exact"/>
              <w:rPr>
                <w:sz w:val="20"/>
                <w:szCs w:val="20"/>
                <w:color w:val="auto"/>
              </w:rPr>
            </w:pPr>
            <w:r>
              <w:rPr>
                <w:rFonts w:ascii="Arial" w:cs="Arial" w:eastAsia="Arial" w:hAnsi="Arial"/>
                <w:sz w:val="13"/>
                <w:szCs w:val="13"/>
                <w:color w:val="auto"/>
              </w:rPr>
              <w:t>Other</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2,182</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8,252</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2,148</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8,209</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4,669</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gridSpan w:val="2"/>
            <w:shd w:val="clear" w:color="auto" w:fill="CCEEFF"/>
          </w:tcPr>
          <w:p>
            <w:pPr>
              <w:ind w:left="200"/>
              <w:spacing w:after="0" w:line="129" w:lineRule="exact"/>
              <w:rPr>
                <w:sz w:val="20"/>
                <w:szCs w:val="20"/>
                <w:color w:val="auto"/>
              </w:rPr>
            </w:pPr>
            <w:r>
              <w:rPr>
                <w:rFonts w:ascii="Arial" w:cs="Arial" w:eastAsia="Arial" w:hAnsi="Arial"/>
                <w:sz w:val="13"/>
                <w:szCs w:val="13"/>
                <w:b w:val="1"/>
                <w:bCs w:val="1"/>
                <w:color w:val="auto"/>
              </w:rPr>
              <w:t>Gross revenue</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197,308</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775,566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178,637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505,771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562,968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tcBorders>
              <w:bottom w:val="single" w:sz="8" w:color="CCEEFF"/>
            </w:tcBorders>
            <w:gridSpan w:val="2"/>
          </w:tcPr>
          <w:p>
            <w:pPr>
              <w:ind w:left="100"/>
              <w:spacing w:after="0" w:line="135" w:lineRule="exact"/>
              <w:rPr>
                <w:sz w:val="20"/>
                <w:szCs w:val="20"/>
                <w:color w:val="auto"/>
              </w:rPr>
            </w:pPr>
            <w:r>
              <w:rPr>
                <w:rFonts w:ascii="Arial" w:cs="Arial" w:eastAsia="Arial" w:hAnsi="Arial"/>
                <w:sz w:val="13"/>
                <w:szCs w:val="13"/>
                <w:color w:val="auto"/>
              </w:rPr>
              <w:t>Contingent consideration</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(26,830)</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(58,520)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revenue</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197,308</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775,566</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178,637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478,941</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504,448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Expenses</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Employee compensation and benefits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76,545</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329,457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80,436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209,053</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248,963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Depreciation and amortization</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36,402</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139,330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33,020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48,808</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68,615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Technology and communications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10,199</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39,285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9,907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26,598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30,013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General and administrative</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8,999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34,960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11,837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23,056</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33,973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Professional fees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7,048</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28,029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8,194</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20,360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19,351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Occupancy</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3,786</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14,686</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3,308</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10,732</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14,441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tcBorders>
              <w:bottom w:val="single" w:sz="8" w:color="CCEEFF"/>
            </w:tcBorders>
            <w:gridSpan w:val="2"/>
          </w:tcPr>
          <w:p>
            <w:pPr>
              <w:ind w:left="200"/>
              <w:spacing w:after="0" w:line="129" w:lineRule="exact"/>
              <w:rPr>
                <w:sz w:val="20"/>
                <w:szCs w:val="20"/>
                <w:color w:val="auto"/>
              </w:rPr>
            </w:pPr>
            <w:r>
              <w:rPr>
                <w:rFonts w:ascii="Arial" w:cs="Arial" w:eastAsia="Arial" w:hAnsi="Arial"/>
                <w:sz w:val="13"/>
                <w:szCs w:val="13"/>
                <w:b w:val="1"/>
                <w:bCs w:val="1"/>
                <w:color w:val="auto"/>
              </w:rPr>
              <w:t>Total expenses</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142,979</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585,747</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146,702</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338,607</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415,356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Operating income</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54,329</w:t>
            </w: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189,819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31,935</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140,334</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89,092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Tax receivable agreement liability adjustment</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Arial" w:cs="Arial" w:eastAsia="Arial" w:hAnsi="Arial"/>
                <w:sz w:val="13"/>
                <w:szCs w:val="13"/>
                <w:color w:val="auto"/>
              </w:rPr>
              <w:t>33,134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33,134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Net interest income</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704</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2,373</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787</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1,726</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685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Income before taxes</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88,167</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225,326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32,722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142,060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b w:val="1"/>
                <w:bCs w:val="1"/>
                <w:color w:val="auto"/>
              </w:rPr>
              <w:t>89,777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Provision for income taxes</w:t>
            </w: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(30,889)</w:t>
            </w:r>
          </w:p>
        </w:tc>
        <w:tc>
          <w:tcPr>
            <w:tcW w:w="6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(52,302)</w:t>
            </w:r>
          </w:p>
        </w:tc>
        <w:tc>
          <w:tcPr>
            <w:tcW w:w="8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(3,415)</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(11,900)</w:t>
            </w:r>
          </w:p>
        </w:tc>
        <w:tc>
          <w:tcPr>
            <w:tcW w:w="20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(6,129)</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92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jc w:val="right"/>
              <w:ind w:right="27"/>
              <w:spacing w:after="0"/>
              <w:rPr>
                <w:sz w:val="20"/>
                <w:szCs w:val="20"/>
                <w:color w:val="auto"/>
              </w:rPr>
            </w:pPr>
            <w:r>
              <w:rPr>
                <w:rFonts w:ascii="Arial" w:cs="Arial" w:eastAsia="Arial" w:hAnsi="Arial"/>
                <w:sz w:val="9"/>
                <w:szCs w:val="9"/>
                <w:b w:val="1"/>
                <w:bCs w:val="1"/>
                <w:color w:val="auto"/>
                <w:w w:val="78"/>
              </w:rPr>
              <w:t>$</w:t>
            </w:r>
          </w:p>
        </w:tc>
        <w:tc>
          <w:tcPr>
            <w:tcW w:w="11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b w:val="1"/>
                <w:bCs w:val="1"/>
                <w:color w:val="auto"/>
              </w:rPr>
              <w:t>57,278</w:t>
            </w: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3"/>
                <w:szCs w:val="13"/>
                <w:b w:val="1"/>
                <w:bCs w:val="1"/>
                <w:color w:val="auto"/>
              </w:rPr>
              <w:t>173,024</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29,307</w:t>
            </w:r>
          </w:p>
        </w:tc>
        <w:tc>
          <w:tcPr>
            <w:tcW w:w="100" w:type="dxa"/>
            <w:vAlign w:val="bottom"/>
            <w:tcBorders>
              <w:bottom w:val="single" w:sz="8" w:color="CCEEFF"/>
              <w:right w:val="single" w:sz="8" w:color="auto"/>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10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130,160</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83,648</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2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w w:val="99"/>
              </w:rPr>
              <w:t>Less: Pre-IPO net income attributable to Tradeweb</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Markets LLC</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42,352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920" w:type="dxa"/>
            <w:vAlign w:val="bottom"/>
            <w:gridSpan w:val="2"/>
          </w:tcPr>
          <w:p>
            <w:pPr>
              <w:spacing w:after="0" w:line="109" w:lineRule="exact"/>
              <w:rPr>
                <w:sz w:val="20"/>
                <w:szCs w:val="20"/>
                <w:color w:val="auto"/>
              </w:rPr>
            </w:pPr>
            <w:r>
              <w:rPr>
                <w:rFonts w:ascii="Arial" w:cs="Arial" w:eastAsia="Arial" w:hAnsi="Arial"/>
                <w:sz w:val="12"/>
                <w:szCs w:val="12"/>
                <w:color w:val="auto"/>
              </w:rPr>
              <w:t>Net income attributable to Tradeweb Markets Inc.</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2940" w:type="dxa"/>
            <w:vAlign w:val="bottom"/>
            <w:gridSpan w:val="3"/>
          </w:tcPr>
          <w:p>
            <w:pPr>
              <w:spacing w:after="0" w:line="141" w:lineRule="exact"/>
              <w:rPr>
                <w:sz w:val="20"/>
                <w:szCs w:val="20"/>
                <w:color w:val="auto"/>
              </w:rPr>
            </w:pPr>
            <w:r>
              <w:rPr>
                <w:rFonts w:ascii="Arial" w:cs="Arial" w:eastAsia="Arial" w:hAnsi="Arial"/>
                <w:sz w:val="13"/>
                <w:szCs w:val="13"/>
                <w:color w:val="auto"/>
              </w:rPr>
              <w:t>and non-controlling interests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jc w:val="right"/>
              <w:spacing w:after="0" w:line="141" w:lineRule="exact"/>
              <w:rPr>
                <w:sz w:val="20"/>
                <w:szCs w:val="20"/>
                <w:color w:val="auto"/>
              </w:rPr>
            </w:pPr>
            <w:r>
              <w:rPr>
                <w:rFonts w:ascii="Arial" w:cs="Arial" w:eastAsia="Arial" w:hAnsi="Arial"/>
                <w:sz w:val="13"/>
                <w:szCs w:val="13"/>
                <w:color w:val="auto"/>
              </w:rPr>
              <w:t>57,278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1" w:lineRule="exact"/>
              <w:rPr>
                <w:sz w:val="20"/>
                <w:szCs w:val="20"/>
                <w:color w:val="auto"/>
              </w:rPr>
            </w:pPr>
            <w:r>
              <w:rPr>
                <w:rFonts w:ascii="Arial" w:cs="Arial" w:eastAsia="Arial" w:hAnsi="Arial"/>
                <w:sz w:val="13"/>
                <w:szCs w:val="13"/>
                <w:color w:val="auto"/>
              </w:rPr>
              <w:t>130,672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Less: Net income attributable to non-controlling</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9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15,949</w:t>
            </w:r>
          </w:p>
        </w:tc>
        <w:tc>
          <w:tcPr>
            <w:tcW w:w="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46,903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920" w:type="dxa"/>
            <w:vAlign w:val="bottom"/>
            <w:gridSpan w:val="2"/>
          </w:tcPr>
          <w:p>
            <w:pPr>
              <w:spacing w:after="0" w:line="93" w:lineRule="exact"/>
              <w:rPr>
                <w:sz w:val="20"/>
                <w:szCs w:val="20"/>
                <w:color w:val="auto"/>
              </w:rPr>
            </w:pPr>
            <w:r>
              <w:rPr>
                <w:rFonts w:ascii="Arial" w:cs="Arial" w:eastAsia="Arial" w:hAnsi="Arial"/>
                <w:sz w:val="9"/>
                <w:szCs w:val="9"/>
                <w:b w:val="1"/>
                <w:bCs w:val="1"/>
                <w:color w:val="auto"/>
              </w:rPr>
              <w:t>Net income attributable to Tradeweb Markets</w:t>
            </w:r>
          </w:p>
        </w:tc>
        <w:tc>
          <w:tcPr>
            <w:tcW w:w="260" w:type="dxa"/>
            <w:vAlign w:val="bottom"/>
            <w:gridSpan w:val="2"/>
            <w:vMerge w:val="restart"/>
          </w:tcPr>
          <w:p>
            <w:pPr>
              <w:jc w:val="right"/>
              <w:ind w:right="27"/>
              <w:spacing w:after="0"/>
              <w:rPr>
                <w:sz w:val="20"/>
                <w:szCs w:val="20"/>
                <w:color w:val="auto"/>
              </w:rPr>
            </w:pPr>
            <w:r>
              <w:rPr>
                <w:rFonts w:ascii="Arial" w:cs="Arial" w:eastAsia="Arial" w:hAnsi="Arial"/>
                <w:sz w:val="13"/>
                <w:szCs w:val="13"/>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41,329</w:t>
            </w:r>
          </w:p>
        </w:tc>
        <w:tc>
          <w:tcPr>
            <w:tcW w:w="2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83,769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1"/>
        </w:trPr>
        <w:tc>
          <w:tcPr>
            <w:tcW w:w="2940" w:type="dxa"/>
            <w:vAlign w:val="bottom"/>
            <w:gridSpan w:val="3"/>
          </w:tcPr>
          <w:p>
            <w:pPr>
              <w:spacing w:after="0" w:line="144" w:lineRule="exact"/>
              <w:rPr>
                <w:sz w:val="20"/>
                <w:szCs w:val="20"/>
                <w:color w:val="auto"/>
              </w:rPr>
            </w:pPr>
            <w:r>
              <w:rPr>
                <w:rFonts w:ascii="Arial" w:cs="Arial" w:eastAsia="Arial" w:hAnsi="Arial"/>
                <w:sz w:val="13"/>
                <w:szCs w:val="13"/>
                <w:b w:val="1"/>
                <w:bCs w:val="1"/>
                <w:color w:val="auto"/>
              </w:rPr>
              <w:t>Inc.</w:t>
            </w:r>
          </w:p>
        </w:tc>
        <w:tc>
          <w:tcPr>
            <w:tcW w:w="260" w:type="dxa"/>
            <w:vAlign w:val="bottom"/>
            <w:gridSpan w:val="2"/>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200" w:type="dxa"/>
            <w:vAlign w:val="bottom"/>
            <w:gridSpan w:val="2"/>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24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9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2920" w:type="dxa"/>
            <w:vAlign w:val="bottom"/>
            <w:gridSpan w:val="2"/>
          </w:tcPr>
          <w:p>
            <w:pPr>
              <w:spacing w:after="0" w:line="108" w:lineRule="exact"/>
              <w:rPr>
                <w:sz w:val="20"/>
                <w:szCs w:val="20"/>
                <w:color w:val="auto"/>
              </w:rPr>
            </w:pPr>
            <w:r>
              <w:rPr>
                <w:rFonts w:ascii="Arial" w:cs="Arial" w:eastAsia="Arial" w:hAnsi="Arial"/>
                <w:sz w:val="12"/>
                <w:szCs w:val="12"/>
                <w:b w:val="1"/>
                <w:bCs w:val="1"/>
                <w:u w:val="single" w:color="auto"/>
                <w:color w:val="auto"/>
              </w:rPr>
              <w:t>EPS calculations for pre-IPO and post-IPO</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940" w:type="dxa"/>
            <w:vAlign w:val="bottom"/>
            <w:gridSpan w:val="3"/>
          </w:tcPr>
          <w:p>
            <w:pPr>
              <w:spacing w:after="0" w:line="149" w:lineRule="exact"/>
              <w:rPr>
                <w:sz w:val="20"/>
                <w:szCs w:val="20"/>
                <w:color w:val="auto"/>
              </w:rPr>
            </w:pPr>
            <w:r>
              <w:rPr>
                <w:rFonts w:ascii="Arial" w:cs="Arial" w:eastAsia="Arial" w:hAnsi="Arial"/>
                <w:sz w:val="13"/>
                <w:szCs w:val="13"/>
                <w:b w:val="1"/>
                <w:bCs w:val="1"/>
                <w:color w:val="auto"/>
              </w:rPr>
              <w:t xml:space="preserve">periods </w:t>
            </w:r>
            <w:r>
              <w:rPr>
                <w:rFonts w:ascii="Arial" w:cs="Arial" w:eastAsia="Arial" w:hAnsi="Arial"/>
                <w:sz w:val="14"/>
                <w:szCs w:val="14"/>
                <w:b w:val="1"/>
                <w:bCs w:val="1"/>
                <w:color w:val="auto"/>
                <w:vertAlign w:val="superscript"/>
              </w:rPr>
              <w:t>(1)</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Earnings per share</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gridSpan w:val="2"/>
          </w:tcPr>
          <w:p>
            <w:pPr>
              <w:ind w:left="100"/>
              <w:spacing w:after="0" w:line="111" w:lineRule="exact"/>
              <w:rPr>
                <w:sz w:val="20"/>
                <w:szCs w:val="20"/>
                <w:color w:val="auto"/>
              </w:rPr>
            </w:pPr>
            <w:r>
              <w:rPr>
                <w:rFonts w:ascii="Arial" w:cs="Arial" w:eastAsia="Arial" w:hAnsi="Arial"/>
                <w:sz w:val="12"/>
                <w:szCs w:val="12"/>
                <w:color w:val="auto"/>
              </w:rPr>
              <w:t>Basic</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 xml:space="preserve">0.26 </w:t>
            </w:r>
            <w:r>
              <w:rPr>
                <w:rFonts w:ascii="Arial" w:cs="Arial" w:eastAsia="Arial" w:hAnsi="Arial"/>
                <w:sz w:val="14"/>
                <w:szCs w:val="14"/>
                <w:color w:val="auto"/>
                <w:vertAlign w:val="superscript"/>
              </w:rPr>
              <w:t>(b)</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spacing w:after="0" w:line="111" w:lineRule="exact"/>
              <w:rPr>
                <w:sz w:val="20"/>
                <w:szCs w:val="20"/>
                <w:color w:val="auto"/>
              </w:rPr>
            </w:pPr>
            <w:r>
              <w:rPr>
                <w:rFonts w:ascii="Arial" w:cs="Arial" w:eastAsia="Arial" w:hAnsi="Arial"/>
                <w:sz w:val="11"/>
                <w:szCs w:val="11"/>
                <w:color w:val="auto"/>
              </w:rPr>
              <w:t xml:space="preserve">0.19 </w:t>
            </w:r>
            <w:r>
              <w:rPr>
                <w:rFonts w:ascii="Arial" w:cs="Arial" w:eastAsia="Arial" w:hAnsi="Arial"/>
                <w:sz w:val="12"/>
                <w:szCs w:val="12"/>
                <w:color w:val="auto"/>
                <w:vertAlign w:val="superscript"/>
              </w:rPr>
              <w:t>(a)</w:t>
            </w:r>
            <w:r>
              <w:rPr>
                <w:rFonts w:ascii="Arial" w:cs="Arial" w:eastAsia="Arial" w:hAnsi="Arial"/>
                <w:sz w:val="11"/>
                <w:szCs w:val="11"/>
                <w:color w:val="auto"/>
              </w:rPr>
              <w:t xml:space="preserve"> /</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 xml:space="preserve">0.13 </w:t>
            </w:r>
            <w:r>
              <w:rPr>
                <w:rFonts w:ascii="Arial" w:cs="Arial" w:eastAsia="Arial" w:hAnsi="Arial"/>
                <w:sz w:val="14"/>
                <w:szCs w:val="14"/>
                <w:color w:val="auto"/>
                <w:vertAlign w:val="superscript"/>
              </w:rPr>
              <w:t>(a)</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 xml:space="preserve">0.60 </w:t>
            </w:r>
            <w:r>
              <w:rPr>
                <w:rFonts w:ascii="Arial" w:cs="Arial" w:eastAsia="Arial" w:hAnsi="Arial"/>
                <w:sz w:val="14"/>
                <w:szCs w:val="14"/>
                <w:color w:val="auto"/>
                <w:vertAlign w:val="superscript"/>
              </w:rPr>
              <w:t>(a)</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 xml:space="preserve">0.39 </w:t>
            </w:r>
            <w:r>
              <w:rPr>
                <w:rFonts w:ascii="Arial" w:cs="Arial" w:eastAsia="Arial" w:hAnsi="Arial"/>
                <w:sz w:val="14"/>
                <w:szCs w:val="14"/>
                <w:color w:val="auto"/>
                <w:vertAlign w:val="superscript"/>
              </w:rPr>
              <w:t>(a)</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6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1140" w:type="dxa"/>
            <w:vAlign w:val="bottom"/>
            <w:vMerge w:val="continue"/>
          </w:tcPr>
          <w:p>
            <w:pPr>
              <w:spacing w:after="0"/>
              <w:rPr>
                <w:sz w:val="14"/>
                <w:szCs w:val="14"/>
                <w:color w:val="auto"/>
              </w:rPr>
            </w:pP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60" w:lineRule="exact"/>
              <w:rPr>
                <w:sz w:val="20"/>
                <w:szCs w:val="20"/>
                <w:color w:val="auto"/>
              </w:rPr>
            </w:pPr>
            <w:r>
              <w:rPr>
                <w:rFonts w:ascii="Arial" w:cs="Arial" w:eastAsia="Arial" w:hAnsi="Arial"/>
                <w:sz w:val="13"/>
                <w:szCs w:val="13"/>
                <w:color w:val="auto"/>
              </w:rPr>
              <w:t xml:space="preserve">0.57 </w:t>
            </w:r>
            <w:r>
              <w:rPr>
                <w:rFonts w:ascii="Arial" w:cs="Arial" w:eastAsia="Arial" w:hAnsi="Arial"/>
                <w:sz w:val="14"/>
                <w:szCs w:val="14"/>
                <w:color w:val="auto"/>
                <w:vertAlign w:val="superscript"/>
              </w:rPr>
              <w:t>(b)</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continue"/>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continue"/>
          </w:tcPr>
          <w:p>
            <w:pPr>
              <w:spacing w:after="0"/>
              <w:rPr>
                <w:sz w:val="14"/>
                <w:szCs w:val="14"/>
                <w:color w:val="auto"/>
              </w:rPr>
            </w:pPr>
          </w:p>
        </w:tc>
        <w:tc>
          <w:tcPr>
            <w:tcW w:w="2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920" w:type="dxa"/>
            <w:vAlign w:val="bottom"/>
            <w:tcBorders>
              <w:top w:val="single" w:sz="8" w:color="CCEEFF"/>
            </w:tcBorders>
            <w:gridSpan w:val="2"/>
            <w:shd w:val="clear" w:color="auto" w:fill="CCEEFF"/>
          </w:tcPr>
          <w:p>
            <w:pPr>
              <w:ind w:left="100"/>
              <w:spacing w:after="0" w:line="111" w:lineRule="exact"/>
              <w:rPr>
                <w:sz w:val="20"/>
                <w:szCs w:val="20"/>
                <w:color w:val="auto"/>
              </w:rPr>
            </w:pPr>
            <w:r>
              <w:rPr>
                <w:rFonts w:ascii="Arial" w:cs="Arial" w:eastAsia="Arial" w:hAnsi="Arial"/>
                <w:sz w:val="12"/>
                <w:szCs w:val="12"/>
                <w:color w:val="auto"/>
              </w:rPr>
              <w:t>Diluted</w:t>
            </w:r>
          </w:p>
        </w:tc>
        <w:tc>
          <w:tcPr>
            <w:tcW w:w="1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 xml:space="preserve">0.25 </w:t>
            </w:r>
            <w:r>
              <w:rPr>
                <w:rFonts w:ascii="Arial" w:cs="Arial" w:eastAsia="Arial" w:hAnsi="Arial"/>
                <w:sz w:val="14"/>
                <w:szCs w:val="14"/>
                <w:color w:val="auto"/>
                <w:vertAlign w:val="superscript"/>
              </w:rPr>
              <w:t>(b)</w:t>
            </w:r>
          </w:p>
        </w:tc>
        <w:tc>
          <w:tcPr>
            <w:tcW w:w="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jc w:val="right"/>
              <w:spacing w:after="0" w:line="111" w:lineRule="exact"/>
              <w:rPr>
                <w:sz w:val="20"/>
                <w:szCs w:val="20"/>
                <w:color w:val="auto"/>
              </w:rPr>
            </w:pPr>
            <w:r>
              <w:rPr>
                <w:rFonts w:ascii="Arial" w:cs="Arial" w:eastAsia="Arial" w:hAnsi="Arial"/>
                <w:sz w:val="11"/>
                <w:szCs w:val="11"/>
                <w:color w:val="auto"/>
              </w:rPr>
              <w:t xml:space="preserve">0.19 </w:t>
            </w:r>
            <w:r>
              <w:rPr>
                <w:rFonts w:ascii="Arial" w:cs="Arial" w:eastAsia="Arial" w:hAnsi="Arial"/>
                <w:sz w:val="12"/>
                <w:szCs w:val="12"/>
                <w:color w:val="auto"/>
                <w:vertAlign w:val="superscript"/>
              </w:rPr>
              <w:t>(a)</w:t>
            </w:r>
            <w:r>
              <w:rPr>
                <w:rFonts w:ascii="Arial" w:cs="Arial" w:eastAsia="Arial" w:hAnsi="Arial"/>
                <w:sz w:val="11"/>
                <w:szCs w:val="11"/>
                <w:color w:val="auto"/>
              </w:rPr>
              <w:t xml:space="preserve"> /</w:t>
            </w: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 xml:space="preserve">0.13 </w:t>
            </w:r>
            <w:r>
              <w:rPr>
                <w:rFonts w:ascii="Arial" w:cs="Arial" w:eastAsia="Arial" w:hAnsi="Arial"/>
                <w:sz w:val="14"/>
                <w:szCs w:val="14"/>
                <w:color w:val="auto"/>
                <w:vertAlign w:val="superscript"/>
              </w:rPr>
              <w:t>(a)</w:t>
            </w: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 xml:space="preserve">0.60 </w:t>
            </w:r>
            <w:r>
              <w:rPr>
                <w:rFonts w:ascii="Arial" w:cs="Arial" w:eastAsia="Arial" w:hAnsi="Arial"/>
                <w:sz w:val="14"/>
                <w:szCs w:val="14"/>
                <w:color w:val="auto"/>
                <w:vertAlign w:val="superscript"/>
              </w:rPr>
              <w:t>(a)</w:t>
            </w:r>
          </w:p>
        </w:tc>
        <w:tc>
          <w:tcPr>
            <w:tcW w:w="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 xml:space="preserve">0.39 </w:t>
            </w:r>
            <w:r>
              <w:rPr>
                <w:rFonts w:ascii="Arial" w:cs="Arial" w:eastAsia="Arial" w:hAnsi="Arial"/>
                <w:sz w:val="14"/>
                <w:szCs w:val="14"/>
                <w:color w:val="auto"/>
                <w:vertAlign w:val="superscript"/>
              </w:rPr>
              <w:t>(a)</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1140" w:type="dxa"/>
            <w:vAlign w:val="bottom"/>
            <w:vMerge w:val="continue"/>
            <w:shd w:val="clear" w:color="auto" w:fill="CCEEFF"/>
          </w:tcPr>
          <w:p>
            <w:pPr>
              <w:spacing w:after="0"/>
              <w:rPr>
                <w:sz w:val="15"/>
                <w:szCs w:val="15"/>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60" w:lineRule="exact"/>
              <w:rPr>
                <w:sz w:val="20"/>
                <w:szCs w:val="20"/>
                <w:color w:val="auto"/>
              </w:rPr>
            </w:pPr>
            <w:r>
              <w:rPr>
                <w:rFonts w:ascii="Arial" w:cs="Arial" w:eastAsia="Arial" w:hAnsi="Arial"/>
                <w:sz w:val="13"/>
                <w:szCs w:val="13"/>
                <w:color w:val="auto"/>
              </w:rPr>
              <w:t xml:space="preserve">0.54 </w:t>
            </w:r>
            <w:r>
              <w:rPr>
                <w:rFonts w:ascii="Arial" w:cs="Arial" w:eastAsia="Arial" w:hAnsi="Arial"/>
                <w:sz w:val="14"/>
                <w:szCs w:val="14"/>
                <w:color w:val="auto"/>
                <w:vertAlign w:val="superscript"/>
              </w:rPr>
              <w:t>(b)</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continue"/>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vMerge w:val="continue"/>
            <w:shd w:val="clear" w:color="auto" w:fill="CCEEFF"/>
          </w:tcPr>
          <w:p>
            <w:pPr>
              <w:spacing w:after="0"/>
              <w:rPr>
                <w:sz w:val="15"/>
                <w:szCs w:val="15"/>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20" w:type="dxa"/>
            <w:vAlign w:val="bottom"/>
            <w:tcBorders>
              <w:top w:val="single" w:sz="8" w:color="CCEEFF"/>
            </w:tcBorders>
            <w:gridSpan w:val="2"/>
          </w:tcPr>
          <w:p>
            <w:pPr>
              <w:spacing w:after="0" w:line="122" w:lineRule="exact"/>
              <w:rPr>
                <w:sz w:val="20"/>
                <w:szCs w:val="20"/>
                <w:color w:val="auto"/>
              </w:rPr>
            </w:pPr>
            <w:r>
              <w:rPr>
                <w:rFonts w:ascii="Arial" w:cs="Arial" w:eastAsia="Arial" w:hAnsi="Arial"/>
                <w:sz w:val="13"/>
                <w:szCs w:val="13"/>
                <w:color w:val="auto"/>
              </w:rPr>
              <w:t>Weighted average shares outstanding</w:t>
            </w:r>
          </w:p>
        </w:tc>
        <w:tc>
          <w:tcPr>
            <w:tcW w:w="12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80" w:type="dxa"/>
            <w:vAlign w:val="bottom"/>
            <w:tcBorders>
              <w:top w:val="single" w:sz="8" w:color="CCEEFF"/>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Borders>
              <w:top w:val="single" w:sz="8" w:color="CCEEFF"/>
              <w:right w:val="single" w:sz="8" w:color="auto"/>
            </w:tcBorders>
          </w:tcPr>
          <w:p>
            <w:pPr>
              <w:spacing w:after="0"/>
              <w:rPr>
                <w:sz w:val="10"/>
                <w:szCs w:val="10"/>
                <w:color w:val="auto"/>
              </w:rPr>
            </w:pPr>
          </w:p>
        </w:tc>
        <w:tc>
          <w:tcPr>
            <w:tcW w:w="6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gridSpan w:val="2"/>
            <w:shd w:val="clear" w:color="auto" w:fill="CCEEFF"/>
          </w:tcPr>
          <w:p>
            <w:pPr>
              <w:ind w:left="100"/>
              <w:spacing w:after="0" w:line="108" w:lineRule="exact"/>
              <w:rPr>
                <w:sz w:val="20"/>
                <w:szCs w:val="20"/>
                <w:color w:val="auto"/>
              </w:rPr>
            </w:pPr>
            <w:r>
              <w:rPr>
                <w:rFonts w:ascii="Arial" w:cs="Arial" w:eastAsia="Arial" w:hAnsi="Arial"/>
                <w:sz w:val="12"/>
                <w:szCs w:val="12"/>
                <w:color w:val="auto"/>
              </w:rPr>
              <w:t>Basic</w:t>
            </w: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xml:space="preserve">157,950,550 </w:t>
            </w:r>
            <w:r>
              <w:rPr>
                <w:rFonts w:ascii="Arial" w:cs="Arial" w:eastAsia="Arial" w:hAnsi="Arial"/>
                <w:sz w:val="14"/>
                <w:szCs w:val="14"/>
                <w:color w:val="auto"/>
                <w:vertAlign w:val="superscript"/>
              </w:rPr>
              <w:t>(b)</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20" w:type="dxa"/>
            <w:vAlign w:val="bottom"/>
            <w:shd w:val="clear" w:color="auto" w:fill="CCEEFF"/>
          </w:tcPr>
          <w:p>
            <w:pPr>
              <w:jc w:val="right"/>
              <w:spacing w:after="0" w:line="108" w:lineRule="exact"/>
              <w:rPr>
                <w:sz w:val="20"/>
                <w:szCs w:val="20"/>
                <w:color w:val="auto"/>
              </w:rPr>
            </w:pPr>
            <w:r>
              <w:rPr>
                <w:rFonts w:ascii="Arial" w:cs="Arial" w:eastAsia="Arial" w:hAnsi="Arial"/>
                <w:sz w:val="9"/>
                <w:szCs w:val="9"/>
                <w:color w:val="auto"/>
              </w:rPr>
              <w:t xml:space="preserve">222,222,197 </w:t>
            </w:r>
            <w:r>
              <w:rPr>
                <w:rFonts w:ascii="Arial" w:cs="Arial" w:eastAsia="Arial" w:hAnsi="Arial"/>
                <w:sz w:val="12"/>
                <w:szCs w:val="12"/>
                <w:color w:val="auto"/>
                <w:vertAlign w:val="superscript"/>
              </w:rPr>
              <w:t>(a)</w:t>
            </w:r>
            <w:r>
              <w:rPr>
                <w:rFonts w:ascii="Arial" w:cs="Arial" w:eastAsia="Arial" w:hAnsi="Arial"/>
                <w:sz w:val="9"/>
                <w:szCs w:val="9"/>
                <w:color w:val="auto"/>
              </w:rPr>
              <w:t xml:space="preserve"> </w:t>
            </w:r>
            <w:r>
              <w:rPr>
                <w:rFonts w:ascii="Arial" w:cs="Arial" w:eastAsia="Arial" w:hAnsi="Arial"/>
                <w:sz w:val="10"/>
                <w:szCs w:val="10"/>
                <w:color w:val="auto"/>
              </w:rPr>
              <w:t>/</w:t>
            </w: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xml:space="preserve">222,221,628 </w:t>
            </w:r>
            <w:r>
              <w:rPr>
                <w:rFonts w:ascii="Arial" w:cs="Arial" w:eastAsia="Arial" w:hAnsi="Arial"/>
                <w:sz w:val="14"/>
                <w:szCs w:val="14"/>
                <w:color w:val="auto"/>
                <w:vertAlign w:val="superscript"/>
              </w:rPr>
              <w:t>(a)</w:t>
            </w:r>
          </w:p>
        </w:tc>
        <w:tc>
          <w:tcPr>
            <w:tcW w:w="100" w:type="dxa"/>
            <w:vAlign w:val="bottom"/>
            <w:tcBorders>
              <w:right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 xml:space="preserve">215,365,920 </w:t>
            </w:r>
            <w:r>
              <w:rPr>
                <w:rFonts w:ascii="Arial" w:cs="Arial" w:eastAsia="Arial" w:hAnsi="Arial"/>
                <w:sz w:val="14"/>
                <w:szCs w:val="14"/>
                <w:color w:val="auto"/>
                <w:vertAlign w:val="superscript"/>
              </w:rPr>
              <w:t>(a)</w:t>
            </w:r>
          </w:p>
        </w:tc>
        <w:tc>
          <w:tcPr>
            <w:tcW w:w="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 xml:space="preserve">215,568,635 </w:t>
            </w:r>
            <w:r>
              <w:rPr>
                <w:rFonts w:ascii="Arial" w:cs="Arial" w:eastAsia="Arial" w:hAnsi="Arial"/>
                <w:sz w:val="14"/>
                <w:szCs w:val="14"/>
                <w:color w:val="auto"/>
                <w:vertAlign w:val="superscript"/>
              </w:rPr>
              <w: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1"/>
                <w:szCs w:val="11"/>
                <w:color w:val="auto"/>
                <w:w w:val="97"/>
              </w:rPr>
              <w:t xml:space="preserve">148,013,274 </w:t>
            </w:r>
            <w:r>
              <w:rPr>
                <w:rFonts w:ascii="Arial" w:cs="Arial" w:eastAsia="Arial" w:hAnsi="Arial"/>
                <w:sz w:val="14"/>
                <w:szCs w:val="14"/>
                <w:color w:val="auto"/>
                <w:w w:val="97"/>
                <w:vertAlign w:val="superscript"/>
              </w:rPr>
              <w:t>(b)</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920" w:type="dxa"/>
            <w:vAlign w:val="bottom"/>
            <w:gridSpan w:val="2"/>
          </w:tcPr>
          <w:p>
            <w:pPr>
              <w:ind w:left="100"/>
              <w:spacing w:after="0" w:line="108" w:lineRule="exact"/>
              <w:rPr>
                <w:sz w:val="20"/>
                <w:szCs w:val="20"/>
                <w:color w:val="auto"/>
              </w:rPr>
            </w:pPr>
            <w:r>
              <w:rPr>
                <w:rFonts w:ascii="Arial" w:cs="Arial" w:eastAsia="Arial" w:hAnsi="Arial"/>
                <w:sz w:val="12"/>
                <w:szCs w:val="12"/>
                <w:color w:val="auto"/>
              </w:rPr>
              <w:t>Diluted</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 xml:space="preserve">167,069,241 </w:t>
            </w:r>
            <w:r>
              <w:rPr>
                <w:rFonts w:ascii="Arial" w:cs="Arial" w:eastAsia="Arial" w:hAnsi="Arial"/>
                <w:sz w:val="14"/>
                <w:szCs w:val="14"/>
                <w:color w:val="auto"/>
                <w:vertAlign w:val="superscript"/>
              </w:rPr>
              <w:t>(b)</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Arial" w:cs="Arial" w:eastAsia="Arial" w:hAnsi="Arial"/>
                <w:sz w:val="9"/>
                <w:szCs w:val="9"/>
                <w:color w:val="auto"/>
              </w:rPr>
              <w:t xml:space="preserve">223,320,457 </w:t>
            </w:r>
            <w:r>
              <w:rPr>
                <w:rFonts w:ascii="Arial" w:cs="Arial" w:eastAsia="Arial" w:hAnsi="Arial"/>
                <w:sz w:val="12"/>
                <w:szCs w:val="12"/>
                <w:color w:val="auto"/>
                <w:vertAlign w:val="superscript"/>
              </w:rPr>
              <w:t>(a)</w:t>
            </w:r>
            <w:r>
              <w:rPr>
                <w:rFonts w:ascii="Arial" w:cs="Arial" w:eastAsia="Arial" w:hAnsi="Arial"/>
                <w:sz w:val="9"/>
                <w:szCs w:val="9"/>
                <w:color w:val="auto"/>
              </w:rPr>
              <w:t xml:space="preserve"> </w:t>
            </w:r>
            <w:r>
              <w:rPr>
                <w:rFonts w:ascii="Arial" w:cs="Arial" w:eastAsia="Arial" w:hAnsi="Arial"/>
                <w:sz w:val="10"/>
                <w:szCs w:val="10"/>
                <w:color w:val="auto"/>
              </w:rPr>
              <w:t>/</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 xml:space="preserve">222,243,851 </w:t>
            </w:r>
            <w:r>
              <w:rPr>
                <w:rFonts w:ascii="Arial" w:cs="Arial" w:eastAsia="Arial" w:hAnsi="Arial"/>
                <w:sz w:val="14"/>
                <w:szCs w:val="14"/>
                <w:color w:val="auto"/>
                <w:vertAlign w:val="superscript"/>
              </w:rPr>
              <w:t>(a)</w:t>
            </w:r>
          </w:p>
        </w:tc>
        <w:tc>
          <w:tcPr>
            <w:tcW w:w="100" w:type="dxa"/>
            <w:vAlign w:val="bottom"/>
            <w:tcBorders>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 xml:space="preserve">215,365,920 </w:t>
            </w:r>
            <w:r>
              <w:rPr>
                <w:rFonts w:ascii="Arial" w:cs="Arial" w:eastAsia="Arial" w:hAnsi="Arial"/>
                <w:sz w:val="14"/>
                <w:szCs w:val="14"/>
                <w:color w:val="auto"/>
                <w:vertAlign w:val="superscript"/>
              </w:rPr>
              <w:t>(a)</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 xml:space="preserve">215,568,635 </w:t>
            </w:r>
            <w:r>
              <w:rPr>
                <w:rFonts w:ascii="Arial" w:cs="Arial" w:eastAsia="Arial" w:hAnsi="Arial"/>
                <w:sz w:val="14"/>
                <w:szCs w:val="14"/>
                <w:color w:val="auto"/>
                <w:vertAlign w:val="superscript"/>
              </w:rPr>
              <w: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1"/>
                <w:szCs w:val="11"/>
                <w:color w:val="auto"/>
                <w:w w:val="97"/>
              </w:rPr>
              <w:t xml:space="preserve">156,540,246 </w:t>
            </w:r>
            <w:r>
              <w:rPr>
                <w:rFonts w:ascii="Arial" w:cs="Arial" w:eastAsia="Arial" w:hAnsi="Arial"/>
                <w:sz w:val="14"/>
                <w:szCs w:val="14"/>
                <w:color w:val="auto"/>
                <w:w w:val="97"/>
                <w:vertAlign w:val="superscript"/>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right="100" w:hanging="333"/>
        <w:spacing w:after="0" w:line="223"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which, among other things, resulted in Tradeweb Markets Inc. becoming the successor of Tradeweb Markets LLC for financial reporting purposes. As a result, earnings per share information for the pre-IPO period is not comparable to the earnings per share information for the post-IPO period. Therefore, earnings per share information is being presented separately for the pre-IPO and post-IPO periods.</w:t>
      </w:r>
    </w:p>
    <w:p>
      <w:pPr>
        <w:spacing w:after="0" w:line="119" w:lineRule="exact"/>
        <w:rPr>
          <w:rFonts w:ascii="Arial" w:cs="Arial" w:eastAsia="Arial" w:hAnsi="Arial"/>
          <w:sz w:val="13"/>
          <w:szCs w:val="13"/>
          <w:color w:val="auto"/>
        </w:rPr>
      </w:pPr>
    </w:p>
    <w:p>
      <w:pPr>
        <w:ind w:left="1040" w:hanging="227"/>
        <w:spacing w:after="0"/>
        <w:tabs>
          <w:tab w:leader="none" w:pos="1040" w:val="left"/>
        </w:tabs>
        <w:numPr>
          <w:ilvl w:val="1"/>
          <w:numId w:val="7"/>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spacing w:after="0" w:line="120" w:lineRule="exact"/>
        <w:rPr>
          <w:rFonts w:ascii="Arial" w:cs="Arial" w:eastAsia="Arial" w:hAnsi="Arial"/>
          <w:sz w:val="13"/>
          <w:szCs w:val="13"/>
          <w:color w:val="auto"/>
        </w:rPr>
      </w:pPr>
    </w:p>
    <w:p>
      <w:pPr>
        <w:ind w:left="1040" w:hanging="227"/>
        <w:spacing w:after="0"/>
        <w:tabs>
          <w:tab w:leader="none" w:pos="1040" w:val="left"/>
        </w:tabs>
        <w:numPr>
          <w:ilvl w:val="1"/>
          <w:numId w:val="7"/>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3"/>
          <w:szCs w:val="13"/>
          <w:color w:val="auto"/>
        </w:rPr>
        <w:t>See “Basic and Diluted EPS Calculations” below for additional information.</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MEASURES (UNAUDITED)</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9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60" w:type="dxa"/>
            <w:vAlign w:val="bottom"/>
            <w:gridSpan w:val="6"/>
          </w:tcPr>
          <w:p>
            <w:pPr>
              <w:jc w:val="right"/>
              <w:ind w:right="566"/>
              <w:spacing w:after="0"/>
              <w:rPr>
                <w:sz w:val="20"/>
                <w:szCs w:val="20"/>
                <w:color w:val="auto"/>
              </w:rPr>
            </w:pPr>
            <w:r>
              <w:rPr>
                <w:rFonts w:ascii="Arial" w:cs="Arial" w:eastAsia="Arial" w:hAnsi="Arial"/>
                <w:sz w:val="11"/>
                <w:szCs w:val="11"/>
                <w:b w:val="1"/>
                <w:bCs w:val="1"/>
                <w:color w:val="auto"/>
              </w:rPr>
              <w:t>Successor</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Borders>
              <w:right w:val="single" w:sz="8" w:color="auto"/>
            </w:tcBorders>
            <w:gridSpan w:val="2"/>
          </w:tcPr>
          <w:p>
            <w:pPr>
              <w:jc w:val="center"/>
              <w:ind w:right="126"/>
              <w:spacing w:after="0"/>
              <w:rPr>
                <w:sz w:val="20"/>
                <w:szCs w:val="20"/>
                <w:color w:val="auto"/>
              </w:rPr>
            </w:pPr>
            <w:r>
              <w:rPr>
                <w:rFonts w:ascii="Arial" w:cs="Arial" w:eastAsia="Arial" w:hAnsi="Arial"/>
                <w:sz w:val="11"/>
                <w:szCs w:val="11"/>
                <w:b w:val="1"/>
                <w:bCs w:val="1"/>
                <w:color w:val="auto"/>
                <w:w w:val="96"/>
              </w:rPr>
              <w:t>Successor</w:t>
            </w:r>
          </w:p>
        </w:tc>
        <w:tc>
          <w:tcPr>
            <w:tcW w:w="120" w:type="dxa"/>
            <w:vAlign w:val="bottom"/>
          </w:tcPr>
          <w:p>
            <w:pPr>
              <w:spacing w:after="0"/>
              <w:rPr>
                <w:sz w:val="11"/>
                <w:szCs w:val="11"/>
                <w:color w:val="auto"/>
              </w:rPr>
            </w:pPr>
          </w:p>
        </w:tc>
        <w:tc>
          <w:tcPr>
            <w:tcW w:w="800" w:type="dxa"/>
            <w:vAlign w:val="bottom"/>
            <w:gridSpan w:val="3"/>
          </w:tcPr>
          <w:p>
            <w:pPr>
              <w:jc w:val="center"/>
              <w:ind w:right="77"/>
              <w:spacing w:after="0"/>
              <w:rPr>
                <w:sz w:val="20"/>
                <w:szCs w:val="20"/>
                <w:color w:val="auto"/>
              </w:rPr>
            </w:pPr>
            <w:r>
              <w:rPr>
                <w:rFonts w:ascii="Arial" w:cs="Arial" w:eastAsia="Arial" w:hAnsi="Arial"/>
                <w:sz w:val="11"/>
                <w:szCs w:val="11"/>
                <w:b w:val="1"/>
                <w:bCs w:val="1"/>
                <w:color w:val="auto"/>
                <w:w w:val="96"/>
              </w:rPr>
              <w:t>Predecessor</w:t>
            </w: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Predecessor</w:t>
            </w:r>
          </w:p>
        </w:tc>
      </w:tr>
      <w:tr>
        <w:trPr>
          <w:trHeight w:val="100"/>
        </w:trPr>
        <w:tc>
          <w:tcPr>
            <w:tcW w:w="39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9"/>
              </w:rPr>
              <w:t>October 1,</w:t>
            </w: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center"/>
              <w:ind w:right="26"/>
              <w:spacing w:after="0" w:line="100" w:lineRule="exact"/>
              <w:rPr>
                <w:sz w:val="20"/>
                <w:szCs w:val="20"/>
                <w:color w:val="auto"/>
              </w:rPr>
            </w:pPr>
            <w:r>
              <w:rPr>
                <w:rFonts w:ascii="Arial" w:cs="Arial" w:eastAsia="Arial" w:hAnsi="Arial"/>
                <w:sz w:val="11"/>
                <w:szCs w:val="11"/>
                <w:b w:val="1"/>
                <w:bCs w:val="1"/>
                <w:color w:val="auto"/>
                <w:w w:val="95"/>
              </w:rPr>
              <w:t>January 1,</w:t>
            </w:r>
          </w:p>
        </w:tc>
        <w:tc>
          <w:tcPr>
            <w:tcW w:w="1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22"/>
        </w:trPr>
        <w:tc>
          <w:tcPr>
            <w:tcW w:w="3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4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Three Months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26"/>
              <w:spacing w:after="0" w:line="122" w:lineRule="exact"/>
              <w:rPr>
                <w:sz w:val="20"/>
                <w:szCs w:val="20"/>
                <w:color w:val="auto"/>
              </w:rPr>
            </w:pPr>
            <w:r>
              <w:rPr>
                <w:rFonts w:ascii="Arial" w:cs="Arial" w:eastAsia="Arial" w:hAnsi="Arial"/>
                <w:sz w:val="11"/>
                <w:szCs w:val="11"/>
                <w:b w:val="1"/>
                <w:bCs w:val="1"/>
                <w:color w:val="auto"/>
              </w:rPr>
              <w:t>Year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7"/>
              </w:rPr>
              <w:t>2018</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97"/>
              </w:rPr>
              <w:t>2018</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106"/>
              <w:spacing w:after="0" w:line="122" w:lineRule="exact"/>
              <w:rPr>
                <w:sz w:val="20"/>
                <w:szCs w:val="20"/>
                <w:color w:val="auto"/>
              </w:rPr>
            </w:pPr>
            <w:r>
              <w:rPr>
                <w:rFonts w:ascii="Arial" w:cs="Arial" w:eastAsia="Arial" w:hAnsi="Arial"/>
                <w:sz w:val="11"/>
                <w:szCs w:val="11"/>
                <w:b w:val="1"/>
                <w:bCs w:val="1"/>
                <w:color w:val="auto"/>
              </w:rPr>
              <w:t>Year</w:t>
            </w:r>
          </w:p>
        </w:tc>
      </w:tr>
      <w:tr>
        <w:trPr>
          <w:trHeight w:val="122"/>
        </w:trPr>
        <w:tc>
          <w:tcPr>
            <w:tcW w:w="3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266"/>
              <w:spacing w:after="0" w:line="122" w:lineRule="exact"/>
              <w:rPr>
                <w:sz w:val="20"/>
                <w:szCs w:val="20"/>
                <w:color w:val="auto"/>
              </w:rPr>
            </w:pPr>
            <w:r>
              <w:rPr>
                <w:rFonts w:ascii="Arial" w:cs="Arial" w:eastAsia="Arial" w:hAnsi="Arial"/>
                <w:sz w:val="11"/>
                <w:szCs w:val="11"/>
                <w:b w:val="1"/>
                <w:bCs w:val="1"/>
                <w:color w:val="auto"/>
              </w:rPr>
              <w:t>Ended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26"/>
              <w:spacing w:after="0" w:line="122" w:lineRule="exact"/>
              <w:rPr>
                <w:sz w:val="20"/>
                <w:szCs w:val="20"/>
                <w:color w:val="auto"/>
              </w:rPr>
            </w:pPr>
            <w:r>
              <w:rPr>
                <w:rFonts w:ascii="Arial" w:cs="Arial" w:eastAsia="Arial" w:hAnsi="Arial"/>
                <w:sz w:val="11"/>
                <w:szCs w:val="11"/>
                <w:b w:val="1"/>
                <w:bCs w:val="1"/>
                <w:color w:val="auto"/>
                <w:w w:val="95"/>
              </w:rPr>
              <w:t>Ended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right w:val="single" w:sz="8" w:color="auto"/>
            </w:tcBorders>
            <w:gridSpan w:val="2"/>
          </w:tcPr>
          <w:p>
            <w:pPr>
              <w:jc w:val="center"/>
              <w:ind w:right="126"/>
              <w:spacing w:after="0" w:line="122" w:lineRule="exact"/>
              <w:rPr>
                <w:sz w:val="20"/>
                <w:szCs w:val="20"/>
                <w:color w:val="auto"/>
              </w:rPr>
            </w:pPr>
            <w:r>
              <w:rPr>
                <w:rFonts w:ascii="Arial" w:cs="Arial" w:eastAsia="Arial" w:hAnsi="Arial"/>
                <w:sz w:val="11"/>
                <w:szCs w:val="11"/>
                <w:b w:val="1"/>
                <w:bCs w:val="1"/>
                <w:color w:val="auto"/>
                <w:w w:val="95"/>
              </w:rPr>
              <w:t>to</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17"/>
              <w:spacing w:after="0" w:line="122" w:lineRule="exact"/>
              <w:rPr>
                <w:sz w:val="20"/>
                <w:szCs w:val="20"/>
                <w:color w:val="auto"/>
              </w:rPr>
            </w:pPr>
            <w:r>
              <w:rPr>
                <w:rFonts w:ascii="Arial" w:cs="Arial" w:eastAsia="Arial" w:hAnsi="Arial"/>
                <w:sz w:val="11"/>
                <w:szCs w:val="11"/>
                <w:b w:val="1"/>
                <w:bCs w:val="1"/>
                <w:color w:val="auto"/>
                <w:w w:val="95"/>
              </w:rPr>
              <w:t>to</w:t>
            </w:r>
          </w:p>
        </w:tc>
        <w:tc>
          <w:tcPr>
            <w:tcW w:w="60" w:type="dxa"/>
            <w:vAlign w:val="bottom"/>
          </w:tcPr>
          <w:p>
            <w:pPr>
              <w:spacing w:after="0"/>
              <w:rPr>
                <w:sz w:val="10"/>
                <w:szCs w:val="10"/>
                <w:color w:val="auto"/>
              </w:rPr>
            </w:pPr>
          </w:p>
        </w:tc>
        <w:tc>
          <w:tcPr>
            <w:tcW w:w="720" w:type="dxa"/>
            <w:vAlign w:val="bottom"/>
            <w:gridSpan w:val="2"/>
          </w:tcPr>
          <w:p>
            <w:pPr>
              <w:jc w:val="center"/>
              <w:ind w:right="106"/>
              <w:spacing w:after="0" w:line="122" w:lineRule="exact"/>
              <w:rPr>
                <w:sz w:val="20"/>
                <w:szCs w:val="20"/>
                <w:color w:val="auto"/>
              </w:rPr>
            </w:pPr>
            <w:r>
              <w:rPr>
                <w:rFonts w:ascii="Arial" w:cs="Arial" w:eastAsia="Arial" w:hAnsi="Arial"/>
                <w:sz w:val="11"/>
                <w:szCs w:val="11"/>
                <w:b w:val="1"/>
                <w:bCs w:val="1"/>
                <w:color w:val="auto"/>
                <w:w w:val="95"/>
              </w:rPr>
              <w:t>Ended</w:t>
            </w:r>
          </w:p>
        </w:tc>
      </w:tr>
      <w:tr>
        <w:trPr>
          <w:trHeight w:val="122"/>
        </w:trPr>
        <w:tc>
          <w:tcPr>
            <w:tcW w:w="39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26"/>
              <w:spacing w:after="0" w:line="122" w:lineRule="exact"/>
              <w:rPr>
                <w:sz w:val="20"/>
                <w:szCs w:val="20"/>
                <w:color w:val="auto"/>
              </w:rPr>
            </w:pPr>
            <w:r>
              <w:rPr>
                <w:rFonts w:ascii="Arial" w:cs="Arial" w:eastAsia="Arial" w:hAnsi="Arial"/>
                <w:sz w:val="11"/>
                <w:szCs w:val="11"/>
                <w:b w:val="1"/>
                <w:bCs w:val="1"/>
                <w:color w:val="auto"/>
                <w:w w:val="97"/>
              </w:rPr>
              <w:t>December</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right w:val="single" w:sz="8" w:color="auto"/>
            </w:tcBorders>
            <w:gridSpan w:val="2"/>
          </w:tcPr>
          <w:p>
            <w:pPr>
              <w:jc w:val="center"/>
              <w:ind w:right="146"/>
              <w:spacing w:after="0" w:line="122" w:lineRule="exact"/>
              <w:rPr>
                <w:sz w:val="20"/>
                <w:szCs w:val="20"/>
                <w:color w:val="auto"/>
              </w:rPr>
            </w:pPr>
            <w:r>
              <w:rPr>
                <w:rFonts w:ascii="Arial" w:cs="Arial" w:eastAsia="Arial" w:hAnsi="Arial"/>
                <w:sz w:val="11"/>
                <w:szCs w:val="11"/>
                <w:b w:val="1"/>
                <w:bCs w:val="1"/>
                <w:color w:val="auto"/>
                <w:w w:val="97"/>
              </w:rPr>
              <w:t>December</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center"/>
              <w:ind w:right="137"/>
              <w:spacing w:after="0" w:line="122" w:lineRule="exact"/>
              <w:rPr>
                <w:sz w:val="20"/>
                <w:szCs w:val="20"/>
                <w:color w:val="auto"/>
              </w:rPr>
            </w:pPr>
            <w:r>
              <w:rPr>
                <w:rFonts w:ascii="Arial" w:cs="Arial" w:eastAsia="Arial" w:hAnsi="Arial"/>
                <w:sz w:val="11"/>
                <w:szCs w:val="11"/>
                <w:b w:val="1"/>
                <w:bCs w:val="1"/>
                <w:color w:val="auto"/>
                <w:w w:val="98"/>
              </w:rPr>
              <w:t>September</w:t>
            </w:r>
          </w:p>
        </w:tc>
        <w:tc>
          <w:tcPr>
            <w:tcW w:w="60" w:type="dxa"/>
            <w:vAlign w:val="bottom"/>
          </w:tcPr>
          <w:p>
            <w:pPr>
              <w:spacing w:after="0"/>
              <w:rPr>
                <w:sz w:val="10"/>
                <w:szCs w:val="10"/>
                <w:color w:val="auto"/>
              </w:rPr>
            </w:pPr>
          </w:p>
        </w:tc>
        <w:tc>
          <w:tcPr>
            <w:tcW w:w="720" w:type="dxa"/>
            <w:vAlign w:val="bottom"/>
            <w:gridSpan w:val="2"/>
          </w:tcPr>
          <w:p>
            <w:pPr>
              <w:jc w:val="center"/>
              <w:ind w:right="106"/>
              <w:spacing w:after="0" w:line="122" w:lineRule="exact"/>
              <w:rPr>
                <w:sz w:val="20"/>
                <w:szCs w:val="20"/>
                <w:color w:val="auto"/>
              </w:rPr>
            </w:pPr>
            <w:r>
              <w:rPr>
                <w:rFonts w:ascii="Arial" w:cs="Arial" w:eastAsia="Arial" w:hAnsi="Arial"/>
                <w:sz w:val="11"/>
                <w:szCs w:val="11"/>
                <w:b w:val="1"/>
                <w:bCs w:val="1"/>
                <w:color w:val="auto"/>
                <w:w w:val="97"/>
              </w:rPr>
              <w:t>December</w:t>
            </w:r>
          </w:p>
        </w:tc>
      </w:tr>
      <w:tr>
        <w:trPr>
          <w:trHeight w:val="122"/>
        </w:trPr>
        <w:tc>
          <w:tcPr>
            <w:tcW w:w="3960" w:type="dxa"/>
            <w:vAlign w:val="bottom"/>
          </w:tcPr>
          <w:p>
            <w:pPr>
              <w:spacing w:after="0"/>
              <w:rPr>
                <w:sz w:val="10"/>
                <w:szCs w:val="10"/>
                <w:color w:val="auto"/>
              </w:rPr>
            </w:pPr>
          </w:p>
        </w:tc>
        <w:tc>
          <w:tcPr>
            <w:tcW w:w="1720" w:type="dxa"/>
            <w:vAlign w:val="bottom"/>
            <w:gridSpan w:val="4"/>
          </w:tcPr>
          <w:p>
            <w:pPr>
              <w:ind w:left="880"/>
              <w:spacing w:after="0" w:line="122" w:lineRule="exact"/>
              <w:rPr>
                <w:sz w:val="20"/>
                <w:szCs w:val="20"/>
                <w:color w:val="auto"/>
              </w:rPr>
            </w:pPr>
            <w:r>
              <w:rPr>
                <w:rFonts w:ascii="Arial" w:cs="Arial" w:eastAsia="Arial" w:hAnsi="Arial"/>
                <w:sz w:val="11"/>
                <w:szCs w:val="11"/>
                <w:b w:val="1"/>
                <w:bCs w:val="1"/>
                <w:color w:val="auto"/>
              </w:rPr>
              <w:t>December 31,</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rPr>
              <w:t>31,</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rPr>
              <w:t>31,</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rPr>
              <w:t>30,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rPr>
              <w:t>31,</w:t>
            </w:r>
          </w:p>
        </w:tc>
        <w:tc>
          <w:tcPr>
            <w:tcW w:w="100" w:type="dxa"/>
            <w:vAlign w:val="bottom"/>
          </w:tcPr>
          <w:p>
            <w:pPr>
              <w:spacing w:after="0"/>
              <w:rPr>
                <w:sz w:val="10"/>
                <w:szCs w:val="10"/>
                <w:color w:val="auto"/>
              </w:rPr>
            </w:pPr>
          </w:p>
        </w:tc>
      </w:tr>
      <w:tr>
        <w:trPr>
          <w:trHeight w:val="137"/>
        </w:trPr>
        <w:tc>
          <w:tcPr>
            <w:tcW w:w="3960" w:type="dxa"/>
            <w:vAlign w:val="bottom"/>
          </w:tcPr>
          <w:p>
            <w:pPr>
              <w:spacing w:after="0"/>
              <w:rPr>
                <w:sz w:val="20"/>
                <w:szCs w:val="20"/>
                <w:color w:val="auto"/>
              </w:rPr>
            </w:pPr>
            <w:r>
              <w:rPr>
                <w:rFonts w:ascii="Arial" w:cs="Arial" w:eastAsia="Arial" w:hAnsi="Arial"/>
                <w:sz w:val="11"/>
                <w:szCs w:val="11"/>
                <w:b w:val="1"/>
                <w:bCs w:val="1"/>
                <w:color w:val="auto"/>
              </w:rPr>
              <w:t>Reconciliation of Net Income to Adjusted EBITDA, Adjusted</w:t>
            </w:r>
          </w:p>
        </w:tc>
        <w:tc>
          <w:tcPr>
            <w:tcW w:w="8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2019</w:t>
            </w: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2019</w:t>
            </w: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26"/>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
              <w:spacing w:after="0"/>
              <w:rPr>
                <w:sz w:val="20"/>
                <w:szCs w:val="20"/>
                <w:color w:val="auto"/>
              </w:rPr>
            </w:pPr>
            <w:r>
              <w:rPr>
                <w:rFonts w:ascii="Arial" w:cs="Arial" w:eastAsia="Arial" w:hAnsi="Arial"/>
                <w:sz w:val="11"/>
                <w:szCs w:val="11"/>
                <w:b w:val="1"/>
                <w:bCs w:val="1"/>
                <w:color w:val="auto"/>
                <w:w w:val="97"/>
              </w:rPr>
              <w:t>2017</w:t>
            </w:r>
          </w:p>
        </w:tc>
        <w:tc>
          <w:tcPr>
            <w:tcW w:w="100" w:type="dxa"/>
            <w:vAlign w:val="bottom"/>
          </w:tcPr>
          <w:p>
            <w:pPr>
              <w:spacing w:after="0"/>
              <w:rPr>
                <w:sz w:val="11"/>
                <w:szCs w:val="11"/>
                <w:color w:val="auto"/>
              </w:rPr>
            </w:pPr>
          </w:p>
        </w:tc>
      </w:tr>
      <w:tr>
        <w:trPr>
          <w:trHeight w:val="115"/>
        </w:trPr>
        <w:tc>
          <w:tcPr>
            <w:tcW w:w="3960" w:type="dxa"/>
            <w:vAlign w:val="bottom"/>
          </w:tcPr>
          <w:p>
            <w:pPr>
              <w:spacing w:after="0" w:line="115" w:lineRule="exact"/>
              <w:rPr>
                <w:sz w:val="20"/>
                <w:szCs w:val="20"/>
                <w:color w:val="auto"/>
              </w:rPr>
            </w:pPr>
            <w:r>
              <w:rPr>
                <w:rFonts w:ascii="Arial" w:cs="Arial" w:eastAsia="Arial" w:hAnsi="Arial"/>
                <w:sz w:val="11"/>
                <w:szCs w:val="11"/>
                <w:b w:val="1"/>
                <w:bCs w:val="1"/>
                <w:color w:val="auto"/>
              </w:rPr>
              <w:t>EBITDA Margin, Adjusted EBIT and Adjusted EBIT Margin</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4"/>
          </w:tcPr>
          <w:p>
            <w:pPr>
              <w:spacing w:after="0" w:line="115" w:lineRule="exact"/>
              <w:rPr>
                <w:sz w:val="20"/>
                <w:szCs w:val="20"/>
                <w:color w:val="auto"/>
              </w:rPr>
            </w:pPr>
            <w:r>
              <w:rPr>
                <w:rFonts w:ascii="Arial" w:cs="Arial" w:eastAsia="Arial" w:hAnsi="Arial"/>
                <w:sz w:val="11"/>
                <w:szCs w:val="11"/>
                <w:b w:val="1"/>
                <w:bCs w:val="1"/>
                <w:color w:val="auto"/>
              </w:rPr>
              <w:t>(in thousands)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Net income</w:t>
            </w:r>
          </w:p>
        </w:tc>
        <w:tc>
          <w:tcPr>
            <w:tcW w:w="1000" w:type="dxa"/>
            <w:vAlign w:val="bottom"/>
            <w:gridSpan w:val="2"/>
            <w:shd w:val="clear" w:color="auto" w:fill="CCEEFF"/>
          </w:tcPr>
          <w:p>
            <w:pPr>
              <w:ind w:left="880"/>
              <w:spacing w:after="0" w:line="12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57,278</w:t>
            </w:r>
          </w:p>
        </w:tc>
        <w:tc>
          <w:tcPr>
            <w:tcW w:w="120" w:type="dxa"/>
            <w:vAlign w:val="bottom"/>
            <w:shd w:val="clear" w:color="auto" w:fill="CCEEFF"/>
          </w:tcPr>
          <w:p>
            <w:pPr>
              <w:spacing w:after="0"/>
              <w:rPr>
                <w:sz w:val="10"/>
                <w:szCs w:val="10"/>
                <w:color w:val="auto"/>
              </w:rPr>
            </w:pPr>
          </w:p>
        </w:tc>
        <w:tc>
          <w:tcPr>
            <w:tcW w:w="10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173,024</w:t>
            </w:r>
          </w:p>
        </w:tc>
        <w:tc>
          <w:tcPr>
            <w:tcW w:w="120" w:type="dxa"/>
            <w:vAlign w:val="bottom"/>
            <w:shd w:val="clear" w:color="auto" w:fill="CCEEFF"/>
          </w:tcPr>
          <w:p>
            <w:pPr>
              <w:spacing w:after="0"/>
              <w:rPr>
                <w:sz w:val="10"/>
                <w:szCs w:val="10"/>
                <w:color w:val="auto"/>
              </w:rPr>
            </w:pPr>
          </w:p>
        </w:tc>
        <w:tc>
          <w:tcPr>
            <w:tcW w:w="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29,307</w:t>
            </w:r>
          </w:p>
        </w:tc>
        <w:tc>
          <w:tcPr>
            <w:tcW w:w="140" w:type="dxa"/>
            <w:vAlign w:val="bottom"/>
            <w:tcBorders>
              <w:right w:val="single" w:sz="8" w:color="auto"/>
            </w:tcBorders>
            <w:shd w:val="clear" w:color="auto" w:fill="CCEEFF"/>
          </w:tcPr>
          <w:p>
            <w:pPr>
              <w:spacing w:after="0"/>
              <w:rPr>
                <w:sz w:val="10"/>
                <w:szCs w:val="10"/>
                <w:color w:val="auto"/>
              </w:rPr>
            </w:pPr>
          </w:p>
        </w:tc>
        <w:tc>
          <w:tcPr>
            <w:tcW w:w="1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130,160</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83,648</w:t>
            </w:r>
          </w:p>
        </w:tc>
        <w:tc>
          <w:tcPr>
            <w:tcW w:w="100" w:type="dxa"/>
            <w:vAlign w:val="bottom"/>
            <w:shd w:val="clear" w:color="auto" w:fill="CCEEFF"/>
          </w:tcPr>
          <w:p>
            <w:pPr>
              <w:spacing w:after="0"/>
              <w:rPr>
                <w:sz w:val="10"/>
                <w:szCs w:val="10"/>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Contingent consideration</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right w:val="single" w:sz="8" w:color="auto"/>
            </w:tcBorders>
            <w:gridSpan w:val="2"/>
          </w:tcPr>
          <w:p>
            <w:pPr>
              <w:jc w:val="right"/>
              <w:ind w:right="12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26,830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58,520</w:t>
            </w:r>
          </w:p>
        </w:tc>
        <w:tc>
          <w:tcPr>
            <w:tcW w:w="100" w:type="dxa"/>
            <w:vAlign w:val="bottom"/>
          </w:tcPr>
          <w:p>
            <w:pPr>
              <w:spacing w:after="0"/>
              <w:rPr>
                <w:sz w:val="10"/>
                <w:szCs w:val="10"/>
                <w:color w:val="auto"/>
              </w:rPr>
            </w:pPr>
          </w:p>
        </w:tc>
      </w:tr>
      <w:tr>
        <w:trPr>
          <w:trHeight w:val="122"/>
        </w:trPr>
        <w:tc>
          <w:tcPr>
            <w:tcW w:w="39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Interest income, net</w:t>
            </w: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(2,373)</w:t>
            </w: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(787)</w:t>
            </w:r>
          </w:p>
        </w:tc>
        <w:tc>
          <w:tcPr>
            <w:tcW w:w="14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(1,726)</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(685)</w:t>
            </w:r>
          </w:p>
        </w:tc>
        <w:tc>
          <w:tcPr>
            <w:tcW w:w="100" w:type="dxa"/>
            <w:vAlign w:val="bottom"/>
            <w:shd w:val="clear" w:color="auto" w:fill="CCEEFF"/>
          </w:tcPr>
          <w:p>
            <w:pPr>
              <w:spacing w:after="0"/>
              <w:rPr>
                <w:sz w:val="10"/>
                <w:szCs w:val="10"/>
                <w:color w:val="auto"/>
              </w:rPr>
            </w:pPr>
          </w:p>
        </w:tc>
      </w:tr>
      <w:tr>
        <w:trPr>
          <w:trHeight w:val="100"/>
        </w:trPr>
        <w:tc>
          <w:tcPr>
            <w:tcW w:w="3960" w:type="dxa"/>
            <w:vAlign w:val="bottom"/>
          </w:tcPr>
          <w:p>
            <w:pPr>
              <w:spacing w:after="0" w:line="100" w:lineRule="exact"/>
              <w:rPr>
                <w:sz w:val="20"/>
                <w:szCs w:val="20"/>
                <w:color w:val="auto"/>
              </w:rPr>
            </w:pPr>
            <w:r>
              <w:rPr>
                <w:rFonts w:ascii="Arial" w:cs="Arial" w:eastAsia="Arial" w:hAnsi="Arial"/>
                <w:sz w:val="11"/>
                <w:szCs w:val="11"/>
                <w:color w:val="auto"/>
              </w:rPr>
              <w:t>Depreciation and amortization</w:t>
            </w: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0" w:lineRule="exact"/>
              <w:rPr>
                <w:sz w:val="20"/>
                <w:szCs w:val="20"/>
                <w:color w:val="auto"/>
              </w:rPr>
            </w:pPr>
            <w:r>
              <w:rPr>
                <w:rFonts w:ascii="Arial" w:cs="Arial" w:eastAsia="Arial" w:hAnsi="Arial"/>
                <w:sz w:val="11"/>
                <w:szCs w:val="11"/>
                <w:color w:val="auto"/>
              </w:rPr>
              <w:t>36,402</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1"/>
                <w:szCs w:val="11"/>
                <w:color w:val="auto"/>
              </w:rPr>
              <w:t>139,330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1"/>
                <w:szCs w:val="11"/>
                <w:color w:val="auto"/>
              </w:rPr>
              <w:t>33,020</w:t>
            </w: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right"/>
              <w:spacing w:after="0" w:line="100" w:lineRule="exact"/>
              <w:rPr>
                <w:sz w:val="20"/>
                <w:szCs w:val="20"/>
                <w:color w:val="auto"/>
              </w:rPr>
            </w:pPr>
            <w:r>
              <w:rPr>
                <w:rFonts w:ascii="Arial" w:cs="Arial" w:eastAsia="Arial" w:hAnsi="Arial"/>
                <w:sz w:val="11"/>
                <w:szCs w:val="11"/>
                <w:color w:val="auto"/>
              </w:rPr>
              <w:t>48,808</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1"/>
                <w:szCs w:val="11"/>
                <w:color w:val="auto"/>
              </w:rPr>
              <w:t>68,615</w:t>
            </w:r>
          </w:p>
        </w:tc>
        <w:tc>
          <w:tcPr>
            <w:tcW w:w="100" w:type="dxa"/>
            <w:vAlign w:val="bottom"/>
          </w:tcPr>
          <w:p>
            <w:pPr>
              <w:spacing w:after="0"/>
              <w:rPr>
                <w:sz w:val="8"/>
                <w:szCs w:val="8"/>
                <w:color w:val="auto"/>
              </w:rPr>
            </w:pPr>
          </w:p>
        </w:tc>
      </w:tr>
      <w:tr>
        <w:trPr>
          <w:trHeight w:val="140"/>
        </w:trPr>
        <w:tc>
          <w:tcPr>
            <w:tcW w:w="3960" w:type="dxa"/>
            <w:vAlign w:val="bottom"/>
          </w:tcPr>
          <w:p>
            <w:pPr>
              <w:spacing w:after="0"/>
              <w:rPr>
                <w:sz w:val="20"/>
                <w:szCs w:val="20"/>
                <w:color w:val="auto"/>
              </w:rPr>
            </w:pPr>
            <w:r>
              <w:rPr>
                <w:rFonts w:ascii="Arial" w:cs="Arial" w:eastAsia="Arial" w:hAnsi="Arial"/>
                <w:sz w:val="11"/>
                <w:szCs w:val="11"/>
                <w:color w:val="auto"/>
              </w:rPr>
              <w:t>Stock-based compensation expense</w:t>
            </w:r>
            <w:r>
              <w:rPr>
                <w:rFonts w:ascii="Arial" w:cs="Arial" w:eastAsia="Arial" w:hAnsi="Arial"/>
                <w:sz w:val="11"/>
                <w:szCs w:val="11"/>
                <w:color w:val="auto"/>
                <w:vertAlign w:val="superscript"/>
              </w:rPr>
              <w:t>(1)</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2,700</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25,098</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w:t>
            </w: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Provision for income taxes</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30,889</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52,302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3,415</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11,900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6,129</w:t>
            </w:r>
          </w:p>
        </w:tc>
        <w:tc>
          <w:tcPr>
            <w:tcW w:w="100" w:type="dxa"/>
            <w:vAlign w:val="bottom"/>
          </w:tcPr>
          <w:p>
            <w:pPr>
              <w:spacing w:after="0"/>
              <w:rPr>
                <w:sz w:val="10"/>
                <w:szCs w:val="10"/>
                <w:color w:val="auto"/>
              </w:rPr>
            </w:pPr>
          </w:p>
        </w:tc>
      </w:tr>
      <w:tr>
        <w:trPr>
          <w:trHeight w:val="103"/>
        </w:trPr>
        <w:tc>
          <w:tcPr>
            <w:tcW w:w="3960" w:type="dxa"/>
            <w:vAlign w:val="bottom"/>
          </w:tcPr>
          <w:p>
            <w:pPr>
              <w:spacing w:after="0" w:line="103" w:lineRule="exact"/>
              <w:rPr>
                <w:sz w:val="20"/>
                <w:szCs w:val="20"/>
                <w:color w:val="auto"/>
              </w:rPr>
            </w:pPr>
            <w:r>
              <w:rPr>
                <w:rFonts w:ascii="Arial" w:cs="Arial" w:eastAsia="Arial" w:hAnsi="Arial"/>
                <w:sz w:val="11"/>
                <w:szCs w:val="11"/>
                <w:color w:val="auto"/>
              </w:rPr>
              <w:t>Unrealized foreign exchange (gains) / losses</w:t>
            </w: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3" w:lineRule="exact"/>
              <w:rPr>
                <w:sz w:val="20"/>
                <w:szCs w:val="20"/>
                <w:color w:val="auto"/>
              </w:rPr>
            </w:pPr>
            <w:r>
              <w:rPr>
                <w:rFonts w:ascii="Arial" w:cs="Arial" w:eastAsia="Arial" w:hAnsi="Arial"/>
                <w:sz w:val="11"/>
                <w:szCs w:val="11"/>
                <w:color w:val="auto"/>
              </w:rPr>
              <w:t>(1,095)</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Arial" w:cs="Arial" w:eastAsia="Arial" w:hAnsi="Arial"/>
                <w:sz w:val="11"/>
                <w:szCs w:val="11"/>
                <w:color w:val="auto"/>
              </w:rPr>
              <w:t>(2,310)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Arial" w:cs="Arial" w:eastAsia="Arial" w:hAnsi="Arial"/>
                <w:sz w:val="11"/>
                <w:szCs w:val="11"/>
                <w:color w:val="auto"/>
              </w:rPr>
              <w:t>263</w:t>
            </w: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1"/>
                <w:szCs w:val="11"/>
                <w:color w:val="auto"/>
              </w:rPr>
              <w:t>(960)</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3" w:lineRule="exact"/>
              <w:rPr>
                <w:sz w:val="20"/>
                <w:szCs w:val="20"/>
                <w:color w:val="auto"/>
              </w:rPr>
            </w:pPr>
            <w:r>
              <w:rPr>
                <w:rFonts w:ascii="Arial" w:cs="Arial" w:eastAsia="Arial" w:hAnsi="Arial"/>
                <w:sz w:val="11"/>
                <w:szCs w:val="11"/>
                <w:color w:val="auto"/>
              </w:rPr>
              <w:t>(364)</w:t>
            </w:r>
          </w:p>
        </w:tc>
        <w:tc>
          <w:tcPr>
            <w:tcW w:w="100" w:type="dxa"/>
            <w:vAlign w:val="bottom"/>
          </w:tcPr>
          <w:p>
            <w:pPr>
              <w:spacing w:after="0"/>
              <w:rPr>
                <w:sz w:val="8"/>
                <w:szCs w:val="8"/>
                <w:color w:val="auto"/>
              </w:rPr>
            </w:pPr>
          </w:p>
        </w:tc>
      </w:tr>
      <w:tr>
        <w:trPr>
          <w:trHeight w:val="122"/>
        </w:trPr>
        <w:tc>
          <w:tcPr>
            <w:tcW w:w="3960" w:type="dxa"/>
            <w:vAlign w:val="bottom"/>
          </w:tcPr>
          <w:p>
            <w:pPr>
              <w:spacing w:after="0" w:line="122" w:lineRule="exact"/>
              <w:rPr>
                <w:sz w:val="20"/>
                <w:szCs w:val="20"/>
                <w:color w:val="auto"/>
              </w:rPr>
            </w:pPr>
            <w:r>
              <w:rPr>
                <w:rFonts w:ascii="Arial" w:cs="Arial" w:eastAsia="Arial" w:hAnsi="Arial"/>
                <w:sz w:val="11"/>
                <w:szCs w:val="11"/>
                <w:color w:val="auto"/>
              </w:rPr>
              <w:t>(Gain) / loss from revaluation of foreign denominated cash</w:t>
            </w:r>
            <w:r>
              <w:rPr>
                <w:rFonts w:ascii="Arial" w:cs="Arial" w:eastAsia="Arial" w:hAnsi="Arial"/>
                <w:sz w:val="11"/>
                <w:szCs w:val="11"/>
                <w:color w:val="auto"/>
                <w:vertAlign w:val="superscript"/>
              </w:rPr>
              <w:t>(2)</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105</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1,225</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90</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(921)</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(678)</w:t>
            </w:r>
          </w:p>
        </w:tc>
        <w:tc>
          <w:tcPr>
            <w:tcW w:w="100" w:type="dxa"/>
            <w:vAlign w:val="bottom"/>
          </w:tcPr>
          <w:p>
            <w:pPr>
              <w:spacing w:after="0"/>
              <w:rPr>
                <w:sz w:val="10"/>
                <w:szCs w:val="10"/>
                <w:color w:val="auto"/>
              </w:rPr>
            </w:pPr>
          </w:p>
        </w:tc>
      </w:tr>
      <w:tr>
        <w:trPr>
          <w:trHeight w:val="140"/>
        </w:trPr>
        <w:tc>
          <w:tcPr>
            <w:tcW w:w="3960" w:type="dxa"/>
            <w:vAlign w:val="bottom"/>
          </w:tcPr>
          <w:p>
            <w:pPr>
              <w:spacing w:after="0"/>
              <w:rPr>
                <w:sz w:val="20"/>
                <w:szCs w:val="20"/>
                <w:color w:val="auto"/>
              </w:rPr>
            </w:pPr>
            <w:r>
              <w:rPr>
                <w:rFonts w:ascii="Arial" w:cs="Arial" w:eastAsia="Arial" w:hAnsi="Arial"/>
                <w:sz w:val="11"/>
                <w:szCs w:val="11"/>
                <w:color w:val="auto"/>
              </w:rPr>
              <w:t>Tax receivable agreement liability adjustment</w:t>
            </w:r>
            <w:r>
              <w:rPr>
                <w:rFonts w:ascii="Arial" w:cs="Arial" w:eastAsia="Arial" w:hAnsi="Arial"/>
                <w:sz w:val="11"/>
                <w:szCs w:val="11"/>
                <w:color w:val="auto"/>
                <w:vertAlign w:val="superscript"/>
              </w:rPr>
              <w:t>(3)</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(33,134)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(33,134)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gridSpan w:val="2"/>
          </w:tcPr>
          <w:p>
            <w:pPr>
              <w:jc w:val="right"/>
              <w:ind w:right="12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86"/>
              <w:spacing w:after="0"/>
              <w:rPr>
                <w:sz w:val="20"/>
                <w:szCs w:val="20"/>
                <w:color w:val="auto"/>
              </w:rPr>
            </w:pPr>
            <w:r>
              <w:rPr>
                <w:rFonts w:ascii="Arial" w:cs="Arial" w:eastAsia="Arial" w:hAnsi="Arial"/>
                <w:sz w:val="11"/>
                <w:szCs w:val="11"/>
                <w:color w:val="auto"/>
              </w:rPr>
              <w:t>—</w:t>
            </w:r>
          </w:p>
        </w:tc>
      </w:tr>
      <w:tr>
        <w:trPr>
          <w:trHeight w:val="125"/>
        </w:trPr>
        <w:tc>
          <w:tcPr>
            <w:tcW w:w="3960" w:type="dxa"/>
            <w:vAlign w:val="bottom"/>
          </w:tcPr>
          <w:p>
            <w:pPr>
              <w:spacing w:after="0" w:line="110" w:lineRule="exact"/>
              <w:rPr>
                <w:sz w:val="20"/>
                <w:szCs w:val="20"/>
                <w:color w:val="auto"/>
              </w:rPr>
            </w:pPr>
            <w:r>
              <w:rPr>
                <w:rFonts w:ascii="Arial" w:cs="Arial" w:eastAsia="Arial" w:hAnsi="Arial"/>
                <w:sz w:val="11"/>
                <w:szCs w:val="11"/>
                <w:color w:val="auto"/>
              </w:rPr>
              <w:t>Adjusted EBITDA</w:t>
            </w:r>
          </w:p>
        </w:tc>
        <w:tc>
          <w:tcPr>
            <w:tcW w:w="88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line="119" w:lineRule="exact"/>
              <w:rPr>
                <w:sz w:val="20"/>
                <w:szCs w:val="20"/>
                <w:color w:val="auto"/>
              </w:rPr>
            </w:pPr>
            <w:r>
              <w:rPr>
                <w:rFonts w:ascii="Arial" w:cs="Arial" w:eastAsia="Arial" w:hAnsi="Arial"/>
                <w:sz w:val="11"/>
                <w:szCs w:val="11"/>
                <w:color w:val="auto"/>
              </w:rPr>
              <w:t>$</w:t>
            </w:r>
          </w:p>
        </w:tc>
        <w:tc>
          <w:tcPr>
            <w:tcW w:w="60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92,441</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353,162</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65,308</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214,091</w:t>
            </w:r>
          </w:p>
        </w:tc>
        <w:tc>
          <w:tcPr>
            <w:tcW w:w="100" w:type="dxa"/>
            <w:vAlign w:val="bottom"/>
          </w:tcPr>
          <w:p>
            <w:pPr>
              <w:spacing w:after="0"/>
              <w:rPr>
                <w:sz w:val="10"/>
                <w:szCs w:val="10"/>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19" w:lineRule="exact"/>
              <w:rPr>
                <w:sz w:val="20"/>
                <w:szCs w:val="20"/>
                <w:color w:val="auto"/>
              </w:rPr>
            </w:pPr>
            <w:r>
              <w:rPr>
                <w:rFonts w:ascii="Arial" w:cs="Arial" w:eastAsia="Arial" w:hAnsi="Arial"/>
                <w:sz w:val="11"/>
                <w:szCs w:val="11"/>
                <w:color w:val="auto"/>
              </w:rPr>
              <w:t>215,185</w:t>
            </w:r>
          </w:p>
        </w:tc>
        <w:tc>
          <w:tcPr>
            <w:tcW w:w="100" w:type="dxa"/>
            <w:vAlign w:val="bottom"/>
          </w:tcPr>
          <w:p>
            <w:pPr>
              <w:spacing w:after="0"/>
              <w:rPr>
                <w:sz w:val="10"/>
                <w:szCs w:val="10"/>
                <w:color w:val="auto"/>
              </w:rPr>
            </w:pPr>
          </w:p>
        </w:tc>
      </w:tr>
      <w:tr>
        <w:trPr>
          <w:trHeight w:val="100"/>
        </w:trPr>
        <w:tc>
          <w:tcPr>
            <w:tcW w:w="3960" w:type="dxa"/>
            <w:vAlign w:val="bottom"/>
          </w:tcPr>
          <w:p>
            <w:pPr>
              <w:spacing w:after="0" w:line="100" w:lineRule="exact"/>
              <w:rPr>
                <w:sz w:val="20"/>
                <w:szCs w:val="20"/>
                <w:color w:val="auto"/>
              </w:rPr>
            </w:pPr>
            <w:r>
              <w:rPr>
                <w:rFonts w:ascii="Arial" w:cs="Arial" w:eastAsia="Arial" w:hAnsi="Arial"/>
                <w:sz w:val="11"/>
                <w:szCs w:val="11"/>
                <w:color w:val="auto"/>
              </w:rPr>
              <w:t>Less: Depreciation and amortization</w:t>
            </w: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0" w:lineRule="exact"/>
              <w:rPr>
                <w:sz w:val="20"/>
                <w:szCs w:val="20"/>
                <w:color w:val="auto"/>
              </w:rPr>
            </w:pPr>
            <w:r>
              <w:rPr>
                <w:rFonts w:ascii="Arial" w:cs="Arial" w:eastAsia="Arial" w:hAnsi="Arial"/>
                <w:sz w:val="11"/>
                <w:szCs w:val="11"/>
                <w:color w:val="auto"/>
              </w:rPr>
              <w:t>(36,402)</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1"/>
                <w:szCs w:val="11"/>
                <w:color w:val="auto"/>
              </w:rPr>
              <w:t>(139,330)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1"/>
                <w:szCs w:val="11"/>
                <w:color w:val="auto"/>
              </w:rPr>
              <w:t>(33,020)</w:t>
            </w:r>
          </w:p>
        </w:tc>
        <w:tc>
          <w:tcPr>
            <w:tcW w:w="14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right"/>
              <w:spacing w:after="0" w:line="100" w:lineRule="exact"/>
              <w:rPr>
                <w:sz w:val="20"/>
                <w:szCs w:val="20"/>
                <w:color w:val="auto"/>
              </w:rPr>
            </w:pPr>
            <w:r>
              <w:rPr>
                <w:rFonts w:ascii="Arial" w:cs="Arial" w:eastAsia="Arial" w:hAnsi="Arial"/>
                <w:sz w:val="11"/>
                <w:szCs w:val="11"/>
                <w:color w:val="auto"/>
              </w:rPr>
              <w:t>(48,808)</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1"/>
                <w:szCs w:val="11"/>
                <w:color w:val="auto"/>
              </w:rPr>
              <w:t>(68,615)</w:t>
            </w:r>
          </w:p>
        </w:tc>
        <w:tc>
          <w:tcPr>
            <w:tcW w:w="100" w:type="dxa"/>
            <w:vAlign w:val="bottom"/>
          </w:tcPr>
          <w:p>
            <w:pPr>
              <w:spacing w:after="0"/>
              <w:rPr>
                <w:sz w:val="8"/>
                <w:szCs w:val="8"/>
                <w:color w:val="auto"/>
              </w:rPr>
            </w:pPr>
          </w:p>
        </w:tc>
      </w:tr>
      <w:tr>
        <w:trPr>
          <w:trHeight w:val="140"/>
        </w:trPr>
        <w:tc>
          <w:tcPr>
            <w:tcW w:w="3960" w:type="dxa"/>
            <w:vAlign w:val="bottom"/>
          </w:tcPr>
          <w:p>
            <w:pPr>
              <w:spacing w:after="0"/>
              <w:rPr>
                <w:sz w:val="20"/>
                <w:szCs w:val="20"/>
                <w:color w:val="auto"/>
              </w:rPr>
            </w:pPr>
            <w:r>
              <w:rPr>
                <w:rFonts w:ascii="Arial" w:cs="Arial" w:eastAsia="Arial" w:hAnsi="Arial"/>
                <w:sz w:val="11"/>
                <w:szCs w:val="11"/>
                <w:color w:val="auto"/>
              </w:rPr>
              <w:t>Add: Acquisition and Refinitiv Transaction related D&amp;A</w:t>
            </w:r>
            <w:r>
              <w:rPr>
                <w:rFonts w:ascii="Arial" w:cs="Arial" w:eastAsia="Arial" w:hAnsi="Arial"/>
                <w:sz w:val="11"/>
                <w:szCs w:val="11"/>
                <w:color w:val="auto"/>
                <w:vertAlign w:val="superscript"/>
              </w:rPr>
              <w:t>(4)</w:t>
            </w:r>
          </w:p>
        </w:tc>
        <w:tc>
          <w:tcPr>
            <w:tcW w:w="8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25,443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97,565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22,413</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19,576</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31,236</w:t>
            </w:r>
          </w:p>
        </w:tc>
        <w:tc>
          <w:tcPr>
            <w:tcW w:w="100" w:type="dxa"/>
            <w:vAlign w:val="bottom"/>
          </w:tcPr>
          <w:p>
            <w:pPr>
              <w:spacing w:after="0"/>
              <w:rPr>
                <w:sz w:val="12"/>
                <w:szCs w:val="12"/>
                <w:color w:val="auto"/>
              </w:rPr>
            </w:pPr>
          </w:p>
        </w:tc>
      </w:tr>
      <w:tr>
        <w:trPr>
          <w:trHeight w:val="125"/>
        </w:trPr>
        <w:tc>
          <w:tcPr>
            <w:tcW w:w="3960" w:type="dxa"/>
            <w:vAlign w:val="bottom"/>
          </w:tcPr>
          <w:p>
            <w:pPr>
              <w:spacing w:after="0" w:line="110" w:lineRule="exact"/>
              <w:rPr>
                <w:sz w:val="20"/>
                <w:szCs w:val="20"/>
                <w:color w:val="auto"/>
              </w:rPr>
            </w:pPr>
            <w:r>
              <w:rPr>
                <w:rFonts w:ascii="Arial" w:cs="Arial" w:eastAsia="Arial" w:hAnsi="Arial"/>
                <w:sz w:val="11"/>
                <w:szCs w:val="11"/>
                <w:color w:val="auto"/>
              </w:rPr>
              <w:t>Adjusted EBIT</w:t>
            </w:r>
          </w:p>
        </w:tc>
        <w:tc>
          <w:tcPr>
            <w:tcW w:w="880" w:type="dxa"/>
            <w:vAlign w:val="bottom"/>
          </w:tcPr>
          <w:p>
            <w:pPr>
              <w:spacing w:after="0"/>
              <w:rPr>
                <w:sz w:val="10"/>
                <w:szCs w:val="10"/>
                <w:color w:val="auto"/>
              </w:rPr>
            </w:pPr>
          </w:p>
        </w:tc>
        <w:tc>
          <w:tcPr>
            <w:tcW w:w="120" w:type="dxa"/>
            <w:vAlign w:val="bottom"/>
            <w:tcBorders>
              <w:bottom w:val="single" w:sz="8" w:color="auto"/>
            </w:tcBorders>
          </w:tcPr>
          <w:p>
            <w:pPr>
              <w:spacing w:after="0" w:line="110"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81,482</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311,397</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bottom w:val="single" w:sz="8" w:color="auto"/>
            </w:tcBorders>
          </w:tcPr>
          <w:p>
            <w:pPr>
              <w:spacing w:after="0" w:line="110" w:lineRule="exact"/>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54,701</w:t>
            </w:r>
          </w:p>
        </w:tc>
        <w:tc>
          <w:tcPr>
            <w:tcW w:w="14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184,859</w:t>
            </w:r>
          </w:p>
        </w:tc>
        <w:tc>
          <w:tcPr>
            <w:tcW w:w="100" w:type="dxa"/>
            <w:vAlign w:val="bottom"/>
          </w:tcPr>
          <w:p>
            <w:pPr>
              <w:spacing w:after="0"/>
              <w:rPr>
                <w:sz w:val="10"/>
                <w:szCs w:val="10"/>
                <w:color w:val="auto"/>
              </w:rPr>
            </w:pPr>
          </w:p>
        </w:tc>
        <w:tc>
          <w:tcPr>
            <w:tcW w:w="60" w:type="dxa"/>
            <w:vAlign w:val="bottom"/>
            <w:tcBorders>
              <w:bottom w:val="single" w:sz="8" w:color="auto"/>
            </w:tcBorders>
          </w:tcPr>
          <w:p>
            <w:pPr>
              <w:spacing w:after="0" w:line="110" w:lineRule="exact"/>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line="110" w:lineRule="exact"/>
              <w:rPr>
                <w:sz w:val="20"/>
                <w:szCs w:val="20"/>
                <w:color w:val="auto"/>
              </w:rPr>
            </w:pPr>
            <w:r>
              <w:rPr>
                <w:rFonts w:ascii="Arial" w:cs="Arial" w:eastAsia="Arial" w:hAnsi="Arial"/>
                <w:sz w:val="11"/>
                <w:szCs w:val="11"/>
                <w:color w:val="auto"/>
              </w:rPr>
              <w:t>177,806</w:t>
            </w:r>
          </w:p>
        </w:tc>
        <w:tc>
          <w:tcPr>
            <w:tcW w:w="100" w:type="dxa"/>
            <w:vAlign w:val="bottom"/>
          </w:tcPr>
          <w:p>
            <w:pPr>
              <w:spacing w:after="0"/>
              <w:rPr>
                <w:sz w:val="10"/>
                <w:szCs w:val="10"/>
                <w:color w:val="auto"/>
              </w:rPr>
            </w:pPr>
          </w:p>
        </w:tc>
      </w:tr>
      <w:tr>
        <w:trPr>
          <w:trHeight w:val="100"/>
        </w:trPr>
        <w:tc>
          <w:tcPr>
            <w:tcW w:w="3960" w:type="dxa"/>
            <w:vAlign w:val="bottom"/>
          </w:tcPr>
          <w:p>
            <w:pPr>
              <w:spacing w:after="0" w:line="100" w:lineRule="exact"/>
              <w:rPr>
                <w:sz w:val="20"/>
                <w:szCs w:val="20"/>
                <w:color w:val="auto"/>
              </w:rPr>
            </w:pPr>
            <w:r>
              <w:rPr>
                <w:rFonts w:ascii="Arial" w:cs="Arial" w:eastAsia="Arial" w:hAnsi="Arial"/>
                <w:sz w:val="11"/>
                <w:szCs w:val="11"/>
                <w:color w:val="auto"/>
              </w:rPr>
              <w:t>Adjusted EBITDA margin</w:t>
            </w:r>
            <w:r>
              <w:rPr>
                <w:rFonts w:ascii="Arial" w:cs="Arial" w:eastAsia="Arial" w:hAnsi="Arial"/>
                <w:sz w:val="11"/>
                <w:szCs w:val="11"/>
                <w:color w:val="auto"/>
                <w:vertAlign w:val="superscript"/>
              </w:rPr>
              <w:t>(5)</w:t>
            </w: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0" w:lineRule="exact"/>
              <w:rPr>
                <w:sz w:val="20"/>
                <w:szCs w:val="20"/>
                <w:color w:val="auto"/>
              </w:rPr>
            </w:pPr>
            <w:r>
              <w:rPr>
                <w:rFonts w:ascii="Arial" w:cs="Arial" w:eastAsia="Arial" w:hAnsi="Arial"/>
                <w:sz w:val="11"/>
                <w:szCs w:val="11"/>
                <w:color w:val="auto"/>
              </w:rPr>
              <w:t>46.9</w:t>
            </w:r>
          </w:p>
        </w:tc>
        <w:tc>
          <w:tcPr>
            <w:tcW w:w="120" w:type="dxa"/>
            <w:vAlign w:val="bottom"/>
          </w:tcPr>
          <w:p>
            <w:pPr>
              <w:jc w:val="right"/>
              <w:spacing w:after="0" w:line="100" w:lineRule="exact"/>
              <w:rPr>
                <w:sz w:val="20"/>
                <w:szCs w:val="20"/>
                <w:color w:val="auto"/>
              </w:rPr>
            </w:pPr>
            <w:r>
              <w:rPr>
                <w:rFonts w:ascii="Arial" w:cs="Arial" w:eastAsia="Arial" w:hAnsi="Arial"/>
                <w:sz w:val="11"/>
                <w:szCs w:val="11"/>
                <w:color w:val="auto"/>
                <w:w w:val="81"/>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1"/>
                <w:szCs w:val="11"/>
                <w:color w:val="auto"/>
              </w:rPr>
              <w:t>45.5</w:t>
            </w:r>
          </w:p>
        </w:tc>
        <w:tc>
          <w:tcPr>
            <w:tcW w:w="120" w:type="dxa"/>
            <w:vAlign w:val="bottom"/>
          </w:tcPr>
          <w:p>
            <w:pPr>
              <w:jc w:val="right"/>
              <w:spacing w:after="0" w:line="100" w:lineRule="exact"/>
              <w:rPr>
                <w:sz w:val="20"/>
                <w:szCs w:val="20"/>
                <w:color w:val="auto"/>
              </w:rPr>
            </w:pPr>
            <w:r>
              <w:rPr>
                <w:rFonts w:ascii="Arial" w:cs="Arial" w:eastAsia="Arial" w:hAnsi="Arial"/>
                <w:sz w:val="11"/>
                <w:szCs w:val="11"/>
                <w:color w:val="auto"/>
                <w:w w:val="81"/>
              </w:rPr>
              <w:t>%</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1"/>
                <w:szCs w:val="11"/>
                <w:color w:val="auto"/>
              </w:rPr>
              <w:t>36.6</w:t>
            </w:r>
          </w:p>
        </w:tc>
        <w:tc>
          <w:tcPr>
            <w:tcW w:w="140" w:type="dxa"/>
            <w:vAlign w:val="bottom"/>
            <w:tcBorders>
              <w:right w:val="single" w:sz="8" w:color="auto"/>
            </w:tcBorders>
          </w:tcPr>
          <w:p>
            <w:pPr>
              <w:jc w:val="right"/>
              <w:spacing w:after="0" w:line="100" w:lineRule="exact"/>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jc w:val="right"/>
              <w:spacing w:after="0" w:line="100" w:lineRule="exact"/>
              <w:rPr>
                <w:sz w:val="20"/>
                <w:szCs w:val="20"/>
                <w:color w:val="auto"/>
              </w:rPr>
            </w:pPr>
            <w:r>
              <w:rPr>
                <w:rFonts w:ascii="Arial" w:cs="Arial" w:eastAsia="Arial" w:hAnsi="Arial"/>
                <w:sz w:val="11"/>
                <w:szCs w:val="11"/>
                <w:color w:val="auto"/>
              </w:rPr>
              <w:t>42.3</w:t>
            </w:r>
          </w:p>
        </w:tc>
        <w:tc>
          <w:tcPr>
            <w:tcW w:w="100" w:type="dxa"/>
            <w:vAlign w:val="bottom"/>
          </w:tcPr>
          <w:p>
            <w:pPr>
              <w:jc w:val="right"/>
              <w:spacing w:after="0" w:line="100" w:lineRule="exact"/>
              <w:rPr>
                <w:sz w:val="20"/>
                <w:szCs w:val="20"/>
                <w:color w:val="auto"/>
              </w:rPr>
            </w:pPr>
            <w:r>
              <w:rPr>
                <w:rFonts w:ascii="Arial" w:cs="Arial" w:eastAsia="Arial" w:hAnsi="Arial"/>
                <w:sz w:val="9"/>
                <w:szCs w:val="9"/>
                <w:color w:val="auto"/>
                <w:w w:val="74"/>
              </w:rPr>
              <w:t>%</w:t>
            </w:r>
          </w:p>
        </w:tc>
        <w:tc>
          <w:tcPr>
            <w:tcW w:w="60" w:type="dxa"/>
            <w:vAlign w:val="bottom"/>
          </w:tcPr>
          <w:p>
            <w:pPr>
              <w:spacing w:after="0"/>
              <w:rPr>
                <w:sz w:val="8"/>
                <w:szCs w:val="8"/>
                <w:color w:val="auto"/>
              </w:rPr>
            </w:pPr>
          </w:p>
        </w:tc>
        <w:tc>
          <w:tcPr>
            <w:tcW w:w="620" w:type="dxa"/>
            <w:vAlign w:val="bottom"/>
          </w:tcPr>
          <w:p>
            <w:pPr>
              <w:jc w:val="right"/>
              <w:spacing w:after="0" w:line="100" w:lineRule="exact"/>
              <w:rPr>
                <w:sz w:val="20"/>
                <w:szCs w:val="20"/>
                <w:color w:val="auto"/>
              </w:rPr>
            </w:pPr>
            <w:r>
              <w:rPr>
                <w:rFonts w:ascii="Arial" w:cs="Arial" w:eastAsia="Arial" w:hAnsi="Arial"/>
                <w:sz w:val="11"/>
                <w:szCs w:val="11"/>
                <w:color w:val="auto"/>
              </w:rPr>
              <w:t>38.2</w:t>
            </w:r>
          </w:p>
        </w:tc>
        <w:tc>
          <w:tcPr>
            <w:tcW w:w="100" w:type="dxa"/>
            <w:vAlign w:val="bottom"/>
          </w:tcPr>
          <w:p>
            <w:pPr>
              <w:jc w:val="right"/>
              <w:spacing w:after="0" w:line="100" w:lineRule="exact"/>
              <w:rPr>
                <w:sz w:val="20"/>
                <w:szCs w:val="20"/>
                <w:color w:val="auto"/>
              </w:rPr>
            </w:pPr>
            <w:r>
              <w:rPr>
                <w:rFonts w:ascii="Arial" w:cs="Arial" w:eastAsia="Arial" w:hAnsi="Arial"/>
                <w:sz w:val="11"/>
                <w:szCs w:val="11"/>
                <w:color w:val="auto"/>
                <w:w w:val="81"/>
              </w:rPr>
              <w:t>%</w:t>
            </w:r>
          </w:p>
        </w:tc>
      </w:tr>
      <w:tr>
        <w:trPr>
          <w:trHeight w:val="143"/>
        </w:trPr>
        <w:tc>
          <w:tcPr>
            <w:tcW w:w="3960" w:type="dxa"/>
            <w:vAlign w:val="bottom"/>
          </w:tcPr>
          <w:p>
            <w:pPr>
              <w:spacing w:after="0"/>
              <w:rPr>
                <w:sz w:val="20"/>
                <w:szCs w:val="20"/>
                <w:color w:val="auto"/>
              </w:rPr>
            </w:pPr>
            <w:r>
              <w:rPr>
                <w:rFonts w:ascii="Arial" w:cs="Arial" w:eastAsia="Arial" w:hAnsi="Arial"/>
                <w:sz w:val="11"/>
                <w:szCs w:val="11"/>
                <w:color w:val="auto"/>
              </w:rPr>
              <w:t>Adjusted EBIT margin</w:t>
            </w:r>
            <w:r>
              <w:rPr>
                <w:rFonts w:ascii="Arial" w:cs="Arial" w:eastAsia="Arial" w:hAnsi="Arial"/>
                <w:sz w:val="11"/>
                <w:szCs w:val="11"/>
                <w:color w:val="auto"/>
                <w:vertAlign w:val="superscript"/>
              </w:rPr>
              <w:t>(5)</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41.3 %</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40.2 %</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Borders>
              <w:right w:val="single" w:sz="8" w:color="auto"/>
            </w:tcBorders>
            <w:gridSpan w:val="2"/>
          </w:tcPr>
          <w:p>
            <w:pPr>
              <w:jc w:val="right"/>
              <w:spacing w:after="0"/>
              <w:rPr>
                <w:sz w:val="20"/>
                <w:szCs w:val="20"/>
                <w:color w:val="auto"/>
              </w:rPr>
            </w:pPr>
            <w:r>
              <w:rPr>
                <w:rFonts w:ascii="Arial" w:cs="Arial" w:eastAsia="Arial" w:hAnsi="Arial"/>
                <w:sz w:val="11"/>
                <w:szCs w:val="11"/>
                <w:color w:val="auto"/>
              </w:rPr>
              <w:t>30.6 %</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36.5 %</w:t>
            </w:r>
          </w:p>
        </w:tc>
        <w:tc>
          <w:tcPr>
            <w:tcW w:w="6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-899795</wp:posOffset>
            </wp:positionV>
            <wp:extent cx="5754370" cy="774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-745490</wp:posOffset>
            </wp:positionV>
            <wp:extent cx="5754370" cy="774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-591185</wp:posOffset>
            </wp:positionV>
            <wp:extent cx="5754370" cy="774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-419735</wp:posOffset>
            </wp:positionV>
            <wp:extent cx="5754370" cy="85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-256540</wp:posOffset>
            </wp:positionV>
            <wp:extent cx="5754370" cy="94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946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-76835</wp:posOffset>
            </wp:positionV>
            <wp:extent cx="5754370" cy="77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spacing w:after="0" w:line="190" w:lineRule="exact"/>
        <w:rPr>
          <w:sz w:val="20"/>
          <w:szCs w:val="20"/>
          <w:color w:val="auto"/>
        </w:rPr>
      </w:pPr>
    </w:p>
    <w:p>
      <w:pPr>
        <w:ind w:left="660" w:right="380" w:hanging="333"/>
        <w:spacing w:after="0" w:line="230"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99" w:lineRule="exact"/>
        <w:rPr>
          <w:rFonts w:ascii="Arial" w:cs="Arial" w:eastAsia="Arial" w:hAnsi="Arial"/>
          <w:sz w:val="13"/>
          <w:szCs w:val="13"/>
          <w:color w:val="auto"/>
        </w:rPr>
      </w:pPr>
    </w:p>
    <w:p>
      <w:pPr>
        <w:ind w:left="660" w:hanging="333"/>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01" w:lineRule="exact"/>
        <w:rPr>
          <w:rFonts w:ascii="Arial" w:cs="Arial" w:eastAsia="Arial" w:hAnsi="Arial"/>
          <w:sz w:val="13"/>
          <w:szCs w:val="13"/>
          <w:color w:val="auto"/>
        </w:rPr>
      </w:pPr>
    </w:p>
    <w:p>
      <w:pPr>
        <w:ind w:left="660" w:right="220" w:hanging="333"/>
        <w:spacing w:after="0" w:line="259" w:lineRule="auto"/>
        <w:tabs>
          <w:tab w:leader="none" w:pos="66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88" w:lineRule="exact"/>
        <w:rPr>
          <w:rFonts w:ascii="Arial" w:cs="Arial" w:eastAsia="Arial" w:hAnsi="Arial"/>
          <w:sz w:val="12"/>
          <w:szCs w:val="12"/>
          <w:color w:val="auto"/>
        </w:rPr>
      </w:pPr>
    </w:p>
    <w:p>
      <w:pPr>
        <w:ind w:left="660" w:right="120" w:hanging="333"/>
        <w:spacing w:after="0" w:line="225"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92" w:lineRule="exact"/>
        <w:rPr>
          <w:rFonts w:ascii="Arial" w:cs="Arial" w:eastAsia="Arial" w:hAnsi="Arial"/>
          <w:sz w:val="13"/>
          <w:szCs w:val="13"/>
          <w:color w:val="auto"/>
        </w:rPr>
      </w:pPr>
    </w:p>
    <w:p>
      <w:pPr>
        <w:ind w:left="660" w:right="200" w:hanging="333"/>
        <w:spacing w:after="0" w:line="230"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EBITDA margin and Adjusted EBIT margin are defined as Adjusted EBITDA and Adjusted EBIT, respectively, divided by gross revenue for the applicable period.</w:t>
      </w:r>
    </w:p>
    <w:p>
      <w:pPr>
        <w:spacing w:after="0" w:line="208"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following is the calculation of Adjusted EBITDA and Adjusted EBITDA margin for the full year ended December 31, 2018. These non-GAAP measures were not materially impacted by the Refinitiv Transaction or the application of pushdown accounting. See “Presentation” above for additional information.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41"/>
        </w:trPr>
        <w:tc>
          <w:tcPr>
            <w:tcW w:w="600" w:type="dxa"/>
            <w:vAlign w:val="bottom"/>
          </w:tcPr>
          <w:p>
            <w:pPr>
              <w:spacing w:after="0"/>
              <w:rPr>
                <w:sz w:val="3"/>
                <w:szCs w:val="3"/>
                <w:color w:val="auto"/>
              </w:rPr>
            </w:pPr>
          </w:p>
        </w:tc>
        <w:tc>
          <w:tcPr>
            <w:tcW w:w="4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Adjusted</w:t>
            </w: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20" w:type="dxa"/>
            <w:vAlign w:val="bottom"/>
            <w:gridSpan w:val="2"/>
            <w:vMerge w:val="restart"/>
          </w:tcPr>
          <w:p>
            <w:pPr>
              <w:jc w:val="right"/>
              <w:ind w:right="622"/>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5560" w:type="dxa"/>
            <w:vAlign w:val="bottom"/>
            <w:gridSpan w:val="3"/>
          </w:tcPr>
          <w:p>
            <w:pPr>
              <w:spacing w:after="0"/>
              <w:rPr>
                <w:sz w:val="20"/>
                <w:szCs w:val="20"/>
                <w:color w:val="auto"/>
              </w:rPr>
            </w:pPr>
            <w:r>
              <w:rPr>
                <w:rFonts w:ascii="Arial" w:cs="Arial" w:eastAsia="Arial" w:hAnsi="Arial"/>
                <w:sz w:val="13"/>
                <w:szCs w:val="13"/>
                <w:b w:val="1"/>
                <w:bCs w:val="1"/>
                <w:color w:val="auto"/>
              </w:rPr>
              <w:t>(dollars in thousands)</w:t>
            </w:r>
          </w:p>
        </w:tc>
        <w:tc>
          <w:tcPr>
            <w:tcW w:w="280" w:type="dxa"/>
            <w:vAlign w:val="bottom"/>
          </w:tcPr>
          <w:p>
            <w:pPr>
              <w:spacing w:after="0"/>
              <w:rPr>
                <w:sz w:val="14"/>
                <w:szCs w:val="14"/>
                <w:color w:val="auto"/>
              </w:rPr>
            </w:pPr>
          </w:p>
        </w:tc>
        <w:tc>
          <w:tcPr>
            <w:tcW w:w="1120" w:type="dxa"/>
            <w:vAlign w:val="bottom"/>
          </w:tcPr>
          <w:p>
            <w:pPr>
              <w:jc w:val="right"/>
              <w:ind w:right="357"/>
              <w:spacing w:after="0"/>
              <w:rPr>
                <w:sz w:val="20"/>
                <w:szCs w:val="20"/>
                <w:color w:val="auto"/>
              </w:rPr>
            </w:pPr>
            <w:r>
              <w:rPr>
                <w:rFonts w:ascii="Arial" w:cs="Arial" w:eastAsia="Arial" w:hAnsi="Arial"/>
                <w:sz w:val="13"/>
                <w:szCs w:val="13"/>
                <w:b w:val="1"/>
                <w:bCs w:val="1"/>
                <w:color w:val="auto"/>
              </w:rPr>
              <w:t>EBITDA</w:t>
            </w:r>
            <w:r>
              <w:rPr>
                <w:rFonts w:ascii="Arial" w:cs="Arial" w:eastAsia="Arial" w:hAnsi="Arial"/>
                <w:sz w:val="14"/>
                <w:szCs w:val="14"/>
                <w:b w:val="1"/>
                <w:bCs w:val="1"/>
                <w:color w:val="auto"/>
                <w:vertAlign w:val="superscript"/>
              </w:rPr>
              <w:t>(1)</w:t>
            </w:r>
          </w:p>
        </w:tc>
        <w:tc>
          <w:tcPr>
            <w:tcW w:w="2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402"/>
              <w:spacing w:after="0"/>
              <w:rPr>
                <w:sz w:val="20"/>
                <w:szCs w:val="20"/>
                <w:color w:val="auto"/>
              </w:rPr>
            </w:pPr>
            <w:r>
              <w:rPr>
                <w:rFonts w:ascii="Arial" w:cs="Arial" w:eastAsia="Arial" w:hAnsi="Arial"/>
                <w:sz w:val="13"/>
                <w:szCs w:val="13"/>
                <w:b w:val="1"/>
                <w:bCs w:val="1"/>
                <w:color w:val="auto"/>
              </w:rPr>
              <w:t>EBITDA Margin</w:t>
            </w:r>
            <w:r>
              <w:rPr>
                <w:rFonts w:ascii="Arial" w:cs="Arial" w:eastAsia="Arial" w:hAnsi="Arial"/>
                <w:sz w:val="14"/>
                <w:szCs w:val="14"/>
                <w:b w:val="1"/>
                <w:bCs w:val="1"/>
                <w:color w:val="auto"/>
                <w:vertAlign w:val="superscript"/>
              </w:rPr>
              <w:t>(1)</w:t>
            </w:r>
          </w:p>
        </w:tc>
        <w:tc>
          <w:tcPr>
            <w:tcW w:w="0" w:type="dxa"/>
            <w:vAlign w:val="bottom"/>
          </w:tcPr>
          <w:p>
            <w:pPr>
              <w:spacing w:after="0"/>
              <w:rPr>
                <w:sz w:val="1"/>
                <w:szCs w:val="1"/>
                <w:color w:val="auto"/>
              </w:rPr>
            </w:pPr>
          </w:p>
        </w:tc>
      </w:tr>
      <w:tr>
        <w:trPr>
          <w:trHeight w:val="129"/>
        </w:trPr>
        <w:tc>
          <w:tcPr>
            <w:tcW w:w="6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95"/>
              </w:rPr>
              <w:t>January 1,</w:t>
            </w:r>
          </w:p>
        </w:tc>
        <w:tc>
          <w:tcPr>
            <w:tcW w:w="4760" w:type="dxa"/>
            <w:vAlign w:val="bottom"/>
            <w:tcBorders>
              <w:top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2018 to September 30, 2018</w:t>
            </w: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97"/>
              <w:spacing w:after="0" w:line="129" w:lineRule="exact"/>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214,091</w:t>
            </w:r>
          </w:p>
        </w:tc>
        <w:tc>
          <w:tcPr>
            <w:tcW w:w="200" w:type="dxa"/>
            <w:vAlign w:val="bottom"/>
            <w:tcBorders>
              <w:top w:val="single" w:sz="8" w:color="CCEEFF"/>
              <w:right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5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42.3</w:t>
            </w:r>
          </w:p>
        </w:tc>
        <w:tc>
          <w:tcPr>
            <w:tcW w:w="180" w:type="dxa"/>
            <w:vAlign w:val="bottom"/>
            <w:tcBorders>
              <w:top w:val="single" w:sz="8" w:color="CCEEFF"/>
            </w:tcBorders>
            <w:shd w:val="clear" w:color="auto" w:fill="CCEEFF"/>
          </w:tcPr>
          <w:p>
            <w:pPr>
              <w:jc w:val="right"/>
              <w:ind w:right="22"/>
              <w:spacing w:after="0" w:line="129" w:lineRule="exact"/>
              <w:rPr>
                <w:sz w:val="20"/>
                <w:szCs w:val="20"/>
                <w:color w:val="auto"/>
              </w:rPr>
            </w:pPr>
            <w:r>
              <w:rPr>
                <w:rFonts w:ascii="Arial" w:cs="Arial" w:eastAsia="Arial" w:hAnsi="Arial"/>
                <w:sz w:val="12"/>
                <w:szCs w:val="12"/>
                <w:color w:val="auto"/>
                <w:w w:val="74"/>
              </w:rPr>
              <w:t>%</w:t>
            </w:r>
          </w:p>
        </w:tc>
        <w:tc>
          <w:tcPr>
            <w:tcW w:w="0" w:type="dxa"/>
            <w:vAlign w:val="bottom"/>
          </w:tcPr>
          <w:p>
            <w:pPr>
              <w:spacing w:after="0"/>
              <w:rPr>
                <w:sz w:val="1"/>
                <w:szCs w:val="1"/>
                <w:color w:val="auto"/>
              </w:rPr>
            </w:pPr>
          </w:p>
        </w:tc>
      </w:tr>
      <w:tr>
        <w:trPr>
          <w:trHeight w:val="135"/>
        </w:trPr>
        <w:tc>
          <w:tcPr>
            <w:tcW w:w="60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w w:val="95"/>
              </w:rPr>
              <w:t>October 1,</w:t>
            </w:r>
          </w:p>
        </w:tc>
        <w:tc>
          <w:tcPr>
            <w:tcW w:w="4960" w:type="dxa"/>
            <w:vAlign w:val="bottom"/>
            <w:tcBorders>
              <w:bottom w:val="single" w:sz="8" w:color="CCEEFF"/>
            </w:tcBorders>
            <w:gridSpan w:val="2"/>
          </w:tcPr>
          <w:p>
            <w:pPr>
              <w:ind w:left="20"/>
              <w:spacing w:after="0" w:line="135" w:lineRule="exact"/>
              <w:rPr>
                <w:sz w:val="20"/>
                <w:szCs w:val="20"/>
                <w:color w:val="auto"/>
              </w:rPr>
            </w:pPr>
            <w:r>
              <w:rPr>
                <w:rFonts w:ascii="Arial" w:cs="Arial" w:eastAsia="Arial" w:hAnsi="Arial"/>
                <w:sz w:val="13"/>
                <w:szCs w:val="13"/>
                <w:color w:val="auto"/>
              </w:rPr>
              <w:t>2018 to December 31, 2018</w:t>
            </w:r>
          </w:p>
        </w:tc>
        <w:tc>
          <w:tcPr>
            <w:tcW w:w="2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65,308</w:t>
            </w:r>
          </w:p>
        </w:tc>
        <w:tc>
          <w:tcPr>
            <w:tcW w:w="200" w:type="dxa"/>
            <w:vAlign w:val="bottom"/>
            <w:tcBorders>
              <w:bottom w:val="single" w:sz="8" w:color="CCEEFF"/>
              <w:right w:val="single" w:sz="8" w:color="auto"/>
            </w:tcBorders>
          </w:tcPr>
          <w:p>
            <w:pPr>
              <w:spacing w:after="0"/>
              <w:rPr>
                <w:sz w:val="11"/>
                <w:szCs w:val="11"/>
                <w:color w:val="auto"/>
              </w:rPr>
            </w:pPr>
          </w:p>
        </w:tc>
        <w:tc>
          <w:tcPr>
            <w:tcW w:w="1900" w:type="dxa"/>
            <w:vAlign w:val="bottom"/>
            <w:tcBorders>
              <w:bottom w:val="single" w:sz="8" w:color="CCEEFF"/>
            </w:tcBorders>
            <w:gridSpan w:val="3"/>
          </w:tcPr>
          <w:p>
            <w:pPr>
              <w:jc w:val="right"/>
              <w:ind w:right="22"/>
              <w:spacing w:after="0" w:line="135" w:lineRule="exact"/>
              <w:rPr>
                <w:sz w:val="20"/>
                <w:szCs w:val="20"/>
                <w:color w:val="auto"/>
              </w:rPr>
            </w:pPr>
            <w:r>
              <w:rPr>
                <w:rFonts w:ascii="Arial" w:cs="Arial" w:eastAsia="Arial" w:hAnsi="Arial"/>
                <w:sz w:val="13"/>
                <w:szCs w:val="13"/>
                <w:color w:val="auto"/>
              </w:rPr>
              <w:t>36.6 %</w:t>
            </w:r>
          </w:p>
        </w:tc>
        <w:tc>
          <w:tcPr>
            <w:tcW w:w="0" w:type="dxa"/>
            <w:vAlign w:val="bottom"/>
          </w:tcPr>
          <w:p>
            <w:pPr>
              <w:spacing w:after="0"/>
              <w:rPr>
                <w:sz w:val="1"/>
                <w:szCs w:val="1"/>
                <w:color w:val="auto"/>
              </w:rPr>
            </w:pPr>
          </w:p>
        </w:tc>
      </w:tr>
      <w:tr>
        <w:trPr>
          <w:trHeight w:val="142"/>
        </w:trPr>
        <w:tc>
          <w:tcPr>
            <w:tcW w:w="5560" w:type="dxa"/>
            <w:vAlign w:val="bottom"/>
            <w:gridSpan w:val="3"/>
            <w:shd w:val="clear" w:color="auto" w:fill="CCEEFF"/>
          </w:tcPr>
          <w:p>
            <w:pPr>
              <w:spacing w:after="0" w:line="143" w:lineRule="exact"/>
              <w:rPr>
                <w:sz w:val="20"/>
                <w:szCs w:val="20"/>
                <w:color w:val="auto"/>
              </w:rPr>
            </w:pPr>
            <w:r>
              <w:rPr>
                <w:rFonts w:ascii="Arial" w:cs="Arial" w:eastAsia="Arial" w:hAnsi="Arial"/>
                <w:sz w:val="13"/>
                <w:szCs w:val="13"/>
                <w:color w:val="auto"/>
              </w:rPr>
              <w:t>Full Year Ended December 31, 2018</w:t>
            </w:r>
          </w:p>
        </w:tc>
        <w:tc>
          <w:tcPr>
            <w:tcW w:w="280" w:type="dxa"/>
            <w:vAlign w:val="bottom"/>
            <w:shd w:val="clear" w:color="auto" w:fill="CCEEFF"/>
          </w:tcPr>
          <w:p>
            <w:pPr>
              <w:jc w:val="right"/>
              <w:ind w:right="97"/>
              <w:spacing w:after="0" w:line="143"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279,399</w:t>
            </w:r>
          </w:p>
        </w:tc>
        <w:tc>
          <w:tcPr>
            <w:tcW w:w="200" w:type="dxa"/>
            <w:vAlign w:val="bottom"/>
            <w:tcBorders>
              <w:right w:val="single" w:sz="8" w:color="auto"/>
            </w:tcBorders>
            <w:shd w:val="clear" w:color="auto" w:fill="CCEEFF"/>
          </w:tcPr>
          <w:p>
            <w:pPr>
              <w:spacing w:after="0"/>
              <w:rPr>
                <w:sz w:val="12"/>
                <w:szCs w:val="12"/>
                <w:color w:val="auto"/>
              </w:rPr>
            </w:pPr>
          </w:p>
        </w:tc>
        <w:tc>
          <w:tcPr>
            <w:tcW w:w="1900" w:type="dxa"/>
            <w:vAlign w:val="bottom"/>
            <w:gridSpan w:val="3"/>
            <w:shd w:val="clear" w:color="auto" w:fill="CCEEFF"/>
          </w:tcPr>
          <w:p>
            <w:pPr>
              <w:jc w:val="right"/>
              <w:ind w:right="22"/>
              <w:spacing w:after="0" w:line="143" w:lineRule="exact"/>
              <w:rPr>
                <w:sz w:val="20"/>
                <w:szCs w:val="20"/>
                <w:color w:val="auto"/>
              </w:rPr>
            </w:pPr>
            <w:r>
              <w:rPr>
                <w:rFonts w:ascii="Arial" w:cs="Arial" w:eastAsia="Arial" w:hAnsi="Arial"/>
                <w:sz w:val="13"/>
                <w:szCs w:val="13"/>
                <w:color w:val="auto"/>
              </w:rPr>
              <w:t>40.8 %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-8255</wp:posOffset>
            </wp:positionV>
            <wp:extent cx="89217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92175" cy="17145"/>
                    </a:xfrm>
                    <a:prstGeom prst="rect">
                      <a:avLst/>
                    </a:prstGeom>
                    <a:noFill/>
                  </pic:spPr>
                </pic:pic>
              </a:graphicData>
            </a:graphic>
          </wp:anchor>
        </w:drawing>
      </w:r>
    </w:p>
    <w:p>
      <w:pPr>
        <w:ind w:left="660" w:hanging="333"/>
        <w:spacing w:after="0"/>
        <w:tabs>
          <w:tab w:leader="none" w:pos="66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Adjusted EBITDA margin is defined as Adjusted EBITDA divided by gross revenue of $684.4 million for the full year ended December 31, 2018.</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37"/>
        </w:trPr>
        <w:tc>
          <w:tcPr>
            <w:tcW w:w="3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gridSpan w:val="4"/>
          </w:tcPr>
          <w:p>
            <w:pPr>
              <w:ind w:left="480"/>
              <w:spacing w:after="0"/>
              <w:rPr>
                <w:sz w:val="20"/>
                <w:szCs w:val="20"/>
                <w:color w:val="auto"/>
              </w:rPr>
            </w:pPr>
            <w:r>
              <w:rPr>
                <w:rFonts w:ascii="Arial" w:cs="Arial" w:eastAsia="Arial" w:hAnsi="Arial"/>
                <w:sz w:val="11"/>
                <w:szCs w:val="11"/>
                <w:b w:val="1"/>
                <w:bCs w:val="1"/>
                <w:color w:val="auto"/>
              </w:rPr>
              <w:t>Successor</w:t>
            </w: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60"/>
              <w:spacing w:after="0"/>
              <w:rPr>
                <w:sz w:val="20"/>
                <w:szCs w:val="20"/>
                <w:color w:val="auto"/>
              </w:rPr>
            </w:pPr>
            <w:r>
              <w:rPr>
                <w:rFonts w:ascii="Arial" w:cs="Arial" w:eastAsia="Arial" w:hAnsi="Arial"/>
                <w:sz w:val="11"/>
                <w:szCs w:val="11"/>
                <w:b w:val="1"/>
                <w:bCs w:val="1"/>
                <w:color w:val="auto"/>
                <w:w w:val="96"/>
              </w:rPr>
              <w:t>Successor</w:t>
            </w: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1"/>
                <w:szCs w:val="11"/>
                <w:b w:val="1"/>
                <w:bCs w:val="1"/>
                <w:color w:val="auto"/>
                <w:w w:val="96"/>
              </w:rPr>
              <w:t>Predecessor</w:t>
            </w: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1"/>
                <w:szCs w:val="11"/>
                <w:b w:val="1"/>
                <w:bCs w:val="1"/>
                <w:color w:val="auto"/>
                <w:w w:val="99"/>
              </w:rPr>
              <w:t>Predecessor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jc w:val="center"/>
              <w:ind w:right="59"/>
              <w:spacing w:after="0" w:line="100" w:lineRule="exact"/>
              <w:rPr>
                <w:sz w:val="20"/>
                <w:szCs w:val="20"/>
                <w:color w:val="auto"/>
              </w:rPr>
            </w:pPr>
            <w:r>
              <w:rPr>
                <w:rFonts w:ascii="Arial" w:cs="Arial" w:eastAsia="Arial" w:hAnsi="Arial"/>
                <w:sz w:val="11"/>
                <w:szCs w:val="11"/>
                <w:b w:val="1"/>
                <w:bCs w:val="1"/>
                <w:color w:val="auto"/>
                <w:w w:val="99"/>
              </w:rPr>
              <w:t>Three</w:t>
            </w: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97"/>
              </w:rPr>
              <w:t>Months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38"/>
              <w:spacing w:after="0" w:line="122" w:lineRule="exact"/>
              <w:rPr>
                <w:sz w:val="20"/>
                <w:szCs w:val="20"/>
                <w:color w:val="auto"/>
              </w:rPr>
            </w:pPr>
            <w:r>
              <w:rPr>
                <w:rFonts w:ascii="Arial" w:cs="Arial" w:eastAsia="Arial" w:hAnsi="Arial"/>
                <w:sz w:val="11"/>
                <w:szCs w:val="11"/>
                <w:b w:val="1"/>
                <w:bCs w:val="1"/>
                <w:color w:val="auto"/>
                <w:w w:val="92"/>
              </w:rPr>
              <w:t>Year</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rPr>
              <w:t>October 1, 2018</w:t>
            </w: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97"/>
              </w:rPr>
              <w:t>January 1, 2018</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60"/>
              <w:spacing w:after="0" w:line="122" w:lineRule="exact"/>
              <w:rPr>
                <w:sz w:val="20"/>
                <w:szCs w:val="20"/>
                <w:color w:val="auto"/>
              </w:rPr>
            </w:pPr>
            <w:r>
              <w:rPr>
                <w:rFonts w:ascii="Arial" w:cs="Arial" w:eastAsia="Arial" w:hAnsi="Arial"/>
                <w:sz w:val="11"/>
                <w:szCs w:val="11"/>
                <w:b w:val="1"/>
                <w:bCs w:val="1"/>
                <w:color w:val="auto"/>
                <w:w w:val="92"/>
              </w:rPr>
              <w:t>Year</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39"/>
              <w:spacing w:after="0" w:line="122" w:lineRule="exact"/>
              <w:rPr>
                <w:sz w:val="20"/>
                <w:szCs w:val="20"/>
                <w:color w:val="auto"/>
              </w:rPr>
            </w:pPr>
            <w:r>
              <w:rPr>
                <w:rFonts w:ascii="Arial" w:cs="Arial" w:eastAsia="Arial" w:hAnsi="Arial"/>
                <w:sz w:val="11"/>
                <w:szCs w:val="11"/>
                <w:b w:val="1"/>
                <w:bCs w:val="1"/>
                <w:color w:val="auto"/>
                <w:w w:val="95"/>
              </w:rPr>
              <w:t>Ended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ind w:right="138"/>
              <w:spacing w:after="0" w:line="122" w:lineRule="exact"/>
              <w:rPr>
                <w:sz w:val="20"/>
                <w:szCs w:val="20"/>
                <w:color w:val="auto"/>
              </w:rPr>
            </w:pPr>
            <w:r>
              <w:rPr>
                <w:rFonts w:ascii="Arial" w:cs="Arial" w:eastAsia="Arial" w:hAnsi="Arial"/>
                <w:sz w:val="11"/>
                <w:szCs w:val="11"/>
                <w:b w:val="1"/>
                <w:bCs w:val="1"/>
                <w:color w:val="auto"/>
              </w:rPr>
              <w:t>Ended</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jc w:val="center"/>
              <w:ind w:right="60"/>
              <w:spacing w:after="0" w:line="122" w:lineRule="exact"/>
              <w:rPr>
                <w:sz w:val="20"/>
                <w:szCs w:val="20"/>
                <w:color w:val="auto"/>
              </w:rPr>
            </w:pPr>
            <w:r>
              <w:rPr>
                <w:rFonts w:ascii="Arial" w:cs="Arial" w:eastAsia="Arial" w:hAnsi="Arial"/>
                <w:sz w:val="11"/>
                <w:szCs w:val="11"/>
                <w:b w:val="1"/>
                <w:bCs w:val="1"/>
                <w:color w:val="auto"/>
                <w:w w:val="95"/>
              </w:rPr>
              <w:t>to</w:t>
            </w: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auto"/>
                <w:w w:val="95"/>
              </w:rPr>
              <w:t>to</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center"/>
              <w:ind w:right="60"/>
              <w:spacing w:after="0" w:line="122" w:lineRule="exact"/>
              <w:rPr>
                <w:sz w:val="20"/>
                <w:szCs w:val="20"/>
                <w:color w:val="auto"/>
              </w:rPr>
            </w:pPr>
            <w:r>
              <w:rPr>
                <w:rFonts w:ascii="Arial" w:cs="Arial" w:eastAsia="Arial" w:hAnsi="Arial"/>
                <w:sz w:val="11"/>
                <w:szCs w:val="11"/>
                <w:b w:val="1"/>
                <w:bCs w:val="1"/>
                <w:color w:val="auto"/>
              </w:rPr>
              <w:t>Ended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860" w:type="dxa"/>
            <w:vAlign w:val="bottom"/>
          </w:tcPr>
          <w:p>
            <w:pPr>
              <w:spacing w:after="0"/>
              <w:rPr>
                <w:sz w:val="10"/>
                <w:szCs w:val="10"/>
                <w:color w:val="auto"/>
              </w:rPr>
            </w:pPr>
          </w:p>
        </w:tc>
        <w:tc>
          <w:tcPr>
            <w:tcW w:w="7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December 31,</w:t>
            </w:r>
          </w:p>
        </w:tc>
        <w:tc>
          <w:tcPr>
            <w:tcW w:w="200" w:type="dxa"/>
            <w:vAlign w:val="bottom"/>
          </w:tcPr>
          <w:p>
            <w:pPr>
              <w:spacing w:after="0"/>
              <w:rPr>
                <w:sz w:val="10"/>
                <w:szCs w:val="10"/>
                <w:color w:val="auto"/>
              </w:rPr>
            </w:pPr>
          </w:p>
        </w:tc>
        <w:tc>
          <w:tcPr>
            <w:tcW w:w="7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7"/>
              </w:rPr>
              <w:t>December 31,</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20"/>
              <w:spacing w:after="0" w:line="122" w:lineRule="exact"/>
              <w:rPr>
                <w:sz w:val="20"/>
                <w:szCs w:val="20"/>
                <w:color w:val="auto"/>
              </w:rPr>
            </w:pPr>
            <w:r>
              <w:rPr>
                <w:rFonts w:ascii="Arial" w:cs="Arial" w:eastAsia="Arial" w:hAnsi="Arial"/>
                <w:sz w:val="11"/>
                <w:szCs w:val="11"/>
                <w:b w:val="1"/>
                <w:bCs w:val="1"/>
                <w:color w:val="auto"/>
                <w:w w:val="97"/>
              </w:rPr>
              <w:t>December 31,</w:t>
            </w:r>
          </w:p>
        </w:tc>
        <w:tc>
          <w:tcPr>
            <w:tcW w:w="2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8"/>
              </w:rPr>
              <w:t>September 30,</w:t>
            </w:r>
          </w:p>
        </w:tc>
        <w:tc>
          <w:tcPr>
            <w:tcW w:w="200" w:type="dxa"/>
            <w:vAlign w:val="bottom"/>
          </w:tcPr>
          <w:p>
            <w:pPr>
              <w:spacing w:after="0"/>
              <w:rPr>
                <w:sz w:val="10"/>
                <w:szCs w:val="10"/>
                <w:color w:val="auto"/>
              </w:rPr>
            </w:pPr>
          </w:p>
        </w:tc>
        <w:tc>
          <w:tcPr>
            <w:tcW w:w="82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7"/>
              </w:rPr>
              <w:t>December 31,</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860" w:type="dxa"/>
            <w:vAlign w:val="bottom"/>
          </w:tcPr>
          <w:p>
            <w:pPr>
              <w:spacing w:after="0"/>
              <w:rPr>
                <w:sz w:val="20"/>
                <w:szCs w:val="20"/>
                <w:color w:val="auto"/>
              </w:rPr>
            </w:pPr>
            <w:r>
              <w:rPr>
                <w:rFonts w:ascii="Arial" w:cs="Arial" w:eastAsia="Arial" w:hAnsi="Arial"/>
                <w:sz w:val="11"/>
                <w:szCs w:val="11"/>
                <w:b w:val="1"/>
                <w:bCs w:val="1"/>
                <w:color w:val="auto"/>
              </w:rPr>
              <w:t>Reconciliation of Net Income to</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97"/>
              </w:rPr>
              <w:t>2019</w:t>
            </w: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center"/>
              <w:ind w:right="158"/>
              <w:spacing w:after="0"/>
              <w:rPr>
                <w:sz w:val="20"/>
                <w:szCs w:val="20"/>
                <w:color w:val="auto"/>
              </w:rPr>
            </w:pPr>
            <w:r>
              <w:rPr>
                <w:rFonts w:ascii="Arial" w:cs="Arial" w:eastAsia="Arial" w:hAnsi="Arial"/>
                <w:sz w:val="11"/>
                <w:szCs w:val="11"/>
                <w:b w:val="1"/>
                <w:bCs w:val="1"/>
                <w:color w:val="auto"/>
                <w:w w:val="97"/>
              </w:rPr>
              <w:t>2019</w:t>
            </w: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1"/>
                <w:szCs w:val="11"/>
                <w:b w:val="1"/>
                <w:bCs w:val="1"/>
                <w:color w:val="auto"/>
                <w:w w:val="97"/>
              </w:rPr>
              <w:t>2018</w:t>
            </w:r>
          </w:p>
        </w:tc>
        <w:tc>
          <w:tcPr>
            <w:tcW w:w="220" w:type="dxa"/>
            <w:vAlign w:val="bottom"/>
            <w:tcBorders>
              <w:bottom w:val="single" w:sz="8" w:color="auto"/>
              <w:right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1"/>
                <w:szCs w:val="11"/>
                <w:b w:val="1"/>
                <w:bCs w:val="1"/>
                <w:color w:val="auto"/>
                <w:w w:val="97"/>
              </w:rPr>
              <w:t>2018</w:t>
            </w: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7"/>
              </w:rPr>
              <w:t>2017</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860" w:type="dxa"/>
            <w:vAlign w:val="bottom"/>
          </w:tcPr>
          <w:p>
            <w:pPr>
              <w:spacing w:after="0" w:line="115" w:lineRule="exact"/>
              <w:rPr>
                <w:sz w:val="20"/>
                <w:szCs w:val="20"/>
                <w:color w:val="auto"/>
              </w:rPr>
            </w:pPr>
            <w:r>
              <w:rPr>
                <w:rFonts w:ascii="Arial" w:cs="Arial" w:eastAsia="Arial" w:hAnsi="Arial"/>
                <w:sz w:val="11"/>
                <w:szCs w:val="11"/>
                <w:b w:val="1"/>
                <w:bCs w:val="1"/>
                <w:color w:val="auto"/>
              </w:rPr>
              <w:t>Adjusted Net Income and Adjusted Diluted EPS</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gridSpan w:val="3"/>
          </w:tcPr>
          <w:p>
            <w:pPr>
              <w:ind w:left="40"/>
              <w:spacing w:after="0" w:line="115" w:lineRule="exact"/>
              <w:rPr>
                <w:sz w:val="20"/>
                <w:szCs w:val="20"/>
                <w:color w:val="auto"/>
              </w:rPr>
            </w:pPr>
            <w:r>
              <w:rPr>
                <w:rFonts w:ascii="Arial" w:cs="Arial" w:eastAsia="Arial" w:hAnsi="Arial"/>
                <w:sz w:val="11"/>
                <w:szCs w:val="11"/>
                <w:b w:val="1"/>
                <w:bCs w:val="1"/>
                <w:color w:val="auto"/>
              </w:rPr>
              <w:t>(in thousands)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8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Earnings per diluted share</w:t>
            </w:r>
            <w:r>
              <w:rPr>
                <w:rFonts w:ascii="Arial" w:cs="Arial" w:eastAsia="Arial" w:hAnsi="Arial"/>
                <w:sz w:val="14"/>
                <w:szCs w:val="14"/>
                <w:color w:val="auto"/>
                <w:vertAlign w:val="superscript"/>
              </w:rPr>
              <w:t>(1)</w:t>
            </w:r>
          </w:p>
        </w:tc>
        <w:tc>
          <w:tcPr>
            <w:tcW w:w="1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0.25</w:t>
            </w:r>
          </w:p>
        </w:tc>
        <w:tc>
          <w:tcPr>
            <w:tcW w:w="2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0.19</w:t>
            </w:r>
          </w:p>
        </w:tc>
        <w:tc>
          <w:tcPr>
            <w:tcW w:w="220" w:type="dxa"/>
            <w:vAlign w:val="bottom"/>
            <w:shd w:val="clear" w:color="auto" w:fill="CCEEFF"/>
          </w:tcPr>
          <w:p>
            <w:pPr>
              <w:spacing w:after="0"/>
              <w:rPr>
                <w:sz w:val="20"/>
                <w:szCs w:val="20"/>
                <w:color w:val="auto"/>
              </w:rPr>
            </w:pPr>
            <w:r>
              <w:rPr>
                <w:rFonts w:ascii="Arial" w:cs="Arial" w:eastAsia="Arial" w:hAnsi="Arial"/>
                <w:sz w:val="11"/>
                <w:szCs w:val="11"/>
                <w:color w:val="auto"/>
              </w:rPr>
              <w:t>(a) /</w:t>
            </w: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22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0.60</w:t>
            </w:r>
          </w:p>
        </w:tc>
        <w:tc>
          <w:tcPr>
            <w:tcW w:w="20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0.39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860" w:type="dxa"/>
            <w:vAlign w:val="bottom"/>
            <w:vMerge w:val="continue"/>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60" w:type="dxa"/>
            <w:vAlign w:val="bottom"/>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1"/>
                <w:szCs w:val="11"/>
                <w:color w:val="auto"/>
              </w:rPr>
              <w:t>(b)</w:t>
            </w:r>
          </w:p>
        </w:tc>
        <w:tc>
          <w:tcPr>
            <w:tcW w:w="1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18"/>
              <w:spacing w:after="0" w:line="135" w:lineRule="exact"/>
              <w:rPr>
                <w:sz w:val="20"/>
                <w:szCs w:val="20"/>
                <w:color w:val="auto"/>
              </w:rPr>
            </w:pPr>
            <w:r>
              <w:rPr>
                <w:rFonts w:ascii="Arial" w:cs="Arial" w:eastAsia="Arial" w:hAnsi="Arial"/>
                <w:sz w:val="13"/>
                <w:szCs w:val="13"/>
                <w:color w:val="auto"/>
              </w:rPr>
              <w:t>0.54</w:t>
            </w:r>
          </w:p>
        </w:tc>
        <w:tc>
          <w:tcPr>
            <w:tcW w:w="220" w:type="dxa"/>
            <w:vAlign w:val="bottom"/>
            <w:shd w:val="clear" w:color="auto" w:fill="CCEEFF"/>
          </w:tcPr>
          <w:p>
            <w:pPr>
              <w:ind w:left="20"/>
              <w:spacing w:after="0"/>
              <w:rPr>
                <w:sz w:val="20"/>
                <w:szCs w:val="20"/>
                <w:color w:val="auto"/>
              </w:rPr>
            </w:pPr>
            <w:r>
              <w:rPr>
                <w:rFonts w:ascii="Arial" w:cs="Arial" w:eastAsia="Arial" w:hAnsi="Arial"/>
                <w:sz w:val="11"/>
                <w:szCs w:val="11"/>
                <w:color w:val="auto"/>
              </w:rPr>
              <w:t>(b)</w:t>
            </w:r>
          </w:p>
        </w:tc>
        <w:tc>
          <w:tcPr>
            <w:tcW w:w="12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2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(a)</w:t>
            </w:r>
          </w:p>
        </w:tc>
        <w:tc>
          <w:tcPr>
            <w:tcW w:w="12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76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122"/>
        </w:trPr>
        <w:tc>
          <w:tcPr>
            <w:tcW w:w="3860" w:type="dxa"/>
            <w:vAlign w:val="bottom"/>
            <w:tcBorders>
              <w:top w:val="single" w:sz="8" w:color="CCEEFF"/>
            </w:tcBorders>
          </w:tcPr>
          <w:p>
            <w:pPr>
              <w:spacing w:after="0" w:line="122" w:lineRule="exact"/>
              <w:rPr>
                <w:sz w:val="20"/>
                <w:szCs w:val="20"/>
                <w:color w:val="auto"/>
              </w:rPr>
            </w:pPr>
            <w:r>
              <w:rPr>
                <w:rFonts w:ascii="Arial" w:cs="Arial" w:eastAsia="Arial" w:hAnsi="Arial"/>
                <w:sz w:val="13"/>
                <w:szCs w:val="13"/>
                <w:color w:val="auto"/>
              </w:rPr>
              <w:t xml:space="preserve">Pre-IPO net income attributable to Tradeweb Markets LLC </w:t>
            </w:r>
            <w:r>
              <w:rPr>
                <w:rFonts w:ascii="Arial" w:cs="Arial" w:eastAsia="Arial" w:hAnsi="Arial"/>
                <w:sz w:val="14"/>
                <w:szCs w:val="14"/>
                <w:color w:val="auto"/>
                <w:vertAlign w:val="superscript"/>
              </w:rPr>
              <w:t>(1)</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22" w:lineRule="exact"/>
              <w:rPr>
                <w:sz w:val="20"/>
                <w:szCs w:val="20"/>
                <w:color w:val="auto"/>
              </w:rPr>
            </w:pPr>
            <w:r>
              <w:rPr>
                <w:rFonts w:ascii="Arial" w:cs="Arial" w:eastAsia="Arial" w:hAnsi="Arial"/>
                <w:sz w:val="13"/>
                <w:szCs w:val="13"/>
                <w:color w:val="auto"/>
              </w:rPr>
              <w:t>42,352</w:t>
            </w:r>
          </w:p>
        </w:tc>
        <w:tc>
          <w:tcPr>
            <w:tcW w:w="220" w:type="dxa"/>
            <w:vAlign w:val="bottom"/>
            <w:tcBorders>
              <w:top w:val="single" w:sz="8" w:color="CCEEFF"/>
            </w:tcBorders>
          </w:tcPr>
          <w:p>
            <w:pPr>
              <w:spacing w:after="0" w:line="122" w:lineRule="exact"/>
              <w:rPr>
                <w:sz w:val="20"/>
                <w:szCs w:val="20"/>
                <w:color w:val="auto"/>
              </w:rPr>
            </w:pPr>
            <w:r>
              <w:rPr>
                <w:rFonts w:ascii="Arial" w:cs="Arial" w:eastAsia="Arial" w:hAnsi="Arial"/>
                <w:sz w:val="11"/>
                <w:szCs w:val="11"/>
                <w:color w:val="auto"/>
              </w:rPr>
              <w:t>(a)</w:t>
            </w:r>
          </w:p>
        </w:tc>
        <w:tc>
          <w:tcPr>
            <w:tcW w:w="4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color w:val="auto"/>
              </w:rPr>
              <w:t>29,307</w:t>
            </w:r>
          </w:p>
        </w:tc>
        <w:tc>
          <w:tcPr>
            <w:tcW w:w="220" w:type="dxa"/>
            <w:vAlign w:val="bottom"/>
            <w:tcBorders>
              <w:top w:val="single" w:sz="8" w:color="CCEEFF"/>
              <w:right w:val="single" w:sz="8" w:color="auto"/>
            </w:tcBorders>
          </w:tcPr>
          <w:p>
            <w:pPr>
              <w:spacing w:after="0" w:line="122" w:lineRule="exact"/>
              <w:rPr>
                <w:sz w:val="20"/>
                <w:szCs w:val="20"/>
                <w:color w:val="auto"/>
              </w:rPr>
            </w:pPr>
            <w:r>
              <w:rPr>
                <w:rFonts w:ascii="Arial" w:cs="Arial" w:eastAsia="Arial" w:hAnsi="Arial"/>
                <w:sz w:val="11"/>
                <w:szCs w:val="11"/>
                <w:color w:val="auto"/>
              </w:rPr>
              <w:t>(a)</w:t>
            </w: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color w:val="auto"/>
              </w:rPr>
              <w:t>130,160</w:t>
            </w:r>
          </w:p>
        </w:tc>
        <w:tc>
          <w:tcPr>
            <w:tcW w:w="200" w:type="dxa"/>
            <w:vAlign w:val="bottom"/>
            <w:tcBorders>
              <w:top w:val="single" w:sz="8" w:color="CCEEFF"/>
            </w:tcBorders>
          </w:tcPr>
          <w:p>
            <w:pPr>
              <w:spacing w:after="0" w:line="122" w:lineRule="exact"/>
              <w:rPr>
                <w:sz w:val="20"/>
                <w:szCs w:val="20"/>
                <w:color w:val="auto"/>
              </w:rPr>
            </w:pPr>
            <w:r>
              <w:rPr>
                <w:rFonts w:ascii="Arial" w:cs="Arial" w:eastAsia="Arial" w:hAnsi="Arial"/>
                <w:sz w:val="11"/>
                <w:szCs w:val="11"/>
                <w:color w:val="auto"/>
              </w:rPr>
              <w:t>(a)</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22" w:lineRule="exact"/>
              <w:rPr>
                <w:sz w:val="20"/>
                <w:szCs w:val="20"/>
                <w:color w:val="auto"/>
              </w:rPr>
            </w:pPr>
            <w:r>
              <w:rPr>
                <w:rFonts w:ascii="Arial" w:cs="Arial" w:eastAsia="Arial" w:hAnsi="Arial"/>
                <w:sz w:val="13"/>
                <w:szCs w:val="13"/>
                <w:color w:val="auto"/>
              </w:rPr>
              <w:t>83,648</w:t>
            </w:r>
          </w:p>
        </w:tc>
        <w:tc>
          <w:tcPr>
            <w:tcW w:w="140" w:type="dxa"/>
            <w:vAlign w:val="bottom"/>
            <w:tcBorders>
              <w:top w:val="single" w:sz="8" w:color="CCEEFF"/>
            </w:tcBorders>
          </w:tcPr>
          <w:p>
            <w:pPr>
              <w:spacing w:after="0" w:line="122" w:lineRule="exact"/>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Add: Net income attributable to Tradeweb Markets Inc. </w:t>
            </w:r>
            <w:r>
              <w:rPr>
                <w:rFonts w:ascii="Arial" w:cs="Arial" w:eastAsia="Arial" w:hAnsi="Arial"/>
                <w:sz w:val="14"/>
                <w:szCs w:val="14"/>
                <w:color w:val="auto"/>
                <w:vertAlign w:val="superscript"/>
              </w:rPr>
              <w:t>(1)</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41,329</w:t>
            </w:r>
          </w:p>
        </w:tc>
        <w:tc>
          <w:tcPr>
            <w:tcW w:w="200" w:type="dxa"/>
            <w:vAlign w:val="bottom"/>
            <w:shd w:val="clear" w:color="auto" w:fill="CCEEFF"/>
          </w:tcPr>
          <w:p>
            <w:pPr>
              <w:spacing w:after="0"/>
              <w:rPr>
                <w:sz w:val="20"/>
                <w:szCs w:val="20"/>
                <w:color w:val="auto"/>
              </w:rPr>
            </w:pPr>
            <w:r>
              <w:rPr>
                <w:rFonts w:ascii="Arial" w:cs="Arial" w:eastAsia="Arial" w:hAnsi="Arial"/>
                <w:sz w:val="11"/>
                <w:szCs w:val="11"/>
                <w:color w:val="auto"/>
              </w:rPr>
              <w:t>(b)</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83,769</w:t>
            </w:r>
          </w:p>
        </w:tc>
        <w:tc>
          <w:tcPr>
            <w:tcW w:w="220" w:type="dxa"/>
            <w:vAlign w:val="bottom"/>
            <w:shd w:val="clear" w:color="auto" w:fill="CCEEFF"/>
          </w:tcPr>
          <w:p>
            <w:pPr>
              <w:spacing w:after="0"/>
              <w:rPr>
                <w:sz w:val="20"/>
                <w:szCs w:val="20"/>
                <w:color w:val="auto"/>
              </w:rPr>
            </w:pPr>
            <w:r>
              <w:rPr>
                <w:rFonts w:ascii="Arial" w:cs="Arial" w:eastAsia="Arial" w:hAnsi="Arial"/>
                <w:sz w:val="11"/>
                <w:szCs w:val="11"/>
                <w:color w:val="auto"/>
              </w:rPr>
              <w:t>(b)</w:t>
            </w: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 xml:space="preserve">Add: Net income attributable to non-controlling interests </w:t>
            </w:r>
            <w:r>
              <w:rPr>
                <w:rFonts w:ascii="Arial" w:cs="Arial" w:eastAsia="Arial" w:hAnsi="Arial"/>
                <w:sz w:val="14"/>
                <w:szCs w:val="14"/>
                <w:color w:val="auto"/>
                <w:vertAlign w:val="superscript"/>
              </w:rPr>
              <w:t>(1)(2)</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15,949</w:t>
            </w:r>
          </w:p>
        </w:tc>
        <w:tc>
          <w:tcPr>
            <w:tcW w:w="2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w:t>
            </w: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46,903</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(b)</w:t>
            </w: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right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income</w:t>
            </w:r>
          </w:p>
        </w:tc>
        <w:tc>
          <w:tcPr>
            <w:tcW w:w="1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57,278</w:t>
            </w:r>
          </w:p>
        </w:tc>
        <w:tc>
          <w:tcPr>
            <w:tcW w:w="200" w:type="dxa"/>
            <w:vAlign w:val="bottom"/>
            <w:shd w:val="clear" w:color="auto" w:fill="CCEEFF"/>
          </w:tcPr>
          <w:p>
            <w:pPr>
              <w:spacing w:after="0"/>
              <w:rPr>
                <w:sz w:val="20"/>
                <w:szCs w:val="20"/>
                <w:color w:val="auto"/>
              </w:rPr>
            </w:pPr>
            <w:r>
              <w:rPr>
                <w:rFonts w:ascii="Arial" w:cs="Arial" w:eastAsia="Arial" w:hAnsi="Arial"/>
                <w:sz w:val="11"/>
                <w:szCs w:val="11"/>
                <w:color w:val="auto"/>
              </w:rPr>
              <w:t>(b)</w:t>
            </w: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173,024</w:t>
            </w:r>
          </w:p>
        </w:tc>
        <w:tc>
          <w:tcPr>
            <w:tcW w:w="26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89"/>
              </w:rPr>
              <w:t>(a)(b)</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29,307</w:t>
            </w:r>
          </w:p>
        </w:tc>
        <w:tc>
          <w:tcPr>
            <w:tcW w:w="220" w:type="dxa"/>
            <w:vAlign w:val="bottom"/>
            <w:tcBorders>
              <w:right w:val="single" w:sz="8" w:color="auto"/>
            </w:tcBorders>
            <w:shd w:val="clear" w:color="auto" w:fill="CCEEFF"/>
          </w:tcPr>
          <w:p>
            <w:pPr>
              <w:spacing w:after="0"/>
              <w:rPr>
                <w:sz w:val="20"/>
                <w:szCs w:val="20"/>
                <w:color w:val="auto"/>
              </w:rPr>
            </w:pPr>
            <w:r>
              <w:rPr>
                <w:rFonts w:ascii="Arial" w:cs="Arial" w:eastAsia="Arial" w:hAnsi="Arial"/>
                <w:sz w:val="11"/>
                <w:szCs w:val="11"/>
                <w:color w:val="auto"/>
              </w:rPr>
              <w:t>(a)</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130,160</w:t>
            </w:r>
          </w:p>
        </w:tc>
        <w:tc>
          <w:tcPr>
            <w:tcW w:w="200" w:type="dxa"/>
            <w:vAlign w:val="bottom"/>
            <w:shd w:val="clear" w:color="auto" w:fill="CCEEFF"/>
          </w:tcPr>
          <w:p>
            <w:pPr>
              <w:spacing w:after="0"/>
              <w:rPr>
                <w:sz w:val="20"/>
                <w:szCs w:val="20"/>
                <w:color w:val="auto"/>
              </w:rPr>
            </w:pPr>
            <w:r>
              <w:rPr>
                <w:rFonts w:ascii="Arial" w:cs="Arial" w:eastAsia="Arial" w:hAnsi="Arial"/>
                <w:sz w:val="11"/>
                <w:szCs w:val="11"/>
                <w:color w:val="auto"/>
              </w:rPr>
              <w:t>(a)</w:t>
            </w:r>
          </w:p>
        </w:tc>
        <w:tc>
          <w:tcPr>
            <w:tcW w:w="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83,648</w:t>
            </w:r>
          </w:p>
        </w:tc>
        <w:tc>
          <w:tcPr>
            <w:tcW w:w="140" w:type="dxa"/>
            <w:vAlign w:val="bottom"/>
            <w:shd w:val="clear" w:color="auto" w:fill="CCEEFF"/>
          </w:tcPr>
          <w:p>
            <w:pPr>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color w:val="auto"/>
              </w:rPr>
              <w:t>Provision for income taxes</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30,889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52,302</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3,415</w:t>
            </w: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11,900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6,129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Contingent consideration</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26,830</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58,520</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color w:val="auto"/>
              </w:rPr>
              <w:t>Acquisition and Refinitiv Transaction related D&amp;A</w:t>
            </w:r>
            <w:r>
              <w:rPr>
                <w:rFonts w:ascii="Arial" w:cs="Arial" w:eastAsia="Arial" w:hAnsi="Arial"/>
                <w:sz w:val="14"/>
                <w:szCs w:val="14"/>
                <w:color w:val="auto"/>
                <w:vertAlign w:val="superscript"/>
              </w:rPr>
              <w:t>(3)</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25,443</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97,565</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22,413</w:t>
            </w: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19,576</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31,236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Stock-based compensation expense</w:t>
            </w:r>
            <w:r>
              <w:rPr>
                <w:rFonts w:ascii="Arial" w:cs="Arial" w:eastAsia="Arial" w:hAnsi="Arial"/>
                <w:sz w:val="14"/>
                <w:szCs w:val="14"/>
                <w:color w:val="auto"/>
                <w:vertAlign w:val="superscript"/>
              </w:rPr>
              <w:t>(4)</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2,700</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25,098</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line="135" w:lineRule="exact"/>
              <w:rPr>
                <w:sz w:val="20"/>
                <w:szCs w:val="20"/>
                <w:color w:val="auto"/>
              </w:rPr>
            </w:pPr>
            <w:r>
              <w:rPr>
                <w:rFonts w:ascii="Arial" w:cs="Arial" w:eastAsia="Arial" w:hAnsi="Arial"/>
                <w:sz w:val="13"/>
                <w:szCs w:val="13"/>
                <w:color w:val="auto"/>
              </w:rPr>
              <w:t>Unrealized foreign exchange (gains) / losses</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(1,095)</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(2,310)</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263</w:t>
            </w: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(960)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(364)</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(Gain) / loss from revaluation of foreign denominated cash</w:t>
            </w:r>
            <w:r>
              <w:rPr>
                <w:rFonts w:ascii="Arial" w:cs="Arial" w:eastAsia="Arial" w:hAnsi="Arial"/>
                <w:sz w:val="14"/>
                <w:szCs w:val="14"/>
                <w:color w:val="auto"/>
                <w:vertAlign w:val="superscript"/>
              </w:rPr>
              <w:t>(5)</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105</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1,225</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90</w:t>
            </w: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(921)</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(678)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Tax receivable agreement liability adjustment</w:t>
            </w:r>
            <w:r>
              <w:rPr>
                <w:rFonts w:ascii="Arial" w:cs="Arial" w:eastAsia="Arial" w:hAnsi="Arial"/>
                <w:sz w:val="14"/>
                <w:szCs w:val="14"/>
                <w:color w:val="auto"/>
                <w:vertAlign w:val="superscript"/>
              </w:rPr>
              <w:t>(6)</w:t>
            </w:r>
          </w:p>
        </w:tc>
        <w:tc>
          <w:tcPr>
            <w:tcW w:w="10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(33,134)</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(33,134)</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CEEFF"/>
              <w:right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8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Adjusted Net Income before income taxes</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82,186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313,770</w:t>
            </w: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55,488</w:t>
            </w:r>
          </w:p>
        </w:tc>
        <w:tc>
          <w:tcPr>
            <w:tcW w:w="220" w:type="dxa"/>
            <w:vAlign w:val="bottom"/>
            <w:tcBorders>
              <w:right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186,585</w:t>
            </w: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178,491</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Adjusted income taxes</w:t>
            </w:r>
            <w:r>
              <w:rPr>
                <w:rFonts w:ascii="Arial" w:cs="Arial" w:eastAsia="Arial" w:hAnsi="Arial"/>
                <w:sz w:val="14"/>
                <w:szCs w:val="14"/>
                <w:color w:val="auto"/>
                <w:vertAlign w:val="superscript"/>
              </w:rPr>
              <w:t>(7)</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(21,697)</w:t>
            </w: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(82,835)</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(14,649)</w:t>
            </w:r>
          </w:p>
        </w:tc>
        <w:tc>
          <w:tcPr>
            <w:tcW w:w="220" w:type="dxa"/>
            <w:vAlign w:val="bottom"/>
            <w:tcBorders>
              <w:bottom w:val="single" w:sz="8" w:color="CCEEFF"/>
              <w:right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(49,258)</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(47,122)</w:t>
            </w:r>
          </w:p>
        </w:tc>
        <w:tc>
          <w:tcPr>
            <w:tcW w:w="1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386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Adjusted Net Income</w:t>
            </w:r>
          </w:p>
        </w:tc>
        <w:tc>
          <w:tcPr>
            <w:tcW w:w="10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60,489</w:t>
            </w:r>
          </w:p>
        </w:tc>
        <w:tc>
          <w:tcPr>
            <w:tcW w:w="2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230,935</w:t>
            </w:r>
          </w:p>
        </w:tc>
        <w:tc>
          <w:tcPr>
            <w:tcW w:w="22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40,839</w:t>
            </w:r>
          </w:p>
        </w:tc>
        <w:tc>
          <w:tcPr>
            <w:tcW w:w="220" w:type="dxa"/>
            <w:vAlign w:val="bottom"/>
            <w:tcBorders>
              <w:bottom w:val="single" w:sz="8" w:color="CCEEFF"/>
              <w:right w:val="single" w:sz="8" w:color="auto"/>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137,327</w:t>
            </w:r>
          </w:p>
        </w:tc>
        <w:tc>
          <w:tcPr>
            <w:tcW w:w="2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131,369</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Adjusted Diluted EPS </w:t>
            </w:r>
            <w:r>
              <w:rPr>
                <w:rFonts w:ascii="Arial" w:cs="Arial" w:eastAsia="Arial" w:hAnsi="Arial"/>
                <w:sz w:val="14"/>
                <w:szCs w:val="14"/>
                <w:b w:val="1"/>
                <w:bCs w:val="1"/>
                <w:color w:val="auto"/>
                <w:vertAlign w:val="superscript"/>
              </w:rPr>
              <w:t>(1)(8)</w:t>
            </w:r>
          </w:p>
        </w:tc>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0.26</w:t>
            </w:r>
          </w:p>
        </w:tc>
        <w:tc>
          <w:tcPr>
            <w:tcW w:w="2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1"/>
                <w:szCs w:val="11"/>
                <w:color w:val="auto"/>
              </w:rPr>
            </w:pPr>
          </w:p>
        </w:tc>
        <w:tc>
          <w:tcPr>
            <w:tcW w:w="580" w:type="dxa"/>
            <w:vAlign w:val="bottom"/>
          </w:tcPr>
          <w:p>
            <w:pPr>
              <w:jc w:val="right"/>
              <w:ind w:right="18"/>
              <w:spacing w:after="0" w:line="135" w:lineRule="exact"/>
              <w:rPr>
                <w:sz w:val="20"/>
                <w:szCs w:val="20"/>
                <w:color w:val="auto"/>
              </w:rPr>
            </w:pPr>
            <w:r>
              <w:rPr>
                <w:rFonts w:ascii="Arial" w:cs="Arial" w:eastAsia="Arial" w:hAnsi="Arial"/>
                <w:sz w:val="13"/>
                <w:szCs w:val="13"/>
                <w:color w:val="auto"/>
              </w:rPr>
              <w:t>0.23</w:t>
            </w:r>
          </w:p>
        </w:tc>
        <w:tc>
          <w:tcPr>
            <w:tcW w:w="220" w:type="dxa"/>
            <w:vAlign w:val="bottom"/>
          </w:tcPr>
          <w:p>
            <w:pPr>
              <w:spacing w:after="0"/>
              <w:rPr>
                <w:sz w:val="20"/>
                <w:szCs w:val="20"/>
                <w:color w:val="auto"/>
              </w:rPr>
            </w:pPr>
            <w:r>
              <w:rPr>
                <w:rFonts w:ascii="Arial" w:cs="Arial" w:eastAsia="Arial" w:hAnsi="Arial"/>
                <w:sz w:val="11"/>
                <w:szCs w:val="11"/>
                <w:color w:val="auto"/>
              </w:rPr>
              <w:t>(a) /</w:t>
            </w:r>
          </w:p>
        </w:tc>
        <w:tc>
          <w:tcPr>
            <w:tcW w:w="40" w:type="dxa"/>
            <w:vAlign w:val="bottom"/>
            <w:vMerge w:val="restart"/>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0.18</w:t>
            </w:r>
          </w:p>
        </w:tc>
        <w:tc>
          <w:tcPr>
            <w:tcW w:w="22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w w:val="82"/>
              </w:rPr>
              <w:t>$</w:t>
            </w:r>
          </w:p>
        </w:tc>
        <w:tc>
          <w:tcPr>
            <w:tcW w:w="760" w:type="dxa"/>
            <w:vAlign w:val="bottom"/>
            <w:gridSpan w:val="2"/>
            <w:vMerge w:val="restart"/>
          </w:tcPr>
          <w:p>
            <w:pPr>
              <w:jc w:val="right"/>
              <w:spacing w:after="0"/>
              <w:rPr>
                <w:sz w:val="20"/>
                <w:szCs w:val="20"/>
                <w:color w:val="auto"/>
              </w:rPr>
            </w:pPr>
            <w:r>
              <w:rPr>
                <w:rFonts w:ascii="Arial" w:cs="Arial" w:eastAsia="Arial" w:hAnsi="Arial"/>
                <w:sz w:val="13"/>
                <w:szCs w:val="13"/>
                <w:color w:val="auto"/>
              </w:rPr>
              <w:t>0.64</w:t>
            </w:r>
          </w:p>
        </w:tc>
        <w:tc>
          <w:tcPr>
            <w:tcW w:w="20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2"/>
            <w:vMerge w:val="restart"/>
          </w:tcPr>
          <w:p>
            <w:pPr>
              <w:jc w:val="right"/>
              <w:spacing w:after="0"/>
              <w:rPr>
                <w:sz w:val="20"/>
                <w:szCs w:val="20"/>
                <w:color w:val="auto"/>
              </w:rPr>
            </w:pPr>
            <w:r>
              <w:rPr>
                <w:rFonts w:ascii="Arial" w:cs="Arial" w:eastAsia="Arial" w:hAnsi="Arial"/>
                <w:sz w:val="13"/>
                <w:szCs w:val="13"/>
                <w:color w:val="auto"/>
              </w:rPr>
              <w:t>0.62</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3860" w:type="dxa"/>
            <w:vAlign w:val="bottom"/>
            <w:vMerge w:val="continue"/>
          </w:tcPr>
          <w:p>
            <w:pPr>
              <w:spacing w:after="0"/>
              <w:rPr>
                <w:sz w:val="12"/>
                <w:szCs w:val="12"/>
                <w:color w:val="auto"/>
              </w:rPr>
            </w:pPr>
          </w:p>
        </w:tc>
        <w:tc>
          <w:tcPr>
            <w:tcW w:w="10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1"/>
                <w:szCs w:val="11"/>
                <w:color w:val="auto"/>
              </w:rPr>
              <w:t>(b)</w:t>
            </w:r>
          </w:p>
        </w:tc>
        <w:tc>
          <w:tcPr>
            <w:tcW w:w="12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8"/>
              <w:spacing w:after="0" w:line="135" w:lineRule="exact"/>
              <w:rPr>
                <w:sz w:val="20"/>
                <w:szCs w:val="20"/>
                <w:color w:val="auto"/>
              </w:rPr>
            </w:pPr>
            <w:r>
              <w:rPr>
                <w:rFonts w:ascii="Arial" w:cs="Arial" w:eastAsia="Arial" w:hAnsi="Arial"/>
                <w:sz w:val="13"/>
                <w:szCs w:val="13"/>
                <w:color w:val="auto"/>
              </w:rPr>
              <w:t>0.77</w:t>
            </w:r>
          </w:p>
        </w:tc>
        <w:tc>
          <w:tcPr>
            <w:tcW w:w="220" w:type="dxa"/>
            <w:vAlign w:val="bottom"/>
          </w:tcPr>
          <w:p>
            <w:pPr>
              <w:spacing w:after="0"/>
              <w:rPr>
                <w:sz w:val="20"/>
                <w:szCs w:val="20"/>
                <w:color w:val="auto"/>
              </w:rPr>
            </w:pPr>
            <w:r>
              <w:rPr>
                <w:rFonts w:ascii="Arial" w:cs="Arial" w:eastAsia="Arial" w:hAnsi="Arial"/>
                <w:sz w:val="11"/>
                <w:szCs w:val="11"/>
                <w:color w:val="auto"/>
              </w:rPr>
              <w:t>(b)</w:t>
            </w:r>
          </w:p>
        </w:tc>
        <w:tc>
          <w:tcPr>
            <w:tcW w:w="40" w:type="dxa"/>
            <w:vAlign w:val="bottom"/>
            <w:vMerge w:val="continue"/>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auto"/>
            </w:tcBorders>
            <w:gridSpan w:val="2"/>
            <w:vMerge w:val="continue"/>
          </w:tcPr>
          <w:p>
            <w:pPr>
              <w:spacing w:after="0"/>
              <w:rPr>
                <w:sz w:val="12"/>
                <w:szCs w:val="12"/>
                <w:color w:val="auto"/>
              </w:rPr>
            </w:pPr>
          </w:p>
        </w:tc>
        <w:tc>
          <w:tcPr>
            <w:tcW w:w="22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w:t>
            </w:r>
          </w:p>
        </w:tc>
        <w:tc>
          <w:tcPr>
            <w:tcW w:w="120" w:type="dxa"/>
            <w:vAlign w:val="bottom"/>
          </w:tcPr>
          <w:p>
            <w:pPr>
              <w:spacing w:after="0"/>
              <w:rPr>
                <w:sz w:val="12"/>
                <w:szCs w:val="12"/>
                <w:color w:val="auto"/>
              </w:rPr>
            </w:pPr>
          </w:p>
        </w:tc>
        <w:tc>
          <w:tcPr>
            <w:tcW w:w="80" w:type="dxa"/>
            <w:vAlign w:val="bottom"/>
            <w:tcBorders>
              <w:bottom w:val="single" w:sz="8" w:color="auto"/>
            </w:tcBorders>
            <w:vMerge w:val="continue"/>
          </w:tcPr>
          <w:p>
            <w:pPr>
              <w:spacing w:after="0"/>
              <w:rPr>
                <w:sz w:val="12"/>
                <w:szCs w:val="12"/>
                <w:color w:val="auto"/>
              </w:rPr>
            </w:pPr>
          </w:p>
        </w:tc>
        <w:tc>
          <w:tcPr>
            <w:tcW w:w="760" w:type="dxa"/>
            <w:vAlign w:val="bottom"/>
            <w:tcBorders>
              <w:bottom w:val="single" w:sz="8" w:color="auto"/>
            </w:tcBorders>
            <w:gridSpan w:val="2"/>
            <w:vMerge w:val="continue"/>
          </w:tcPr>
          <w:p>
            <w:pPr>
              <w:spacing w:after="0"/>
              <w:rPr>
                <w:sz w:val="12"/>
                <w:szCs w:val="12"/>
                <w:color w:val="auto"/>
              </w:rPr>
            </w:pPr>
          </w:p>
        </w:tc>
        <w:tc>
          <w:tcPr>
            <w:tcW w:w="200" w:type="dxa"/>
            <w:vAlign w:val="bottom"/>
          </w:tcPr>
          <w:p>
            <w:pPr>
              <w:spacing w:after="0"/>
              <w:rPr>
                <w:sz w:val="20"/>
                <w:szCs w:val="20"/>
                <w:color w:val="auto"/>
              </w:rPr>
            </w:pPr>
            <w:r>
              <w:rPr>
                <w:rFonts w:ascii="Arial" w:cs="Arial" w:eastAsia="Arial" w:hAnsi="Arial"/>
                <w:sz w:val="11"/>
                <w:szCs w:val="11"/>
                <w:color w:val="auto"/>
              </w:rPr>
              <w:t>(a)</w:t>
            </w:r>
          </w:p>
        </w:tc>
        <w:tc>
          <w:tcPr>
            <w:tcW w:w="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gridSpan w:val="2"/>
            <w:vMerge w:val="continue"/>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w w:val="88"/>
              </w:rPr>
              <w:t>(a)</w:t>
            </w:r>
          </w:p>
        </w:tc>
        <w:tc>
          <w:tcPr>
            <w:tcW w:w="0" w:type="dxa"/>
            <w:vAlign w:val="bottom"/>
          </w:tcPr>
          <w:p>
            <w:pPr>
              <w:spacing w:after="0"/>
              <w:rPr>
                <w:sz w:val="1"/>
                <w:szCs w:val="1"/>
                <w:color w:val="auto"/>
              </w:rPr>
            </w:pPr>
          </w:p>
        </w:tc>
      </w:tr>
    </w:tbl>
    <w:p>
      <w:pPr>
        <w:spacing w:after="0" w:line="2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p>
      <w:pPr>
        <w:ind w:left="400" w:right="580" w:hanging="316"/>
        <w:spacing w:after="0" w:line="230" w:lineRule="auto"/>
        <w:tabs>
          <w:tab w:leader="none" w:pos="4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April 2019, the Company completed the Reorganization Transactions and the IPO. As a result, certain earnings information is being presented separately for Tradeweb Markets LLC and Tradeweb Markets Inc.</w:t>
      </w:r>
    </w:p>
    <w:p>
      <w:pPr>
        <w:spacing w:after="0" w:line="118" w:lineRule="exact"/>
        <w:rPr>
          <w:rFonts w:ascii="Arial" w:cs="Arial" w:eastAsia="Arial" w:hAnsi="Arial"/>
          <w:sz w:val="13"/>
          <w:szCs w:val="13"/>
          <w:color w:val="auto"/>
        </w:rPr>
      </w:pPr>
    </w:p>
    <w:p>
      <w:pPr>
        <w:ind w:left="1060" w:hanging="328"/>
        <w:spacing w:after="0"/>
        <w:tabs>
          <w:tab w:leader="none" w:pos="1060" w:val="left"/>
        </w:tabs>
        <w:numPr>
          <w:ilvl w:val="1"/>
          <w:numId w:val="10"/>
        </w:numPr>
        <w:rPr>
          <w:rFonts w:ascii="Arial" w:cs="Arial" w:eastAsia="Arial" w:hAnsi="Arial"/>
          <w:sz w:val="13"/>
          <w:szCs w:val="13"/>
          <w:color w:val="auto"/>
        </w:rPr>
      </w:pPr>
      <w:r>
        <w:rPr>
          <w:rFonts w:ascii="Arial" w:cs="Arial" w:eastAsia="Arial" w:hAnsi="Arial"/>
          <w:sz w:val="13"/>
          <w:szCs w:val="13"/>
          <w:color w:val="auto"/>
        </w:rPr>
        <w:t>Presents information for Tradeweb Markets LLC (pre-IPO period).</w:t>
      </w:r>
    </w:p>
    <w:p>
      <w:pPr>
        <w:spacing w:after="0" w:line="80" w:lineRule="exact"/>
        <w:rPr>
          <w:rFonts w:ascii="Arial" w:cs="Arial" w:eastAsia="Arial" w:hAnsi="Arial"/>
          <w:sz w:val="13"/>
          <w:szCs w:val="13"/>
          <w:color w:val="auto"/>
        </w:rPr>
      </w:pPr>
    </w:p>
    <w:p>
      <w:pPr>
        <w:ind w:left="1060" w:hanging="328"/>
        <w:spacing w:after="0"/>
        <w:tabs>
          <w:tab w:leader="none" w:pos="1060" w:val="left"/>
        </w:tabs>
        <w:numPr>
          <w:ilvl w:val="1"/>
          <w:numId w:val="10"/>
        </w:numPr>
        <w:rPr>
          <w:rFonts w:ascii="Arial" w:cs="Arial" w:eastAsia="Arial" w:hAnsi="Arial"/>
          <w:sz w:val="13"/>
          <w:szCs w:val="13"/>
          <w:color w:val="auto"/>
        </w:rPr>
      </w:pPr>
      <w:r>
        <w:rPr>
          <w:rFonts w:ascii="Arial" w:cs="Arial" w:eastAsia="Arial" w:hAnsi="Arial"/>
          <w:sz w:val="13"/>
          <w:szCs w:val="13"/>
          <w:color w:val="auto"/>
        </w:rPr>
        <w:t>Presents information for Tradeweb Markets Inc. (post-IPO period).</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See the “Basic and Diluted EPS Calculations” table below for additional information.</w:t>
      </w:r>
    </w:p>
    <w:p>
      <w:pPr>
        <w:spacing w:after="0" w:line="121" w:lineRule="exact"/>
        <w:rPr>
          <w:sz w:val="20"/>
          <w:szCs w:val="20"/>
          <w:color w:val="auto"/>
        </w:rPr>
      </w:pPr>
    </w:p>
    <w:p>
      <w:pPr>
        <w:ind w:left="400" w:right="80" w:hanging="316"/>
        <w:spacing w:after="0" w:line="230" w:lineRule="auto"/>
        <w:tabs>
          <w:tab w:leader="none" w:pos="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post-IPO periods, represents the reallocation of net income attributable to non-controlling interests from the assumed exchange of all outstanding LLC Interests for shares of Class A or Class B common stock.</w:t>
      </w:r>
    </w:p>
    <w:p>
      <w:pPr>
        <w:spacing w:after="0" w:line="199" w:lineRule="exact"/>
        <w:rPr>
          <w:rFonts w:ascii="Arial" w:cs="Arial" w:eastAsia="Arial" w:hAnsi="Arial"/>
          <w:sz w:val="13"/>
          <w:szCs w:val="13"/>
          <w:color w:val="auto"/>
        </w:rPr>
      </w:pPr>
    </w:p>
    <w:p>
      <w:pPr>
        <w:ind w:left="400" w:right="80" w:hanging="316"/>
        <w:spacing w:after="0" w:line="225" w:lineRule="auto"/>
        <w:tabs>
          <w:tab w:leader="none" w:pos="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00" w:lineRule="exact"/>
        <w:rPr>
          <w:rFonts w:ascii="Arial" w:cs="Arial" w:eastAsia="Arial" w:hAnsi="Arial"/>
          <w:sz w:val="13"/>
          <w:szCs w:val="13"/>
          <w:color w:val="auto"/>
        </w:rPr>
      </w:pPr>
    </w:p>
    <w:p>
      <w:pPr>
        <w:ind w:left="400" w:right="220" w:hanging="316"/>
        <w:spacing w:after="0" w:line="230" w:lineRule="auto"/>
        <w:tabs>
          <w:tab w:leader="none" w:pos="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99" w:lineRule="exact"/>
        <w:rPr>
          <w:rFonts w:ascii="Arial" w:cs="Arial" w:eastAsia="Arial" w:hAnsi="Arial"/>
          <w:sz w:val="13"/>
          <w:szCs w:val="13"/>
          <w:color w:val="auto"/>
        </w:rPr>
      </w:pPr>
    </w:p>
    <w:p>
      <w:pPr>
        <w:ind w:left="400" w:hanging="316"/>
        <w:spacing w:after="0"/>
        <w:tabs>
          <w:tab w:leader="none" w:pos="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01" w:lineRule="exact"/>
        <w:rPr>
          <w:rFonts w:ascii="Arial" w:cs="Arial" w:eastAsia="Arial" w:hAnsi="Arial"/>
          <w:sz w:val="13"/>
          <w:szCs w:val="13"/>
          <w:color w:val="auto"/>
        </w:rPr>
      </w:pPr>
    </w:p>
    <w:p>
      <w:pPr>
        <w:ind w:left="400" w:right="120" w:hanging="316"/>
        <w:spacing w:after="0" w:line="230" w:lineRule="auto"/>
        <w:tabs>
          <w:tab w:leader="none" w:pos="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Represents income recognized during the applicable period due to changes in the tax receivable agreement liability recorded in the statement of financial condition as a result of changes in the mix of earnings, tax legislation and tax rates in various jurisdictions which impacted our tax savings.</w:t>
      </w:r>
    </w:p>
    <w:p>
      <w:pPr>
        <w:spacing w:after="0" w:line="199" w:lineRule="exact"/>
        <w:rPr>
          <w:rFonts w:ascii="Arial" w:cs="Arial" w:eastAsia="Arial" w:hAnsi="Arial"/>
          <w:sz w:val="13"/>
          <w:szCs w:val="13"/>
          <w:color w:val="auto"/>
        </w:rPr>
      </w:pPr>
    </w:p>
    <w:p>
      <w:pPr>
        <w:ind w:left="400" w:right="300" w:hanging="316"/>
        <w:spacing w:after="0" w:line="259" w:lineRule="auto"/>
        <w:tabs>
          <w:tab w:leader="none" w:pos="4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26.4% for all periods presented applied to Adjusted Net Income before income taxes. For pre-IPO periods, this adjustment assumes Tradeweb Markets LLC was subject to a corporate tax rate for the periods presented.</w:t>
      </w:r>
    </w:p>
    <w:p>
      <w:pPr>
        <w:spacing w:after="0" w:line="80" w:lineRule="exact"/>
        <w:rPr>
          <w:rFonts w:ascii="Arial" w:cs="Arial" w:eastAsia="Arial" w:hAnsi="Arial"/>
          <w:sz w:val="12"/>
          <w:szCs w:val="12"/>
          <w:color w:val="auto"/>
        </w:rPr>
      </w:pPr>
    </w:p>
    <w:p>
      <w:pPr>
        <w:ind w:left="400" w:right="280" w:hanging="316"/>
        <w:spacing w:after="0" w:line="230" w:lineRule="auto"/>
        <w:tabs>
          <w:tab w:leader="none" w:pos="4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Due to the Reorganization Transactions and the IPO completed in April 2019, shares outstanding during the year ended December 31, 2019 represent shares of TWM LLC (pre-IPO period) and shares of Class A and Class B common stock of Tradeweb Markets Inc. (post-IPO period).</w:t>
      </w:r>
    </w:p>
    <w:p>
      <w:pPr>
        <w:spacing w:after="0" w:line="200" w:lineRule="exact"/>
        <w:rPr>
          <w:sz w:val="20"/>
          <w:szCs w:val="20"/>
          <w:color w:val="auto"/>
        </w:rPr>
      </w:pPr>
    </w:p>
    <w:p>
      <w:pPr>
        <w:spacing w:after="0" w:line="203" w:lineRule="exact"/>
        <w:rPr>
          <w:sz w:val="20"/>
          <w:szCs w:val="20"/>
          <w:color w:val="auto"/>
        </w:rPr>
      </w:pPr>
    </w:p>
    <w:p>
      <w:pPr>
        <w:ind w:left="8920"/>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490220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54" w:right="1419" w:bottom="1440" w:gutter="0" w:footer="0" w:header="0"/>
        </w:sectPr>
      </w:pPr>
    </w:p>
    <w:bookmarkStart w:id="13" w:name="page14"/>
    <w:bookmarkEnd w:id="1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The following table summarizes the calculation of Adjusted Diluted EPS for the periods presented: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gridSpan w:val="6"/>
          </w:tcPr>
          <w:p>
            <w:pPr>
              <w:ind w:left="56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center"/>
              <w:ind w:right="66"/>
              <w:spacing w:after="0"/>
              <w:rPr>
                <w:sz w:val="20"/>
                <w:szCs w:val="20"/>
                <w:color w:val="auto"/>
              </w:rPr>
            </w:pPr>
            <w:r>
              <w:rPr>
                <w:rFonts w:ascii="Arial" w:cs="Arial" w:eastAsia="Arial" w:hAnsi="Arial"/>
                <w:sz w:val="11"/>
                <w:szCs w:val="11"/>
                <w:b w:val="1"/>
                <w:bCs w:val="1"/>
                <w:color w:val="auto"/>
                <w:w w:val="99"/>
              </w:rPr>
              <w:t>Predecessor</w:t>
            </w:r>
          </w:p>
        </w:tc>
        <w:tc>
          <w:tcPr>
            <w:tcW w:w="120" w:type="dxa"/>
            <w:vAlign w:val="bottom"/>
          </w:tcPr>
          <w:p>
            <w:pPr>
              <w:spacing w:after="0"/>
              <w:rPr>
                <w:sz w:val="11"/>
                <w:szCs w:val="11"/>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9"/>
              </w:rPr>
              <w:t>Predecessor</w:t>
            </w:r>
          </w:p>
        </w:tc>
        <w:tc>
          <w:tcPr>
            <w:tcW w:w="0" w:type="dxa"/>
            <w:vAlign w:val="bottom"/>
          </w:tcPr>
          <w:p>
            <w:pPr>
              <w:spacing w:after="0"/>
              <w:rPr>
                <w:sz w:val="1"/>
                <w:szCs w:val="1"/>
                <w:color w:val="auto"/>
              </w:rPr>
            </w:pPr>
          </w:p>
        </w:tc>
      </w:tr>
      <w:tr>
        <w:trPr>
          <w:trHeight w:val="115"/>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vMerge w:val="restart"/>
          </w:tcPr>
          <w:p>
            <w:pPr>
              <w:jc w:val="center"/>
              <w:ind w:right="6"/>
              <w:spacing w:after="0"/>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tcBorders>
              <w:bottom w:val="single" w:sz="8" w:color="auto"/>
            </w:tcBorders>
            <w:gridSpan w:val="2"/>
          </w:tcPr>
          <w:p>
            <w:pPr>
              <w:ind w:left="60"/>
              <w:spacing w:after="0" w:line="115" w:lineRule="exact"/>
              <w:rPr>
                <w:sz w:val="20"/>
                <w:szCs w:val="20"/>
                <w:color w:val="auto"/>
              </w:rPr>
            </w:pPr>
            <w:r>
              <w:rPr>
                <w:rFonts w:ascii="Arial" w:cs="Arial" w:eastAsia="Arial" w:hAnsi="Arial"/>
                <w:sz w:val="11"/>
                <w:szCs w:val="11"/>
                <w:b w:val="1"/>
                <w:bCs w:val="1"/>
                <w:color w:val="auto"/>
              </w:rPr>
              <w:t>Pre-IPO Period</w:t>
            </w:r>
          </w:p>
        </w:tc>
        <w:tc>
          <w:tcPr>
            <w:tcW w:w="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Borders>
              <w:bottom w:val="single" w:sz="8" w:color="auto"/>
            </w:tcBorders>
            <w:gridSpan w:val="2"/>
          </w:tcPr>
          <w:p>
            <w:pPr>
              <w:ind w:left="60"/>
              <w:spacing w:after="0" w:line="115" w:lineRule="exact"/>
              <w:rPr>
                <w:sz w:val="20"/>
                <w:szCs w:val="20"/>
                <w:color w:val="auto"/>
              </w:rPr>
            </w:pPr>
            <w:r>
              <w:rPr>
                <w:rFonts w:ascii="Arial" w:cs="Arial" w:eastAsia="Arial" w:hAnsi="Arial"/>
                <w:sz w:val="11"/>
                <w:szCs w:val="11"/>
                <w:b w:val="1"/>
                <w:bCs w:val="1"/>
                <w:color w:val="auto"/>
              </w:rPr>
              <w:t>Post-IPO Period</w:t>
            </w: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2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7"/>
              </w:rPr>
              <w:t>Months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2"/>
              </w:rPr>
              <w:t>Year</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2"/>
              </w:rPr>
              <w:t>Year</w:t>
            </w:r>
          </w:p>
        </w:tc>
        <w:tc>
          <w:tcPr>
            <w:tcW w:w="980" w:type="dxa"/>
            <w:vAlign w:val="bottom"/>
            <w:tcBorders>
              <w:right w:val="single" w:sz="8" w:color="auto"/>
            </w:tcBorders>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97"/>
              </w:rPr>
              <w:t>October 1, 2018</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rPr>
              <w:t>January 1, 2018</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gridSpan w:val="2"/>
          </w:tcPr>
          <w:p>
            <w:pPr>
              <w:jc w:val="center"/>
              <w:ind w:right="366"/>
              <w:spacing w:after="0" w:line="122" w:lineRule="exact"/>
              <w:rPr>
                <w:sz w:val="20"/>
                <w:szCs w:val="20"/>
                <w:color w:val="auto"/>
              </w:rPr>
            </w:pPr>
            <w:r>
              <w:rPr>
                <w:rFonts w:ascii="Arial" w:cs="Arial" w:eastAsia="Arial" w:hAnsi="Arial"/>
                <w:sz w:val="11"/>
                <w:szCs w:val="11"/>
                <w:b w:val="1"/>
                <w:bCs w:val="1"/>
                <w:color w:val="auto"/>
                <w:w w:val="92"/>
              </w:rPr>
              <w:t>Year</w:t>
            </w:r>
          </w:p>
        </w:tc>
        <w:tc>
          <w:tcPr>
            <w:tcW w:w="0" w:type="dxa"/>
            <w:vAlign w:val="bottom"/>
          </w:tcPr>
          <w:p>
            <w:pPr>
              <w:spacing w:after="0"/>
              <w:rPr>
                <w:sz w:val="1"/>
                <w:szCs w:val="1"/>
                <w:color w:val="auto"/>
              </w:rPr>
            </w:pPr>
          </w:p>
        </w:tc>
      </w:tr>
      <w:tr>
        <w:trPr>
          <w:trHeight w:val="142"/>
        </w:trPr>
        <w:tc>
          <w:tcPr>
            <w:tcW w:w="26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Reconciliation of Diluted Weighted Average</w:t>
            </w:r>
          </w:p>
        </w:tc>
        <w:tc>
          <w:tcPr>
            <w:tcW w:w="60" w:type="dxa"/>
            <w:vAlign w:val="bottom"/>
          </w:tcPr>
          <w:p>
            <w:pPr>
              <w:spacing w:after="0"/>
              <w:rPr>
                <w:sz w:val="12"/>
                <w:szCs w:val="12"/>
                <w:color w:val="auto"/>
              </w:rPr>
            </w:pPr>
          </w:p>
        </w:tc>
        <w:tc>
          <w:tcPr>
            <w:tcW w:w="780" w:type="dxa"/>
            <w:vAlign w:val="bottom"/>
          </w:tcPr>
          <w:p>
            <w:pPr>
              <w:jc w:val="center"/>
              <w:ind w:right="6"/>
              <w:spacing w:after="0"/>
              <w:rPr>
                <w:sz w:val="20"/>
                <w:szCs w:val="20"/>
                <w:color w:val="auto"/>
              </w:rPr>
            </w:pPr>
            <w:r>
              <w:rPr>
                <w:rFonts w:ascii="Arial" w:cs="Arial" w:eastAsia="Arial" w:hAnsi="Arial"/>
                <w:sz w:val="11"/>
                <w:szCs w:val="11"/>
                <w:b w:val="1"/>
                <w:bCs w:val="1"/>
                <w:color w:val="auto"/>
                <w:w w:val="95"/>
              </w:rPr>
              <w:t>Ended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rPr>
              <w:t>Ended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rPr>
              <w:t>Ended</w:t>
            </w:r>
          </w:p>
        </w:tc>
        <w:tc>
          <w:tcPr>
            <w:tcW w:w="60" w:type="dxa"/>
            <w:vAlign w:val="bottom"/>
          </w:tcPr>
          <w:p>
            <w:pPr>
              <w:spacing w:after="0"/>
              <w:rPr>
                <w:sz w:val="12"/>
                <w:szCs w:val="12"/>
                <w:color w:val="auto"/>
              </w:rPr>
            </w:pPr>
          </w:p>
        </w:tc>
        <w:tc>
          <w:tcPr>
            <w:tcW w:w="9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rPr>
              <w:t>to</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6"/>
              <w:spacing w:after="0"/>
              <w:rPr>
                <w:sz w:val="20"/>
                <w:szCs w:val="20"/>
                <w:color w:val="auto"/>
              </w:rPr>
            </w:pPr>
            <w:r>
              <w:rPr>
                <w:rFonts w:ascii="Arial" w:cs="Arial" w:eastAsia="Arial" w:hAnsi="Arial"/>
                <w:sz w:val="11"/>
                <w:szCs w:val="11"/>
                <w:b w:val="1"/>
                <w:bCs w:val="1"/>
                <w:color w:val="auto"/>
                <w:w w:val="95"/>
              </w:rPr>
              <w:t>to</w:t>
            </w:r>
          </w:p>
        </w:tc>
        <w:tc>
          <w:tcPr>
            <w:tcW w:w="120" w:type="dxa"/>
            <w:vAlign w:val="bottom"/>
          </w:tcPr>
          <w:p>
            <w:pPr>
              <w:spacing w:after="0"/>
              <w:rPr>
                <w:sz w:val="12"/>
                <w:szCs w:val="12"/>
                <w:color w:val="auto"/>
              </w:rPr>
            </w:pPr>
          </w:p>
        </w:tc>
        <w:tc>
          <w:tcPr>
            <w:tcW w:w="1140" w:type="dxa"/>
            <w:vAlign w:val="bottom"/>
            <w:gridSpan w:val="3"/>
          </w:tcPr>
          <w:p>
            <w:pPr>
              <w:jc w:val="center"/>
              <w:spacing w:after="0"/>
              <w:rPr>
                <w:sz w:val="20"/>
                <w:szCs w:val="20"/>
                <w:color w:val="auto"/>
              </w:rPr>
            </w:pPr>
            <w:r>
              <w:rPr>
                <w:rFonts w:ascii="Arial" w:cs="Arial" w:eastAsia="Arial" w:hAnsi="Arial"/>
                <w:sz w:val="11"/>
                <w:szCs w:val="11"/>
                <w:b w:val="1"/>
                <w:bCs w:val="1"/>
                <w:color w:val="auto"/>
              </w:rPr>
              <w:t>Ended</w:t>
            </w:r>
          </w:p>
        </w:tc>
        <w:tc>
          <w:tcPr>
            <w:tcW w:w="0" w:type="dxa"/>
            <w:vAlign w:val="bottom"/>
          </w:tcPr>
          <w:p>
            <w:pPr>
              <w:spacing w:after="0"/>
              <w:rPr>
                <w:sz w:val="1"/>
                <w:szCs w:val="1"/>
                <w:color w:val="auto"/>
              </w:rPr>
            </w:pPr>
          </w:p>
        </w:tc>
      </w:tr>
      <w:tr>
        <w:trPr>
          <w:trHeight w:val="101"/>
        </w:trPr>
        <w:tc>
          <w:tcPr>
            <w:tcW w:w="2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640" w:type="dxa"/>
            <w:vAlign w:val="bottom"/>
            <w:gridSpan w:val="2"/>
          </w:tcPr>
          <w:p>
            <w:pPr>
              <w:spacing w:after="0"/>
              <w:rPr>
                <w:sz w:val="20"/>
                <w:szCs w:val="20"/>
                <w:color w:val="auto"/>
              </w:rPr>
            </w:pPr>
            <w:r>
              <w:rPr>
                <w:rFonts w:ascii="Arial" w:cs="Arial" w:eastAsia="Arial" w:hAnsi="Arial"/>
                <w:sz w:val="11"/>
                <w:szCs w:val="11"/>
                <w:b w:val="1"/>
                <w:bCs w:val="1"/>
                <w:color w:val="auto"/>
              </w:rPr>
              <w:t>Shares Outstanding to</w:t>
            </w:r>
          </w:p>
        </w:tc>
        <w:tc>
          <w:tcPr>
            <w:tcW w:w="60" w:type="dxa"/>
            <w:vAlign w:val="bottom"/>
          </w:tcPr>
          <w:p>
            <w:pPr>
              <w:spacing w:after="0"/>
              <w:rPr>
                <w:sz w:val="11"/>
                <w:szCs w:val="11"/>
                <w:color w:val="auto"/>
              </w:rPr>
            </w:pPr>
          </w:p>
        </w:tc>
        <w:tc>
          <w:tcPr>
            <w:tcW w:w="780" w:type="dxa"/>
            <w:vAlign w:val="bottom"/>
          </w:tcPr>
          <w:p>
            <w:pPr>
              <w:jc w:val="center"/>
              <w:ind w:right="26"/>
              <w:spacing w:after="0"/>
              <w:rPr>
                <w:sz w:val="20"/>
                <w:szCs w:val="20"/>
                <w:color w:val="auto"/>
              </w:rPr>
            </w:pPr>
            <w:r>
              <w:rPr>
                <w:rFonts w:ascii="Arial" w:cs="Arial" w:eastAsia="Arial" w:hAnsi="Arial"/>
                <w:sz w:val="11"/>
                <w:szCs w:val="11"/>
                <w:b w:val="1"/>
                <w:bCs w:val="1"/>
                <w:color w:val="auto"/>
                <w:w w:val="97"/>
              </w:rPr>
              <w:t>December 31,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1"/>
                <w:szCs w:val="11"/>
                <w:b w:val="1"/>
                <w:bCs w:val="1"/>
                <w:color w:val="auto"/>
              </w:rPr>
              <w:t>December 31,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7"/>
              </w:rPr>
              <w:t>December 31,</w:t>
            </w:r>
          </w:p>
        </w:tc>
        <w:tc>
          <w:tcPr>
            <w:tcW w:w="60" w:type="dxa"/>
            <w:vAlign w:val="bottom"/>
          </w:tcPr>
          <w:p>
            <w:pPr>
              <w:spacing w:after="0"/>
              <w:rPr>
                <w:sz w:val="11"/>
                <w:szCs w:val="11"/>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7"/>
              </w:rPr>
              <w:t>December 31,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September 30,</w:t>
            </w:r>
          </w:p>
        </w:tc>
        <w:tc>
          <w:tcPr>
            <w:tcW w:w="120" w:type="dxa"/>
            <w:vAlign w:val="bottom"/>
          </w:tcPr>
          <w:p>
            <w:pPr>
              <w:spacing w:after="0"/>
              <w:rPr>
                <w:sz w:val="11"/>
                <w:szCs w:val="11"/>
                <w:color w:val="auto"/>
              </w:rPr>
            </w:pPr>
          </w:p>
        </w:tc>
        <w:tc>
          <w:tcPr>
            <w:tcW w:w="1140" w:type="dxa"/>
            <w:vAlign w:val="bottom"/>
            <w:gridSpan w:val="3"/>
          </w:tcPr>
          <w:p>
            <w:pPr>
              <w:jc w:val="center"/>
              <w:spacing w:after="0"/>
              <w:rPr>
                <w:sz w:val="20"/>
                <w:szCs w:val="20"/>
                <w:color w:val="auto"/>
              </w:rPr>
            </w:pPr>
            <w:r>
              <w:rPr>
                <w:rFonts w:ascii="Arial" w:cs="Arial" w:eastAsia="Arial" w:hAnsi="Arial"/>
                <w:sz w:val="11"/>
                <w:szCs w:val="11"/>
                <w:b w:val="1"/>
                <w:bCs w:val="1"/>
                <w:color w:val="auto"/>
                <w:w w:val="97"/>
              </w:rPr>
              <w:t>December 31,</w:t>
            </w:r>
          </w:p>
        </w:tc>
        <w:tc>
          <w:tcPr>
            <w:tcW w:w="0" w:type="dxa"/>
            <w:vAlign w:val="bottom"/>
          </w:tcPr>
          <w:p>
            <w:pPr>
              <w:spacing w:after="0"/>
              <w:rPr>
                <w:sz w:val="1"/>
                <w:szCs w:val="1"/>
                <w:color w:val="auto"/>
              </w:rPr>
            </w:pPr>
          </w:p>
        </w:tc>
      </w:tr>
      <w:tr>
        <w:trPr>
          <w:trHeight w:val="106"/>
        </w:trPr>
        <w:tc>
          <w:tcPr>
            <w:tcW w:w="2640" w:type="dxa"/>
            <w:vAlign w:val="bottom"/>
            <w:gridSpan w:val="2"/>
            <w:shd w:val="clear" w:color="auto" w:fill="CCEEFF"/>
          </w:tcPr>
          <w:p>
            <w:pPr>
              <w:spacing w:after="0" w:line="106" w:lineRule="exact"/>
              <w:rPr>
                <w:sz w:val="20"/>
                <w:szCs w:val="20"/>
                <w:color w:val="auto"/>
              </w:rPr>
            </w:pPr>
            <w:r>
              <w:rPr>
                <w:rFonts w:ascii="Arial" w:cs="Arial" w:eastAsia="Arial" w:hAnsi="Arial"/>
                <w:sz w:val="11"/>
                <w:szCs w:val="11"/>
                <w:b w:val="1"/>
                <w:bCs w:val="1"/>
                <w:color w:val="auto"/>
              </w:rPr>
              <w:t>Adjusted Diluted Weighted Average Shares</w:t>
            </w: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tcBorders>
              <w:right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6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Outstanding</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6"/>
              <w:spacing w:after="0"/>
              <w:rPr>
                <w:sz w:val="20"/>
                <w:szCs w:val="20"/>
                <w:color w:val="auto"/>
              </w:rPr>
            </w:pPr>
            <w:r>
              <w:rPr>
                <w:rFonts w:ascii="Arial" w:cs="Arial" w:eastAsia="Arial" w:hAnsi="Arial"/>
                <w:sz w:val="11"/>
                <w:szCs w:val="11"/>
                <w:b w:val="1"/>
                <w:bCs w:val="1"/>
                <w:color w:val="auto"/>
                <w:w w:val="97"/>
              </w:rPr>
              <w:t>2019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center"/>
              <w:spacing w:after="0"/>
              <w:rPr>
                <w:sz w:val="20"/>
                <w:szCs w:val="20"/>
                <w:color w:val="auto"/>
              </w:rPr>
            </w:pPr>
            <w:r>
              <w:rPr>
                <w:rFonts w:ascii="Arial" w:cs="Arial" w:eastAsia="Arial" w:hAnsi="Arial"/>
                <w:sz w:val="11"/>
                <w:szCs w:val="11"/>
                <w:b w:val="1"/>
                <w:bCs w:val="1"/>
                <w:color w:val="auto"/>
                <w:w w:val="97"/>
              </w:rPr>
              <w:t>2019</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jc w:val="center"/>
              <w:ind w:right="26"/>
              <w:spacing w:after="0"/>
              <w:rPr>
                <w:sz w:val="20"/>
                <w:szCs w:val="20"/>
                <w:color w:val="auto"/>
              </w:rPr>
            </w:pPr>
            <w:r>
              <w:rPr>
                <w:rFonts w:ascii="Arial" w:cs="Arial" w:eastAsia="Arial" w:hAnsi="Arial"/>
                <w:sz w:val="11"/>
                <w:szCs w:val="11"/>
                <w:b w:val="1"/>
                <w:bCs w:val="1"/>
                <w:color w:val="auto"/>
                <w:w w:val="97"/>
              </w:rPr>
              <w:t>2019</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center"/>
              <w:ind w:right="6"/>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jc w:val="center"/>
              <w:ind w:right="86"/>
              <w:spacing w:after="0"/>
              <w:rPr>
                <w:sz w:val="20"/>
                <w:szCs w:val="20"/>
                <w:color w:val="auto"/>
              </w:rPr>
            </w:pPr>
            <w:r>
              <w:rPr>
                <w:rFonts w:ascii="Arial" w:cs="Arial" w:eastAsia="Arial" w:hAnsi="Arial"/>
                <w:sz w:val="11"/>
                <w:szCs w:val="11"/>
                <w:b w:val="1"/>
                <w:bCs w:val="1"/>
                <w:color w:val="auto"/>
                <w:w w:val="97"/>
              </w:rPr>
              <w:t>2018</w:t>
            </w:r>
          </w:p>
        </w:tc>
        <w:tc>
          <w:tcPr>
            <w:tcW w:w="1260" w:type="dxa"/>
            <w:vAlign w:val="bottom"/>
            <w:gridSpan w:val="4"/>
            <w:shd w:val="clear" w:color="auto" w:fill="CCEEFF"/>
          </w:tcPr>
          <w:p>
            <w:pPr>
              <w:jc w:val="center"/>
              <w:ind w:left="86"/>
              <w:spacing w:after="0"/>
              <w:rPr>
                <w:sz w:val="20"/>
                <w:szCs w:val="20"/>
                <w:color w:val="auto"/>
              </w:rPr>
            </w:pPr>
            <w:r>
              <w:rPr>
                <w:rFonts w:ascii="Arial" w:cs="Arial" w:eastAsia="Arial" w:hAnsi="Arial"/>
                <w:sz w:val="11"/>
                <w:szCs w:val="11"/>
                <w:b w:val="1"/>
                <w:bCs w:val="1"/>
                <w:color w:val="auto"/>
                <w:w w:val="97"/>
              </w:rPr>
              <w:t>2017</w:t>
            </w:r>
          </w:p>
        </w:tc>
        <w:tc>
          <w:tcPr>
            <w:tcW w:w="0" w:type="dxa"/>
            <w:vAlign w:val="bottom"/>
          </w:tcPr>
          <w:p>
            <w:pPr>
              <w:spacing w:after="0"/>
              <w:rPr>
                <w:sz w:val="1"/>
                <w:szCs w:val="1"/>
                <w:color w:val="auto"/>
              </w:rPr>
            </w:pPr>
          </w:p>
        </w:tc>
      </w:tr>
      <w:tr>
        <w:trPr>
          <w:trHeight w:val="112"/>
        </w:trPr>
        <w:tc>
          <w:tcPr>
            <w:tcW w:w="2520" w:type="dxa"/>
            <w:vAlign w:val="bottom"/>
            <w:tcBorders>
              <w:top w:val="single" w:sz="8" w:color="auto"/>
            </w:tcBorders>
          </w:tcPr>
          <w:p>
            <w:pPr>
              <w:spacing w:after="0" w:line="112" w:lineRule="exact"/>
              <w:rPr>
                <w:sz w:val="20"/>
                <w:szCs w:val="20"/>
                <w:color w:val="auto"/>
              </w:rPr>
            </w:pPr>
            <w:r>
              <w:rPr>
                <w:rFonts w:ascii="Arial" w:cs="Arial" w:eastAsia="Arial" w:hAnsi="Arial"/>
                <w:sz w:val="11"/>
                <w:szCs w:val="11"/>
                <w:color w:val="auto"/>
              </w:rPr>
              <w:t>Diluted weighted average TWM LLC shares</w:t>
            </w: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640" w:type="dxa"/>
            <w:vAlign w:val="bottom"/>
            <w:gridSpan w:val="2"/>
          </w:tcPr>
          <w:p>
            <w:pPr>
              <w:spacing w:after="0" w:line="125" w:lineRule="exact"/>
              <w:rPr>
                <w:sz w:val="20"/>
                <w:szCs w:val="20"/>
                <w:color w:val="auto"/>
              </w:rPr>
            </w:pPr>
            <w:r>
              <w:rPr>
                <w:rFonts w:ascii="Arial" w:cs="Arial" w:eastAsia="Arial" w:hAnsi="Arial"/>
                <w:sz w:val="11"/>
                <w:szCs w:val="11"/>
                <w:color w:val="auto"/>
              </w:rPr>
              <w:t>outstanding</w:t>
            </w:r>
          </w:p>
        </w:tc>
        <w:tc>
          <w:tcPr>
            <w:tcW w:w="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spacing w:after="0" w:line="125" w:lineRule="exact"/>
              <w:rPr>
                <w:sz w:val="20"/>
                <w:szCs w:val="20"/>
                <w:color w:val="auto"/>
              </w:rPr>
            </w:pPr>
            <w:r>
              <w:rPr>
                <w:rFonts w:ascii="Arial" w:cs="Arial" w:eastAsia="Arial" w:hAnsi="Arial"/>
                <w:sz w:val="11"/>
                <w:szCs w:val="11"/>
                <w:color w:val="auto"/>
              </w:rPr>
              <w:t>223,320,457</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gridSpan w:val="2"/>
          </w:tcPr>
          <w:p>
            <w:pPr>
              <w:jc w:val="right"/>
              <w:ind w:right="160"/>
              <w:spacing w:after="0" w:line="125"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80" w:type="dxa"/>
            <w:vAlign w:val="bottom"/>
          </w:tcPr>
          <w:p>
            <w:pPr>
              <w:jc w:val="right"/>
              <w:spacing w:after="0" w:line="125" w:lineRule="exact"/>
              <w:rPr>
                <w:sz w:val="20"/>
                <w:szCs w:val="20"/>
                <w:color w:val="auto"/>
              </w:rPr>
            </w:pPr>
            <w:r>
              <w:rPr>
                <w:rFonts w:ascii="Arial" w:cs="Arial" w:eastAsia="Arial" w:hAnsi="Arial"/>
                <w:sz w:val="11"/>
                <w:szCs w:val="11"/>
                <w:color w:val="auto"/>
              </w:rPr>
              <w:t>222,243,851</w:t>
            </w:r>
          </w:p>
        </w:tc>
        <w:tc>
          <w:tcPr>
            <w:tcW w:w="1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jc w:val="right"/>
              <w:spacing w:after="0" w:line="125" w:lineRule="exact"/>
              <w:rPr>
                <w:sz w:val="20"/>
                <w:szCs w:val="20"/>
                <w:color w:val="auto"/>
              </w:rPr>
            </w:pPr>
            <w:r>
              <w:rPr>
                <w:rFonts w:ascii="Arial" w:cs="Arial" w:eastAsia="Arial" w:hAnsi="Arial"/>
                <w:sz w:val="11"/>
                <w:szCs w:val="11"/>
                <w:color w:val="auto"/>
              </w:rPr>
              <w:t>215,365,920</w:t>
            </w: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5" w:lineRule="exact"/>
              <w:rPr>
                <w:sz w:val="20"/>
                <w:szCs w:val="20"/>
                <w:color w:val="auto"/>
              </w:rPr>
            </w:pPr>
            <w:r>
              <w:rPr>
                <w:rFonts w:ascii="Arial" w:cs="Arial" w:eastAsia="Arial" w:hAnsi="Arial"/>
                <w:sz w:val="11"/>
                <w:szCs w:val="11"/>
                <w:color w:val="auto"/>
                <w:w w:val="94"/>
              </w:rPr>
              <w:t>212,568,635</w:t>
            </w:r>
          </w:p>
        </w:tc>
        <w:tc>
          <w:tcPr>
            <w:tcW w:w="0" w:type="dxa"/>
            <w:vAlign w:val="bottom"/>
          </w:tcPr>
          <w:p>
            <w:pPr>
              <w:spacing w:after="0"/>
              <w:rPr>
                <w:sz w:val="1"/>
                <w:szCs w:val="1"/>
                <w:color w:val="auto"/>
              </w:rPr>
            </w:pPr>
          </w:p>
        </w:tc>
      </w:tr>
      <w:tr>
        <w:trPr>
          <w:trHeight w:val="118"/>
        </w:trPr>
        <w:tc>
          <w:tcPr>
            <w:tcW w:w="2640" w:type="dxa"/>
            <w:vAlign w:val="bottom"/>
            <w:gridSpan w:val="2"/>
            <w:shd w:val="clear" w:color="auto" w:fill="CCEEFF"/>
          </w:tcPr>
          <w:p>
            <w:pPr>
              <w:spacing w:after="0" w:line="119" w:lineRule="exact"/>
              <w:rPr>
                <w:sz w:val="20"/>
                <w:szCs w:val="20"/>
                <w:color w:val="auto"/>
              </w:rPr>
            </w:pPr>
            <w:r>
              <w:rPr>
                <w:rFonts w:ascii="Arial" w:cs="Arial" w:eastAsia="Arial" w:hAnsi="Arial"/>
                <w:sz w:val="11"/>
                <w:szCs w:val="11"/>
                <w:color w:val="auto"/>
              </w:rPr>
              <w:t>Diluted weighted average shares of Class A and</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tcBorders>
              <w:right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640" w:type="dxa"/>
            <w:vAlign w:val="bottom"/>
            <w:gridSpan w:val="2"/>
            <w:shd w:val="clear" w:color="auto" w:fill="CCEEFF"/>
          </w:tcPr>
          <w:p>
            <w:pPr>
              <w:spacing w:after="0" w:line="125" w:lineRule="exact"/>
              <w:rPr>
                <w:sz w:val="20"/>
                <w:szCs w:val="20"/>
                <w:color w:val="auto"/>
              </w:rPr>
            </w:pPr>
            <w:r>
              <w:rPr>
                <w:rFonts w:ascii="Arial" w:cs="Arial" w:eastAsia="Arial" w:hAnsi="Arial"/>
                <w:sz w:val="11"/>
                <w:szCs w:val="11"/>
                <w:color w:val="auto"/>
              </w:rPr>
              <w:t>Class B common stock outstanding</w:t>
            </w: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167,069,241</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120"/>
              <w:spacing w:after="0" w:line="125"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156,540,246</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tcBorders>
              <w:right w:val="single" w:sz="8" w:color="auto"/>
            </w:tcBorders>
            <w:gridSpan w:val="2"/>
            <w:shd w:val="clear" w:color="auto" w:fill="CCEEFF"/>
          </w:tcPr>
          <w:p>
            <w:pPr>
              <w:jc w:val="right"/>
              <w:ind w:right="180"/>
              <w:spacing w:after="0" w:line="125"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6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5"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0"/>
        </w:trPr>
        <w:tc>
          <w:tcPr>
            <w:tcW w:w="2640" w:type="dxa"/>
            <w:vAlign w:val="bottom"/>
            <w:gridSpan w:val="2"/>
          </w:tcPr>
          <w:p>
            <w:pPr>
              <w:spacing w:after="0" w:line="100" w:lineRule="exact"/>
              <w:rPr>
                <w:sz w:val="20"/>
                <w:szCs w:val="20"/>
                <w:color w:val="auto"/>
              </w:rPr>
            </w:pPr>
            <w:r>
              <w:rPr>
                <w:rFonts w:ascii="Arial" w:cs="Arial" w:eastAsia="Arial" w:hAnsi="Arial"/>
                <w:sz w:val="11"/>
                <w:szCs w:val="11"/>
                <w:color w:val="auto"/>
              </w:rPr>
              <w:t>Assumed exchange of LLC interests for shares of</w:t>
            </w: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640" w:type="dxa"/>
            <w:vAlign w:val="bottom"/>
            <w:gridSpan w:val="2"/>
          </w:tcPr>
          <w:p>
            <w:pPr>
              <w:spacing w:after="0"/>
              <w:rPr>
                <w:sz w:val="20"/>
                <w:szCs w:val="20"/>
                <w:color w:val="auto"/>
              </w:rPr>
            </w:pPr>
            <w:r>
              <w:rPr>
                <w:rFonts w:ascii="Arial" w:cs="Arial" w:eastAsia="Arial" w:hAnsi="Arial"/>
                <w:sz w:val="11"/>
                <w:szCs w:val="11"/>
                <w:color w:val="auto"/>
              </w:rPr>
              <w:t xml:space="preserve">Class A or Class B common stock </w:t>
            </w:r>
            <w:r>
              <w:rPr>
                <w:rFonts w:ascii="Arial" w:cs="Arial" w:eastAsia="Arial" w:hAnsi="Arial"/>
                <w:sz w:val="11"/>
                <w:szCs w:val="11"/>
                <w:color w:val="auto"/>
                <w:vertAlign w:val="superscript"/>
              </w:rPr>
              <w:t>(1)</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64,479,008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74,279,741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2640" w:type="dxa"/>
            <w:vAlign w:val="bottom"/>
            <w:tcBorders>
              <w:top w:val="single" w:sz="8" w:color="CCEEFF"/>
            </w:tcBorders>
            <w:gridSpan w:val="2"/>
            <w:shd w:val="clear" w:color="auto" w:fill="CCEEFF"/>
          </w:tcPr>
          <w:p>
            <w:pPr>
              <w:spacing w:after="0" w:line="99" w:lineRule="exact"/>
              <w:rPr>
                <w:sz w:val="20"/>
                <w:szCs w:val="20"/>
                <w:color w:val="auto"/>
              </w:rPr>
            </w:pPr>
            <w:r>
              <w:rPr>
                <w:rFonts w:ascii="Arial" w:cs="Arial" w:eastAsia="Arial" w:hAnsi="Arial"/>
                <w:sz w:val="11"/>
                <w:szCs w:val="11"/>
                <w:color w:val="auto"/>
              </w:rPr>
              <w:t>Adjusted diluted weighted average shares</w:t>
            </w:r>
          </w:p>
        </w:tc>
        <w:tc>
          <w:tcPr>
            <w:tcW w:w="6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231,548,249</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1"/>
                <w:szCs w:val="11"/>
                <w:color w:val="auto"/>
              </w:rPr>
              <w:t>223,320,457</w:t>
            </w:r>
          </w:p>
        </w:tc>
        <w:tc>
          <w:tcPr>
            <w:tcW w:w="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230,819,987</w:t>
            </w: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222,243,851</w:t>
            </w:r>
          </w:p>
        </w:tc>
        <w:tc>
          <w:tcPr>
            <w:tcW w:w="140" w:type="dxa"/>
            <w:vAlign w:val="bottom"/>
            <w:tcBorders>
              <w:top w:val="single" w:sz="8" w:color="CCEEFF"/>
              <w:right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rPr>
              <w:t>215,365,920</w:t>
            </w:r>
          </w:p>
        </w:tc>
        <w:tc>
          <w:tcPr>
            <w:tcW w:w="120" w:type="dxa"/>
            <w:vAlign w:val="bottom"/>
            <w:tcBorders>
              <w:top w:val="single" w:sz="8" w:color="CCEEFF"/>
            </w:tcBorders>
            <w:shd w:val="clear" w:color="auto" w:fill="CCEEFF"/>
          </w:tcPr>
          <w:p>
            <w:pPr>
              <w:spacing w:after="0"/>
              <w:rPr>
                <w:sz w:val="8"/>
                <w:szCs w:val="8"/>
                <w:color w:val="auto"/>
              </w:rPr>
            </w:pPr>
          </w:p>
        </w:tc>
        <w:tc>
          <w:tcPr>
            <w:tcW w:w="4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1"/>
                <w:szCs w:val="11"/>
                <w:color w:val="auto"/>
                <w:w w:val="94"/>
              </w:rPr>
              <w:t>212,568,635</w:t>
            </w:r>
          </w:p>
        </w:tc>
        <w:tc>
          <w:tcPr>
            <w:tcW w:w="0" w:type="dxa"/>
            <w:vAlign w:val="bottom"/>
          </w:tcPr>
          <w:p>
            <w:pPr>
              <w:spacing w:after="0"/>
              <w:rPr>
                <w:sz w:val="1"/>
                <w:szCs w:val="1"/>
                <w:color w:val="auto"/>
              </w:rPr>
            </w:pPr>
          </w:p>
        </w:tc>
      </w:tr>
      <w:tr>
        <w:trPr>
          <w:trHeight w:val="131"/>
        </w:trPr>
        <w:tc>
          <w:tcPr>
            <w:tcW w:w="2640" w:type="dxa"/>
            <w:vAlign w:val="bottom"/>
            <w:tcBorders>
              <w:bottom w:val="single" w:sz="8" w:color="CCEEFF"/>
            </w:tcBorders>
            <w:gridSpan w:val="2"/>
            <w:shd w:val="clear" w:color="auto" w:fill="CCEEFF"/>
          </w:tcPr>
          <w:p>
            <w:pPr>
              <w:spacing w:after="0" w:line="112" w:lineRule="exact"/>
              <w:rPr>
                <w:sz w:val="20"/>
                <w:szCs w:val="20"/>
                <w:color w:val="auto"/>
              </w:rPr>
            </w:pPr>
            <w:r>
              <w:rPr>
                <w:rFonts w:ascii="Arial" w:cs="Arial" w:eastAsia="Arial" w:hAnsi="Arial"/>
                <w:sz w:val="11"/>
                <w:szCs w:val="11"/>
                <w:color w:val="auto"/>
              </w:rPr>
              <w:t>outstanding</w:t>
            </w: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gridSpan w:val="2"/>
            <w:vMerge w:val="continue"/>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vMerge w:val="continue"/>
            <w:shd w:val="clear" w:color="auto" w:fill="CCEEFF"/>
          </w:tcPr>
          <w:p>
            <w:pPr>
              <w:spacing w:after="0"/>
              <w:rPr>
                <w:sz w:val="11"/>
                <w:szCs w:val="11"/>
                <w:color w:val="auto"/>
              </w:rPr>
            </w:pPr>
          </w:p>
        </w:tc>
        <w:tc>
          <w:tcPr>
            <w:tcW w:w="140" w:type="dxa"/>
            <w:vAlign w:val="bottom"/>
            <w:tcBorders>
              <w:bottom w:val="single" w:sz="8" w:color="CCEEFF"/>
              <w:right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vMerge w:val="continue"/>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640" w:type="dxa"/>
            <w:vAlign w:val="bottom"/>
            <w:tcBorders>
              <w:bottom w:val="single" w:sz="8" w:color="CCEEFF"/>
            </w:tcBorders>
            <w:gridSpan w:val="2"/>
          </w:tcPr>
          <w:p>
            <w:pPr>
              <w:spacing w:after="0" w:line="109" w:lineRule="exact"/>
              <w:rPr>
                <w:sz w:val="20"/>
                <w:szCs w:val="20"/>
                <w:color w:val="auto"/>
              </w:rPr>
            </w:pPr>
            <w:r>
              <w:rPr>
                <w:rFonts w:ascii="Arial" w:cs="Arial" w:eastAsia="Arial" w:hAnsi="Arial"/>
                <w:sz w:val="11"/>
                <w:szCs w:val="11"/>
                <w:color w:val="auto"/>
              </w:rPr>
              <w:t>Adjusted Net Income (in thousands)</w:t>
            </w: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60,489</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2"/>
          </w:tcPr>
          <w:p>
            <w:pPr>
              <w:jc w:val="right"/>
              <w:spacing w:after="0" w:line="109" w:lineRule="exact"/>
              <w:rPr>
                <w:sz w:val="20"/>
                <w:szCs w:val="20"/>
                <w:color w:val="auto"/>
              </w:rPr>
            </w:pPr>
            <w:r>
              <w:rPr>
                <w:rFonts w:ascii="Arial" w:cs="Arial" w:eastAsia="Arial" w:hAnsi="Arial"/>
                <w:sz w:val="11"/>
                <w:szCs w:val="11"/>
                <w:color w:val="auto"/>
              </w:rPr>
              <w:t>52,190</w:t>
            </w:r>
          </w:p>
        </w:tc>
        <w:tc>
          <w:tcPr>
            <w:tcW w:w="80" w:type="dxa"/>
            <w:vAlign w:val="bottom"/>
            <w:tcBorders>
              <w:bottom w:val="single" w:sz="8" w:color="CCEEFF"/>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178,745</w:t>
            </w: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40,839</w:t>
            </w:r>
          </w:p>
        </w:tc>
        <w:tc>
          <w:tcPr>
            <w:tcW w:w="140" w:type="dxa"/>
            <w:vAlign w:val="bottom"/>
            <w:tcBorders>
              <w:bottom w:val="single" w:sz="8" w:color="CCEEFF"/>
              <w:right w:val="single" w:sz="8" w:color="auto"/>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11"/>
              <w:spacing w:after="0" w:line="109" w:lineRule="exact"/>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137,327</w:t>
            </w:r>
          </w:p>
        </w:tc>
        <w:tc>
          <w:tcPr>
            <w:tcW w:w="12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131,369</w:t>
            </w:r>
          </w:p>
        </w:tc>
        <w:tc>
          <w:tcPr>
            <w:tcW w:w="0" w:type="dxa"/>
            <w:vAlign w:val="bottom"/>
          </w:tcPr>
          <w:p>
            <w:pPr>
              <w:spacing w:after="0"/>
              <w:rPr>
                <w:sz w:val="1"/>
                <w:szCs w:val="1"/>
                <w:color w:val="auto"/>
              </w:rPr>
            </w:pPr>
          </w:p>
        </w:tc>
      </w:tr>
      <w:tr>
        <w:trPr>
          <w:trHeight w:val="129"/>
        </w:trPr>
        <w:tc>
          <w:tcPr>
            <w:tcW w:w="2640" w:type="dxa"/>
            <w:vAlign w:val="bottom"/>
            <w:tcBorders>
              <w:bottom w:val="single" w:sz="8" w:color="CCEEFF"/>
            </w:tcBorders>
            <w:gridSpan w:val="2"/>
            <w:shd w:val="clear" w:color="auto" w:fill="CCEEFF"/>
          </w:tcPr>
          <w:p>
            <w:pPr>
              <w:spacing w:after="0" w:line="122" w:lineRule="exact"/>
              <w:rPr>
                <w:sz w:val="20"/>
                <w:szCs w:val="20"/>
                <w:color w:val="auto"/>
              </w:rPr>
            </w:pPr>
            <w:r>
              <w:rPr>
                <w:rFonts w:ascii="Arial" w:cs="Arial" w:eastAsia="Arial" w:hAnsi="Arial"/>
                <w:sz w:val="11"/>
                <w:szCs w:val="11"/>
                <w:color w:val="auto"/>
              </w:rPr>
              <w:t>Adjusted Diluted EPS</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0.26</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0.23</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0.77</w:t>
            </w:r>
          </w:p>
        </w:tc>
        <w:tc>
          <w:tcPr>
            <w:tcW w:w="12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0.18</w:t>
            </w:r>
          </w:p>
        </w:tc>
        <w:tc>
          <w:tcPr>
            <w:tcW w:w="140" w:type="dxa"/>
            <w:vAlign w:val="bottom"/>
            <w:tcBorders>
              <w:bottom w:val="single" w:sz="8" w:color="CCEEFF"/>
              <w:right w:val="single" w:sz="8" w:color="auto"/>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0.64</w:t>
            </w:r>
          </w:p>
        </w:tc>
        <w:tc>
          <w:tcPr>
            <w:tcW w:w="120" w:type="dxa"/>
            <w:vAlign w:val="bottom"/>
            <w:tcBorders>
              <w:bottom w:val="single" w:sz="8" w:color="CCEEFF"/>
            </w:tcBorders>
            <w:shd w:val="clear" w:color="auto" w:fill="CCEEFF"/>
          </w:tcPr>
          <w:p>
            <w:pPr>
              <w:spacing w:after="0"/>
              <w:rPr>
                <w:sz w:val="11"/>
                <w:szCs w:val="11"/>
                <w:color w:val="auto"/>
              </w:rPr>
            </w:pPr>
          </w:p>
        </w:tc>
        <w:tc>
          <w:tcPr>
            <w:tcW w:w="4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0.62</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right="580" w:hanging="333"/>
        <w:spacing w:after="0" w:line="230"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Assumes the exchange of all outstanding LLC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3"/>
          </w:tcPr>
          <w:p>
            <w:pPr>
              <w:jc w:val="right"/>
              <w:spacing w:after="0"/>
              <w:rPr>
                <w:sz w:val="20"/>
                <w:szCs w:val="20"/>
                <w:color w:val="auto"/>
              </w:rPr>
            </w:pPr>
            <w:r>
              <w:rPr>
                <w:rFonts w:ascii="Arial" w:cs="Arial" w:eastAsia="Arial" w:hAnsi="Arial"/>
                <w:sz w:val="11"/>
                <w:szCs w:val="11"/>
                <w:b w:val="1"/>
                <w:bCs w:val="1"/>
                <w:color w:val="auto"/>
              </w:rPr>
              <w:t>Successor</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1"/>
                <w:szCs w:val="11"/>
                <w:b w:val="1"/>
                <w:bCs w:val="1"/>
                <w:color w:val="auto"/>
                <w:w w:val="96"/>
              </w:rPr>
              <w:t>Successor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9"/>
              </w:rPr>
              <w:t>Predecessor</w:t>
            </w:r>
          </w:p>
        </w:tc>
        <w:tc>
          <w:tcPr>
            <w:tcW w:w="100" w:type="dxa"/>
            <w:vAlign w:val="bottom"/>
          </w:tcPr>
          <w:p>
            <w:pPr>
              <w:spacing w:after="0"/>
              <w:rPr>
                <w:sz w:val="11"/>
                <w:szCs w:val="11"/>
                <w:color w:val="auto"/>
              </w:rPr>
            </w:pPr>
          </w:p>
        </w:tc>
        <w:tc>
          <w:tcPr>
            <w:tcW w:w="800" w:type="dxa"/>
            <w:vAlign w:val="bottom"/>
          </w:tcPr>
          <w:p>
            <w:pPr>
              <w:jc w:val="center"/>
              <w:ind w:right="47"/>
              <w:spacing w:after="0"/>
              <w:rPr>
                <w:sz w:val="20"/>
                <w:szCs w:val="20"/>
                <w:color w:val="auto"/>
              </w:rPr>
            </w:pPr>
            <w:r>
              <w:rPr>
                <w:rFonts w:ascii="Arial" w:cs="Arial" w:eastAsia="Arial" w:hAnsi="Arial"/>
                <w:sz w:val="11"/>
                <w:szCs w:val="11"/>
                <w:b w:val="1"/>
                <w:bCs w:val="1"/>
                <w:color w:val="auto"/>
                <w:w w:val="99"/>
              </w:rPr>
              <w:t>Predecessor</w:t>
            </w:r>
          </w:p>
        </w:tc>
      </w:tr>
      <w:tr>
        <w:trPr>
          <w:trHeight w:val="100"/>
        </w:trPr>
        <w:tc>
          <w:tcPr>
            <w:tcW w:w="3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gridSpan w:val="2"/>
          </w:tcPr>
          <w:p>
            <w:pPr>
              <w:jc w:val="center"/>
              <w:ind w:right="300"/>
              <w:spacing w:after="0" w:line="100" w:lineRule="exact"/>
              <w:rPr>
                <w:sz w:val="20"/>
                <w:szCs w:val="20"/>
                <w:color w:val="auto"/>
              </w:rPr>
            </w:pPr>
            <w:r>
              <w:rPr>
                <w:rFonts w:ascii="Arial" w:cs="Arial" w:eastAsia="Arial" w:hAnsi="Arial"/>
                <w:sz w:val="11"/>
                <w:szCs w:val="11"/>
                <w:b w:val="1"/>
                <w:bCs w:val="1"/>
                <w:color w:val="auto"/>
                <w:w w:val="93"/>
              </w:rPr>
              <w:t>Three</w:t>
            </w:r>
          </w:p>
        </w:tc>
        <w:tc>
          <w:tcPr>
            <w:tcW w:w="24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r>
      <w:tr>
        <w:trPr>
          <w:trHeight w:val="122"/>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rPr>
              <w:t>Months</w:t>
            </w:r>
          </w:p>
        </w:tc>
        <w:tc>
          <w:tcPr>
            <w:tcW w:w="240" w:type="dxa"/>
            <w:vAlign w:val="bottom"/>
          </w:tcPr>
          <w:p>
            <w:pPr>
              <w:spacing w:after="0"/>
              <w:rPr>
                <w:sz w:val="10"/>
                <w:szCs w:val="10"/>
                <w:color w:val="auto"/>
              </w:rPr>
            </w:pPr>
          </w:p>
        </w:tc>
        <w:tc>
          <w:tcPr>
            <w:tcW w:w="74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2"/>
              </w:rPr>
              <w:t>Year</w:t>
            </w:r>
          </w:p>
        </w:tc>
        <w:tc>
          <w:tcPr>
            <w:tcW w:w="1120" w:type="dxa"/>
            <w:vAlign w:val="bottom"/>
            <w:tcBorders>
              <w:right w:val="single" w:sz="8" w:color="auto"/>
            </w:tcBorders>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7"/>
              </w:rPr>
              <w:t>October 1, 2018</w:t>
            </w:r>
          </w:p>
        </w:tc>
        <w:tc>
          <w:tcPr>
            <w:tcW w:w="40" w:type="dxa"/>
            <w:vAlign w:val="bottom"/>
          </w:tcPr>
          <w:p>
            <w:pPr>
              <w:spacing w:after="0"/>
              <w:rPr>
                <w:sz w:val="10"/>
                <w:szCs w:val="10"/>
                <w:color w:val="auto"/>
              </w:rPr>
            </w:pPr>
          </w:p>
        </w:tc>
        <w:tc>
          <w:tcPr>
            <w:tcW w:w="104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97"/>
              </w:rPr>
              <w:t>January 1, 2018</w:t>
            </w:r>
          </w:p>
        </w:tc>
        <w:tc>
          <w:tcPr>
            <w:tcW w:w="100" w:type="dxa"/>
            <w:vAlign w:val="bottom"/>
          </w:tcPr>
          <w:p>
            <w:pPr>
              <w:spacing w:after="0"/>
              <w:rPr>
                <w:sz w:val="10"/>
                <w:szCs w:val="10"/>
                <w:color w:val="auto"/>
              </w:rPr>
            </w:pPr>
          </w:p>
        </w:tc>
        <w:tc>
          <w:tcPr>
            <w:tcW w:w="80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auto"/>
                <w:w w:val="92"/>
              </w:rPr>
              <w:t>Year</w:t>
            </w:r>
          </w:p>
        </w:tc>
      </w:tr>
      <w:tr>
        <w:trPr>
          <w:trHeight w:val="122"/>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Ended</w:t>
            </w:r>
          </w:p>
        </w:tc>
        <w:tc>
          <w:tcPr>
            <w:tcW w:w="240" w:type="dxa"/>
            <w:vAlign w:val="bottom"/>
          </w:tcPr>
          <w:p>
            <w:pPr>
              <w:spacing w:after="0"/>
              <w:rPr>
                <w:sz w:val="10"/>
                <w:szCs w:val="10"/>
                <w:color w:val="auto"/>
              </w:rPr>
            </w:pPr>
          </w:p>
        </w:tc>
        <w:tc>
          <w:tcPr>
            <w:tcW w:w="74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rPr>
              <w:t>Ended</w:t>
            </w:r>
          </w:p>
        </w:tc>
        <w:tc>
          <w:tcPr>
            <w:tcW w:w="120" w:type="dxa"/>
            <w:vAlign w:val="bottom"/>
          </w:tcPr>
          <w:p>
            <w:pPr>
              <w:spacing w:after="0"/>
              <w:rPr>
                <w:sz w:val="10"/>
                <w:szCs w:val="10"/>
                <w:color w:val="auto"/>
              </w:rPr>
            </w:pPr>
          </w:p>
        </w:tc>
        <w:tc>
          <w:tcPr>
            <w:tcW w:w="1000" w:type="dxa"/>
            <w:vAlign w:val="bottom"/>
            <w:tcBorders>
              <w:right w:val="single" w:sz="8" w:color="auto"/>
            </w:tcBorders>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5"/>
              </w:rPr>
              <w:t>to</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to</w:t>
            </w:r>
          </w:p>
        </w:tc>
        <w:tc>
          <w:tcPr>
            <w:tcW w:w="100" w:type="dxa"/>
            <w:vAlign w:val="bottom"/>
          </w:tcPr>
          <w:p>
            <w:pPr>
              <w:spacing w:after="0"/>
              <w:rPr>
                <w:sz w:val="10"/>
                <w:szCs w:val="10"/>
                <w:color w:val="auto"/>
              </w:rPr>
            </w:pPr>
          </w:p>
        </w:tc>
        <w:tc>
          <w:tcPr>
            <w:tcW w:w="800" w:type="dxa"/>
            <w:vAlign w:val="bottom"/>
          </w:tcPr>
          <w:p>
            <w:pPr>
              <w:jc w:val="center"/>
              <w:ind w:right="47"/>
              <w:spacing w:after="0" w:line="122" w:lineRule="exact"/>
              <w:rPr>
                <w:sz w:val="20"/>
                <w:szCs w:val="20"/>
                <w:color w:val="auto"/>
              </w:rPr>
            </w:pPr>
            <w:r>
              <w:rPr>
                <w:rFonts w:ascii="Arial" w:cs="Arial" w:eastAsia="Arial" w:hAnsi="Arial"/>
                <w:sz w:val="11"/>
                <w:szCs w:val="11"/>
                <w:b w:val="1"/>
                <w:bCs w:val="1"/>
                <w:color w:val="auto"/>
              </w:rPr>
              <w:t>Ended</w:t>
            </w:r>
          </w:p>
        </w:tc>
      </w:tr>
      <w:tr>
        <w:trPr>
          <w:trHeight w:val="122"/>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7"/>
              </w:rPr>
              <w:t>December 31,</w:t>
            </w:r>
          </w:p>
        </w:tc>
        <w:tc>
          <w:tcPr>
            <w:tcW w:w="98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7"/>
              </w:rPr>
              <w:t>December 31,</w:t>
            </w:r>
          </w:p>
        </w:tc>
        <w:tc>
          <w:tcPr>
            <w:tcW w:w="120" w:type="dxa"/>
            <w:vAlign w:val="bottom"/>
          </w:tcPr>
          <w:p>
            <w:pPr>
              <w:spacing w:after="0"/>
              <w:rPr>
                <w:sz w:val="10"/>
                <w:szCs w:val="10"/>
                <w:color w:val="auto"/>
              </w:rPr>
            </w:pPr>
          </w:p>
        </w:tc>
        <w:tc>
          <w:tcPr>
            <w:tcW w:w="1000" w:type="dxa"/>
            <w:vAlign w:val="bottom"/>
            <w:tcBorders>
              <w:right w:val="single" w:sz="8" w:color="auto"/>
            </w:tcBorders>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7"/>
              </w:rPr>
              <w:t>December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8"/>
              </w:rPr>
              <w:t>September 30,</w:t>
            </w:r>
          </w:p>
        </w:tc>
        <w:tc>
          <w:tcPr>
            <w:tcW w:w="9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7"/>
              </w:rPr>
              <w:t>December 31,</w:t>
            </w:r>
          </w:p>
        </w:tc>
      </w:tr>
      <w:tr>
        <w:trPr>
          <w:trHeight w:val="137"/>
        </w:trPr>
        <w:tc>
          <w:tcPr>
            <w:tcW w:w="3960" w:type="dxa"/>
            <w:vAlign w:val="bottom"/>
            <w:gridSpan w:val="2"/>
          </w:tcPr>
          <w:p>
            <w:pPr>
              <w:spacing w:after="0"/>
              <w:rPr>
                <w:sz w:val="20"/>
                <w:szCs w:val="20"/>
                <w:color w:val="auto"/>
              </w:rPr>
            </w:pPr>
            <w:r>
              <w:rPr>
                <w:rFonts w:ascii="Arial" w:cs="Arial" w:eastAsia="Arial" w:hAnsi="Arial"/>
                <w:sz w:val="11"/>
                <w:szCs w:val="11"/>
                <w:b w:val="1"/>
                <w:bCs w:val="1"/>
                <w:color w:val="auto"/>
              </w:rPr>
              <w:t>Reconciliation of Operating Expenses to Adjusted Expenses</w:t>
            </w:r>
          </w:p>
        </w:tc>
        <w:tc>
          <w:tcPr>
            <w:tcW w:w="160" w:type="dxa"/>
            <w:vAlign w:val="bottom"/>
          </w:tcPr>
          <w:p>
            <w:pPr>
              <w:spacing w:after="0"/>
              <w:rPr>
                <w:sz w:val="11"/>
                <w:szCs w:val="11"/>
                <w:color w:val="auto"/>
              </w:rPr>
            </w:pPr>
          </w:p>
        </w:tc>
        <w:tc>
          <w:tcPr>
            <w:tcW w:w="720" w:type="dxa"/>
            <w:vAlign w:val="bottom"/>
          </w:tcPr>
          <w:p>
            <w:pPr>
              <w:jc w:val="center"/>
              <w:ind w:right="106"/>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center"/>
              <w:ind w:right="187"/>
              <w:spacing w:after="0"/>
              <w:rPr>
                <w:sz w:val="20"/>
                <w:szCs w:val="20"/>
                <w:color w:val="auto"/>
              </w:rPr>
            </w:pPr>
            <w:r>
              <w:rPr>
                <w:rFonts w:ascii="Arial" w:cs="Arial" w:eastAsia="Arial" w:hAnsi="Arial"/>
                <w:sz w:val="11"/>
                <w:szCs w:val="11"/>
                <w:b w:val="1"/>
                <w:bCs w:val="1"/>
                <w:color w:val="auto"/>
                <w:w w:val="97"/>
              </w:rPr>
              <w:t>2019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87"/>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67"/>
              <w:spacing w:after="0"/>
              <w:rPr>
                <w:sz w:val="20"/>
                <w:szCs w:val="20"/>
                <w:color w:val="auto"/>
              </w:rPr>
            </w:pPr>
            <w:r>
              <w:rPr>
                <w:rFonts w:ascii="Arial" w:cs="Arial" w:eastAsia="Arial" w:hAnsi="Arial"/>
                <w:sz w:val="11"/>
                <w:szCs w:val="11"/>
                <w:b w:val="1"/>
                <w:bCs w:val="1"/>
                <w:color w:val="auto"/>
                <w:w w:val="97"/>
              </w:rPr>
              <w:t>2018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27"/>
              <w:spacing w:after="0"/>
              <w:rPr>
                <w:sz w:val="20"/>
                <w:szCs w:val="20"/>
                <w:color w:val="auto"/>
              </w:rPr>
            </w:pPr>
            <w:r>
              <w:rPr>
                <w:rFonts w:ascii="Arial" w:cs="Arial" w:eastAsia="Arial" w:hAnsi="Arial"/>
                <w:sz w:val="11"/>
                <w:szCs w:val="11"/>
                <w:b w:val="1"/>
                <w:bCs w:val="1"/>
                <w:color w:val="auto"/>
                <w:w w:val="97"/>
              </w:rPr>
              <w:t>2017</w:t>
            </w:r>
          </w:p>
        </w:tc>
      </w:tr>
      <w:tr>
        <w:trPr>
          <w:trHeight w:val="93"/>
        </w:trPr>
        <w:tc>
          <w:tcPr>
            <w:tcW w:w="3820" w:type="dxa"/>
            <w:vAlign w:val="bottom"/>
            <w:tcBorders>
              <w:top w:val="single" w:sz="8" w:color="auto"/>
            </w:tcBorders>
          </w:tcPr>
          <w:p>
            <w:pPr>
              <w:spacing w:after="0" w:line="93" w:lineRule="exact"/>
              <w:rPr>
                <w:sz w:val="20"/>
                <w:szCs w:val="20"/>
                <w:color w:val="auto"/>
              </w:rPr>
            </w:pPr>
            <w:r>
              <w:rPr>
                <w:rFonts w:ascii="Arial" w:cs="Arial" w:eastAsia="Arial" w:hAnsi="Arial"/>
                <w:sz w:val="10"/>
                <w:szCs w:val="10"/>
                <w:b w:val="1"/>
                <w:bCs w:val="1"/>
                <w:color w:val="auto"/>
              </w:rPr>
              <w:t>Operating Expenses</w:t>
            </w:r>
          </w:p>
        </w:tc>
        <w:tc>
          <w:tcPr>
            <w:tcW w:w="140" w:type="dxa"/>
            <w:vAlign w:val="bottom"/>
          </w:tcPr>
          <w:p>
            <w:pPr>
              <w:spacing w:after="0"/>
              <w:rPr>
                <w:sz w:val="8"/>
                <w:szCs w:val="8"/>
                <w:color w:val="auto"/>
              </w:rPr>
            </w:pPr>
          </w:p>
        </w:tc>
        <w:tc>
          <w:tcPr>
            <w:tcW w:w="160" w:type="dxa"/>
            <w:vAlign w:val="bottom"/>
            <w:tcBorders>
              <w:top w:val="single" w:sz="8" w:color="auto"/>
            </w:tcBorders>
          </w:tcPr>
          <w:p>
            <w:pPr>
              <w:jc w:val="right"/>
              <w:ind w:right="8"/>
              <w:spacing w:after="0" w:line="93" w:lineRule="exact"/>
              <w:rPr>
                <w:sz w:val="20"/>
                <w:szCs w:val="20"/>
                <w:color w:val="auto"/>
              </w:rPr>
            </w:pPr>
            <w:r>
              <w:rPr>
                <w:rFonts w:ascii="Arial" w:cs="Arial" w:eastAsia="Arial" w:hAnsi="Arial"/>
                <w:sz w:val="10"/>
                <w:szCs w:val="10"/>
                <w:color w:val="auto"/>
              </w:rPr>
              <w:t>$</w:t>
            </w:r>
          </w:p>
        </w:tc>
        <w:tc>
          <w:tcPr>
            <w:tcW w:w="72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142,979</w:t>
            </w:r>
          </w:p>
        </w:tc>
        <w:tc>
          <w:tcPr>
            <w:tcW w:w="140" w:type="dxa"/>
            <w:vAlign w:val="bottom"/>
          </w:tcPr>
          <w:p>
            <w:pPr>
              <w:spacing w:after="0"/>
              <w:rPr>
                <w:sz w:val="8"/>
                <w:szCs w:val="8"/>
                <w:color w:val="auto"/>
              </w:rPr>
            </w:pPr>
          </w:p>
        </w:tc>
        <w:tc>
          <w:tcPr>
            <w:tcW w:w="240" w:type="dxa"/>
            <w:vAlign w:val="bottom"/>
            <w:tcBorders>
              <w:top w:val="single" w:sz="8" w:color="auto"/>
            </w:tcBorders>
          </w:tcPr>
          <w:p>
            <w:pPr>
              <w:jc w:val="right"/>
              <w:ind w:right="108"/>
              <w:spacing w:after="0" w:line="93" w:lineRule="exact"/>
              <w:rPr>
                <w:sz w:val="20"/>
                <w:szCs w:val="20"/>
                <w:color w:val="auto"/>
              </w:rPr>
            </w:pPr>
            <w:r>
              <w:rPr>
                <w:rFonts w:ascii="Arial" w:cs="Arial" w:eastAsia="Arial" w:hAnsi="Arial"/>
                <w:sz w:val="10"/>
                <w:szCs w:val="10"/>
                <w:color w:val="auto"/>
              </w:rPr>
              <w:t>$</w:t>
            </w:r>
          </w:p>
        </w:tc>
        <w:tc>
          <w:tcPr>
            <w:tcW w:w="64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585,747</w:t>
            </w:r>
          </w:p>
        </w:tc>
        <w:tc>
          <w:tcPr>
            <w:tcW w:w="100" w:type="dxa"/>
            <w:vAlign w:val="bottom"/>
          </w:tcPr>
          <w:p>
            <w:pPr>
              <w:spacing w:after="0"/>
              <w:rPr>
                <w:sz w:val="8"/>
                <w:szCs w:val="8"/>
                <w:color w:val="auto"/>
              </w:rPr>
            </w:pPr>
          </w:p>
        </w:tc>
        <w:tc>
          <w:tcPr>
            <w:tcW w:w="12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w:t>
            </w:r>
          </w:p>
        </w:tc>
        <w:tc>
          <w:tcPr>
            <w:tcW w:w="86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146,702</w:t>
            </w: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w:t>
            </w:r>
          </w:p>
        </w:tc>
        <w:tc>
          <w:tcPr>
            <w:tcW w:w="88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338,607</w:t>
            </w:r>
          </w:p>
        </w:tc>
        <w:tc>
          <w:tcPr>
            <w:tcW w:w="60" w:type="dxa"/>
            <w:vAlign w:val="bottom"/>
          </w:tcPr>
          <w:p>
            <w:pPr>
              <w:spacing w:after="0"/>
              <w:rPr>
                <w:sz w:val="8"/>
                <w:szCs w:val="8"/>
                <w:color w:val="auto"/>
              </w:rPr>
            </w:pPr>
          </w:p>
        </w:tc>
        <w:tc>
          <w:tcPr>
            <w:tcW w:w="1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w:t>
            </w:r>
          </w:p>
        </w:tc>
        <w:tc>
          <w:tcPr>
            <w:tcW w:w="800" w:type="dxa"/>
            <w:vAlign w:val="bottom"/>
            <w:tcBorders>
              <w:top w:val="single" w:sz="8" w:color="auto"/>
            </w:tcBorders>
          </w:tcPr>
          <w:p>
            <w:pPr>
              <w:jc w:val="right"/>
              <w:spacing w:after="0" w:line="93" w:lineRule="exact"/>
              <w:rPr>
                <w:sz w:val="20"/>
                <w:szCs w:val="20"/>
                <w:color w:val="auto"/>
              </w:rPr>
            </w:pPr>
            <w:r>
              <w:rPr>
                <w:rFonts w:ascii="Arial" w:cs="Arial" w:eastAsia="Arial" w:hAnsi="Arial"/>
                <w:sz w:val="10"/>
                <w:szCs w:val="10"/>
                <w:color w:val="auto"/>
              </w:rPr>
              <w:t>415,356</w:t>
            </w:r>
          </w:p>
        </w:tc>
      </w:tr>
      <w:tr>
        <w:trPr>
          <w:trHeight w:val="122"/>
        </w:trPr>
        <w:tc>
          <w:tcPr>
            <w:tcW w:w="3960" w:type="dxa"/>
            <w:vAlign w:val="bottom"/>
            <w:gridSpan w:val="2"/>
          </w:tcPr>
          <w:p>
            <w:pPr>
              <w:spacing w:after="0" w:line="122" w:lineRule="exact"/>
              <w:rPr>
                <w:sz w:val="20"/>
                <w:szCs w:val="20"/>
                <w:color w:val="auto"/>
              </w:rPr>
            </w:pPr>
            <w:r>
              <w:rPr>
                <w:rFonts w:ascii="Arial" w:cs="Arial" w:eastAsia="Arial" w:hAnsi="Arial"/>
                <w:sz w:val="11"/>
                <w:szCs w:val="11"/>
                <w:color w:val="auto"/>
              </w:rPr>
              <w:t>Acquisition and Refinitiv Transaction related D&amp;A</w:t>
            </w:r>
            <w:r>
              <w:rPr>
                <w:rFonts w:ascii="Arial" w:cs="Arial" w:eastAsia="Arial" w:hAnsi="Arial"/>
                <w:sz w:val="11"/>
                <w:szCs w:val="11"/>
                <w:color w:val="auto"/>
                <w:vertAlign w:val="superscript"/>
              </w:rPr>
              <w:t>(1)</w:t>
            </w: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(25,443)</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(97,565)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(22,413)</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1"/>
                <w:szCs w:val="11"/>
                <w:color w:val="auto"/>
              </w:rPr>
              <w:t>(19,576)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(31,236)</w:t>
            </w:r>
          </w:p>
        </w:tc>
      </w:tr>
      <w:tr>
        <w:trPr>
          <w:trHeight w:val="140"/>
        </w:trPr>
        <w:tc>
          <w:tcPr>
            <w:tcW w:w="3960" w:type="dxa"/>
            <w:vAlign w:val="bottom"/>
            <w:gridSpan w:val="2"/>
          </w:tcPr>
          <w:p>
            <w:pPr>
              <w:spacing w:after="0"/>
              <w:rPr>
                <w:sz w:val="20"/>
                <w:szCs w:val="20"/>
                <w:color w:val="auto"/>
              </w:rPr>
            </w:pPr>
            <w:r>
              <w:rPr>
                <w:rFonts w:ascii="Arial" w:cs="Arial" w:eastAsia="Arial" w:hAnsi="Arial"/>
                <w:sz w:val="11"/>
                <w:szCs w:val="11"/>
                <w:color w:val="auto"/>
              </w:rPr>
              <w:t>Stock-based compensation expense</w:t>
            </w:r>
            <w:r>
              <w:rPr>
                <w:rFonts w:ascii="Arial" w:cs="Arial" w:eastAsia="Arial" w:hAnsi="Arial"/>
                <w:sz w:val="11"/>
                <w:szCs w:val="11"/>
                <w:color w:val="auto"/>
                <w:vertAlign w:val="superscript"/>
              </w:rPr>
              <w:t>(2)</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(2,700)</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(25,098)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03"/>
        </w:trPr>
        <w:tc>
          <w:tcPr>
            <w:tcW w:w="3960" w:type="dxa"/>
            <w:vAlign w:val="bottom"/>
            <w:gridSpan w:val="2"/>
          </w:tcPr>
          <w:p>
            <w:pPr>
              <w:spacing w:after="0" w:line="103" w:lineRule="exact"/>
              <w:rPr>
                <w:sz w:val="20"/>
                <w:szCs w:val="20"/>
                <w:color w:val="auto"/>
              </w:rPr>
            </w:pPr>
            <w:r>
              <w:rPr>
                <w:rFonts w:ascii="Arial" w:cs="Arial" w:eastAsia="Arial" w:hAnsi="Arial"/>
                <w:sz w:val="11"/>
                <w:szCs w:val="11"/>
                <w:color w:val="auto"/>
              </w:rPr>
              <w:t>Unrealized foreign exchange gains / (losses)</w:t>
            </w:r>
          </w:p>
        </w:tc>
        <w:tc>
          <w:tcPr>
            <w:tcW w:w="160" w:type="dxa"/>
            <w:vAlign w:val="bottom"/>
          </w:tcPr>
          <w:p>
            <w:pPr>
              <w:spacing w:after="0"/>
              <w:rPr>
                <w:sz w:val="8"/>
                <w:szCs w:val="8"/>
                <w:color w:val="auto"/>
              </w:rPr>
            </w:pPr>
          </w:p>
        </w:tc>
        <w:tc>
          <w:tcPr>
            <w:tcW w:w="720" w:type="dxa"/>
            <w:vAlign w:val="bottom"/>
          </w:tcPr>
          <w:p>
            <w:pPr>
              <w:jc w:val="right"/>
              <w:spacing w:after="0" w:line="103" w:lineRule="exact"/>
              <w:rPr>
                <w:sz w:val="20"/>
                <w:szCs w:val="20"/>
                <w:color w:val="auto"/>
              </w:rPr>
            </w:pPr>
            <w:r>
              <w:rPr>
                <w:rFonts w:ascii="Arial" w:cs="Arial" w:eastAsia="Arial" w:hAnsi="Arial"/>
                <w:sz w:val="11"/>
                <w:szCs w:val="11"/>
                <w:color w:val="auto"/>
              </w:rPr>
              <w:t>1,095</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jc w:val="right"/>
              <w:spacing w:after="0" w:line="103" w:lineRule="exact"/>
              <w:rPr>
                <w:sz w:val="20"/>
                <w:szCs w:val="20"/>
                <w:color w:val="auto"/>
              </w:rPr>
            </w:pPr>
            <w:r>
              <w:rPr>
                <w:rFonts w:ascii="Arial" w:cs="Arial" w:eastAsia="Arial" w:hAnsi="Arial"/>
                <w:sz w:val="11"/>
                <w:szCs w:val="11"/>
                <w:color w:val="auto"/>
              </w:rPr>
              <w:t>2,310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tcPr>
          <w:p>
            <w:pPr>
              <w:jc w:val="right"/>
              <w:spacing w:after="0" w:line="103" w:lineRule="exact"/>
              <w:rPr>
                <w:sz w:val="20"/>
                <w:szCs w:val="20"/>
                <w:color w:val="auto"/>
              </w:rPr>
            </w:pPr>
            <w:r>
              <w:rPr>
                <w:rFonts w:ascii="Arial" w:cs="Arial" w:eastAsia="Arial" w:hAnsi="Arial"/>
                <w:sz w:val="11"/>
                <w:szCs w:val="11"/>
                <w:color w:val="auto"/>
              </w:rPr>
              <w:t>(263)</w:t>
            </w:r>
          </w:p>
        </w:tc>
        <w:tc>
          <w:tcPr>
            <w:tcW w:w="14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jc w:val="right"/>
              <w:spacing w:after="0" w:line="103" w:lineRule="exact"/>
              <w:rPr>
                <w:sz w:val="20"/>
                <w:szCs w:val="20"/>
                <w:color w:val="auto"/>
              </w:rPr>
            </w:pPr>
            <w:r>
              <w:rPr>
                <w:rFonts w:ascii="Arial" w:cs="Arial" w:eastAsia="Arial" w:hAnsi="Arial"/>
                <w:sz w:val="11"/>
                <w:szCs w:val="11"/>
                <w:color w:val="auto"/>
              </w:rPr>
              <w:t>960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jc w:val="right"/>
              <w:spacing w:after="0" w:line="103" w:lineRule="exact"/>
              <w:rPr>
                <w:sz w:val="20"/>
                <w:szCs w:val="20"/>
                <w:color w:val="auto"/>
              </w:rPr>
            </w:pPr>
            <w:r>
              <w:rPr>
                <w:rFonts w:ascii="Arial" w:cs="Arial" w:eastAsia="Arial" w:hAnsi="Arial"/>
                <w:sz w:val="11"/>
                <w:szCs w:val="11"/>
                <w:color w:val="auto"/>
              </w:rPr>
              <w:t>364</w:t>
            </w:r>
          </w:p>
        </w:tc>
      </w:tr>
      <w:tr>
        <w:trPr>
          <w:trHeight w:val="143"/>
        </w:trPr>
        <w:tc>
          <w:tcPr>
            <w:tcW w:w="3960" w:type="dxa"/>
            <w:vAlign w:val="bottom"/>
            <w:gridSpan w:val="2"/>
          </w:tcPr>
          <w:p>
            <w:pPr>
              <w:spacing w:after="0"/>
              <w:rPr>
                <w:sz w:val="20"/>
                <w:szCs w:val="20"/>
                <w:color w:val="auto"/>
              </w:rPr>
            </w:pPr>
            <w:r>
              <w:rPr>
                <w:rFonts w:ascii="Arial" w:cs="Arial" w:eastAsia="Arial" w:hAnsi="Arial"/>
                <w:sz w:val="11"/>
                <w:szCs w:val="11"/>
                <w:color w:val="auto"/>
              </w:rPr>
              <w:t>Gain / (loss) from revaluation of foreign-denominated cash</w:t>
            </w:r>
            <w:r>
              <w:rPr>
                <w:rFonts w:ascii="Arial" w:cs="Arial" w:eastAsia="Arial" w:hAnsi="Arial"/>
                <w:sz w:val="11"/>
                <w:szCs w:val="11"/>
                <w:color w:val="auto"/>
                <w:vertAlign w:val="superscript"/>
              </w:rPr>
              <w:t>(3)</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w:t>
            </w:r>
          </w:p>
        </w:tc>
        <w:tc>
          <w:tcPr>
            <w:tcW w:w="1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(1,225)</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w:t>
            </w:r>
          </w:p>
        </w:tc>
        <w:tc>
          <w:tcPr>
            <w:tcW w:w="14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921</w:t>
            </w: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678</w:t>
            </w:r>
          </w:p>
        </w:tc>
      </w:tr>
      <w:tr>
        <w:trPr>
          <w:trHeight w:val="122"/>
        </w:trPr>
        <w:tc>
          <w:tcPr>
            <w:tcW w:w="396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Adjusted Expenses</w:t>
            </w:r>
          </w:p>
        </w:tc>
        <w:tc>
          <w:tcPr>
            <w:tcW w:w="160" w:type="dxa"/>
            <w:vAlign w:val="bottom"/>
            <w:tcBorders>
              <w:bottom w:val="single" w:sz="8" w:color="auto"/>
            </w:tcBorders>
          </w:tcPr>
          <w:p>
            <w:pPr>
              <w:jc w:val="right"/>
              <w:ind w:right="8"/>
              <w:spacing w:after="0" w:line="115" w:lineRule="exact"/>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115,826</w:t>
            </w:r>
          </w:p>
        </w:tc>
        <w:tc>
          <w:tcPr>
            <w:tcW w:w="140" w:type="dxa"/>
            <w:vAlign w:val="bottom"/>
          </w:tcPr>
          <w:p>
            <w:pPr>
              <w:spacing w:after="0"/>
              <w:rPr>
                <w:sz w:val="10"/>
                <w:szCs w:val="10"/>
                <w:color w:val="auto"/>
              </w:rPr>
            </w:pPr>
          </w:p>
        </w:tc>
        <w:tc>
          <w:tcPr>
            <w:tcW w:w="240" w:type="dxa"/>
            <w:vAlign w:val="bottom"/>
            <w:tcBorders>
              <w:bottom w:val="single" w:sz="8" w:color="auto"/>
            </w:tcBorders>
          </w:tcPr>
          <w:p>
            <w:pPr>
              <w:jc w:val="right"/>
              <w:ind w:right="108"/>
              <w:spacing w:after="0" w:line="115" w:lineRule="exact"/>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464,169</w:t>
            </w:r>
          </w:p>
        </w:tc>
        <w:tc>
          <w:tcPr>
            <w:tcW w:w="100" w:type="dxa"/>
            <w:vAlign w:val="bottom"/>
          </w:tcPr>
          <w:p>
            <w:pPr>
              <w:spacing w:after="0"/>
              <w:rPr>
                <w:sz w:val="10"/>
                <w:szCs w:val="10"/>
                <w:color w:val="auto"/>
              </w:rPr>
            </w:pPr>
          </w:p>
        </w:tc>
        <w:tc>
          <w:tcPr>
            <w:tcW w:w="1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123,936</w:t>
            </w:r>
          </w:p>
        </w:tc>
        <w:tc>
          <w:tcPr>
            <w:tcW w:w="1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320,912</w:t>
            </w:r>
          </w:p>
        </w:tc>
        <w:tc>
          <w:tcPr>
            <w:tcW w:w="60" w:type="dxa"/>
            <w:vAlign w:val="bottom"/>
          </w:tcPr>
          <w:p>
            <w:pPr>
              <w:spacing w:after="0"/>
              <w:rPr>
                <w:sz w:val="10"/>
                <w:szCs w:val="10"/>
                <w:color w:val="auto"/>
              </w:rPr>
            </w:pPr>
          </w:p>
        </w:tc>
        <w:tc>
          <w:tcPr>
            <w:tcW w:w="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385,162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-496570</wp:posOffset>
            </wp:positionV>
            <wp:extent cx="5754370" cy="85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8572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-334010</wp:posOffset>
            </wp:positionV>
            <wp:extent cx="5754370" cy="774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7747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-179705</wp:posOffset>
            </wp:positionV>
            <wp:extent cx="5754370" cy="774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77470"/>
                    </a:xfrm>
                    <a:prstGeom prst="rect">
                      <a:avLst/>
                    </a:prstGeom>
                    <a:noFill/>
                  </pic:spPr>
                </pic:pic>
              </a:graphicData>
            </a:graphic>
          </wp:anchor>
        </w:drawing>
      </w:r>
    </w:p>
    <w:p>
      <w:pPr>
        <w:spacing w:after="0" w:line="190" w:lineRule="exact"/>
        <w:rPr>
          <w:sz w:val="20"/>
          <w:szCs w:val="20"/>
          <w:color w:val="auto"/>
        </w:rPr>
      </w:pPr>
    </w:p>
    <w:p>
      <w:pPr>
        <w:ind w:left="660" w:right="200" w:hanging="333"/>
        <w:spacing w:after="0" w:line="225"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acquisition-related intangibles amortization and increased tangible asset and capitalized software depreciation and amortization resulting from the Refinitiv Transaction and the application of pushdown accounting (where all assets were marked to fair value as of the closing date of the Refinitiv Transaction).</w:t>
      </w:r>
    </w:p>
    <w:p>
      <w:pPr>
        <w:spacing w:after="0" w:line="200" w:lineRule="exact"/>
        <w:rPr>
          <w:rFonts w:ascii="Arial" w:cs="Arial" w:eastAsia="Arial" w:hAnsi="Arial"/>
          <w:sz w:val="13"/>
          <w:szCs w:val="13"/>
          <w:color w:val="auto"/>
        </w:rPr>
      </w:pPr>
    </w:p>
    <w:p>
      <w:pPr>
        <w:ind w:left="660" w:right="460" w:hanging="333"/>
        <w:spacing w:after="0" w:line="230" w:lineRule="auto"/>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non-cash stock-based compensation expense associated with the Special Option Award and post-IPO options awarded in 2019 and payroll taxes associated with exercises of such options during the applicable period.</w:t>
      </w:r>
    </w:p>
    <w:p>
      <w:pPr>
        <w:spacing w:after="0" w:line="199" w:lineRule="exact"/>
        <w:rPr>
          <w:rFonts w:ascii="Arial" w:cs="Arial" w:eastAsia="Arial" w:hAnsi="Arial"/>
          <w:sz w:val="13"/>
          <w:szCs w:val="13"/>
          <w:color w:val="auto"/>
        </w:rPr>
      </w:pPr>
    </w:p>
    <w:p>
      <w:pPr>
        <w:ind w:left="660" w:hanging="333"/>
        <w:spacing w:after="0"/>
        <w:tabs>
          <w:tab w:leader="none" w:pos="6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Represents foreign exchange gain or loss from the revaluation of cash denominated in a different currency than the entity’s functional currency.</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4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Successor</w:t>
            </w:r>
          </w:p>
        </w:tc>
        <w:tc>
          <w:tcPr>
            <w:tcW w:w="100" w:type="dxa"/>
            <w:vAlign w:val="bottom"/>
          </w:tcPr>
          <w:p>
            <w:pPr>
              <w:spacing w:after="0"/>
              <w:rPr>
                <w:sz w:val="11"/>
                <w:szCs w:val="11"/>
                <w:color w:val="auto"/>
              </w:rPr>
            </w:pPr>
          </w:p>
        </w:tc>
        <w:tc>
          <w:tcPr>
            <w:tcW w:w="100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6"/>
              </w:rPr>
              <w:t>Successor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4"/>
          </w:tcPr>
          <w:p>
            <w:pPr>
              <w:jc w:val="center"/>
              <w:ind w:right="480"/>
              <w:spacing w:after="0"/>
              <w:rPr>
                <w:sz w:val="20"/>
                <w:szCs w:val="20"/>
                <w:color w:val="auto"/>
              </w:rPr>
            </w:pPr>
            <w:r>
              <w:rPr>
                <w:rFonts w:ascii="Arial" w:cs="Arial" w:eastAsia="Arial" w:hAnsi="Arial"/>
                <w:sz w:val="11"/>
                <w:szCs w:val="11"/>
                <w:b w:val="1"/>
                <w:bCs w:val="1"/>
                <w:color w:val="auto"/>
                <w:w w:val="96"/>
              </w:rPr>
              <w:t>Predecessor</w:t>
            </w:r>
          </w:p>
        </w:tc>
        <w:tc>
          <w:tcPr>
            <w:tcW w:w="100" w:type="dxa"/>
            <w:vAlign w:val="bottom"/>
          </w:tcPr>
          <w:p>
            <w:pPr>
              <w:spacing w:after="0"/>
              <w:rPr>
                <w:sz w:val="11"/>
                <w:szCs w:val="11"/>
                <w:color w:val="auto"/>
              </w:rPr>
            </w:pPr>
          </w:p>
        </w:tc>
        <w:tc>
          <w:tcPr>
            <w:tcW w:w="880" w:type="dxa"/>
            <w:vAlign w:val="bottom"/>
          </w:tcPr>
          <w:p>
            <w:pPr>
              <w:jc w:val="center"/>
              <w:ind w:right="82"/>
              <w:spacing w:after="0"/>
              <w:rPr>
                <w:sz w:val="20"/>
                <w:szCs w:val="20"/>
                <w:color w:val="auto"/>
              </w:rPr>
            </w:pPr>
            <w:r>
              <w:rPr>
                <w:rFonts w:ascii="Arial" w:cs="Arial" w:eastAsia="Arial" w:hAnsi="Arial"/>
                <w:sz w:val="11"/>
                <w:szCs w:val="11"/>
                <w:b w:val="1"/>
                <w:bCs w:val="1"/>
                <w:color w:val="auto"/>
                <w:w w:val="99"/>
              </w:rPr>
              <w:t>Predecessor</w:t>
            </w:r>
          </w:p>
        </w:tc>
      </w:tr>
      <w:tr>
        <w:trPr>
          <w:trHeight w:val="100"/>
        </w:trPr>
        <w:tc>
          <w:tcPr>
            <w:tcW w:w="4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center"/>
              <w:ind w:right="42"/>
              <w:spacing w:after="0" w:line="100" w:lineRule="exact"/>
              <w:rPr>
                <w:sz w:val="20"/>
                <w:szCs w:val="20"/>
                <w:color w:val="auto"/>
              </w:rPr>
            </w:pPr>
            <w:r>
              <w:rPr>
                <w:rFonts w:ascii="Arial" w:cs="Arial" w:eastAsia="Arial" w:hAnsi="Arial"/>
                <w:sz w:val="11"/>
                <w:szCs w:val="11"/>
                <w:b w:val="1"/>
                <w:bCs w:val="1"/>
                <w:color w:val="auto"/>
              </w:rPr>
              <w:t>Year</w:t>
            </w: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center"/>
              <w:ind w:right="42"/>
              <w:spacing w:after="0" w:line="100" w:lineRule="exact"/>
              <w:rPr>
                <w:sz w:val="20"/>
                <w:szCs w:val="20"/>
                <w:color w:val="auto"/>
              </w:rPr>
            </w:pPr>
            <w:r>
              <w:rPr>
                <w:rFonts w:ascii="Arial" w:cs="Arial" w:eastAsia="Arial" w:hAnsi="Arial"/>
                <w:sz w:val="11"/>
                <w:szCs w:val="11"/>
                <w:b w:val="1"/>
                <w:bCs w:val="1"/>
                <w:color w:val="auto"/>
                <w:w w:val="97"/>
              </w:rPr>
              <w:t>October 1, 2018</w:t>
            </w:r>
          </w:p>
        </w:tc>
        <w:tc>
          <w:tcPr>
            <w:tcW w:w="10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center"/>
              <w:ind w:right="22"/>
              <w:spacing w:after="0" w:line="100" w:lineRule="exact"/>
              <w:rPr>
                <w:sz w:val="20"/>
                <w:szCs w:val="20"/>
                <w:color w:val="auto"/>
              </w:rPr>
            </w:pPr>
            <w:r>
              <w:rPr>
                <w:rFonts w:ascii="Arial" w:cs="Arial" w:eastAsia="Arial" w:hAnsi="Arial"/>
                <w:sz w:val="11"/>
                <w:szCs w:val="11"/>
                <w:b w:val="1"/>
                <w:bCs w:val="1"/>
                <w:color w:val="auto"/>
                <w:w w:val="97"/>
              </w:rPr>
              <w:t>January 1, 2018</w:t>
            </w:r>
          </w:p>
        </w:tc>
        <w:tc>
          <w:tcPr>
            <w:tcW w:w="380" w:type="dxa"/>
            <w:vAlign w:val="bottom"/>
            <w:gridSpan w:val="2"/>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center"/>
              <w:ind w:right="82"/>
              <w:spacing w:after="0" w:line="100" w:lineRule="exact"/>
              <w:rPr>
                <w:sz w:val="20"/>
                <w:szCs w:val="20"/>
                <w:color w:val="auto"/>
              </w:rPr>
            </w:pPr>
            <w:r>
              <w:rPr>
                <w:rFonts w:ascii="Arial" w:cs="Arial" w:eastAsia="Arial" w:hAnsi="Arial"/>
                <w:sz w:val="11"/>
                <w:szCs w:val="11"/>
                <w:b w:val="1"/>
                <w:bCs w:val="1"/>
                <w:color w:val="auto"/>
                <w:w w:val="92"/>
              </w:rPr>
              <w:t>Year</w:t>
            </w:r>
          </w:p>
        </w:tc>
      </w:tr>
      <w:tr>
        <w:trPr>
          <w:trHeight w:val="122"/>
        </w:trPr>
        <w:tc>
          <w:tcPr>
            <w:tcW w:w="4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5"/>
              </w:rPr>
              <w:t>Ended</w:t>
            </w:r>
          </w:p>
        </w:tc>
        <w:tc>
          <w:tcPr>
            <w:tcW w:w="100" w:type="dxa"/>
            <w:vAlign w:val="bottom"/>
          </w:tcPr>
          <w:p>
            <w:pPr>
              <w:spacing w:after="0"/>
              <w:rPr>
                <w:sz w:val="10"/>
                <w:szCs w:val="10"/>
                <w:color w:val="auto"/>
              </w:rPr>
            </w:pPr>
          </w:p>
        </w:tc>
        <w:tc>
          <w:tcPr>
            <w:tcW w:w="1000" w:type="dxa"/>
            <w:vAlign w:val="bottom"/>
            <w:tcBorders>
              <w:right w:val="single" w:sz="8" w:color="auto"/>
            </w:tcBorders>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5"/>
              </w:rPr>
              <w:t>to</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500"/>
              <w:spacing w:after="0" w:line="122" w:lineRule="exact"/>
              <w:rPr>
                <w:sz w:val="20"/>
                <w:szCs w:val="20"/>
                <w:color w:val="auto"/>
              </w:rPr>
            </w:pPr>
            <w:r>
              <w:rPr>
                <w:rFonts w:ascii="Arial" w:cs="Arial" w:eastAsia="Arial" w:hAnsi="Arial"/>
                <w:sz w:val="11"/>
                <w:szCs w:val="11"/>
                <w:b w:val="1"/>
                <w:bCs w:val="1"/>
                <w:color w:val="auto"/>
                <w:w w:val="95"/>
              </w:rPr>
              <w:t>to</w:t>
            </w:r>
          </w:p>
        </w:tc>
        <w:tc>
          <w:tcPr>
            <w:tcW w:w="100" w:type="dxa"/>
            <w:vAlign w:val="bottom"/>
          </w:tcPr>
          <w:p>
            <w:pPr>
              <w:spacing w:after="0"/>
              <w:rPr>
                <w:sz w:val="10"/>
                <w:szCs w:val="10"/>
                <w:color w:val="auto"/>
              </w:rPr>
            </w:pPr>
          </w:p>
        </w:tc>
        <w:tc>
          <w:tcPr>
            <w:tcW w:w="880" w:type="dxa"/>
            <w:vAlign w:val="bottom"/>
          </w:tcPr>
          <w:p>
            <w:pPr>
              <w:jc w:val="center"/>
              <w:ind w:right="82"/>
              <w:spacing w:after="0" w:line="122" w:lineRule="exact"/>
              <w:rPr>
                <w:sz w:val="20"/>
                <w:szCs w:val="20"/>
                <w:color w:val="auto"/>
              </w:rPr>
            </w:pPr>
            <w:r>
              <w:rPr>
                <w:rFonts w:ascii="Arial" w:cs="Arial" w:eastAsia="Arial" w:hAnsi="Arial"/>
                <w:sz w:val="11"/>
                <w:szCs w:val="11"/>
                <w:b w:val="1"/>
                <w:bCs w:val="1"/>
                <w:color w:val="auto"/>
              </w:rPr>
              <w:t>Ended</w:t>
            </w:r>
          </w:p>
        </w:tc>
      </w:tr>
      <w:tr>
        <w:trPr>
          <w:trHeight w:val="122"/>
        </w:trPr>
        <w:tc>
          <w:tcPr>
            <w:tcW w:w="44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Reconciliation of Cash Flows from Operating Activities to</w:t>
            </w:r>
          </w:p>
        </w:tc>
        <w:tc>
          <w:tcPr>
            <w:tcW w:w="100" w:type="dxa"/>
            <w:vAlign w:val="bottom"/>
          </w:tcPr>
          <w:p>
            <w:pPr>
              <w:spacing w:after="0"/>
              <w:rPr>
                <w:sz w:val="10"/>
                <w:szCs w:val="10"/>
                <w:color w:val="auto"/>
              </w:rPr>
            </w:pPr>
          </w:p>
        </w:tc>
        <w:tc>
          <w:tcPr>
            <w:tcW w:w="10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7"/>
              </w:rPr>
              <w:t>December 31,</w:t>
            </w:r>
          </w:p>
        </w:tc>
        <w:tc>
          <w:tcPr>
            <w:tcW w:w="100" w:type="dxa"/>
            <w:vAlign w:val="bottom"/>
          </w:tcPr>
          <w:p>
            <w:pPr>
              <w:spacing w:after="0"/>
              <w:rPr>
                <w:sz w:val="10"/>
                <w:szCs w:val="10"/>
                <w:color w:val="auto"/>
              </w:rPr>
            </w:pPr>
          </w:p>
        </w:tc>
        <w:tc>
          <w:tcPr>
            <w:tcW w:w="1000" w:type="dxa"/>
            <w:vAlign w:val="bottom"/>
            <w:tcBorders>
              <w:right w:val="single" w:sz="8" w:color="auto"/>
            </w:tcBorders>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7"/>
              </w:rPr>
              <w:t>December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tcPr>
          <w:p>
            <w:pPr>
              <w:jc w:val="center"/>
              <w:ind w:right="500"/>
              <w:spacing w:after="0" w:line="122" w:lineRule="exact"/>
              <w:rPr>
                <w:sz w:val="20"/>
                <w:szCs w:val="20"/>
                <w:color w:val="auto"/>
              </w:rPr>
            </w:pPr>
            <w:r>
              <w:rPr>
                <w:rFonts w:ascii="Arial" w:cs="Arial" w:eastAsia="Arial" w:hAnsi="Arial"/>
                <w:sz w:val="11"/>
                <w:szCs w:val="11"/>
                <w:b w:val="1"/>
                <w:bCs w:val="1"/>
                <w:color w:val="auto"/>
                <w:w w:val="98"/>
              </w:rPr>
              <w:t>September 30,</w:t>
            </w:r>
          </w:p>
        </w:tc>
        <w:tc>
          <w:tcPr>
            <w:tcW w:w="100" w:type="dxa"/>
            <w:vAlign w:val="bottom"/>
          </w:tcPr>
          <w:p>
            <w:pPr>
              <w:spacing w:after="0"/>
              <w:rPr>
                <w:sz w:val="10"/>
                <w:szCs w:val="10"/>
                <w:color w:val="auto"/>
              </w:rPr>
            </w:pPr>
          </w:p>
        </w:tc>
        <w:tc>
          <w:tcPr>
            <w:tcW w:w="880" w:type="dxa"/>
            <w:vAlign w:val="bottom"/>
          </w:tcPr>
          <w:p>
            <w:pPr>
              <w:jc w:val="center"/>
              <w:ind w:right="122"/>
              <w:spacing w:after="0" w:line="122" w:lineRule="exact"/>
              <w:rPr>
                <w:sz w:val="20"/>
                <w:szCs w:val="20"/>
                <w:color w:val="auto"/>
              </w:rPr>
            </w:pPr>
            <w:r>
              <w:rPr>
                <w:rFonts w:ascii="Arial" w:cs="Arial" w:eastAsia="Arial" w:hAnsi="Arial"/>
                <w:sz w:val="11"/>
                <w:szCs w:val="11"/>
                <w:b w:val="1"/>
                <w:bCs w:val="1"/>
                <w:color w:val="auto"/>
                <w:w w:val="97"/>
              </w:rPr>
              <w:t>December 31,</w:t>
            </w:r>
          </w:p>
        </w:tc>
      </w:tr>
      <w:tr>
        <w:trPr>
          <w:trHeight w:val="137"/>
        </w:trPr>
        <w:tc>
          <w:tcPr>
            <w:tcW w:w="4460" w:type="dxa"/>
            <w:vAlign w:val="bottom"/>
            <w:gridSpan w:val="2"/>
          </w:tcPr>
          <w:p>
            <w:pPr>
              <w:spacing w:after="0"/>
              <w:rPr>
                <w:sz w:val="20"/>
                <w:szCs w:val="20"/>
                <w:color w:val="auto"/>
              </w:rPr>
            </w:pPr>
            <w:r>
              <w:rPr>
                <w:rFonts w:ascii="Arial" w:cs="Arial" w:eastAsia="Arial" w:hAnsi="Arial"/>
                <w:sz w:val="11"/>
                <w:szCs w:val="11"/>
                <w:b w:val="1"/>
                <w:bCs w:val="1"/>
                <w:color w:val="auto"/>
              </w:rPr>
              <w:t>Free Cash Flow</w:t>
            </w:r>
          </w:p>
        </w:tc>
        <w:tc>
          <w:tcPr>
            <w:tcW w:w="100" w:type="dxa"/>
            <w:vAlign w:val="bottom"/>
          </w:tcPr>
          <w:p>
            <w:pPr>
              <w:spacing w:after="0"/>
              <w:rPr>
                <w:sz w:val="11"/>
                <w:szCs w:val="11"/>
                <w:color w:val="auto"/>
              </w:rPr>
            </w:pPr>
          </w:p>
        </w:tc>
        <w:tc>
          <w:tcPr>
            <w:tcW w:w="860" w:type="dxa"/>
            <w:vAlign w:val="bottom"/>
          </w:tcPr>
          <w:p>
            <w:pPr>
              <w:jc w:val="center"/>
              <w:ind w:right="42"/>
              <w:spacing w:after="0"/>
              <w:rPr>
                <w:sz w:val="20"/>
                <w:szCs w:val="20"/>
                <w:color w:val="auto"/>
              </w:rPr>
            </w:pPr>
            <w:r>
              <w:rPr>
                <w:rFonts w:ascii="Arial" w:cs="Arial" w:eastAsia="Arial" w:hAnsi="Arial"/>
                <w:sz w:val="11"/>
                <w:szCs w:val="11"/>
                <w:b w:val="1"/>
                <w:bCs w:val="1"/>
                <w:color w:val="auto"/>
                <w:w w:val="97"/>
              </w:rPr>
              <w:t>2019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42"/>
              <w:spacing w:after="0"/>
              <w:rPr>
                <w:sz w:val="20"/>
                <w:szCs w:val="20"/>
                <w:color w:val="auto"/>
              </w:rPr>
            </w:pPr>
            <w:r>
              <w:rPr>
                <w:rFonts w:ascii="Arial" w:cs="Arial" w:eastAsia="Arial" w:hAnsi="Arial"/>
                <w:sz w:val="11"/>
                <w:szCs w:val="11"/>
                <w:b w:val="1"/>
                <w:bCs w:val="1"/>
                <w:color w:val="auto"/>
                <w:w w:val="97"/>
              </w:rPr>
              <w:t>2018</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22"/>
              <w:spacing w:after="0"/>
              <w:rPr>
                <w:sz w:val="20"/>
                <w:szCs w:val="20"/>
                <w:color w:val="auto"/>
              </w:rPr>
            </w:pPr>
            <w:r>
              <w:rPr>
                <w:rFonts w:ascii="Arial" w:cs="Arial" w:eastAsia="Arial" w:hAnsi="Arial"/>
                <w:sz w:val="11"/>
                <w:szCs w:val="11"/>
                <w:b w:val="1"/>
                <w:bCs w:val="1"/>
                <w:color w:val="auto"/>
                <w:w w:val="97"/>
              </w:rPr>
              <w:t>2018</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right="62"/>
              <w:spacing w:after="0"/>
              <w:rPr>
                <w:sz w:val="20"/>
                <w:szCs w:val="20"/>
                <w:color w:val="auto"/>
              </w:rPr>
            </w:pPr>
            <w:r>
              <w:rPr>
                <w:rFonts w:ascii="Arial" w:cs="Arial" w:eastAsia="Arial" w:hAnsi="Arial"/>
                <w:sz w:val="11"/>
                <w:szCs w:val="11"/>
                <w:b w:val="1"/>
                <w:bCs w:val="1"/>
                <w:color w:val="auto"/>
                <w:w w:val="97"/>
              </w:rPr>
              <w:t>2017</w:t>
            </w:r>
          </w:p>
        </w:tc>
      </w:tr>
      <w:tr>
        <w:trPr>
          <w:trHeight w:val="129"/>
        </w:trPr>
        <w:tc>
          <w:tcPr>
            <w:tcW w:w="43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 from operating activities</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311,003</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112,556</w:t>
            </w:r>
          </w:p>
        </w:tc>
        <w:tc>
          <w:tcPr>
            <w:tcW w:w="100" w:type="dxa"/>
            <w:vAlign w:val="bottom"/>
            <w:tcBorders>
              <w:top w:val="single" w:sz="8" w:color="CCEEFF"/>
              <w:right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164,828</w:t>
            </w: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224,580</w:t>
            </w:r>
          </w:p>
        </w:tc>
      </w:tr>
      <w:tr>
        <w:trPr>
          <w:trHeight w:val="135"/>
        </w:trPr>
        <w:tc>
          <w:tcPr>
            <w:tcW w:w="4460" w:type="dxa"/>
            <w:vAlign w:val="bottom"/>
            <w:gridSpan w:val="2"/>
          </w:tcPr>
          <w:p>
            <w:pPr>
              <w:spacing w:after="0" w:line="135" w:lineRule="exact"/>
              <w:rPr>
                <w:sz w:val="20"/>
                <w:szCs w:val="20"/>
                <w:color w:val="auto"/>
              </w:rPr>
            </w:pPr>
            <w:r>
              <w:rPr>
                <w:rFonts w:ascii="Arial" w:cs="Arial" w:eastAsia="Arial" w:hAnsi="Arial"/>
                <w:sz w:val="13"/>
                <w:szCs w:val="13"/>
                <w:color w:val="auto"/>
              </w:rPr>
              <w:t>Less: Capitalization of software development costs</w:t>
            </w:r>
          </w:p>
        </w:tc>
        <w:tc>
          <w:tcPr>
            <w:tcW w:w="100" w:type="dxa"/>
            <w:vAlign w:val="bottom"/>
          </w:tcPr>
          <w:p>
            <w:pPr>
              <w:spacing w:after="0"/>
              <w:rPr>
                <w:sz w:val="11"/>
                <w:szCs w:val="11"/>
                <w:color w:val="auto"/>
              </w:rPr>
            </w:pPr>
          </w:p>
        </w:tc>
        <w:tc>
          <w:tcPr>
            <w:tcW w:w="10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(28,681)</w:t>
            </w:r>
          </w:p>
        </w:tc>
        <w:tc>
          <w:tcPr>
            <w:tcW w:w="10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(7,156)</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(19,523)</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right"/>
              <w:spacing w:after="0" w:line="135" w:lineRule="exact"/>
              <w:rPr>
                <w:sz w:val="20"/>
                <w:szCs w:val="20"/>
                <w:color w:val="auto"/>
              </w:rPr>
            </w:pPr>
            <w:r>
              <w:rPr>
                <w:rFonts w:ascii="Arial" w:cs="Arial" w:eastAsia="Arial" w:hAnsi="Arial"/>
                <w:sz w:val="13"/>
                <w:szCs w:val="13"/>
                <w:color w:val="auto"/>
              </w:rPr>
              <w:t>(27,157)</w:t>
            </w:r>
          </w:p>
        </w:tc>
      </w:tr>
      <w:tr>
        <w:trPr>
          <w:trHeight w:val="135"/>
        </w:trPr>
        <w:tc>
          <w:tcPr>
            <w:tcW w:w="44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Less: Purchases of furniture, equipment and leasehold improvements</w:t>
            </w:r>
          </w:p>
        </w:tc>
        <w:tc>
          <w:tcPr>
            <w:tcW w:w="10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(15,781)</w:t>
            </w: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(9,090)</w:t>
            </w:r>
          </w:p>
        </w:tc>
        <w:tc>
          <w:tcPr>
            <w:tcW w:w="10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(6,327)</w:t>
            </w: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(13,461)</w:t>
            </w:r>
          </w:p>
        </w:tc>
      </w:tr>
      <w:tr>
        <w:trPr>
          <w:trHeight w:val="136"/>
        </w:trPr>
        <w:tc>
          <w:tcPr>
            <w:tcW w:w="44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Free Cash Flow</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266,541</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96,310</w:t>
            </w:r>
          </w:p>
        </w:tc>
        <w:tc>
          <w:tcPr>
            <w:tcW w:w="10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138,978</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183,962</w:t>
            </w:r>
          </w:p>
        </w:tc>
      </w:tr>
    </w:tbl>
    <w:p>
      <w:pPr>
        <w:spacing w:after="0" w:line="200" w:lineRule="exact"/>
        <w:rPr>
          <w:sz w:val="20"/>
          <w:szCs w:val="20"/>
          <w:color w:val="auto"/>
        </w:rPr>
      </w:pPr>
    </w:p>
    <w:p>
      <w:pPr>
        <w:spacing w:after="0" w:line="389" w:lineRule="exact"/>
        <w:rPr>
          <w:sz w:val="20"/>
          <w:szCs w:val="20"/>
          <w:color w:val="auto"/>
        </w:rPr>
      </w:pPr>
    </w:p>
    <w:p>
      <w:pPr>
        <w:ind w:left="892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046" w:right="1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EPS CALCULATIONS (UNAUDITED)</w:t>
      </w:r>
    </w:p>
    <w:p>
      <w:pP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14"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color w:val="auto"/>
        </w:rPr>
        <w:t>The following table summarizes the basic and diluted earnings per share calculations for Tradeweb Markets LLC (pre-IPO period):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jc w:val="center"/>
              <w:ind w:right="86"/>
              <w:spacing w:after="0"/>
              <w:rPr>
                <w:sz w:val="20"/>
                <w:szCs w:val="20"/>
                <w:color w:val="auto"/>
              </w:rPr>
            </w:pPr>
            <w:r>
              <w:rPr>
                <w:rFonts w:ascii="Arial" w:cs="Arial" w:eastAsia="Arial" w:hAnsi="Arial"/>
                <w:sz w:val="11"/>
                <w:szCs w:val="11"/>
                <w:b w:val="1"/>
                <w:bCs w:val="1"/>
                <w:color w:val="auto"/>
              </w:rPr>
              <w:t>Successor</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tcBorders>
              <w:right w:val="single" w:sz="8" w:color="auto"/>
            </w:tcBorders>
          </w:tcPr>
          <w:p>
            <w:pPr>
              <w:jc w:val="center"/>
              <w:ind w:right="126"/>
              <w:spacing w:after="0"/>
              <w:rPr>
                <w:sz w:val="20"/>
                <w:szCs w:val="20"/>
                <w:color w:val="auto"/>
              </w:rPr>
            </w:pPr>
            <w:r>
              <w:rPr>
                <w:rFonts w:ascii="Arial" w:cs="Arial" w:eastAsia="Arial" w:hAnsi="Arial"/>
                <w:sz w:val="11"/>
                <w:szCs w:val="11"/>
                <w:b w:val="1"/>
                <w:bCs w:val="1"/>
                <w:color w:val="auto"/>
                <w:w w:val="96"/>
              </w:rPr>
              <w:t>Successor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9"/>
              </w:rPr>
              <w:t>Predecessor</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6"/>
              <w:spacing w:after="0"/>
              <w:rPr>
                <w:sz w:val="20"/>
                <w:szCs w:val="20"/>
                <w:color w:val="auto"/>
              </w:rPr>
            </w:pPr>
            <w:r>
              <w:rPr>
                <w:rFonts w:ascii="Arial" w:cs="Arial" w:eastAsia="Arial" w:hAnsi="Arial"/>
                <w:sz w:val="11"/>
                <w:szCs w:val="11"/>
                <w:b w:val="1"/>
                <w:bCs w:val="1"/>
                <w:color w:val="auto"/>
                <w:w w:val="96"/>
              </w:rPr>
              <w:t>Predecessor</w:t>
            </w:r>
          </w:p>
        </w:tc>
        <w:tc>
          <w:tcPr>
            <w:tcW w:w="0" w:type="dxa"/>
            <w:vAlign w:val="bottom"/>
          </w:tcPr>
          <w:p>
            <w:pPr>
              <w:spacing w:after="0"/>
              <w:rPr>
                <w:sz w:val="1"/>
                <w:szCs w:val="1"/>
                <w:color w:val="auto"/>
              </w:rPr>
            </w:pPr>
          </w:p>
        </w:tc>
      </w:tr>
      <w:tr>
        <w:trPr>
          <w:trHeight w:val="100"/>
        </w:trPr>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0" w:type="dxa"/>
            <w:vAlign w:val="bottom"/>
            <w:tcBorders>
              <w:top w:val="single" w:sz="8" w:color="auto"/>
            </w:tcBorders>
            <w:gridSpan w:val="2"/>
          </w:tcPr>
          <w:p>
            <w:pPr>
              <w:jc w:val="center"/>
              <w:ind w:right="26"/>
              <w:spacing w:after="0" w:line="100" w:lineRule="exact"/>
              <w:rPr>
                <w:sz w:val="20"/>
                <w:szCs w:val="20"/>
                <w:color w:val="auto"/>
              </w:rPr>
            </w:pPr>
            <w:r>
              <w:rPr>
                <w:rFonts w:ascii="Arial" w:cs="Arial" w:eastAsia="Arial" w:hAnsi="Arial"/>
                <w:sz w:val="11"/>
                <w:szCs w:val="11"/>
                <w:b w:val="1"/>
                <w:bCs w:val="1"/>
                <w:color w:val="auto"/>
                <w:w w:val="99"/>
              </w:rPr>
              <w:t>Three Months Ended</w:t>
            </w: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140" w:type="dxa"/>
            <w:vAlign w:val="bottom"/>
            <w:tcBorders>
              <w:top w:val="single" w:sz="8" w:color="auto"/>
              <w:right w:val="single" w:sz="8" w:color="auto"/>
            </w:tcBorders>
            <w:gridSpan w:val="2"/>
          </w:tcPr>
          <w:p>
            <w:pPr>
              <w:jc w:val="center"/>
              <w:ind w:right="106"/>
              <w:spacing w:after="0" w:line="100" w:lineRule="exact"/>
              <w:rPr>
                <w:sz w:val="20"/>
                <w:szCs w:val="20"/>
                <w:color w:val="auto"/>
              </w:rPr>
            </w:pPr>
            <w:r>
              <w:rPr>
                <w:rFonts w:ascii="Arial" w:cs="Arial" w:eastAsia="Arial" w:hAnsi="Arial"/>
                <w:sz w:val="11"/>
                <w:szCs w:val="11"/>
                <w:b w:val="1"/>
                <w:bCs w:val="1"/>
                <w:color w:val="auto"/>
                <w:w w:val="98"/>
              </w:rPr>
              <w:t>October 1, 2018 to</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jc w:val="center"/>
              <w:ind w:right="26"/>
              <w:spacing w:after="0" w:line="100" w:lineRule="exact"/>
              <w:rPr>
                <w:sz w:val="20"/>
                <w:szCs w:val="20"/>
                <w:color w:val="auto"/>
              </w:rPr>
            </w:pPr>
            <w:r>
              <w:rPr>
                <w:rFonts w:ascii="Arial" w:cs="Arial" w:eastAsia="Arial" w:hAnsi="Arial"/>
                <w:sz w:val="11"/>
                <w:szCs w:val="11"/>
                <w:b w:val="1"/>
                <w:bCs w:val="1"/>
                <w:color w:val="auto"/>
                <w:w w:val="98"/>
              </w:rPr>
              <w:t>January 1, 2018 to</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jc w:val="center"/>
              <w:ind w:right="6"/>
              <w:spacing w:after="0" w:line="100" w:lineRule="exact"/>
              <w:rPr>
                <w:sz w:val="20"/>
                <w:szCs w:val="20"/>
                <w:color w:val="auto"/>
              </w:rPr>
            </w:pPr>
            <w:r>
              <w:rPr>
                <w:rFonts w:ascii="Arial" w:cs="Arial" w:eastAsia="Arial" w:hAnsi="Arial"/>
                <w:sz w:val="11"/>
                <w:szCs w:val="11"/>
                <w:b w:val="1"/>
                <w:bCs w:val="1"/>
                <w:color w:val="auto"/>
                <w:w w:val="99"/>
              </w:rPr>
              <w:t>Year Ended</w:t>
            </w:r>
          </w:p>
        </w:tc>
        <w:tc>
          <w:tcPr>
            <w:tcW w:w="0" w:type="dxa"/>
            <w:vAlign w:val="bottom"/>
          </w:tcPr>
          <w:p>
            <w:pPr>
              <w:spacing w:after="0"/>
              <w:rPr>
                <w:sz w:val="1"/>
                <w:szCs w:val="1"/>
                <w:color w:val="auto"/>
              </w:rPr>
            </w:pPr>
          </w:p>
        </w:tc>
      </w:tr>
      <w:tr>
        <w:trPr>
          <w:trHeight w:val="122"/>
        </w:trPr>
        <w:tc>
          <w:tcPr>
            <w:tcW w:w="434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EPS: Pre-IPO net income attributable to Tradeweb Markets LLC</w:t>
            </w:r>
            <w:r>
              <w:rPr>
                <w:rFonts w:ascii="Arial" w:cs="Arial" w:eastAsia="Arial" w:hAnsi="Arial"/>
                <w:sz w:val="11"/>
                <w:szCs w:val="11"/>
                <w:b w:val="1"/>
                <w:bCs w:val="1"/>
                <w:color w:val="auto"/>
                <w:vertAlign w:val="superscript"/>
              </w:rPr>
              <w:t>(1)</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4"/>
              </w:rPr>
              <w:t>March 31,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right w:val="single" w:sz="8" w:color="auto"/>
            </w:tcBorders>
          </w:tcPr>
          <w:p>
            <w:pPr>
              <w:jc w:val="center"/>
              <w:ind w:right="166"/>
              <w:spacing w:after="0" w:line="122" w:lineRule="exact"/>
              <w:rPr>
                <w:sz w:val="20"/>
                <w:szCs w:val="20"/>
                <w:color w:val="auto"/>
              </w:rPr>
            </w:pPr>
            <w:r>
              <w:rPr>
                <w:rFonts w:ascii="Arial" w:cs="Arial" w:eastAsia="Arial" w:hAnsi="Arial"/>
                <w:sz w:val="11"/>
                <w:szCs w:val="11"/>
                <w:b w:val="1"/>
                <w:bCs w:val="1"/>
                <w:color w:val="auto"/>
                <w:w w:val="97"/>
              </w:rPr>
              <w:t>December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8"/>
              </w:rPr>
              <w:t>September 30,</w:t>
            </w:r>
          </w:p>
        </w:tc>
        <w:tc>
          <w:tcPr>
            <w:tcW w:w="20" w:type="dxa"/>
            <w:vAlign w:val="bottom"/>
          </w:tcPr>
          <w:p>
            <w:pPr>
              <w:spacing w:after="0"/>
              <w:rPr>
                <w:sz w:val="10"/>
                <w:szCs w:val="10"/>
                <w:color w:val="auto"/>
              </w:rPr>
            </w:pPr>
          </w:p>
        </w:tc>
        <w:tc>
          <w:tcPr>
            <w:tcW w:w="74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December 31,</w:t>
            </w:r>
          </w:p>
        </w:tc>
        <w:tc>
          <w:tcPr>
            <w:tcW w:w="0" w:type="dxa"/>
            <w:vAlign w:val="bottom"/>
          </w:tcPr>
          <w:p>
            <w:pPr>
              <w:spacing w:after="0"/>
              <w:rPr>
                <w:sz w:val="1"/>
                <w:szCs w:val="1"/>
                <w:color w:val="auto"/>
              </w:rPr>
            </w:pPr>
          </w:p>
        </w:tc>
      </w:tr>
      <w:tr>
        <w:trPr>
          <w:trHeight w:val="137"/>
        </w:trPr>
        <w:tc>
          <w:tcPr>
            <w:tcW w:w="434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jc w:val="center"/>
              <w:ind w:right="26"/>
              <w:spacing w:after="0"/>
              <w:rPr>
                <w:sz w:val="20"/>
                <w:szCs w:val="20"/>
                <w:color w:val="auto"/>
              </w:rPr>
            </w:pPr>
            <w:r>
              <w:rPr>
                <w:rFonts w:ascii="Arial" w:cs="Arial" w:eastAsia="Arial" w:hAnsi="Arial"/>
                <w:sz w:val="11"/>
                <w:szCs w:val="11"/>
                <w:b w:val="1"/>
                <w:bCs w:val="1"/>
                <w:color w:val="auto"/>
                <w:w w:val="97"/>
              </w:rPr>
              <w:t>2019</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right w:val="single" w:sz="8" w:color="auto"/>
            </w:tcBorders>
            <w:gridSpan w:val="2"/>
          </w:tcPr>
          <w:p>
            <w:pPr>
              <w:jc w:val="center"/>
              <w:ind w:right="126"/>
              <w:spacing w:after="0"/>
              <w:rPr>
                <w:sz w:val="20"/>
                <w:szCs w:val="20"/>
                <w:color w:val="auto"/>
              </w:rPr>
            </w:pPr>
            <w:r>
              <w:rPr>
                <w:rFonts w:ascii="Arial" w:cs="Arial" w:eastAsia="Arial" w:hAnsi="Arial"/>
                <w:sz w:val="11"/>
                <w:szCs w:val="11"/>
                <w:b w:val="1"/>
                <w:bCs w:val="1"/>
                <w:color w:val="auto"/>
                <w:w w:val="97"/>
              </w:rPr>
              <w:t>2018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2018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jc w:val="center"/>
              <w:ind w:right="6"/>
              <w:spacing w:after="0"/>
              <w:rPr>
                <w:sz w:val="20"/>
                <w:szCs w:val="20"/>
                <w:color w:val="auto"/>
              </w:rPr>
            </w:pPr>
            <w:r>
              <w:rPr>
                <w:rFonts w:ascii="Arial" w:cs="Arial" w:eastAsia="Arial" w:hAnsi="Arial"/>
                <w:sz w:val="11"/>
                <w:szCs w:val="11"/>
                <w:b w:val="1"/>
                <w:bCs w:val="1"/>
                <w:color w:val="auto"/>
                <w:w w:val="97"/>
              </w:rPr>
              <w:t>2017</w:t>
            </w:r>
          </w:p>
        </w:tc>
        <w:tc>
          <w:tcPr>
            <w:tcW w:w="0" w:type="dxa"/>
            <w:vAlign w:val="bottom"/>
          </w:tcPr>
          <w:p>
            <w:pPr>
              <w:spacing w:after="0"/>
              <w:rPr>
                <w:sz w:val="1"/>
                <w:szCs w:val="1"/>
                <w:color w:val="auto"/>
              </w:rPr>
            </w:pPr>
          </w:p>
        </w:tc>
      </w:tr>
      <w:tr>
        <w:trPr>
          <w:trHeight w:val="115"/>
        </w:trPr>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6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20" w:type="dxa"/>
            <w:vAlign w:val="bottom"/>
            <w:tcBorders>
              <w:top w:val="single" w:sz="8" w:color="auto"/>
            </w:tcBorders>
            <w:gridSpan w:val="9"/>
          </w:tcPr>
          <w:p>
            <w:pPr>
              <w:ind w:left="940"/>
              <w:spacing w:after="0" w:line="115" w:lineRule="exact"/>
              <w:rPr>
                <w:sz w:val="20"/>
                <w:szCs w:val="20"/>
                <w:color w:val="auto"/>
              </w:rPr>
            </w:pPr>
            <w:r>
              <w:rPr>
                <w:rFonts w:ascii="Arial" w:cs="Arial" w:eastAsia="Arial" w:hAnsi="Arial"/>
                <w:sz w:val="11"/>
                <w:szCs w:val="11"/>
                <w:b w:val="1"/>
                <w:bCs w:val="1"/>
                <w:color w:val="auto"/>
              </w:rPr>
              <w:t>(in thousands, except share and per share amounts)</w:t>
            </w:r>
          </w:p>
        </w:tc>
        <w:tc>
          <w:tcPr>
            <w:tcW w:w="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40" w:type="dxa"/>
            <w:vAlign w:val="bottom"/>
            <w:gridSpan w:val="4"/>
            <w:shd w:val="clear" w:color="auto" w:fill="CCEEFF"/>
          </w:tcPr>
          <w:p>
            <w:pPr>
              <w:spacing w:after="0" w:line="109" w:lineRule="exact"/>
              <w:rPr>
                <w:sz w:val="20"/>
                <w:szCs w:val="20"/>
                <w:color w:val="auto"/>
              </w:rPr>
            </w:pPr>
            <w:r>
              <w:rPr>
                <w:rFonts w:ascii="Arial" w:cs="Arial" w:eastAsia="Arial" w:hAnsi="Arial"/>
                <w:sz w:val="11"/>
                <w:szCs w:val="11"/>
                <w:color w:val="auto"/>
              </w:rPr>
              <w:t>Numerator:</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120" w:type="dxa"/>
            <w:vAlign w:val="bottom"/>
            <w:tcBorders>
              <w:right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120" w:type="dxa"/>
            <w:vAlign w:val="bottom"/>
            <w:tcBorders>
              <w:right w:val="single" w:sz="8" w:color="auto"/>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340" w:type="dxa"/>
            <w:vAlign w:val="bottom"/>
            <w:gridSpan w:val="4"/>
          </w:tcPr>
          <w:p>
            <w:pPr>
              <w:spacing w:after="0" w:line="115" w:lineRule="exact"/>
              <w:rPr>
                <w:sz w:val="20"/>
                <w:szCs w:val="20"/>
                <w:color w:val="auto"/>
              </w:rPr>
            </w:pPr>
            <w:r>
              <w:rPr>
                <w:rFonts w:ascii="Arial" w:cs="Arial" w:eastAsia="Arial" w:hAnsi="Arial"/>
                <w:sz w:val="11"/>
                <w:szCs w:val="11"/>
                <w:color w:val="auto"/>
              </w:rPr>
              <w:t>Pre-IPO net income attributable to Tradeweb Markets LLC</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tcPr>
          <w:p>
            <w:pPr>
              <w:jc w:val="right"/>
              <w:ind w:right="6"/>
              <w:spacing w:after="0" w:line="115" w:lineRule="exact"/>
              <w:rPr>
                <w:sz w:val="20"/>
                <w:szCs w:val="20"/>
                <w:color w:val="auto"/>
              </w:rPr>
            </w:pPr>
            <w:r>
              <w:rPr>
                <w:rFonts w:ascii="Arial" w:cs="Arial" w:eastAsia="Arial" w:hAnsi="Arial"/>
                <w:sz w:val="11"/>
                <w:szCs w:val="11"/>
                <w:color w:val="auto"/>
              </w:rPr>
              <w:t>42,352</w:t>
            </w:r>
          </w:p>
        </w:tc>
        <w:tc>
          <w:tcPr>
            <w:tcW w:w="14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gridSpan w:val="2"/>
          </w:tcPr>
          <w:p>
            <w:pPr>
              <w:jc w:val="right"/>
              <w:ind w:right="66"/>
              <w:spacing w:after="0" w:line="115" w:lineRule="exact"/>
              <w:rPr>
                <w:sz w:val="20"/>
                <w:szCs w:val="20"/>
                <w:color w:val="auto"/>
              </w:rPr>
            </w:pPr>
            <w:r>
              <w:rPr>
                <w:rFonts w:ascii="Arial" w:cs="Arial" w:eastAsia="Arial" w:hAnsi="Arial"/>
                <w:sz w:val="11"/>
                <w:szCs w:val="11"/>
                <w:color w:val="auto"/>
              </w:rPr>
              <w:t>29,307</w:t>
            </w:r>
          </w:p>
        </w:tc>
        <w:tc>
          <w:tcPr>
            <w:tcW w:w="12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ind w:right="6"/>
              <w:spacing w:after="0" w:line="115" w:lineRule="exact"/>
              <w:rPr>
                <w:sz w:val="20"/>
                <w:szCs w:val="20"/>
                <w:color w:val="auto"/>
              </w:rPr>
            </w:pPr>
            <w:r>
              <w:rPr>
                <w:rFonts w:ascii="Arial" w:cs="Arial" w:eastAsia="Arial" w:hAnsi="Arial"/>
                <w:sz w:val="11"/>
                <w:szCs w:val="11"/>
                <w:color w:val="auto"/>
              </w:rPr>
              <w:t>130,160</w:t>
            </w:r>
          </w:p>
        </w:tc>
        <w:tc>
          <w:tcPr>
            <w:tcW w:w="140" w:type="dxa"/>
            <w:vAlign w:val="bottom"/>
          </w:tcPr>
          <w:p>
            <w:pPr>
              <w:spacing w:after="0"/>
              <w:rPr>
                <w:sz w:val="10"/>
                <w:szCs w:val="10"/>
                <w:color w:val="auto"/>
              </w:rPr>
            </w:pPr>
          </w:p>
        </w:tc>
        <w:tc>
          <w:tcPr>
            <w:tcW w:w="60" w:type="dxa"/>
            <w:vAlign w:val="bottom"/>
            <w:gridSpan w:val="2"/>
          </w:tcPr>
          <w:p>
            <w:pPr>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83,648</w:t>
            </w:r>
          </w:p>
        </w:tc>
        <w:tc>
          <w:tcPr>
            <w:tcW w:w="0" w:type="dxa"/>
            <w:vAlign w:val="bottom"/>
          </w:tcPr>
          <w:p>
            <w:pPr>
              <w:spacing w:after="0"/>
              <w:rPr>
                <w:sz w:val="1"/>
                <w:szCs w:val="1"/>
                <w:color w:val="auto"/>
              </w:rPr>
            </w:pPr>
          </w:p>
        </w:tc>
      </w:tr>
      <w:tr>
        <w:trPr>
          <w:trHeight w:val="122"/>
        </w:trPr>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120" w:type="dxa"/>
            <w:vAlign w:val="bottom"/>
            <w:tcBorders>
              <w:right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60" w:type="dxa"/>
            <w:vAlign w:val="bottom"/>
            <w:tcBorders>
              <w:bottom w:val="single" w:sz="8" w:color="auto"/>
            </w:tcBorders>
            <w:gridSpan w:val="2"/>
          </w:tcPr>
          <w:p>
            <w:pPr>
              <w:spacing w:after="0" w:line="109" w:lineRule="exact"/>
              <w:rPr>
                <w:sz w:val="20"/>
                <w:szCs w:val="20"/>
                <w:color w:val="auto"/>
              </w:rPr>
            </w:pPr>
            <w:r>
              <w:rPr>
                <w:rFonts w:ascii="Arial" w:cs="Arial" w:eastAsia="Arial" w:hAnsi="Arial"/>
                <w:sz w:val="11"/>
                <w:szCs w:val="11"/>
                <w:color w:val="auto"/>
                <w:w w:val="96"/>
              </w:rPr>
              <w:t>Denominator:</w:t>
            </w:r>
          </w:p>
        </w:tc>
        <w:tc>
          <w:tcPr>
            <w:tcW w:w="36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340" w:type="dxa"/>
            <w:vAlign w:val="bottom"/>
            <w:gridSpan w:val="4"/>
            <w:shd w:val="clear" w:color="auto" w:fill="CCEEFF"/>
          </w:tcPr>
          <w:p>
            <w:pPr>
              <w:spacing w:after="0" w:line="115" w:lineRule="exact"/>
              <w:rPr>
                <w:sz w:val="20"/>
                <w:szCs w:val="20"/>
                <w:color w:val="auto"/>
              </w:rPr>
            </w:pPr>
            <w:r>
              <w:rPr>
                <w:rFonts w:ascii="Arial" w:cs="Arial" w:eastAsia="Arial" w:hAnsi="Arial"/>
                <w:sz w:val="11"/>
                <w:szCs w:val="11"/>
                <w:color w:val="auto"/>
              </w:rPr>
              <w:t>Weighted average LLC Interests outstanding - Basic</w:t>
            </w:r>
          </w:p>
        </w:tc>
        <w:tc>
          <w:tcPr>
            <w:tcW w:w="8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222,222,197</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tcBorders>
              <w:right w:val="single" w:sz="8" w:color="auto"/>
            </w:tcBorders>
            <w:gridSpan w:val="2"/>
            <w:shd w:val="clear" w:color="auto" w:fill="CCEEFF"/>
          </w:tcPr>
          <w:p>
            <w:pPr>
              <w:jc w:val="right"/>
              <w:ind w:right="66"/>
              <w:spacing w:after="0" w:line="115" w:lineRule="exact"/>
              <w:rPr>
                <w:sz w:val="20"/>
                <w:szCs w:val="20"/>
                <w:color w:val="auto"/>
              </w:rPr>
            </w:pPr>
            <w:r>
              <w:rPr>
                <w:rFonts w:ascii="Arial" w:cs="Arial" w:eastAsia="Arial" w:hAnsi="Arial"/>
                <w:sz w:val="11"/>
                <w:szCs w:val="11"/>
                <w:color w:val="auto"/>
              </w:rPr>
              <w:t>222,221,628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215,365,920</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212,568,635</w:t>
            </w:r>
          </w:p>
        </w:tc>
        <w:tc>
          <w:tcPr>
            <w:tcW w:w="0" w:type="dxa"/>
            <w:vAlign w:val="bottom"/>
          </w:tcPr>
          <w:p>
            <w:pPr>
              <w:spacing w:after="0"/>
              <w:rPr>
                <w:sz w:val="1"/>
                <w:szCs w:val="1"/>
                <w:color w:val="auto"/>
              </w:rPr>
            </w:pPr>
          </w:p>
        </w:tc>
      </w:tr>
      <w:tr>
        <w:trPr>
          <w:trHeight w:val="122"/>
        </w:trPr>
        <w:tc>
          <w:tcPr>
            <w:tcW w:w="4340" w:type="dxa"/>
            <w:vAlign w:val="bottom"/>
            <w:gridSpan w:val="4"/>
          </w:tcPr>
          <w:p>
            <w:pPr>
              <w:ind w:left="120"/>
              <w:spacing w:after="0" w:line="122" w:lineRule="exact"/>
              <w:rPr>
                <w:sz w:val="20"/>
                <w:szCs w:val="20"/>
                <w:color w:val="auto"/>
              </w:rPr>
            </w:pPr>
            <w:r>
              <w:rPr>
                <w:rFonts w:ascii="Arial" w:cs="Arial" w:eastAsia="Arial" w:hAnsi="Arial"/>
                <w:sz w:val="11"/>
                <w:szCs w:val="11"/>
                <w:color w:val="auto"/>
              </w:rPr>
              <w:t>Dilutive effect of equity-settled PRSUs</w:t>
            </w:r>
          </w:p>
        </w:tc>
        <w:tc>
          <w:tcPr>
            <w:tcW w:w="80" w:type="dxa"/>
            <w:vAlign w:val="bottom"/>
          </w:tcPr>
          <w:p>
            <w:pPr>
              <w:spacing w:after="0"/>
              <w:rPr>
                <w:sz w:val="10"/>
                <w:szCs w:val="10"/>
                <w:color w:val="auto"/>
              </w:rPr>
            </w:pPr>
          </w:p>
        </w:tc>
        <w:tc>
          <w:tcPr>
            <w:tcW w:w="1200" w:type="dxa"/>
            <w:vAlign w:val="bottom"/>
            <w:gridSpan w:val="2"/>
          </w:tcPr>
          <w:p>
            <w:pPr>
              <w:jc w:val="right"/>
              <w:ind w:right="6"/>
              <w:spacing w:after="0" w:line="122" w:lineRule="exact"/>
              <w:rPr>
                <w:sz w:val="20"/>
                <w:szCs w:val="20"/>
                <w:color w:val="auto"/>
              </w:rPr>
            </w:pPr>
            <w:r>
              <w:rPr>
                <w:rFonts w:ascii="Arial" w:cs="Arial" w:eastAsia="Arial" w:hAnsi="Arial"/>
                <w:sz w:val="11"/>
                <w:szCs w:val="11"/>
                <w:color w:val="auto"/>
              </w:rPr>
              <w:t>1,098,260</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Borders>
              <w:right w:val="single" w:sz="8" w:color="auto"/>
            </w:tcBorders>
            <w:gridSpan w:val="2"/>
          </w:tcPr>
          <w:p>
            <w:pPr>
              <w:jc w:val="right"/>
              <w:ind w:right="66"/>
              <w:spacing w:after="0" w:line="122" w:lineRule="exact"/>
              <w:rPr>
                <w:sz w:val="20"/>
                <w:szCs w:val="20"/>
                <w:color w:val="auto"/>
              </w:rPr>
            </w:pPr>
            <w:r>
              <w:rPr>
                <w:rFonts w:ascii="Arial" w:cs="Arial" w:eastAsia="Arial" w:hAnsi="Arial"/>
                <w:sz w:val="11"/>
                <w:szCs w:val="11"/>
                <w:color w:val="auto"/>
              </w:rPr>
              <w:t>22,223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4340" w:type="dxa"/>
            <w:vAlign w:val="bottom"/>
            <w:tcBorders>
              <w:top w:val="single" w:sz="8" w:color="CCEEFF"/>
              <w:bottom w:val="single" w:sz="8" w:color="CCEEFF"/>
            </w:tcBorders>
            <w:gridSpan w:val="4"/>
            <w:shd w:val="clear" w:color="auto" w:fill="CCEEFF"/>
          </w:tcPr>
          <w:p>
            <w:pPr>
              <w:spacing w:after="0" w:line="110" w:lineRule="exact"/>
              <w:rPr>
                <w:sz w:val="20"/>
                <w:szCs w:val="20"/>
                <w:color w:val="auto"/>
              </w:rPr>
            </w:pPr>
            <w:r>
              <w:rPr>
                <w:rFonts w:ascii="Arial" w:cs="Arial" w:eastAsia="Arial" w:hAnsi="Arial"/>
                <w:sz w:val="11"/>
                <w:szCs w:val="11"/>
                <w:color w:val="auto"/>
              </w:rPr>
              <w:t>Weighted average LLC Interests outstanding - Diluted</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223,320,457</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120" w:type="dxa"/>
            <w:vAlign w:val="bottom"/>
            <w:tcBorders>
              <w:top w:val="single" w:sz="8" w:color="auto"/>
              <w:bottom w:val="single" w:sz="8" w:color="auto"/>
              <w:right w:val="single" w:sz="8" w:color="auto"/>
            </w:tcBorders>
            <w:shd w:val="clear" w:color="auto" w:fill="CCEEFF"/>
          </w:tcPr>
          <w:p>
            <w:pPr>
              <w:jc w:val="right"/>
              <w:ind w:right="66"/>
              <w:spacing w:after="0" w:line="115" w:lineRule="exact"/>
              <w:rPr>
                <w:sz w:val="20"/>
                <w:szCs w:val="20"/>
                <w:color w:val="auto"/>
              </w:rPr>
            </w:pPr>
            <w:r>
              <w:rPr>
                <w:rFonts w:ascii="Arial" w:cs="Arial" w:eastAsia="Arial" w:hAnsi="Arial"/>
                <w:sz w:val="11"/>
                <w:szCs w:val="11"/>
                <w:color w:val="auto"/>
              </w:rPr>
              <w:t>222,243,851</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auto"/>
              <w:bottom w:val="single" w:sz="8" w:color="auto"/>
            </w:tcBorders>
            <w:shd w:val="clear" w:color="auto" w:fill="CCEEFF"/>
          </w:tcPr>
          <w:p>
            <w:pPr>
              <w:spacing w:after="0"/>
              <w:rPr>
                <w:sz w:val="10"/>
                <w:szCs w:val="10"/>
                <w:color w:val="auto"/>
              </w:rPr>
            </w:pPr>
          </w:p>
        </w:tc>
        <w:tc>
          <w:tcPr>
            <w:tcW w:w="1060" w:type="dxa"/>
            <w:vAlign w:val="bottom"/>
            <w:tcBorders>
              <w:top w:val="single" w:sz="8" w:color="auto"/>
              <w:bottom w:val="single" w:sz="8" w:color="auto"/>
            </w:tcBorders>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215,365,920</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auto"/>
              <w:bottom w:val="single" w:sz="8" w:color="auto"/>
            </w:tcBorders>
            <w:shd w:val="clear" w:color="auto" w:fill="CCEEFF"/>
          </w:tcPr>
          <w:p>
            <w:pPr>
              <w:spacing w:after="0"/>
              <w:rPr>
                <w:sz w:val="10"/>
                <w:szCs w:val="10"/>
                <w:color w:val="auto"/>
              </w:rPr>
            </w:pPr>
          </w:p>
        </w:tc>
        <w:tc>
          <w:tcPr>
            <w:tcW w:w="7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212,568,635</w:t>
            </w:r>
          </w:p>
        </w:tc>
        <w:tc>
          <w:tcPr>
            <w:tcW w:w="0" w:type="dxa"/>
            <w:vAlign w:val="bottom"/>
          </w:tcPr>
          <w:p>
            <w:pPr>
              <w:spacing w:after="0"/>
              <w:rPr>
                <w:sz w:val="1"/>
                <w:szCs w:val="1"/>
                <w:color w:val="auto"/>
              </w:rPr>
            </w:pPr>
          </w:p>
        </w:tc>
      </w:tr>
      <w:tr>
        <w:trPr>
          <w:trHeight w:val="122"/>
        </w:trPr>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2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340" w:type="dxa"/>
            <w:vAlign w:val="bottom"/>
            <w:gridSpan w:val="4"/>
            <w:shd w:val="clear" w:color="auto" w:fill="CCEEFF"/>
          </w:tcPr>
          <w:p>
            <w:pPr>
              <w:spacing w:after="0" w:line="122" w:lineRule="exact"/>
              <w:rPr>
                <w:sz w:val="20"/>
                <w:szCs w:val="20"/>
                <w:color w:val="auto"/>
              </w:rPr>
            </w:pPr>
            <w:r>
              <w:rPr>
                <w:rFonts w:ascii="Arial" w:cs="Arial" w:eastAsia="Arial" w:hAnsi="Arial"/>
                <w:sz w:val="11"/>
                <w:szCs w:val="11"/>
                <w:color w:val="auto"/>
              </w:rPr>
              <w:t>Earnings per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00" w:type="dxa"/>
            <w:vAlign w:val="bottom"/>
            <w:gridSpan w:val="2"/>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0.19</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140" w:type="dxa"/>
            <w:vAlign w:val="bottom"/>
            <w:tcBorders>
              <w:right w:val="single" w:sz="8" w:color="auto"/>
            </w:tcBorders>
            <w:gridSpan w:val="2"/>
            <w:shd w:val="clear" w:color="auto" w:fill="CCEEFF"/>
          </w:tcPr>
          <w:p>
            <w:pPr>
              <w:jc w:val="right"/>
              <w:ind w:right="66"/>
              <w:spacing w:after="0" w:line="122" w:lineRule="exact"/>
              <w:rPr>
                <w:sz w:val="20"/>
                <w:szCs w:val="20"/>
                <w:color w:val="auto"/>
              </w:rPr>
            </w:pPr>
            <w:r>
              <w:rPr>
                <w:rFonts w:ascii="Arial" w:cs="Arial" w:eastAsia="Arial" w:hAnsi="Arial"/>
                <w:sz w:val="11"/>
                <w:szCs w:val="11"/>
                <w:color w:val="auto"/>
              </w:rPr>
              <w:t>0.13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0.60</w:t>
            </w:r>
          </w:p>
        </w:tc>
        <w:tc>
          <w:tcPr>
            <w:tcW w:w="140" w:type="dxa"/>
            <w:vAlign w:val="bottom"/>
            <w:shd w:val="clear" w:color="auto" w:fill="CCEEFF"/>
          </w:tcPr>
          <w:p>
            <w:pPr>
              <w:spacing w:after="0"/>
              <w:rPr>
                <w:sz w:val="12"/>
                <w:szCs w:val="12"/>
                <w:color w:val="auto"/>
              </w:rPr>
            </w:pPr>
          </w:p>
        </w:tc>
        <w:tc>
          <w:tcPr>
            <w:tcW w:w="60" w:type="dxa"/>
            <w:vAlign w:val="bottom"/>
            <w:gridSpan w:val="2"/>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0.39</w:t>
            </w:r>
          </w:p>
        </w:tc>
        <w:tc>
          <w:tcPr>
            <w:tcW w:w="0" w:type="dxa"/>
            <w:vAlign w:val="bottom"/>
          </w:tcPr>
          <w:p>
            <w:pPr>
              <w:spacing w:after="0"/>
              <w:rPr>
                <w:sz w:val="1"/>
                <w:szCs w:val="1"/>
                <w:color w:val="auto"/>
              </w:rPr>
            </w:pPr>
          </w:p>
        </w:tc>
      </w:tr>
      <w:tr>
        <w:trPr>
          <w:trHeight w:val="116"/>
        </w:trPr>
        <w:tc>
          <w:tcPr>
            <w:tcW w:w="4340" w:type="dxa"/>
            <w:vAlign w:val="bottom"/>
            <w:tcBorders>
              <w:top w:val="single" w:sz="8" w:color="CCEEFF"/>
            </w:tcBorders>
            <w:gridSpan w:val="4"/>
          </w:tcPr>
          <w:p>
            <w:pPr>
              <w:spacing w:after="0" w:line="109" w:lineRule="exact"/>
              <w:rPr>
                <w:sz w:val="20"/>
                <w:szCs w:val="20"/>
                <w:color w:val="auto"/>
              </w:rPr>
            </w:pPr>
            <w:r>
              <w:rPr>
                <w:rFonts w:ascii="Arial" w:cs="Arial" w:eastAsia="Arial" w:hAnsi="Arial"/>
                <w:sz w:val="11"/>
                <w:szCs w:val="11"/>
                <w:color w:val="auto"/>
              </w:rPr>
              <w:t>Earnings per share - Diluted</w:t>
            </w:r>
          </w:p>
        </w:tc>
        <w:tc>
          <w:tcPr>
            <w:tcW w:w="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tcPr>
          <w:p>
            <w:pPr>
              <w:jc w:val="right"/>
              <w:ind w:right="6"/>
              <w:spacing w:after="0" w:line="109" w:lineRule="exact"/>
              <w:rPr>
                <w:sz w:val="20"/>
                <w:szCs w:val="20"/>
                <w:color w:val="auto"/>
              </w:rPr>
            </w:pPr>
            <w:r>
              <w:rPr>
                <w:rFonts w:ascii="Arial" w:cs="Arial" w:eastAsia="Arial" w:hAnsi="Arial"/>
                <w:sz w:val="11"/>
                <w:szCs w:val="11"/>
                <w:color w:val="auto"/>
              </w:rPr>
              <w:t>0.19</w:t>
            </w:r>
          </w:p>
        </w:tc>
        <w:tc>
          <w:tcPr>
            <w:tcW w:w="40" w:type="dxa"/>
            <w:vAlign w:val="bottom"/>
            <w:tcBorders>
              <w:top w:val="single" w:sz="8" w:color="CCEEFF"/>
            </w:tcBorders>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right w:val="single" w:sz="8" w:color="auto"/>
            </w:tcBorders>
            <w:gridSpan w:val="2"/>
          </w:tcPr>
          <w:p>
            <w:pPr>
              <w:jc w:val="right"/>
              <w:ind w:right="66"/>
              <w:spacing w:after="0" w:line="109" w:lineRule="exact"/>
              <w:rPr>
                <w:sz w:val="20"/>
                <w:szCs w:val="20"/>
                <w:color w:val="auto"/>
              </w:rPr>
            </w:pPr>
            <w:r>
              <w:rPr>
                <w:rFonts w:ascii="Arial" w:cs="Arial" w:eastAsia="Arial" w:hAnsi="Arial"/>
                <w:sz w:val="11"/>
                <w:szCs w:val="11"/>
                <w:color w:val="auto"/>
              </w:rPr>
              <w:t>0.13</w:t>
            </w:r>
          </w:p>
        </w:tc>
        <w:tc>
          <w:tcPr>
            <w:tcW w:w="120" w:type="dxa"/>
            <w:vAlign w:val="bottom"/>
            <w:tcBorders>
              <w:top w:val="single" w:sz="8" w:color="CCEEFF"/>
            </w:tcBorders>
          </w:tcPr>
          <w:p>
            <w:pPr>
              <w:spacing w:after="0"/>
              <w:rPr>
                <w:sz w:val="10"/>
                <w:szCs w:val="10"/>
                <w:color w:val="auto"/>
              </w:rPr>
            </w:pPr>
          </w:p>
        </w:tc>
        <w:tc>
          <w:tcPr>
            <w:tcW w:w="8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ind w:right="6"/>
              <w:spacing w:after="0" w:line="109" w:lineRule="exact"/>
              <w:rPr>
                <w:sz w:val="20"/>
                <w:szCs w:val="20"/>
                <w:color w:val="auto"/>
              </w:rPr>
            </w:pPr>
            <w:r>
              <w:rPr>
                <w:rFonts w:ascii="Arial" w:cs="Arial" w:eastAsia="Arial" w:hAnsi="Arial"/>
                <w:sz w:val="11"/>
                <w:szCs w:val="11"/>
                <w:color w:val="auto"/>
              </w:rPr>
              <w:t>0.60</w:t>
            </w:r>
          </w:p>
        </w:tc>
        <w:tc>
          <w:tcPr>
            <w:tcW w:w="140" w:type="dxa"/>
            <w:vAlign w:val="bottom"/>
            <w:tcBorders>
              <w:top w:val="single" w:sz="8" w:color="CCEEFF"/>
            </w:tcBorders>
          </w:tcPr>
          <w:p>
            <w:pPr>
              <w:spacing w:after="0"/>
              <w:rPr>
                <w:sz w:val="10"/>
                <w:szCs w:val="10"/>
                <w:color w:val="auto"/>
              </w:rPr>
            </w:pPr>
          </w:p>
        </w:tc>
        <w:tc>
          <w:tcPr>
            <w:tcW w:w="20" w:type="dxa"/>
            <w:vAlign w:val="bottom"/>
            <w:tcBorders>
              <w:top w:val="single" w:sz="8" w:color="CCEEFF"/>
              <w:bottom w:val="single" w:sz="8" w:color="auto"/>
            </w:tcBorders>
          </w:tcPr>
          <w:p>
            <w:pPr>
              <w:spacing w:after="0"/>
              <w:rPr>
                <w:sz w:val="10"/>
                <w:szCs w:val="10"/>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color w:val="auto"/>
                <w:w w:val="70"/>
              </w:rPr>
              <w:t>$</w:t>
            </w:r>
          </w:p>
        </w:tc>
        <w:tc>
          <w:tcPr>
            <w:tcW w:w="700" w:type="dxa"/>
            <w:vAlign w:val="bottom"/>
            <w:tcBorders>
              <w:top w:val="single" w:sz="8" w:color="auto"/>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0.39</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660" w:right="60" w:hanging="333"/>
        <w:spacing w:after="0" w:line="223" w:lineRule="auto"/>
        <w:tabs>
          <w:tab w:leader="none" w:pos="6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Earnings per share and weighted average shares outstanding for the pre-IPO periods have been computed to give effect to the Reorganization Transactions, including the amendment and restatement of the fourth amended and restated limited liability company agreement of Tradeweb Markets LLC to, among other things, (i) provide for a new single class of common membership interests in Tradeweb Markets LLC (“LLC Interests”) and (ii) exchange all of the original members’ existing membership interests for LLC Interests.</w:t>
      </w:r>
    </w:p>
    <w:p>
      <w:pPr>
        <w:spacing w:after="0" w:line="317"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auto"/>
        </w:rPr>
        <w:t>The following table summarizes the basic and diluted earnings per share calculations for Tradeweb Markets Inc. (post-IPO period):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1"/>
                <w:szCs w:val="11"/>
                <w:b w:val="1"/>
                <w:bCs w:val="1"/>
                <w:color w:val="auto"/>
              </w:rPr>
              <w:t>Successor</w:t>
            </w: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jc w:val="center"/>
              <w:ind w:right="46"/>
              <w:spacing w:after="0" w:line="100" w:lineRule="exact"/>
              <w:rPr>
                <w:sz w:val="20"/>
                <w:szCs w:val="20"/>
                <w:color w:val="auto"/>
              </w:rPr>
            </w:pPr>
            <w:r>
              <w:rPr>
                <w:rFonts w:ascii="Arial" w:cs="Arial" w:eastAsia="Arial" w:hAnsi="Arial"/>
                <w:sz w:val="11"/>
                <w:szCs w:val="11"/>
                <w:b w:val="1"/>
                <w:bCs w:val="1"/>
                <w:color w:val="auto"/>
                <w:w w:val="99"/>
              </w:rPr>
              <w:t>Three Months Ended</w:t>
            </w: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00" w:type="dxa"/>
            <w:vAlign w:val="bottom"/>
          </w:tcPr>
          <w:p>
            <w:pPr>
              <w:jc w:val="center"/>
              <w:ind w:right="166"/>
              <w:spacing w:after="0" w:line="100" w:lineRule="exact"/>
              <w:rPr>
                <w:sz w:val="20"/>
                <w:szCs w:val="20"/>
                <w:color w:val="auto"/>
              </w:rPr>
            </w:pPr>
            <w:r>
              <w:rPr>
                <w:rFonts w:ascii="Arial" w:cs="Arial" w:eastAsia="Arial" w:hAnsi="Arial"/>
                <w:sz w:val="11"/>
                <w:szCs w:val="11"/>
                <w:b w:val="1"/>
                <w:bCs w:val="1"/>
                <w:color w:val="auto"/>
                <w:w w:val="99"/>
              </w:rPr>
              <w:t>Year Ended</w:t>
            </w:r>
          </w:p>
        </w:tc>
        <w:tc>
          <w:tcPr>
            <w:tcW w:w="0" w:type="dxa"/>
            <w:vAlign w:val="bottom"/>
          </w:tcPr>
          <w:p>
            <w:pPr>
              <w:spacing w:after="0"/>
              <w:rPr>
                <w:sz w:val="1"/>
                <w:szCs w:val="1"/>
                <w:color w:val="auto"/>
              </w:rPr>
            </w:pPr>
          </w:p>
        </w:tc>
      </w:tr>
      <w:tr>
        <w:trPr>
          <w:trHeight w:val="122"/>
        </w:trPr>
        <w:tc>
          <w:tcPr>
            <w:tcW w:w="6040" w:type="dxa"/>
            <w:vAlign w:val="bottom"/>
            <w:gridSpan w:val="4"/>
          </w:tcPr>
          <w:p>
            <w:pPr>
              <w:spacing w:after="0" w:line="122" w:lineRule="exact"/>
              <w:rPr>
                <w:sz w:val="20"/>
                <w:szCs w:val="20"/>
                <w:color w:val="auto"/>
              </w:rPr>
            </w:pPr>
            <w:r>
              <w:rPr>
                <w:rFonts w:ascii="Arial" w:cs="Arial" w:eastAsia="Arial" w:hAnsi="Arial"/>
                <w:sz w:val="11"/>
                <w:szCs w:val="11"/>
                <w:b w:val="1"/>
                <w:bCs w:val="1"/>
                <w:color w:val="auto"/>
              </w:rPr>
              <w:t>EPS: Post-IPO net income attributable to Tradeweb Markets Inc.</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7"/>
              </w:rPr>
              <w:t>December 31,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center"/>
              <w:ind w:right="186"/>
              <w:spacing w:after="0" w:line="122" w:lineRule="exact"/>
              <w:rPr>
                <w:sz w:val="20"/>
                <w:szCs w:val="20"/>
                <w:color w:val="auto"/>
              </w:rPr>
            </w:pPr>
            <w:r>
              <w:rPr>
                <w:rFonts w:ascii="Arial" w:cs="Arial" w:eastAsia="Arial" w:hAnsi="Arial"/>
                <w:sz w:val="11"/>
                <w:szCs w:val="11"/>
                <w:b w:val="1"/>
                <w:bCs w:val="1"/>
                <w:color w:val="auto"/>
                <w:w w:val="97"/>
              </w:rPr>
              <w:t>December 31,</w:t>
            </w:r>
          </w:p>
        </w:tc>
        <w:tc>
          <w:tcPr>
            <w:tcW w:w="0" w:type="dxa"/>
            <w:vAlign w:val="bottom"/>
          </w:tcPr>
          <w:p>
            <w:pPr>
              <w:spacing w:after="0"/>
              <w:rPr>
                <w:sz w:val="1"/>
                <w:szCs w:val="1"/>
                <w:color w:val="auto"/>
              </w:rPr>
            </w:pPr>
          </w:p>
        </w:tc>
      </w:tr>
      <w:tr>
        <w:trPr>
          <w:trHeight w:val="137"/>
        </w:trPr>
        <w:tc>
          <w:tcPr>
            <w:tcW w:w="6040" w:type="dxa"/>
            <w:vAlign w:val="bottom"/>
            <w:gridSpan w:val="4"/>
          </w:tcPr>
          <w:p>
            <w:pPr>
              <w:spacing w:after="0"/>
              <w:rPr>
                <w:sz w:val="20"/>
                <w:szCs w:val="20"/>
                <w:color w:val="auto"/>
              </w:rPr>
            </w:pPr>
            <w:r>
              <w:rPr>
                <w:rFonts w:ascii="Arial" w:cs="Arial" w:eastAsia="Arial" w:hAnsi="Arial"/>
                <w:sz w:val="11"/>
                <w:szCs w:val="11"/>
                <w:b w:val="1"/>
                <w:bCs w:val="1"/>
                <w:color w:val="auto"/>
              </w:rPr>
              <w:t>(in thousands, except share and per share amounts)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jc w:val="center"/>
              <w:ind w:right="46"/>
              <w:spacing w:after="0"/>
              <w:rPr>
                <w:sz w:val="20"/>
                <w:szCs w:val="20"/>
                <w:color w:val="auto"/>
              </w:rPr>
            </w:pPr>
            <w:r>
              <w:rPr>
                <w:rFonts w:ascii="Arial" w:cs="Arial" w:eastAsia="Arial" w:hAnsi="Arial"/>
                <w:sz w:val="11"/>
                <w:szCs w:val="11"/>
                <w:b w:val="1"/>
                <w:bCs w:val="1"/>
                <w:color w:val="auto"/>
                <w:w w:val="97"/>
              </w:rPr>
              <w:t>2019</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66"/>
              <w:spacing w:after="0"/>
              <w:rPr>
                <w:sz w:val="20"/>
                <w:szCs w:val="20"/>
                <w:color w:val="auto"/>
              </w:rPr>
            </w:pPr>
            <w:r>
              <w:rPr>
                <w:rFonts w:ascii="Arial" w:cs="Arial" w:eastAsia="Arial" w:hAnsi="Arial"/>
                <w:sz w:val="11"/>
                <w:szCs w:val="11"/>
                <w:b w:val="1"/>
                <w:bCs w:val="1"/>
                <w:color w:val="auto"/>
                <w:w w:val="97"/>
              </w:rPr>
              <w:t>2019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Borders>
              <w:top w:val="single" w:sz="8" w:color="auto"/>
            </w:tcBorders>
            <w:gridSpan w:val="3"/>
            <w:shd w:val="clear" w:color="auto" w:fill="CCEEFF"/>
          </w:tcPr>
          <w:p>
            <w:pPr>
              <w:spacing w:after="0" w:line="102" w:lineRule="exact"/>
              <w:rPr>
                <w:sz w:val="20"/>
                <w:szCs w:val="20"/>
                <w:color w:val="auto"/>
              </w:rPr>
            </w:pPr>
            <w:r>
              <w:rPr>
                <w:rFonts w:ascii="Arial" w:cs="Arial" w:eastAsia="Arial" w:hAnsi="Arial"/>
                <w:sz w:val="11"/>
                <w:szCs w:val="11"/>
                <w:color w:val="auto"/>
              </w:rPr>
              <w:t>Numerator:</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1220" w:type="dxa"/>
            <w:vAlign w:val="bottom"/>
            <w:tcBorders>
              <w:top w:val="single" w:sz="8" w:color="auto"/>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10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3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6020" w:type="dxa"/>
            <w:vAlign w:val="bottom"/>
            <w:gridSpan w:val="3"/>
          </w:tcPr>
          <w:p>
            <w:pPr>
              <w:spacing w:after="0" w:line="115" w:lineRule="exact"/>
              <w:rPr>
                <w:sz w:val="20"/>
                <w:szCs w:val="20"/>
                <w:color w:val="auto"/>
              </w:rPr>
            </w:pPr>
            <w:r>
              <w:rPr>
                <w:rFonts w:ascii="Arial" w:cs="Arial" w:eastAsia="Arial" w:hAnsi="Arial"/>
                <w:sz w:val="11"/>
                <w:szCs w:val="11"/>
                <w:color w:val="auto"/>
              </w:rPr>
              <w:t>Post-IPO net income attributable to Tradeweb Markets Inc.</w:t>
            </w:r>
          </w:p>
        </w:tc>
        <w:tc>
          <w:tcPr>
            <w:tcW w:w="22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line="115" w:lineRule="exact"/>
              <w:rPr>
                <w:sz w:val="20"/>
                <w:szCs w:val="20"/>
                <w:color w:val="auto"/>
              </w:rPr>
            </w:pPr>
            <w:r>
              <w:rPr>
                <w:rFonts w:ascii="Arial" w:cs="Arial" w:eastAsia="Arial" w:hAnsi="Arial"/>
                <w:sz w:val="11"/>
                <w:szCs w:val="11"/>
                <w:color w:val="auto"/>
              </w:rPr>
              <w:t>41,329</w:t>
            </w:r>
          </w:p>
        </w:tc>
        <w:tc>
          <w:tcPr>
            <w:tcW w:w="480" w:type="dxa"/>
            <w:vAlign w:val="bottom"/>
            <w:gridSpan w:val="2"/>
          </w:tcPr>
          <w:p>
            <w:pPr>
              <w:jc w:val="right"/>
              <w:ind w:right="111"/>
              <w:spacing w:after="0" w:line="115" w:lineRule="exact"/>
              <w:rPr>
                <w:sz w:val="20"/>
                <w:szCs w:val="20"/>
                <w:color w:val="auto"/>
              </w:rPr>
            </w:pPr>
            <w:r>
              <w:rPr>
                <w:rFonts w:ascii="Arial" w:cs="Arial" w:eastAsia="Arial" w:hAnsi="Arial"/>
                <w:sz w:val="11"/>
                <w:szCs w:val="11"/>
                <w:color w:val="auto"/>
              </w:rPr>
              <w:t>$</w:t>
            </w:r>
          </w:p>
        </w:tc>
        <w:tc>
          <w:tcPr>
            <w:tcW w:w="1100" w:type="dxa"/>
            <w:vAlign w:val="bottom"/>
          </w:tcPr>
          <w:p>
            <w:pPr>
              <w:jc w:val="right"/>
              <w:spacing w:after="0" w:line="115" w:lineRule="exact"/>
              <w:rPr>
                <w:sz w:val="20"/>
                <w:szCs w:val="20"/>
                <w:color w:val="auto"/>
              </w:rPr>
            </w:pPr>
            <w:r>
              <w:rPr>
                <w:rFonts w:ascii="Arial" w:cs="Arial" w:eastAsia="Arial" w:hAnsi="Arial"/>
                <w:sz w:val="11"/>
                <w:szCs w:val="11"/>
                <w:color w:val="auto"/>
              </w:rPr>
              <w:t>83,769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vMerge w:val="continue"/>
          </w:tcPr>
          <w:p>
            <w:pPr>
              <w:spacing w:after="0"/>
              <w:rPr>
                <w:sz w:val="9"/>
                <w:szCs w:val="9"/>
                <w:color w:val="auto"/>
              </w:rPr>
            </w:pPr>
          </w:p>
        </w:tc>
        <w:tc>
          <w:tcPr>
            <w:tcW w:w="640" w:type="dxa"/>
            <w:vAlign w:val="bottom"/>
            <w:tcBorders>
              <w:bottom w:val="single" w:sz="8" w:color="auto"/>
            </w:tcBorders>
            <w:gridSpan w:val="2"/>
          </w:tcPr>
          <w:p>
            <w:pPr>
              <w:spacing w:after="0" w:line="109" w:lineRule="exact"/>
              <w:rPr>
                <w:sz w:val="20"/>
                <w:szCs w:val="20"/>
                <w:color w:val="auto"/>
              </w:rPr>
            </w:pPr>
            <w:r>
              <w:rPr>
                <w:rFonts w:ascii="Arial" w:cs="Arial" w:eastAsia="Arial" w:hAnsi="Arial"/>
                <w:sz w:val="11"/>
                <w:szCs w:val="11"/>
                <w:color w:val="auto"/>
                <w:w w:val="93"/>
              </w:rPr>
              <w:t>Denominator:</w:t>
            </w:r>
          </w:p>
        </w:tc>
        <w:tc>
          <w:tcPr>
            <w:tcW w:w="5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020" w:type="dxa"/>
            <w:vAlign w:val="bottom"/>
            <w:gridSpan w:val="3"/>
            <w:shd w:val="clear" w:color="auto" w:fill="CCEEFF"/>
          </w:tcPr>
          <w:p>
            <w:pPr>
              <w:spacing w:after="0" w:line="115" w:lineRule="exact"/>
              <w:rPr>
                <w:sz w:val="20"/>
                <w:szCs w:val="20"/>
                <w:color w:val="auto"/>
              </w:rPr>
            </w:pPr>
            <w:r>
              <w:rPr>
                <w:rFonts w:ascii="Arial" w:cs="Arial" w:eastAsia="Arial" w:hAnsi="Arial"/>
                <w:sz w:val="11"/>
                <w:szCs w:val="11"/>
                <w:color w:val="auto"/>
              </w:rPr>
              <w:t>Weighted average shares of Class A and Class B common stock outstanding - Basic</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jc w:val="right"/>
              <w:ind w:right="6"/>
              <w:spacing w:after="0" w:line="115" w:lineRule="exact"/>
              <w:rPr>
                <w:sz w:val="20"/>
                <w:szCs w:val="20"/>
                <w:color w:val="auto"/>
              </w:rPr>
            </w:pPr>
            <w:r>
              <w:rPr>
                <w:rFonts w:ascii="Arial" w:cs="Arial" w:eastAsia="Arial" w:hAnsi="Arial"/>
                <w:sz w:val="11"/>
                <w:szCs w:val="11"/>
                <w:color w:val="auto"/>
              </w:rPr>
              <w:t>157,950,550</w:t>
            </w: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148,013,274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20" w:type="dxa"/>
            <w:vAlign w:val="bottom"/>
            <w:gridSpan w:val="3"/>
          </w:tcPr>
          <w:p>
            <w:pPr>
              <w:ind w:left="100"/>
              <w:spacing w:after="0" w:line="122" w:lineRule="exact"/>
              <w:rPr>
                <w:sz w:val="20"/>
                <w:szCs w:val="20"/>
                <w:color w:val="auto"/>
              </w:rPr>
            </w:pPr>
            <w:r>
              <w:rPr>
                <w:rFonts w:ascii="Arial" w:cs="Arial" w:eastAsia="Arial" w:hAnsi="Arial"/>
                <w:sz w:val="11"/>
                <w:szCs w:val="11"/>
                <w:color w:val="auto"/>
              </w:rPr>
              <w:t>Dilutive effect of equity-settled PRSUs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2,675,831</w:t>
            </w: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2,464,137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20" w:type="dxa"/>
            <w:vAlign w:val="bottom"/>
            <w:gridSpan w:val="3"/>
            <w:shd w:val="clear" w:color="auto" w:fill="CCEEFF"/>
          </w:tcPr>
          <w:p>
            <w:pPr>
              <w:ind w:left="100"/>
              <w:spacing w:after="0" w:line="122" w:lineRule="exact"/>
              <w:rPr>
                <w:sz w:val="20"/>
                <w:szCs w:val="20"/>
                <w:color w:val="auto"/>
              </w:rPr>
            </w:pPr>
            <w:r>
              <w:rPr>
                <w:rFonts w:ascii="Arial" w:cs="Arial" w:eastAsia="Arial" w:hAnsi="Arial"/>
                <w:sz w:val="11"/>
                <w:szCs w:val="11"/>
                <w:color w:val="auto"/>
              </w:rPr>
              <w:t>Dilutive effect of options</w:t>
            </w:r>
          </w:p>
        </w:tc>
        <w:tc>
          <w:tcPr>
            <w:tcW w:w="14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6,442,860</w:t>
            </w:r>
          </w:p>
        </w:tc>
        <w:tc>
          <w:tcPr>
            <w:tcW w:w="26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6,062,835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6020" w:type="dxa"/>
            <w:vAlign w:val="bottom"/>
            <w:tcBorders>
              <w:bottom w:val="single" w:sz="8" w:color="CCEEFF"/>
            </w:tcBorders>
            <w:gridSpan w:val="3"/>
          </w:tcPr>
          <w:p>
            <w:pPr>
              <w:spacing w:after="0" w:line="110" w:lineRule="exact"/>
              <w:rPr>
                <w:sz w:val="20"/>
                <w:szCs w:val="20"/>
                <w:color w:val="auto"/>
              </w:rPr>
            </w:pPr>
            <w:r>
              <w:rPr>
                <w:rFonts w:ascii="Arial" w:cs="Arial" w:eastAsia="Arial" w:hAnsi="Arial"/>
                <w:sz w:val="11"/>
                <w:szCs w:val="11"/>
                <w:color w:val="auto"/>
              </w:rPr>
              <w:t>Weighted average shares of Class A and Class B common stock outstanding - Diluted</w:t>
            </w: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jc w:val="right"/>
              <w:ind w:right="6"/>
              <w:spacing w:after="0" w:line="115" w:lineRule="exact"/>
              <w:rPr>
                <w:sz w:val="20"/>
                <w:szCs w:val="20"/>
                <w:color w:val="auto"/>
              </w:rPr>
            </w:pPr>
            <w:r>
              <w:rPr>
                <w:rFonts w:ascii="Arial" w:cs="Arial" w:eastAsia="Arial" w:hAnsi="Arial"/>
                <w:sz w:val="11"/>
                <w:szCs w:val="11"/>
                <w:color w:val="auto"/>
              </w:rPr>
              <w:t>167,069,241</w:t>
            </w:r>
          </w:p>
        </w:tc>
        <w:tc>
          <w:tcPr>
            <w:tcW w:w="260" w:type="dxa"/>
            <w:vAlign w:val="bottom"/>
            <w:tcBorders>
              <w:bottom w:val="single" w:sz="8" w:color="CCEEFF"/>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156,540,246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vMerge w:val="continue"/>
          </w:tcPr>
          <w:p>
            <w:pPr>
              <w:spacing w:after="0"/>
              <w:rPr>
                <w:sz w:val="11"/>
                <w:szCs w:val="11"/>
                <w:color w:val="auto"/>
              </w:rPr>
            </w:pPr>
          </w:p>
        </w:tc>
        <w:tc>
          <w:tcPr>
            <w:tcW w:w="6020" w:type="dxa"/>
            <w:vAlign w:val="bottom"/>
            <w:gridSpan w:val="3"/>
          </w:tcPr>
          <w:p>
            <w:pPr>
              <w:spacing w:after="0" w:line="122" w:lineRule="exact"/>
              <w:rPr>
                <w:sz w:val="20"/>
                <w:szCs w:val="20"/>
                <w:color w:val="auto"/>
              </w:rPr>
            </w:pPr>
            <w:r>
              <w:rPr>
                <w:rFonts w:ascii="Arial" w:cs="Arial" w:eastAsia="Arial" w:hAnsi="Arial"/>
                <w:sz w:val="11"/>
                <w:szCs w:val="11"/>
                <w:color w:val="auto"/>
              </w:rPr>
              <w:t>Earnings per share - Basic</w:t>
            </w:r>
          </w:p>
        </w:tc>
        <w:tc>
          <w:tcPr>
            <w:tcW w:w="2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220" w:type="dxa"/>
            <w:vAlign w:val="bottom"/>
          </w:tcPr>
          <w:p>
            <w:pPr>
              <w:jc w:val="right"/>
              <w:ind w:right="6"/>
              <w:spacing w:after="0" w:line="122" w:lineRule="exact"/>
              <w:rPr>
                <w:sz w:val="20"/>
                <w:szCs w:val="20"/>
                <w:color w:val="auto"/>
              </w:rPr>
            </w:pPr>
            <w:r>
              <w:rPr>
                <w:rFonts w:ascii="Arial" w:cs="Arial" w:eastAsia="Arial" w:hAnsi="Arial"/>
                <w:sz w:val="11"/>
                <w:szCs w:val="11"/>
                <w:color w:val="auto"/>
              </w:rPr>
              <w:t>0.26</w:t>
            </w:r>
          </w:p>
        </w:tc>
        <w:tc>
          <w:tcPr>
            <w:tcW w:w="480" w:type="dxa"/>
            <w:vAlign w:val="bottom"/>
            <w:gridSpan w:val="2"/>
          </w:tcPr>
          <w:p>
            <w:pPr>
              <w:jc w:val="right"/>
              <w:ind w:right="111"/>
              <w:spacing w:after="0" w:line="122" w:lineRule="exact"/>
              <w:rPr>
                <w:sz w:val="20"/>
                <w:szCs w:val="20"/>
                <w:color w:val="auto"/>
              </w:rPr>
            </w:pPr>
            <w:r>
              <w:rPr>
                <w:rFonts w:ascii="Arial" w:cs="Arial" w:eastAsia="Arial" w:hAnsi="Arial"/>
                <w:sz w:val="11"/>
                <w:szCs w:val="11"/>
                <w:color w:val="auto"/>
              </w:rPr>
              <w:t>$</w:t>
            </w:r>
          </w:p>
        </w:tc>
        <w:tc>
          <w:tcPr>
            <w:tcW w:w="1100" w:type="dxa"/>
            <w:vAlign w:val="bottom"/>
          </w:tcPr>
          <w:p>
            <w:pPr>
              <w:jc w:val="right"/>
              <w:spacing w:after="0" w:line="122" w:lineRule="exact"/>
              <w:rPr>
                <w:sz w:val="20"/>
                <w:szCs w:val="20"/>
                <w:color w:val="auto"/>
              </w:rPr>
            </w:pPr>
            <w:r>
              <w:rPr>
                <w:rFonts w:ascii="Arial" w:cs="Arial" w:eastAsia="Arial" w:hAnsi="Arial"/>
                <w:sz w:val="11"/>
                <w:szCs w:val="11"/>
                <w:color w:val="auto"/>
              </w:rPr>
              <w:t>0.57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Borders>
              <w:top w:val="single" w:sz="8" w:color="CCEEFF"/>
              <w:bottom w:val="single" w:sz="8" w:color="CCEEFF"/>
            </w:tcBorders>
            <w:gridSpan w:val="3"/>
            <w:shd w:val="clear" w:color="auto" w:fill="CCEEFF"/>
          </w:tcPr>
          <w:p>
            <w:pPr>
              <w:spacing w:after="0" w:line="116" w:lineRule="exact"/>
              <w:rPr>
                <w:sz w:val="20"/>
                <w:szCs w:val="20"/>
                <w:color w:val="auto"/>
              </w:rPr>
            </w:pPr>
            <w:r>
              <w:rPr>
                <w:rFonts w:ascii="Arial" w:cs="Arial" w:eastAsia="Arial" w:hAnsi="Arial"/>
                <w:sz w:val="11"/>
                <w:szCs w:val="11"/>
                <w:color w:val="auto"/>
              </w:rPr>
              <w:t>Earnings per share - Diluted</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ind w:right="6"/>
              <w:spacing w:after="0" w:line="122" w:lineRule="exact"/>
              <w:rPr>
                <w:sz w:val="20"/>
                <w:szCs w:val="20"/>
                <w:color w:val="auto"/>
              </w:rPr>
            </w:pPr>
            <w:r>
              <w:rPr>
                <w:rFonts w:ascii="Arial" w:cs="Arial" w:eastAsia="Arial" w:hAnsi="Arial"/>
                <w:sz w:val="11"/>
                <w:szCs w:val="11"/>
                <w:color w:val="auto"/>
              </w:rPr>
              <w:t>0.25</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0.54</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left="892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490220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REVENUES BY ASSET CLASS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tcPr>
          <w:p>
            <w:pPr>
              <w:jc w:val="right"/>
              <w:ind w:right="126"/>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4"/>
          </w:tcPr>
          <w:p>
            <w:pPr>
              <w:jc w:val="right"/>
              <w:ind w:right="106"/>
              <w:spacing w:after="0"/>
              <w:rPr>
                <w:sz w:val="20"/>
                <w:szCs w:val="20"/>
                <w:color w:val="auto"/>
              </w:rPr>
            </w:pPr>
            <w:r>
              <w:rPr>
                <w:rFonts w:ascii="Arial" w:cs="Arial" w:eastAsia="Arial" w:hAnsi="Arial"/>
                <w:sz w:val="11"/>
                <w:szCs w:val="11"/>
                <w:b w:val="1"/>
                <w:bCs w:val="1"/>
                <w:color w:val="auto"/>
              </w:rPr>
              <w:t>Three Months Ended</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4"/>
          </w:tcPr>
          <w:p>
            <w:pPr>
              <w:jc w:val="right"/>
              <w:ind w:right="166"/>
              <w:spacing w:after="0"/>
              <w:rPr>
                <w:sz w:val="20"/>
                <w:szCs w:val="20"/>
                <w:color w:val="auto"/>
              </w:rPr>
            </w:pPr>
            <w:r>
              <w:rPr>
                <w:rFonts w:ascii="Arial" w:cs="Arial" w:eastAsia="Arial" w:hAnsi="Arial"/>
                <w:sz w:val="11"/>
                <w:szCs w:val="11"/>
                <w:b w:val="1"/>
                <w:bCs w:val="1"/>
                <w:color w:val="auto"/>
              </w:rPr>
              <w:t>December 31, 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4"/>
          </w:tcPr>
          <w:p>
            <w:pPr>
              <w:jc w:val="right"/>
              <w:ind w:right="146"/>
              <w:spacing w:after="0"/>
              <w:rPr>
                <w:sz w:val="20"/>
                <w:szCs w:val="20"/>
                <w:color w:val="auto"/>
              </w:rPr>
            </w:pPr>
            <w:r>
              <w:rPr>
                <w:rFonts w:ascii="Arial" w:cs="Arial" w:eastAsia="Arial" w:hAnsi="Arial"/>
                <w:sz w:val="11"/>
                <w:szCs w:val="11"/>
                <w:b w:val="1"/>
                <w:bCs w:val="1"/>
                <w:color w:val="auto"/>
              </w:rPr>
              <w:t>December 31, 2018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right"/>
              <w:spacing w:after="0"/>
              <w:rPr>
                <w:sz w:val="20"/>
                <w:szCs w:val="20"/>
                <w:color w:val="auto"/>
              </w:rPr>
            </w:pPr>
            <w:r>
              <w:rPr>
                <w:rFonts w:ascii="Arial" w:cs="Arial" w:eastAsia="Arial" w:hAnsi="Arial"/>
                <w:sz w:val="11"/>
                <w:szCs w:val="11"/>
                <w:b w:val="1"/>
                <w:bCs w:val="1"/>
                <w:color w:val="auto"/>
              </w:rPr>
              <w:t>$ Change</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4"/>
          </w:tcPr>
          <w:p>
            <w:pPr>
              <w:jc w:val="right"/>
              <w:ind w:right="346"/>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15"/>
        </w:trPr>
        <w:tc>
          <w:tcPr>
            <w:tcW w:w="2940" w:type="dxa"/>
            <w:vAlign w:val="bottom"/>
            <w:vMerge w:val="restart"/>
          </w:tcPr>
          <w:p>
            <w:pPr>
              <w:spacing w:after="0"/>
              <w:rPr>
                <w:sz w:val="20"/>
                <w:szCs w:val="20"/>
                <w:color w:val="auto"/>
              </w:rPr>
            </w:pPr>
            <w:r>
              <w:rPr>
                <w:rFonts w:ascii="Arial" w:cs="Arial" w:eastAsia="Arial" w:hAnsi="Arial"/>
                <w:sz w:val="11"/>
                <w:szCs w:val="11"/>
                <w:b w:val="1"/>
                <w:bCs w:val="1"/>
                <w:color w:val="auto"/>
              </w:rPr>
              <w:t>Revenues</w:t>
            </w: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w w:val="98"/>
              </w:rPr>
              <w:t>Variable</w:t>
            </w: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Fixed</w:t>
            </w: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w w:val="98"/>
              </w:rPr>
              <w:t>Variable</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rPr>
              <w:t>Fixed</w:t>
            </w: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66"/>
              <w:spacing w:after="0" w:line="115" w:lineRule="exact"/>
              <w:rPr>
                <w:sz w:val="20"/>
                <w:szCs w:val="20"/>
                <w:color w:val="auto"/>
              </w:rPr>
            </w:pPr>
            <w:r>
              <w:rPr>
                <w:rFonts w:ascii="Arial" w:cs="Arial" w:eastAsia="Arial" w:hAnsi="Arial"/>
                <w:sz w:val="11"/>
                <w:szCs w:val="11"/>
                <w:b w:val="1"/>
                <w:bCs w:val="1"/>
                <w:color w:val="auto"/>
              </w:rPr>
              <w:t>Variable</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106"/>
              <w:spacing w:after="0" w:line="115" w:lineRule="exact"/>
              <w:rPr>
                <w:sz w:val="20"/>
                <w:szCs w:val="20"/>
                <w:color w:val="auto"/>
              </w:rPr>
            </w:pPr>
            <w:r>
              <w:rPr>
                <w:rFonts w:ascii="Arial" w:cs="Arial" w:eastAsia="Arial" w:hAnsi="Arial"/>
                <w:sz w:val="11"/>
                <w:szCs w:val="11"/>
                <w:b w:val="1"/>
                <w:bCs w:val="1"/>
                <w:color w:val="auto"/>
                <w:w w:val="97"/>
              </w:rPr>
              <w:t>Fixed</w:t>
            </w:r>
          </w:p>
        </w:tc>
        <w:tc>
          <w:tcPr>
            <w:tcW w:w="160" w:type="dxa"/>
            <w:vAlign w:val="bottom"/>
          </w:tcPr>
          <w:p>
            <w:pPr>
              <w:spacing w:after="0"/>
              <w:rPr>
                <w:sz w:val="10"/>
                <w:szCs w:val="10"/>
                <w:color w:val="auto"/>
              </w:rPr>
            </w:pPr>
          </w:p>
        </w:tc>
        <w:tc>
          <w:tcPr>
            <w:tcW w:w="660" w:type="dxa"/>
            <w:vAlign w:val="bottom"/>
            <w:tcBorders>
              <w:top w:val="single" w:sz="8" w:color="auto"/>
            </w:tcBorders>
            <w:gridSpan w:val="2"/>
          </w:tcPr>
          <w:p>
            <w:pPr>
              <w:jc w:val="right"/>
              <w:ind w:right="146"/>
              <w:spacing w:after="0" w:line="115" w:lineRule="exact"/>
              <w:rPr>
                <w:sz w:val="20"/>
                <w:szCs w:val="20"/>
                <w:color w:val="auto"/>
              </w:rPr>
            </w:pPr>
            <w:r>
              <w:rPr>
                <w:rFonts w:ascii="Arial" w:cs="Arial" w:eastAsia="Arial" w:hAnsi="Arial"/>
                <w:sz w:val="11"/>
                <w:szCs w:val="11"/>
                <w:b w:val="1"/>
                <w:bCs w:val="1"/>
                <w:color w:val="auto"/>
              </w:rPr>
              <w:t>Variable</w:t>
            </w:r>
          </w:p>
        </w:tc>
        <w:tc>
          <w:tcPr>
            <w:tcW w:w="480" w:type="dxa"/>
            <w:vAlign w:val="bottom"/>
            <w:tcBorders>
              <w:top w:val="single" w:sz="8" w:color="auto"/>
            </w:tcBorders>
          </w:tcPr>
          <w:p>
            <w:pPr>
              <w:jc w:val="right"/>
              <w:ind w:right="46"/>
              <w:spacing w:after="0" w:line="115" w:lineRule="exact"/>
              <w:rPr>
                <w:sz w:val="20"/>
                <w:szCs w:val="20"/>
                <w:color w:val="auto"/>
              </w:rPr>
            </w:pPr>
            <w:r>
              <w:rPr>
                <w:rFonts w:ascii="Arial" w:cs="Arial" w:eastAsia="Arial" w:hAnsi="Arial"/>
                <w:sz w:val="11"/>
                <w:szCs w:val="11"/>
                <w:b w:val="1"/>
                <w:bCs w:val="1"/>
                <w:color w:val="auto"/>
              </w:rPr>
              <w:t>Fixed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94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gridSpan w:val="4"/>
          </w:tcPr>
          <w:p>
            <w:pPr>
              <w:jc w:val="right"/>
              <w:ind w:right="66"/>
              <w:spacing w:after="0" w:line="115" w:lineRule="exact"/>
              <w:rPr>
                <w:sz w:val="20"/>
                <w:szCs w:val="20"/>
                <w:color w:val="auto"/>
              </w:rPr>
            </w:pPr>
            <w:r>
              <w:rPr>
                <w:rFonts w:ascii="Arial" w:cs="Arial" w:eastAsia="Arial" w:hAnsi="Arial"/>
                <w:sz w:val="11"/>
                <w:szCs w:val="11"/>
                <w:b w:val="1"/>
                <w:bCs w:val="1"/>
                <w:color w:val="auto"/>
                <w:w w:val="99"/>
              </w:rPr>
              <w:t>(dollars in thousands)</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940" w:type="dxa"/>
            <w:vAlign w:val="bottom"/>
          </w:tcPr>
          <w:p>
            <w:pPr>
              <w:spacing w:after="0" w:line="115" w:lineRule="exact"/>
              <w:rPr>
                <w:sz w:val="20"/>
                <w:szCs w:val="20"/>
                <w:color w:val="auto"/>
              </w:rPr>
            </w:pPr>
            <w:r>
              <w:rPr>
                <w:rFonts w:ascii="Arial" w:cs="Arial" w:eastAsia="Arial" w:hAnsi="Arial"/>
                <w:sz w:val="11"/>
                <w:szCs w:val="11"/>
                <w:color w:val="auto"/>
              </w:rPr>
              <w:t>Rates</w:t>
            </w:r>
          </w:p>
        </w:tc>
        <w:tc>
          <w:tcPr>
            <w:tcW w:w="2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57,145</w:t>
            </w:r>
          </w:p>
        </w:tc>
        <w:tc>
          <w:tcPr>
            <w:tcW w:w="2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50,394</w:t>
            </w:r>
          </w:p>
        </w:tc>
        <w:tc>
          <w:tcPr>
            <w:tcW w:w="20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15" w:lineRule="exact"/>
              <w:rPr>
                <w:sz w:val="20"/>
                <w:szCs w:val="20"/>
                <w:color w:val="auto"/>
              </w:rPr>
            </w:pPr>
            <w:r>
              <w:rPr>
                <w:rFonts w:ascii="Arial" w:cs="Arial" w:eastAsia="Arial" w:hAnsi="Arial"/>
                <w:sz w:val="11"/>
                <w:szCs w:val="11"/>
                <w:color w:val="auto"/>
              </w:rPr>
              <w:t>47,868</w:t>
            </w:r>
          </w:p>
        </w:tc>
        <w:tc>
          <w:tcPr>
            <w:tcW w:w="300" w:type="dxa"/>
            <w:vAlign w:val="bottom"/>
            <w:gridSpan w:val="2"/>
          </w:tcPr>
          <w:p>
            <w:pPr>
              <w:jc w:val="right"/>
              <w:ind w:right="11"/>
              <w:spacing w:after="0" w:line="115" w:lineRule="exact"/>
              <w:rPr>
                <w:sz w:val="20"/>
                <w:szCs w:val="20"/>
                <w:color w:val="auto"/>
              </w:rPr>
            </w:pPr>
            <w:r>
              <w:rPr>
                <w:rFonts w:ascii="Arial" w:cs="Arial" w:eastAsia="Arial" w:hAnsi="Arial"/>
                <w:sz w:val="11"/>
                <w:szCs w:val="11"/>
                <w:color w:val="auto"/>
              </w:rPr>
              <w:t>$</w:t>
            </w:r>
          </w:p>
        </w:tc>
        <w:tc>
          <w:tcPr>
            <w:tcW w:w="480" w:type="dxa"/>
            <w:vAlign w:val="bottom"/>
          </w:tcPr>
          <w:p>
            <w:pPr>
              <w:jc w:val="right"/>
              <w:spacing w:after="0" w:line="115" w:lineRule="exact"/>
              <w:rPr>
                <w:sz w:val="20"/>
                <w:szCs w:val="20"/>
                <w:color w:val="auto"/>
              </w:rPr>
            </w:pPr>
            <w:r>
              <w:rPr>
                <w:rFonts w:ascii="Arial" w:cs="Arial" w:eastAsia="Arial" w:hAnsi="Arial"/>
                <w:sz w:val="11"/>
                <w:szCs w:val="11"/>
                <w:color w:val="auto"/>
              </w:rPr>
              <w:t>49,724</w:t>
            </w:r>
          </w:p>
        </w:tc>
        <w:tc>
          <w:tcPr>
            <w:tcW w:w="26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w:t>
            </w: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9,277</w:t>
            </w:r>
          </w:p>
        </w:tc>
        <w:tc>
          <w:tcPr>
            <w:tcW w:w="300" w:type="dxa"/>
            <w:vAlign w:val="bottom"/>
            <w:gridSpan w:val="2"/>
          </w:tcPr>
          <w:p>
            <w:pPr>
              <w:jc w:val="right"/>
              <w:ind w:right="31"/>
              <w:spacing w:after="0" w:line="115" w:lineRule="exact"/>
              <w:rPr>
                <w:sz w:val="20"/>
                <w:szCs w:val="20"/>
                <w:color w:val="auto"/>
              </w:rPr>
            </w:pPr>
            <w:r>
              <w:rPr>
                <w:rFonts w:ascii="Arial" w:cs="Arial" w:eastAsia="Arial" w:hAnsi="Arial"/>
                <w:sz w:val="11"/>
                <w:szCs w:val="11"/>
                <w:color w:val="auto"/>
              </w:rPr>
              <w:t>$</w:t>
            </w:r>
          </w:p>
        </w:tc>
        <w:tc>
          <w:tcPr>
            <w:tcW w:w="460" w:type="dxa"/>
            <w:vAlign w:val="bottom"/>
          </w:tcPr>
          <w:p>
            <w:pPr>
              <w:jc w:val="right"/>
              <w:spacing w:after="0" w:line="115" w:lineRule="exact"/>
              <w:rPr>
                <w:sz w:val="20"/>
                <w:szCs w:val="20"/>
                <w:color w:val="auto"/>
              </w:rPr>
            </w:pPr>
            <w:r>
              <w:rPr>
                <w:rFonts w:ascii="Arial" w:cs="Arial" w:eastAsia="Arial" w:hAnsi="Arial"/>
                <w:sz w:val="11"/>
                <w:szCs w:val="11"/>
                <w:color w:val="auto"/>
              </w:rPr>
              <w:t>670</w:t>
            </w:r>
          </w:p>
        </w:tc>
        <w:tc>
          <w:tcPr>
            <w:tcW w:w="160" w:type="dxa"/>
            <w:vAlign w:val="bottom"/>
          </w:tcPr>
          <w:p>
            <w:pPr>
              <w:spacing w:after="0"/>
              <w:rPr>
                <w:sz w:val="10"/>
                <w:szCs w:val="10"/>
                <w:color w:val="auto"/>
              </w:rPr>
            </w:pPr>
          </w:p>
        </w:tc>
        <w:tc>
          <w:tcPr>
            <w:tcW w:w="660" w:type="dxa"/>
            <w:vAlign w:val="bottom"/>
            <w:gridSpan w:val="2"/>
          </w:tcPr>
          <w:p>
            <w:pPr>
              <w:jc w:val="right"/>
              <w:ind w:right="26"/>
              <w:spacing w:after="0" w:line="115" w:lineRule="exact"/>
              <w:rPr>
                <w:sz w:val="20"/>
                <w:szCs w:val="20"/>
                <w:color w:val="auto"/>
              </w:rPr>
            </w:pPr>
            <w:r>
              <w:rPr>
                <w:rFonts w:ascii="Arial" w:cs="Arial" w:eastAsia="Arial" w:hAnsi="Arial"/>
                <w:sz w:val="11"/>
                <w:szCs w:val="11"/>
                <w:color w:val="auto"/>
              </w:rPr>
              <w:t>19.4 %</w:t>
            </w:r>
          </w:p>
        </w:tc>
        <w:tc>
          <w:tcPr>
            <w:tcW w:w="580" w:type="dxa"/>
            <w:vAlign w:val="bottom"/>
            <w:gridSpan w:val="2"/>
          </w:tcPr>
          <w:p>
            <w:pPr>
              <w:jc w:val="right"/>
              <w:spacing w:after="0" w:line="115" w:lineRule="exact"/>
              <w:rPr>
                <w:sz w:val="20"/>
                <w:szCs w:val="20"/>
                <w:color w:val="auto"/>
              </w:rPr>
            </w:pPr>
            <w:r>
              <w:rPr>
                <w:rFonts w:ascii="Arial" w:cs="Arial" w:eastAsia="Arial" w:hAnsi="Arial"/>
                <w:sz w:val="11"/>
                <w:szCs w:val="11"/>
                <w:color w:val="auto"/>
              </w:rPr>
              <w:t>1.3 %</w:t>
            </w:r>
          </w:p>
        </w:tc>
        <w:tc>
          <w:tcPr>
            <w:tcW w:w="0" w:type="dxa"/>
            <w:vAlign w:val="bottom"/>
          </w:tcPr>
          <w:p>
            <w:pPr>
              <w:spacing w:after="0"/>
              <w:rPr>
                <w:sz w:val="1"/>
                <w:szCs w:val="1"/>
                <w:color w:val="auto"/>
              </w:rPr>
            </w:pPr>
          </w:p>
        </w:tc>
      </w:tr>
      <w:tr>
        <w:trPr>
          <w:trHeight w:val="122"/>
        </w:trPr>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Credit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38,231</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5,311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31,976</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5,228</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6,255</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19.6 %</w:t>
            </w:r>
          </w:p>
        </w:tc>
        <w:tc>
          <w:tcPr>
            <w:tcW w:w="5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1.6 %</w:t>
            </w:r>
          </w:p>
        </w:tc>
        <w:tc>
          <w:tcPr>
            <w:tcW w:w="0" w:type="dxa"/>
            <w:vAlign w:val="bottom"/>
          </w:tcPr>
          <w:p>
            <w:pPr>
              <w:spacing w:after="0"/>
              <w:rPr>
                <w:sz w:val="1"/>
                <w:szCs w:val="1"/>
                <w:color w:val="auto"/>
              </w:rPr>
            </w:pPr>
          </w:p>
        </w:tc>
      </w:tr>
      <w:tr>
        <w:trPr>
          <w:trHeight w:val="122"/>
        </w:trPr>
        <w:tc>
          <w:tcPr>
            <w:tcW w:w="2940" w:type="dxa"/>
            <w:vAlign w:val="bottom"/>
          </w:tcPr>
          <w:p>
            <w:pPr>
              <w:spacing w:after="0" w:line="122" w:lineRule="exact"/>
              <w:rPr>
                <w:sz w:val="20"/>
                <w:szCs w:val="20"/>
                <w:color w:val="auto"/>
              </w:rPr>
            </w:pPr>
            <w:r>
              <w:rPr>
                <w:rFonts w:ascii="Arial" w:cs="Arial" w:eastAsia="Arial" w:hAnsi="Arial"/>
                <w:sz w:val="11"/>
                <w:szCs w:val="11"/>
                <w:color w:val="auto"/>
              </w:rPr>
              <w:t>Equities</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9,272</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2,393</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10,949</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1,643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(1,677)</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750</w:t>
            </w:r>
          </w:p>
        </w:tc>
        <w:tc>
          <w:tcPr>
            <w:tcW w:w="160" w:type="dxa"/>
            <w:vAlign w:val="bottom"/>
          </w:tcPr>
          <w:p>
            <w:pPr>
              <w:spacing w:after="0"/>
              <w:rPr>
                <w:sz w:val="10"/>
                <w:szCs w:val="10"/>
                <w:color w:val="auto"/>
              </w:rPr>
            </w:pPr>
          </w:p>
        </w:tc>
        <w:tc>
          <w:tcPr>
            <w:tcW w:w="660" w:type="dxa"/>
            <w:vAlign w:val="bottom"/>
            <w:gridSpan w:val="2"/>
          </w:tcPr>
          <w:p>
            <w:pPr>
              <w:jc w:val="right"/>
              <w:ind w:right="26"/>
              <w:spacing w:after="0" w:line="122" w:lineRule="exact"/>
              <w:rPr>
                <w:sz w:val="20"/>
                <w:szCs w:val="20"/>
                <w:color w:val="auto"/>
              </w:rPr>
            </w:pPr>
            <w:r>
              <w:rPr>
                <w:rFonts w:ascii="Arial" w:cs="Arial" w:eastAsia="Arial" w:hAnsi="Arial"/>
                <w:sz w:val="11"/>
                <w:szCs w:val="11"/>
                <w:color w:val="auto"/>
              </w:rPr>
              <w:t>(15.3)%</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45.6 %</w:t>
            </w:r>
          </w:p>
        </w:tc>
        <w:tc>
          <w:tcPr>
            <w:tcW w:w="0" w:type="dxa"/>
            <w:vAlign w:val="bottom"/>
          </w:tcPr>
          <w:p>
            <w:pPr>
              <w:spacing w:after="0"/>
              <w:rPr>
                <w:sz w:val="1"/>
                <w:szCs w:val="1"/>
                <w:color w:val="auto"/>
              </w:rPr>
            </w:pPr>
          </w:p>
        </w:tc>
      </w:tr>
      <w:tr>
        <w:trPr>
          <w:trHeight w:val="122"/>
        </w:trPr>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Money Markets</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6,221</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3,807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6,040</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3,453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181</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354</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3.0 %</w:t>
            </w:r>
          </w:p>
        </w:tc>
        <w:tc>
          <w:tcPr>
            <w:tcW w:w="5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10.3 %</w:t>
            </w:r>
          </w:p>
        </w:tc>
        <w:tc>
          <w:tcPr>
            <w:tcW w:w="0" w:type="dxa"/>
            <w:vAlign w:val="bottom"/>
          </w:tcPr>
          <w:p>
            <w:pPr>
              <w:spacing w:after="0"/>
              <w:rPr>
                <w:sz w:val="1"/>
                <w:szCs w:val="1"/>
                <w:color w:val="auto"/>
              </w:rPr>
            </w:pPr>
          </w:p>
        </w:tc>
      </w:tr>
      <w:tr>
        <w:trPr>
          <w:trHeight w:val="122"/>
        </w:trPr>
        <w:tc>
          <w:tcPr>
            <w:tcW w:w="2940" w:type="dxa"/>
            <w:vAlign w:val="bottom"/>
          </w:tcPr>
          <w:p>
            <w:pPr>
              <w:spacing w:after="0" w:line="122" w:lineRule="exact"/>
              <w:rPr>
                <w:sz w:val="20"/>
                <w:szCs w:val="20"/>
                <w:color w:val="auto"/>
              </w:rPr>
            </w:pPr>
            <w:r>
              <w:rPr>
                <w:rFonts w:ascii="Arial" w:cs="Arial" w:eastAsia="Arial" w:hAnsi="Arial"/>
                <w:sz w:val="11"/>
                <w:szCs w:val="11"/>
                <w:color w:val="auto"/>
              </w:rPr>
              <w:t>Market Data</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19,361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16,733</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2,628</w:t>
            </w:r>
          </w:p>
        </w:tc>
        <w:tc>
          <w:tcPr>
            <w:tcW w:w="160" w:type="dxa"/>
            <w:vAlign w:val="bottom"/>
          </w:tcPr>
          <w:p>
            <w:pPr>
              <w:spacing w:after="0"/>
              <w:rPr>
                <w:sz w:val="10"/>
                <w:szCs w:val="10"/>
                <w:color w:val="auto"/>
              </w:rPr>
            </w:pPr>
          </w:p>
        </w:tc>
        <w:tc>
          <w:tcPr>
            <w:tcW w:w="660" w:type="dxa"/>
            <w:vAlign w:val="bottom"/>
            <w:gridSpan w:val="2"/>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15.7 %</w:t>
            </w:r>
          </w:p>
        </w:tc>
        <w:tc>
          <w:tcPr>
            <w:tcW w:w="0" w:type="dxa"/>
            <w:vAlign w:val="bottom"/>
          </w:tcPr>
          <w:p>
            <w:pPr>
              <w:spacing w:after="0"/>
              <w:rPr>
                <w:sz w:val="1"/>
                <w:szCs w:val="1"/>
                <w:color w:val="auto"/>
              </w:rPr>
            </w:pPr>
          </w:p>
        </w:tc>
      </w:tr>
      <w:tr>
        <w:trPr>
          <w:trHeight w:val="122"/>
        </w:trPr>
        <w:tc>
          <w:tcPr>
            <w:tcW w:w="294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Other</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5,173</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5,023</w:t>
            </w: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150</w:t>
            </w:r>
          </w:p>
        </w:tc>
        <w:tc>
          <w:tcPr>
            <w:tcW w:w="1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 %</w:t>
            </w:r>
          </w:p>
        </w:tc>
        <w:tc>
          <w:tcPr>
            <w:tcW w:w="5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3.0 %</w:t>
            </w:r>
          </w:p>
        </w:tc>
        <w:tc>
          <w:tcPr>
            <w:tcW w:w="0" w:type="dxa"/>
            <w:vAlign w:val="bottom"/>
          </w:tcPr>
          <w:p>
            <w:pPr>
              <w:spacing w:after="0"/>
              <w:rPr>
                <w:sz w:val="1"/>
                <w:szCs w:val="1"/>
                <w:color w:val="auto"/>
              </w:rPr>
            </w:pPr>
          </w:p>
        </w:tc>
      </w:tr>
      <w:tr>
        <w:trPr>
          <w:trHeight w:val="122"/>
        </w:trPr>
        <w:tc>
          <w:tcPr>
            <w:tcW w:w="2940" w:type="dxa"/>
            <w:vAlign w:val="bottom"/>
          </w:tcPr>
          <w:p>
            <w:pPr>
              <w:spacing w:after="0" w:line="115" w:lineRule="exact"/>
              <w:rPr>
                <w:sz w:val="20"/>
                <w:szCs w:val="20"/>
                <w:color w:val="auto"/>
              </w:rPr>
            </w:pPr>
            <w:r>
              <w:rPr>
                <w:rFonts w:ascii="Arial" w:cs="Arial" w:eastAsia="Arial" w:hAnsi="Arial"/>
                <w:sz w:val="11"/>
                <w:szCs w:val="11"/>
                <w:color w:val="auto"/>
              </w:rPr>
              <w:t>Gross revenue</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110,869</w:t>
            </w:r>
          </w:p>
        </w:tc>
        <w:tc>
          <w:tcPr>
            <w:tcW w:w="18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86,439</w:t>
            </w:r>
          </w:p>
        </w:tc>
        <w:tc>
          <w:tcPr>
            <w:tcW w:w="120" w:type="dxa"/>
            <w:vAlign w:val="bottom"/>
          </w:tcPr>
          <w:p>
            <w:pPr>
              <w:spacing w:after="0"/>
              <w:rPr>
                <w:sz w:val="10"/>
                <w:szCs w:val="1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96,833</w:t>
            </w:r>
          </w:p>
        </w:tc>
        <w:tc>
          <w:tcPr>
            <w:tcW w:w="180" w:type="dxa"/>
            <w:vAlign w:val="bottom"/>
          </w:tcPr>
          <w:p>
            <w:pPr>
              <w:spacing w:after="0"/>
              <w:rPr>
                <w:sz w:val="10"/>
                <w:szCs w:val="10"/>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81,804</w:t>
            </w:r>
          </w:p>
        </w:tc>
        <w:tc>
          <w:tcPr>
            <w:tcW w:w="16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14,036</w:t>
            </w:r>
          </w:p>
        </w:tc>
        <w:tc>
          <w:tcPr>
            <w:tcW w:w="160" w:type="dxa"/>
            <w:vAlign w:val="bottom"/>
          </w:tcPr>
          <w:p>
            <w:pPr>
              <w:spacing w:after="0"/>
              <w:rPr>
                <w:sz w:val="10"/>
                <w:szCs w:val="10"/>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4,635</w:t>
            </w:r>
          </w:p>
        </w:tc>
        <w:tc>
          <w:tcPr>
            <w:tcW w:w="160" w:type="dxa"/>
            <w:vAlign w:val="bottom"/>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14.5</w:t>
            </w:r>
          </w:p>
        </w:tc>
        <w:tc>
          <w:tcPr>
            <w:tcW w:w="180" w:type="dxa"/>
            <w:vAlign w:val="bottom"/>
          </w:tcPr>
          <w:p>
            <w:pPr>
              <w:jc w:val="right"/>
              <w:ind w:right="26"/>
              <w:spacing w:after="0" w:line="115" w:lineRule="exact"/>
              <w:rPr>
                <w:sz w:val="20"/>
                <w:szCs w:val="20"/>
                <w:color w:val="auto"/>
              </w:rPr>
            </w:pPr>
            <w:r>
              <w:rPr>
                <w:rFonts w:ascii="Arial" w:cs="Arial" w:eastAsia="Arial" w:hAnsi="Arial"/>
                <w:sz w:val="11"/>
                <w:szCs w:val="11"/>
                <w:color w:val="auto"/>
                <w:w w:val="81"/>
              </w:rPr>
              <w:t>%</w:t>
            </w:r>
          </w:p>
        </w:tc>
        <w:tc>
          <w:tcPr>
            <w:tcW w:w="480" w:type="dxa"/>
            <w:vAlign w:val="bottom"/>
            <w:tcBorders>
              <w:top w:val="single" w:sz="8" w:color="auto"/>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5.7</w:t>
            </w:r>
          </w:p>
        </w:tc>
        <w:tc>
          <w:tcPr>
            <w:tcW w:w="100" w:type="dxa"/>
            <w:vAlign w:val="bottom"/>
          </w:tcPr>
          <w:p>
            <w:pPr>
              <w:jc w:val="right"/>
              <w:spacing w:after="0" w:line="115" w:lineRule="exact"/>
              <w:rPr>
                <w:sz w:val="20"/>
                <w:szCs w:val="20"/>
                <w:color w:val="auto"/>
              </w:rPr>
            </w:pPr>
            <w:r>
              <w:rPr>
                <w:rFonts w:ascii="Arial" w:cs="Arial" w:eastAsia="Arial" w:hAnsi="Arial"/>
                <w:sz w:val="11"/>
                <w:szCs w:val="11"/>
                <w:color w:val="auto"/>
                <w:w w:val="81"/>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gridSpan w:val="4"/>
            <w:vMerge w:val="restart"/>
          </w:tcPr>
          <w:p>
            <w:pPr>
              <w:jc w:val="center"/>
              <w:ind w:right="80"/>
              <w:spacing w:after="0"/>
              <w:rPr>
                <w:sz w:val="20"/>
                <w:szCs w:val="20"/>
                <w:color w:val="auto"/>
              </w:rPr>
            </w:pPr>
            <w:r>
              <w:rPr>
                <w:rFonts w:ascii="Arial" w:cs="Arial" w:eastAsia="Arial" w:hAnsi="Arial"/>
                <w:sz w:val="13"/>
                <w:szCs w:val="13"/>
                <w:b w:val="1"/>
                <w:bCs w:val="1"/>
                <w:color w:val="auto"/>
                <w:w w:val="94"/>
              </w:rPr>
              <w:t>Successor</w:t>
            </w:r>
          </w:p>
        </w:tc>
        <w:tc>
          <w:tcPr>
            <w:tcW w:w="20" w:type="dxa"/>
            <w:vAlign w:val="bottom"/>
          </w:tcPr>
          <w:p>
            <w:pPr>
              <w:spacing w:after="0"/>
              <w:rPr>
                <w:sz w:val="2"/>
                <w:szCs w:val="2"/>
                <w:color w:val="auto"/>
              </w:rPr>
            </w:pPr>
          </w:p>
        </w:tc>
        <w:tc>
          <w:tcPr>
            <w:tcW w:w="15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3"/>
              </w:rPr>
              <w:t>Combined</w:t>
            </w:r>
            <w:r>
              <w:rPr>
                <w:rFonts w:ascii="Arial" w:cs="Arial" w:eastAsia="Arial" w:hAnsi="Arial"/>
                <w:sz w:val="14"/>
                <w:szCs w:val="14"/>
                <w:b w:val="1"/>
                <w:bCs w:val="1"/>
                <w:color w:val="auto"/>
                <w:w w:val="93"/>
                <w:vertAlign w:val="superscript"/>
              </w:rPr>
              <w:t>(1)</w:t>
            </w:r>
          </w:p>
        </w:tc>
        <w:tc>
          <w:tcPr>
            <w:tcW w:w="12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Successor</w:t>
            </w:r>
          </w:p>
        </w:tc>
        <w:tc>
          <w:tcPr>
            <w:tcW w:w="120" w:type="dxa"/>
            <w:vAlign w:val="bottom"/>
          </w:tcPr>
          <w:p>
            <w:pPr>
              <w:spacing w:after="0"/>
              <w:rPr>
                <w:sz w:val="2"/>
                <w:szCs w:val="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7"/>
              </w:rPr>
              <w:t>Predecessor</w:t>
            </w: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gridSpan w:val="4"/>
            <w:vMerge w:val="continue"/>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13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Borders>
              <w:top w:val="single" w:sz="8" w:color="auto"/>
            </w:tcBorders>
            <w:gridSpan w:val="3"/>
          </w:tcPr>
          <w:p>
            <w:pPr>
              <w:jc w:val="center"/>
              <w:spacing w:after="0" w:line="107" w:lineRule="exact"/>
              <w:rPr>
                <w:sz w:val="20"/>
                <w:szCs w:val="20"/>
                <w:color w:val="auto"/>
              </w:rPr>
            </w:pPr>
            <w:r>
              <w:rPr>
                <w:rFonts w:ascii="Arial" w:cs="Arial" w:eastAsia="Arial" w:hAnsi="Arial"/>
                <w:sz w:val="12"/>
                <w:szCs w:val="12"/>
                <w:b w:val="1"/>
                <w:bCs w:val="1"/>
                <w:color w:val="auto"/>
              </w:rPr>
              <w:t>Year Ended</w:t>
            </w:r>
          </w:p>
        </w:tc>
        <w:tc>
          <w:tcPr>
            <w:tcW w:w="80" w:type="dxa"/>
            <w:vAlign w:val="bottom"/>
          </w:tcPr>
          <w:p>
            <w:pPr>
              <w:spacing w:after="0"/>
              <w:rPr>
                <w:sz w:val="9"/>
                <w:szCs w:val="9"/>
                <w:color w:val="auto"/>
              </w:rPr>
            </w:pPr>
          </w:p>
        </w:tc>
        <w:tc>
          <w:tcPr>
            <w:tcW w:w="20" w:type="dxa"/>
            <w:vAlign w:val="bottom"/>
            <w:tcBorders>
              <w:top w:val="single" w:sz="8" w:color="auto"/>
            </w:tcBorders>
            <w:shd w:val="clear" w:color="auto" w:fill="000000"/>
          </w:tcPr>
          <w:p>
            <w:pPr>
              <w:spacing w:after="0"/>
              <w:rPr>
                <w:sz w:val="9"/>
                <w:szCs w:val="9"/>
                <w:color w:val="auto"/>
              </w:rPr>
            </w:pPr>
          </w:p>
        </w:tc>
        <w:tc>
          <w:tcPr>
            <w:tcW w:w="1500" w:type="dxa"/>
            <w:vAlign w:val="bottom"/>
            <w:tcBorders>
              <w:top w:val="single" w:sz="8" w:color="auto"/>
            </w:tcBorders>
            <w:gridSpan w:val="3"/>
          </w:tcPr>
          <w:p>
            <w:pPr>
              <w:jc w:val="center"/>
              <w:spacing w:after="0" w:line="107" w:lineRule="exact"/>
              <w:rPr>
                <w:sz w:val="20"/>
                <w:szCs w:val="20"/>
                <w:color w:val="auto"/>
              </w:rPr>
            </w:pPr>
            <w:r>
              <w:rPr>
                <w:rFonts w:ascii="Arial" w:cs="Arial" w:eastAsia="Arial" w:hAnsi="Arial"/>
                <w:sz w:val="12"/>
                <w:szCs w:val="12"/>
                <w:b w:val="1"/>
                <w:bCs w:val="1"/>
                <w:color w:val="auto"/>
              </w:rPr>
              <w:t>Year Ended</w:t>
            </w:r>
          </w:p>
        </w:tc>
        <w:tc>
          <w:tcPr>
            <w:tcW w:w="1260" w:type="dxa"/>
            <w:vAlign w:val="bottom"/>
            <w:tcBorders>
              <w:top w:val="single" w:sz="8" w:color="auto"/>
            </w:tcBorders>
            <w:gridSpan w:val="3"/>
          </w:tcPr>
          <w:p>
            <w:pPr>
              <w:jc w:val="center"/>
              <w:spacing w:after="0" w:line="107" w:lineRule="exact"/>
              <w:rPr>
                <w:sz w:val="20"/>
                <w:szCs w:val="20"/>
                <w:color w:val="auto"/>
              </w:rPr>
            </w:pPr>
            <w:r>
              <w:rPr>
                <w:rFonts w:ascii="Arial" w:cs="Arial" w:eastAsia="Arial" w:hAnsi="Arial"/>
                <w:sz w:val="12"/>
                <w:szCs w:val="12"/>
                <w:b w:val="1"/>
                <w:bCs w:val="1"/>
                <w:color w:val="auto"/>
              </w:rPr>
              <w:t>October 1, 2018 to</w:t>
            </w:r>
          </w:p>
        </w:tc>
        <w:tc>
          <w:tcPr>
            <w:tcW w:w="120" w:type="dxa"/>
            <w:vAlign w:val="bottom"/>
            <w:tcBorders>
              <w:left w:val="single" w:sz="8" w:color="auto"/>
            </w:tcBorders>
          </w:tcPr>
          <w:p>
            <w:pPr>
              <w:spacing w:after="0"/>
              <w:rPr>
                <w:sz w:val="9"/>
                <w:szCs w:val="9"/>
                <w:color w:val="auto"/>
              </w:rPr>
            </w:pPr>
          </w:p>
        </w:tc>
        <w:tc>
          <w:tcPr>
            <w:tcW w:w="1360" w:type="dxa"/>
            <w:vAlign w:val="bottom"/>
            <w:tcBorders>
              <w:top w:val="single" w:sz="8" w:color="auto"/>
            </w:tcBorders>
            <w:gridSpan w:val="3"/>
          </w:tcPr>
          <w:p>
            <w:pPr>
              <w:jc w:val="center"/>
              <w:spacing w:after="0" w:line="107" w:lineRule="exact"/>
              <w:rPr>
                <w:sz w:val="20"/>
                <w:szCs w:val="20"/>
                <w:color w:val="auto"/>
              </w:rPr>
            </w:pPr>
            <w:r>
              <w:rPr>
                <w:rFonts w:ascii="Arial" w:cs="Arial" w:eastAsia="Arial" w:hAnsi="Arial"/>
                <w:sz w:val="12"/>
                <w:szCs w:val="12"/>
                <w:b w:val="1"/>
                <w:bCs w:val="1"/>
                <w:color w:val="auto"/>
              </w:rPr>
              <w:t>January 1, 2018 to</w:t>
            </w: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4"/>
          </w:tcPr>
          <w:p>
            <w:pPr>
              <w:jc w:val="center"/>
              <w:ind w:right="80"/>
              <w:spacing w:after="0"/>
              <w:rPr>
                <w:sz w:val="20"/>
                <w:szCs w:val="20"/>
                <w:color w:val="auto"/>
              </w:rPr>
            </w:pPr>
            <w:r>
              <w:rPr>
                <w:rFonts w:ascii="Arial" w:cs="Arial" w:eastAsia="Arial" w:hAnsi="Arial"/>
                <w:sz w:val="13"/>
                <w:szCs w:val="13"/>
                <w:b w:val="1"/>
                <w:bCs w:val="1"/>
                <w:color w:val="auto"/>
                <w:w w:val="97"/>
              </w:rPr>
              <w:t>December 31, 2019</w:t>
            </w:r>
          </w:p>
        </w:tc>
        <w:tc>
          <w:tcPr>
            <w:tcW w:w="20" w:type="dxa"/>
            <w:vAlign w:val="bottom"/>
            <w:shd w:val="clear" w:color="auto" w:fill="000000"/>
          </w:tcPr>
          <w:p>
            <w:pPr>
              <w:spacing w:after="0"/>
              <w:rPr>
                <w:sz w:val="13"/>
                <w:szCs w:val="13"/>
                <w:color w:val="auto"/>
              </w:rPr>
            </w:pPr>
          </w:p>
        </w:tc>
        <w:tc>
          <w:tcPr>
            <w:tcW w:w="15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December 31, 2018</w:t>
            </w:r>
          </w:p>
        </w:tc>
        <w:tc>
          <w:tcPr>
            <w:tcW w:w="12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December 31, 2018</w:t>
            </w:r>
          </w:p>
        </w:tc>
        <w:tc>
          <w:tcPr>
            <w:tcW w:w="120" w:type="dxa"/>
            <w:vAlign w:val="bottom"/>
            <w:tcBorders>
              <w:left w:val="single" w:sz="8" w:color="auto"/>
            </w:tcBorders>
          </w:tcPr>
          <w:p>
            <w:pPr>
              <w:spacing w:after="0"/>
              <w:rPr>
                <w:sz w:val="13"/>
                <w:szCs w:val="13"/>
                <w:color w:val="auto"/>
              </w:rPr>
            </w:pPr>
          </w:p>
        </w:tc>
        <w:tc>
          <w:tcPr>
            <w:tcW w:w="13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7"/>
              </w:rPr>
              <w:t>September 30, 2018</w:t>
            </w:r>
          </w:p>
        </w:tc>
        <w:tc>
          <w:tcPr>
            <w:tcW w:w="140" w:type="dxa"/>
            <w:vAlign w:val="bottom"/>
          </w:tcPr>
          <w:p>
            <w:pPr>
              <w:spacing w:after="0"/>
              <w:rPr>
                <w:sz w:val="13"/>
                <w:szCs w:val="13"/>
                <w:color w:val="auto"/>
              </w:rPr>
            </w:pPr>
          </w:p>
        </w:tc>
        <w:tc>
          <w:tcPr>
            <w:tcW w:w="1320" w:type="dxa"/>
            <w:vAlign w:val="bottom"/>
            <w:gridSpan w:val="5"/>
          </w:tcPr>
          <w:p>
            <w:pPr>
              <w:jc w:val="right"/>
              <w:ind w:right="440"/>
              <w:spacing w:after="0"/>
              <w:rPr>
                <w:sz w:val="20"/>
                <w:szCs w:val="20"/>
                <w:color w:val="auto"/>
              </w:rPr>
            </w:pPr>
            <w:r>
              <w:rPr>
                <w:rFonts w:ascii="Arial" w:cs="Arial" w:eastAsia="Arial" w:hAnsi="Arial"/>
                <w:sz w:val="13"/>
                <w:szCs w:val="13"/>
                <w:b w:val="1"/>
                <w:bCs w:val="1"/>
                <w:color w:val="auto"/>
              </w:rPr>
              <w:t>$ Change</w:t>
            </w:r>
          </w:p>
        </w:tc>
        <w:tc>
          <w:tcPr>
            <w:tcW w:w="110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129"/>
        </w:trPr>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Revenues</w:t>
            </w: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Variable</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Fixed</w:t>
            </w:r>
          </w:p>
        </w:tc>
        <w:tc>
          <w:tcPr>
            <w:tcW w:w="80" w:type="dxa"/>
            <w:vAlign w:val="bottom"/>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Variable</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ind w:right="177"/>
              <w:spacing w:after="0" w:line="129" w:lineRule="exact"/>
              <w:rPr>
                <w:sz w:val="20"/>
                <w:szCs w:val="20"/>
                <w:color w:val="auto"/>
              </w:rPr>
            </w:pPr>
            <w:r>
              <w:rPr>
                <w:rFonts w:ascii="Arial" w:cs="Arial" w:eastAsia="Arial" w:hAnsi="Arial"/>
                <w:sz w:val="13"/>
                <w:szCs w:val="13"/>
                <w:b w:val="1"/>
                <w:bCs w:val="1"/>
                <w:color w:val="auto"/>
              </w:rPr>
              <w:t>Fixed</w:t>
            </w:r>
          </w:p>
        </w:tc>
        <w:tc>
          <w:tcPr>
            <w:tcW w:w="6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rPr>
              <w:t>Variable</w:t>
            </w:r>
          </w:p>
        </w:tc>
        <w:tc>
          <w:tcPr>
            <w:tcW w:w="58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3"/>
                <w:szCs w:val="13"/>
                <w:b w:val="1"/>
                <w:bCs w:val="1"/>
                <w:color w:val="auto"/>
              </w:rPr>
              <w:t>Fixed</w:t>
            </w:r>
          </w:p>
        </w:tc>
        <w:tc>
          <w:tcPr>
            <w:tcW w:w="120" w:type="dxa"/>
            <w:vAlign w:val="bottom"/>
            <w:tcBorders>
              <w:left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rPr>
              <w:t>Variable</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3"/>
                <w:szCs w:val="13"/>
                <w:b w:val="1"/>
                <w:bCs w:val="1"/>
                <w:color w:val="auto"/>
              </w:rPr>
              <w:t>Fixed</w:t>
            </w:r>
          </w:p>
        </w:tc>
        <w:tc>
          <w:tcPr>
            <w:tcW w:w="140" w:type="dxa"/>
            <w:vAlign w:val="bottom"/>
          </w:tcPr>
          <w:p>
            <w:pPr>
              <w:spacing w:after="0"/>
              <w:rPr>
                <w:sz w:val="11"/>
                <w:szCs w:val="11"/>
                <w:color w:val="auto"/>
              </w:rPr>
            </w:pPr>
          </w:p>
        </w:tc>
        <w:tc>
          <w:tcPr>
            <w:tcW w:w="66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rPr>
              <w:t>Variable</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17"/>
              <w:spacing w:after="0" w:line="129" w:lineRule="exact"/>
              <w:rPr>
                <w:sz w:val="20"/>
                <w:szCs w:val="20"/>
                <w:color w:val="auto"/>
              </w:rPr>
            </w:pPr>
            <w:r>
              <w:rPr>
                <w:rFonts w:ascii="Arial" w:cs="Arial" w:eastAsia="Arial" w:hAnsi="Arial"/>
                <w:sz w:val="13"/>
                <w:szCs w:val="13"/>
                <w:b w:val="1"/>
                <w:bCs w:val="1"/>
                <w:color w:val="auto"/>
                <w:w w:val="94"/>
              </w:rPr>
              <w:t>Fixed</w:t>
            </w:r>
          </w:p>
        </w:tc>
        <w:tc>
          <w:tcPr>
            <w:tcW w:w="140" w:type="dxa"/>
            <w:vAlign w:val="bottom"/>
          </w:tcPr>
          <w:p>
            <w:pPr>
              <w:spacing w:after="0"/>
              <w:rPr>
                <w:sz w:val="11"/>
                <w:szCs w:val="11"/>
                <w:color w:val="auto"/>
              </w:rPr>
            </w:pPr>
          </w:p>
        </w:tc>
        <w:tc>
          <w:tcPr>
            <w:tcW w:w="62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3"/>
                <w:szCs w:val="13"/>
                <w:b w:val="1"/>
                <w:bCs w:val="1"/>
                <w:color w:val="auto"/>
                <w:w w:val="90"/>
              </w:rPr>
              <w:t>Variable</w:t>
            </w: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4"/>
              </w:rPr>
              <w:t>Fixed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820" w:type="dxa"/>
            <w:vAlign w:val="bottom"/>
            <w:gridSpan w:val="2"/>
            <w:vMerge w:val="continue"/>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4"/>
          </w:tcPr>
          <w:p>
            <w:pPr>
              <w:ind w:left="80"/>
              <w:spacing w:after="0" w:line="129" w:lineRule="exact"/>
              <w:rPr>
                <w:sz w:val="20"/>
                <w:szCs w:val="20"/>
                <w:color w:val="auto"/>
              </w:rPr>
            </w:pPr>
            <w:r>
              <w:rPr>
                <w:rFonts w:ascii="Arial" w:cs="Arial" w:eastAsia="Arial" w:hAnsi="Arial"/>
                <w:sz w:val="13"/>
                <w:szCs w:val="13"/>
                <w:b w:val="1"/>
                <w:bCs w:val="1"/>
                <w:color w:val="auto"/>
              </w:rPr>
              <w:t>(dollars in thousands)</w:t>
            </w:r>
          </w:p>
        </w:tc>
        <w:tc>
          <w:tcPr>
            <w:tcW w:w="5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Rates</w:t>
            </w:r>
          </w:p>
        </w:tc>
        <w:tc>
          <w:tcPr>
            <w:tcW w:w="14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3"/>
              </w:rPr>
              <w:t>$ 232,423</w:t>
            </w:r>
          </w:p>
        </w:tc>
        <w:tc>
          <w:tcPr>
            <w:tcW w:w="74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$ 201,774</w:t>
            </w: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c>
          <w:tcPr>
            <w:tcW w:w="660" w:type="dxa"/>
            <w:vAlign w:val="bottom"/>
            <w:tcBorders>
              <w:top w:val="single" w:sz="8" w:color="CCEEFF"/>
              <w:left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$ 181,051</w:t>
            </w:r>
          </w:p>
        </w:tc>
        <w:tc>
          <w:tcPr>
            <w:tcW w:w="840" w:type="dxa"/>
            <w:vAlign w:val="bottom"/>
            <w:tcBorders>
              <w:top w:val="single" w:sz="8" w:color="CCEEFF"/>
              <w:right w:val="single" w:sz="8" w:color="CCEEFF"/>
            </w:tcBorders>
            <w:gridSpan w:val="2"/>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rPr>
              <w:t>$ 198,182</w:t>
            </w:r>
          </w:p>
        </w:tc>
        <w:tc>
          <w:tcPr>
            <w:tcW w:w="54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4"/>
              </w:rPr>
              <w:t>$ 47,868</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right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94"/>
              </w:rPr>
              <w:t>$ 49,724</w:t>
            </w:r>
          </w:p>
        </w:tc>
        <w:tc>
          <w:tcPr>
            <w:tcW w:w="740" w:type="dxa"/>
            <w:vAlign w:val="bottom"/>
            <w:tcBorders>
              <w:top w:val="single" w:sz="8" w:color="CCEEFF"/>
              <w:left w:val="single" w:sz="8" w:color="auto"/>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$ 133,183</w:t>
            </w:r>
          </w:p>
        </w:tc>
        <w:tc>
          <w:tcPr>
            <w:tcW w:w="74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$ 148,458</w:t>
            </w:r>
          </w:p>
        </w:tc>
        <w:tc>
          <w:tcPr>
            <w:tcW w:w="680" w:type="dxa"/>
            <w:vAlign w:val="bottom"/>
            <w:tcBorders>
              <w:top w:val="single" w:sz="8" w:color="CCEEFF"/>
            </w:tcBorders>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$ 51,372</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3,592</w:t>
            </w:r>
          </w:p>
        </w:tc>
        <w:tc>
          <w:tcPr>
            <w:tcW w:w="1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CCEEFF"/>
            </w:tcBorders>
            <w:gridSpan w:val="4"/>
            <w:shd w:val="clear" w:color="auto" w:fill="CCEEFF"/>
          </w:tcPr>
          <w:p>
            <w:pPr>
              <w:jc w:val="right"/>
              <w:spacing w:after="0" w:line="129" w:lineRule="exact"/>
              <w:rPr>
                <w:sz w:val="20"/>
                <w:szCs w:val="20"/>
                <w:color w:val="auto"/>
              </w:rPr>
            </w:pPr>
            <w:r>
              <w:rPr>
                <w:rFonts w:ascii="Arial" w:cs="Arial" w:eastAsia="Arial" w:hAnsi="Arial"/>
                <w:sz w:val="13"/>
                <w:szCs w:val="13"/>
                <w:color w:val="auto"/>
              </w:rPr>
              <w:t>28.4 %   1.8 %</w:t>
            </w:r>
          </w:p>
        </w:tc>
        <w:tc>
          <w:tcPr>
            <w:tcW w:w="0" w:type="dxa"/>
            <w:vAlign w:val="bottom"/>
          </w:tcPr>
          <w:p>
            <w:pPr>
              <w:spacing w:after="0"/>
              <w:rPr>
                <w:sz w:val="1"/>
                <w:szCs w:val="1"/>
                <w:color w:val="auto"/>
              </w:rPr>
            </w:pPr>
          </w:p>
        </w:tc>
      </w:tr>
      <w:tr>
        <w:trPr>
          <w:trHeight w:val="135"/>
        </w:trPr>
        <w:tc>
          <w:tcPr>
            <w:tcW w:w="820" w:type="dxa"/>
            <w:vAlign w:val="bottom"/>
            <w:gridSpan w:val="2"/>
          </w:tcPr>
          <w:p>
            <w:pPr>
              <w:spacing w:after="0" w:line="135" w:lineRule="exact"/>
              <w:rPr>
                <w:sz w:val="20"/>
                <w:szCs w:val="20"/>
                <w:color w:val="auto"/>
              </w:rPr>
            </w:pPr>
            <w:r>
              <w:rPr>
                <w:rFonts w:ascii="Arial" w:cs="Arial" w:eastAsia="Arial" w:hAnsi="Arial"/>
                <w:sz w:val="13"/>
                <w:szCs w:val="13"/>
                <w:color w:val="auto"/>
              </w:rPr>
              <w:t>Credit</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141,343</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20,811</w:t>
            </w: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119,217</w:t>
            </w:r>
          </w:p>
        </w:tc>
        <w:tc>
          <w:tcPr>
            <w:tcW w:w="8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20,439</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31,976</w:t>
            </w:r>
          </w:p>
        </w:tc>
        <w:tc>
          <w:tcPr>
            <w:tcW w:w="14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5,228</w:t>
            </w:r>
          </w:p>
        </w:tc>
        <w:tc>
          <w:tcPr>
            <w:tcW w:w="740" w:type="dxa"/>
            <w:vAlign w:val="bottom"/>
            <w:tcBorders>
              <w:left w:val="single" w:sz="8" w:color="auto"/>
            </w:tcBorders>
            <w:gridSpan w:val="2"/>
          </w:tcPr>
          <w:p>
            <w:pPr>
              <w:jc w:val="right"/>
              <w:spacing w:after="0" w:line="135" w:lineRule="exact"/>
              <w:rPr>
                <w:sz w:val="20"/>
                <w:szCs w:val="20"/>
                <w:color w:val="auto"/>
              </w:rPr>
            </w:pPr>
            <w:r>
              <w:rPr>
                <w:rFonts w:ascii="Arial" w:cs="Arial" w:eastAsia="Arial" w:hAnsi="Arial"/>
                <w:sz w:val="13"/>
                <w:szCs w:val="13"/>
                <w:color w:val="auto"/>
              </w:rPr>
              <w:t>87,241</w:t>
            </w:r>
          </w:p>
        </w:tc>
        <w:tc>
          <w:tcPr>
            <w:tcW w:w="7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15,211</w:t>
            </w:r>
          </w:p>
        </w:tc>
        <w:tc>
          <w:tcPr>
            <w:tcW w:w="6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22,126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372</w:t>
            </w:r>
          </w:p>
        </w:tc>
        <w:tc>
          <w:tcPr>
            <w:tcW w:w="140" w:type="dxa"/>
            <w:vAlign w:val="bottom"/>
          </w:tcPr>
          <w:p>
            <w:pPr>
              <w:spacing w:after="0"/>
              <w:rPr>
                <w:sz w:val="11"/>
                <w:szCs w:val="11"/>
                <w:color w:val="auto"/>
              </w:rPr>
            </w:pPr>
          </w:p>
        </w:tc>
        <w:tc>
          <w:tcPr>
            <w:tcW w:w="110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18.6 %   1.8 %</w:t>
            </w:r>
          </w:p>
        </w:tc>
        <w:tc>
          <w:tcPr>
            <w:tcW w:w="0" w:type="dxa"/>
            <w:vAlign w:val="bottom"/>
          </w:tcPr>
          <w:p>
            <w:pPr>
              <w:spacing w:after="0"/>
              <w:rPr>
                <w:sz w:val="1"/>
                <w:szCs w:val="1"/>
                <w:color w:val="auto"/>
              </w:rPr>
            </w:pPr>
          </w:p>
        </w:tc>
      </w:tr>
      <w:tr>
        <w:trPr>
          <w:trHeight w:val="135"/>
        </w:trPr>
        <w:tc>
          <w:tcPr>
            <w:tcW w:w="8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Equities</w:t>
            </w:r>
          </w:p>
        </w:tc>
        <w:tc>
          <w:tcPr>
            <w:tcW w:w="6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38,515</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8,397</w:t>
            </w: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60" w:type="dxa"/>
            <w:vAlign w:val="bottom"/>
            <w:tcBorders>
              <w:lef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34,443</w:t>
            </w:r>
          </w:p>
        </w:tc>
        <w:tc>
          <w:tcPr>
            <w:tcW w:w="840" w:type="dxa"/>
            <w:vAlign w:val="bottom"/>
            <w:tcBorders>
              <w:right w:val="single" w:sz="8" w:color="CCEEFF"/>
            </w:tcBorders>
            <w:gridSpan w:val="2"/>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rPr>
              <w:t>6,496</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10,949</w:t>
            </w:r>
          </w:p>
        </w:tc>
        <w:tc>
          <w:tcPr>
            <w:tcW w:w="14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1,643</w:t>
            </w:r>
          </w:p>
        </w:tc>
        <w:tc>
          <w:tcPr>
            <w:tcW w:w="740" w:type="dxa"/>
            <w:vAlign w:val="bottom"/>
            <w:tcBorders>
              <w:left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23,494</w:t>
            </w:r>
          </w:p>
        </w:tc>
        <w:tc>
          <w:tcPr>
            <w:tcW w:w="7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4,853</w:t>
            </w:r>
          </w:p>
        </w:tc>
        <w:tc>
          <w:tcPr>
            <w:tcW w:w="6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4,072</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1,901</w:t>
            </w:r>
          </w:p>
        </w:tc>
        <w:tc>
          <w:tcPr>
            <w:tcW w:w="1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11.8 %</w:t>
            </w:r>
          </w:p>
        </w:tc>
        <w:tc>
          <w:tcPr>
            <w:tcW w:w="4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29.3 %</w:t>
            </w:r>
          </w:p>
        </w:tc>
        <w:tc>
          <w:tcPr>
            <w:tcW w:w="0" w:type="dxa"/>
            <w:vAlign w:val="bottom"/>
          </w:tcPr>
          <w:p>
            <w:pPr>
              <w:spacing w:after="0"/>
              <w:rPr>
                <w:sz w:val="1"/>
                <w:szCs w:val="1"/>
                <w:color w:val="auto"/>
              </w:rPr>
            </w:pPr>
          </w:p>
        </w:tc>
      </w:tr>
      <w:tr>
        <w:trPr>
          <w:trHeight w:val="129"/>
        </w:trPr>
        <w:tc>
          <w:tcPr>
            <w:tcW w:w="820" w:type="dxa"/>
            <w:vAlign w:val="bottom"/>
            <w:gridSpan w:val="2"/>
          </w:tcPr>
          <w:p>
            <w:pPr>
              <w:spacing w:after="0" w:line="129" w:lineRule="exact"/>
              <w:rPr>
                <w:sz w:val="20"/>
                <w:szCs w:val="20"/>
                <w:color w:val="auto"/>
              </w:rPr>
            </w:pPr>
            <w:r>
              <w:rPr>
                <w:rFonts w:ascii="Arial" w:cs="Arial" w:eastAsia="Arial" w:hAnsi="Arial"/>
                <w:sz w:val="13"/>
                <w:szCs w:val="13"/>
                <w:color w:val="auto"/>
              </w:rPr>
              <w:t>Money</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20" w:type="dxa"/>
            <w:vAlign w:val="bottom"/>
            <w:gridSpan w:val="2"/>
          </w:tcPr>
          <w:p>
            <w:pPr>
              <w:spacing w:after="0" w:line="141" w:lineRule="exact"/>
              <w:rPr>
                <w:sz w:val="20"/>
                <w:szCs w:val="20"/>
                <w:color w:val="auto"/>
              </w:rPr>
            </w:pPr>
            <w:r>
              <w:rPr>
                <w:rFonts w:ascii="Arial" w:cs="Arial" w:eastAsia="Arial" w:hAnsi="Arial"/>
                <w:sz w:val="13"/>
                <w:szCs w:val="13"/>
                <w:color w:val="auto"/>
              </w:rPr>
              <w:t>Markets</w:t>
            </w:r>
          </w:p>
        </w:tc>
        <w:tc>
          <w:tcPr>
            <w:tcW w:w="600" w:type="dxa"/>
            <w:vAlign w:val="bottom"/>
          </w:tcPr>
          <w:p>
            <w:pPr>
              <w:jc w:val="right"/>
              <w:spacing w:after="0" w:line="141" w:lineRule="exact"/>
              <w:rPr>
                <w:sz w:val="20"/>
                <w:szCs w:val="20"/>
                <w:color w:val="auto"/>
              </w:rPr>
            </w:pPr>
            <w:r>
              <w:rPr>
                <w:rFonts w:ascii="Arial" w:cs="Arial" w:eastAsia="Arial" w:hAnsi="Arial"/>
                <w:sz w:val="13"/>
                <w:szCs w:val="13"/>
                <w:color w:val="auto"/>
              </w:rPr>
              <w:t>25,461</w:t>
            </w:r>
          </w:p>
        </w:tc>
        <w:tc>
          <w:tcPr>
            <w:tcW w:w="7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14,931</w:t>
            </w:r>
          </w:p>
        </w:tc>
        <w:tc>
          <w:tcPr>
            <w:tcW w:w="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60" w:type="dxa"/>
            <w:vAlign w:val="bottom"/>
          </w:tcPr>
          <w:p>
            <w:pPr>
              <w:jc w:val="right"/>
              <w:spacing w:after="0" w:line="141" w:lineRule="exact"/>
              <w:rPr>
                <w:sz w:val="20"/>
                <w:szCs w:val="20"/>
                <w:color w:val="auto"/>
              </w:rPr>
            </w:pPr>
            <w:r>
              <w:rPr>
                <w:rFonts w:ascii="Arial" w:cs="Arial" w:eastAsia="Arial" w:hAnsi="Arial"/>
                <w:sz w:val="13"/>
                <w:szCs w:val="13"/>
                <w:color w:val="auto"/>
              </w:rPr>
              <w:t>20,843</w:t>
            </w:r>
          </w:p>
        </w:tc>
        <w:tc>
          <w:tcPr>
            <w:tcW w:w="840" w:type="dxa"/>
            <w:vAlign w:val="bottom"/>
            <w:gridSpan w:val="2"/>
          </w:tcPr>
          <w:p>
            <w:pPr>
              <w:jc w:val="right"/>
              <w:ind w:right="77"/>
              <w:spacing w:after="0" w:line="141" w:lineRule="exact"/>
              <w:rPr>
                <w:sz w:val="20"/>
                <w:szCs w:val="20"/>
                <w:color w:val="auto"/>
              </w:rPr>
            </w:pPr>
            <w:r>
              <w:rPr>
                <w:rFonts w:ascii="Arial" w:cs="Arial" w:eastAsia="Arial" w:hAnsi="Arial"/>
                <w:sz w:val="13"/>
                <w:szCs w:val="13"/>
                <w:color w:val="auto"/>
              </w:rPr>
              <w:t>13,898</w:t>
            </w:r>
          </w:p>
        </w:tc>
        <w:tc>
          <w:tcPr>
            <w:tcW w:w="540" w:type="dxa"/>
            <w:vAlign w:val="bottom"/>
          </w:tcPr>
          <w:p>
            <w:pPr>
              <w:jc w:val="right"/>
              <w:spacing w:after="0" w:line="141" w:lineRule="exact"/>
              <w:rPr>
                <w:sz w:val="20"/>
                <w:szCs w:val="20"/>
                <w:color w:val="auto"/>
              </w:rPr>
            </w:pPr>
            <w:r>
              <w:rPr>
                <w:rFonts w:ascii="Arial" w:cs="Arial" w:eastAsia="Arial" w:hAnsi="Arial"/>
                <w:sz w:val="13"/>
                <w:szCs w:val="13"/>
                <w:color w:val="auto"/>
              </w:rPr>
              <w:t>6,040</w:t>
            </w:r>
          </w:p>
        </w:tc>
        <w:tc>
          <w:tcPr>
            <w:tcW w:w="140" w:type="dxa"/>
            <w:vAlign w:val="bottom"/>
          </w:tcPr>
          <w:p>
            <w:pPr>
              <w:spacing w:after="0"/>
              <w:rPr>
                <w:sz w:val="12"/>
                <w:szCs w:val="12"/>
                <w:color w:val="auto"/>
              </w:rPr>
            </w:pPr>
          </w:p>
        </w:tc>
        <w:tc>
          <w:tcPr>
            <w:tcW w:w="580" w:type="dxa"/>
            <w:vAlign w:val="bottom"/>
          </w:tcPr>
          <w:p>
            <w:pPr>
              <w:jc w:val="right"/>
              <w:ind w:right="17"/>
              <w:spacing w:after="0" w:line="141" w:lineRule="exact"/>
              <w:rPr>
                <w:sz w:val="20"/>
                <w:szCs w:val="20"/>
                <w:color w:val="auto"/>
              </w:rPr>
            </w:pPr>
            <w:r>
              <w:rPr>
                <w:rFonts w:ascii="Arial" w:cs="Arial" w:eastAsia="Arial" w:hAnsi="Arial"/>
                <w:sz w:val="13"/>
                <w:szCs w:val="13"/>
                <w:color w:val="auto"/>
              </w:rPr>
              <w:t>3,453</w:t>
            </w:r>
          </w:p>
        </w:tc>
        <w:tc>
          <w:tcPr>
            <w:tcW w:w="740" w:type="dxa"/>
            <w:vAlign w:val="bottom"/>
            <w:tcBorders>
              <w:left w:val="single" w:sz="8" w:color="auto"/>
            </w:tcBorders>
            <w:gridSpan w:val="2"/>
          </w:tcPr>
          <w:p>
            <w:pPr>
              <w:jc w:val="right"/>
              <w:spacing w:after="0" w:line="141" w:lineRule="exact"/>
              <w:rPr>
                <w:sz w:val="20"/>
                <w:szCs w:val="20"/>
                <w:color w:val="auto"/>
              </w:rPr>
            </w:pPr>
            <w:r>
              <w:rPr>
                <w:rFonts w:ascii="Arial" w:cs="Arial" w:eastAsia="Arial" w:hAnsi="Arial"/>
                <w:sz w:val="13"/>
                <w:szCs w:val="13"/>
                <w:color w:val="auto"/>
              </w:rPr>
              <w:t>14,803</w:t>
            </w:r>
          </w:p>
        </w:tc>
        <w:tc>
          <w:tcPr>
            <w:tcW w:w="74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10,445</w:t>
            </w:r>
          </w:p>
        </w:tc>
        <w:tc>
          <w:tcPr>
            <w:tcW w:w="68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4,618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jc w:val="right"/>
              <w:spacing w:after="0" w:line="141" w:lineRule="exact"/>
              <w:rPr>
                <w:sz w:val="20"/>
                <w:szCs w:val="20"/>
                <w:color w:val="auto"/>
              </w:rPr>
            </w:pPr>
            <w:r>
              <w:rPr>
                <w:rFonts w:ascii="Arial" w:cs="Arial" w:eastAsia="Arial" w:hAnsi="Arial"/>
                <w:sz w:val="13"/>
                <w:szCs w:val="13"/>
                <w:color w:val="auto"/>
              </w:rPr>
              <w:t>1,033</w:t>
            </w:r>
          </w:p>
        </w:tc>
        <w:tc>
          <w:tcPr>
            <w:tcW w:w="140" w:type="dxa"/>
            <w:vAlign w:val="bottom"/>
          </w:tcPr>
          <w:p>
            <w:pPr>
              <w:spacing w:after="0"/>
              <w:rPr>
                <w:sz w:val="12"/>
                <w:szCs w:val="12"/>
                <w:color w:val="auto"/>
              </w:rPr>
            </w:pPr>
          </w:p>
        </w:tc>
        <w:tc>
          <w:tcPr>
            <w:tcW w:w="620" w:type="dxa"/>
            <w:vAlign w:val="bottom"/>
            <w:gridSpan w:val="2"/>
          </w:tcPr>
          <w:p>
            <w:pPr>
              <w:jc w:val="right"/>
              <w:ind w:right="20"/>
              <w:spacing w:after="0" w:line="141" w:lineRule="exact"/>
              <w:rPr>
                <w:sz w:val="20"/>
                <w:szCs w:val="20"/>
                <w:color w:val="auto"/>
              </w:rPr>
            </w:pPr>
            <w:r>
              <w:rPr>
                <w:rFonts w:ascii="Arial" w:cs="Arial" w:eastAsia="Arial" w:hAnsi="Arial"/>
                <w:sz w:val="13"/>
                <w:szCs w:val="13"/>
                <w:color w:val="auto"/>
              </w:rPr>
              <w:t>22.2 %</w:t>
            </w:r>
          </w:p>
        </w:tc>
        <w:tc>
          <w:tcPr>
            <w:tcW w:w="480" w:type="dxa"/>
            <w:vAlign w:val="bottom"/>
            <w:gridSpan w:val="2"/>
          </w:tcPr>
          <w:p>
            <w:pPr>
              <w:jc w:val="right"/>
              <w:spacing w:after="0" w:line="141" w:lineRule="exact"/>
              <w:rPr>
                <w:sz w:val="20"/>
                <w:szCs w:val="20"/>
                <w:color w:val="auto"/>
              </w:rPr>
            </w:pPr>
            <w:r>
              <w:rPr>
                <w:rFonts w:ascii="Arial" w:cs="Arial" w:eastAsia="Arial" w:hAnsi="Arial"/>
                <w:sz w:val="13"/>
                <w:szCs w:val="13"/>
                <w:color w:val="auto"/>
              </w:rPr>
              <w:t>7.4 %</w:t>
            </w:r>
          </w:p>
        </w:tc>
        <w:tc>
          <w:tcPr>
            <w:tcW w:w="0" w:type="dxa"/>
            <w:vAlign w:val="bottom"/>
          </w:tcPr>
          <w:p>
            <w:pPr>
              <w:spacing w:after="0"/>
              <w:rPr>
                <w:sz w:val="1"/>
                <w:szCs w:val="1"/>
                <w:color w:val="auto"/>
              </w:rPr>
            </w:pPr>
          </w:p>
        </w:tc>
      </w:tr>
      <w:tr>
        <w:trPr>
          <w:trHeight w:val="129"/>
        </w:trPr>
        <w:tc>
          <w:tcPr>
            <w:tcW w:w="8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Market</w:t>
            </w: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6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tcBorders>
              <w:right w:val="single" w:sz="8" w:color="CCEEFF"/>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right w:val="single" w:sz="8" w:color="CCEEFF"/>
            </w:tcBorders>
            <w:shd w:val="clear" w:color="auto" w:fill="CCEEFF"/>
          </w:tcPr>
          <w:p>
            <w:pPr>
              <w:spacing w:after="0"/>
              <w:rPr>
                <w:sz w:val="11"/>
                <w:szCs w:val="11"/>
                <w:color w:val="auto"/>
              </w:rPr>
            </w:pPr>
          </w:p>
        </w:tc>
        <w:tc>
          <w:tcPr>
            <w:tcW w:w="12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82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Data</w:t>
            </w:r>
          </w:p>
        </w:tc>
        <w:tc>
          <w:tcPr>
            <w:tcW w:w="6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70,722</w:t>
            </w:r>
          </w:p>
        </w:tc>
        <w:tc>
          <w:tcPr>
            <w:tcW w:w="80" w:type="dxa"/>
            <w:vAlign w:val="bottom"/>
            <w:shd w:val="clear" w:color="auto" w:fill="CCEEFF"/>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660" w:type="dxa"/>
            <w:vAlign w:val="bottom"/>
            <w:tcBorders>
              <w:left w:val="single" w:sz="8" w:color="CCEEFF"/>
            </w:tcBorders>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840" w:type="dxa"/>
            <w:vAlign w:val="bottom"/>
            <w:tcBorders>
              <w:right w:val="single" w:sz="8" w:color="CCEEFF"/>
            </w:tcBorders>
            <w:gridSpan w:val="2"/>
            <w:shd w:val="clear" w:color="auto" w:fill="CCEEFF"/>
          </w:tcPr>
          <w:p>
            <w:pPr>
              <w:jc w:val="right"/>
              <w:ind w:right="77"/>
              <w:spacing w:after="0" w:line="141" w:lineRule="exact"/>
              <w:rPr>
                <w:sz w:val="20"/>
                <w:szCs w:val="20"/>
                <w:color w:val="auto"/>
              </w:rPr>
            </w:pPr>
            <w:r>
              <w:rPr>
                <w:rFonts w:ascii="Arial" w:cs="Arial" w:eastAsia="Arial" w:hAnsi="Arial"/>
                <w:sz w:val="13"/>
                <w:szCs w:val="13"/>
                <w:color w:val="auto"/>
              </w:rPr>
              <w:t>63,792</w:t>
            </w:r>
          </w:p>
        </w:tc>
        <w:tc>
          <w:tcPr>
            <w:tcW w:w="68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shd w:val="clear" w:color="auto" w:fill="CCEEFF"/>
          </w:tcPr>
          <w:p>
            <w:pPr>
              <w:jc w:val="right"/>
              <w:ind w:right="17"/>
              <w:spacing w:after="0" w:line="141" w:lineRule="exact"/>
              <w:rPr>
                <w:sz w:val="20"/>
                <w:szCs w:val="20"/>
                <w:color w:val="auto"/>
              </w:rPr>
            </w:pPr>
            <w:r>
              <w:rPr>
                <w:rFonts w:ascii="Arial" w:cs="Arial" w:eastAsia="Arial" w:hAnsi="Arial"/>
                <w:sz w:val="13"/>
                <w:szCs w:val="13"/>
                <w:color w:val="auto"/>
              </w:rPr>
              <w:t>16,733</w:t>
            </w:r>
          </w:p>
        </w:tc>
        <w:tc>
          <w:tcPr>
            <w:tcW w:w="12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47,059</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6,930</w:t>
            </w:r>
          </w:p>
        </w:tc>
        <w:tc>
          <w:tcPr>
            <w:tcW w:w="14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80"/>
              <w:spacing w:after="0" w:line="141" w:lineRule="exact"/>
              <w:rPr>
                <w:sz w:val="20"/>
                <w:szCs w:val="20"/>
                <w:color w:val="auto"/>
              </w:rPr>
            </w:pPr>
            <w:r>
              <w:rPr>
                <w:rFonts w:ascii="Arial" w:cs="Arial" w:eastAsia="Arial" w:hAnsi="Arial"/>
                <w:sz w:val="13"/>
                <w:szCs w:val="13"/>
                <w:color w:val="auto"/>
              </w:rPr>
              <w:t>—</w:t>
            </w:r>
          </w:p>
        </w:tc>
        <w:tc>
          <w:tcPr>
            <w:tcW w:w="480" w:type="dxa"/>
            <w:vAlign w:val="bottom"/>
            <w:gridSpan w:val="2"/>
            <w:shd w:val="clear" w:color="auto" w:fill="CCEEFF"/>
          </w:tcPr>
          <w:p>
            <w:pPr>
              <w:jc w:val="right"/>
              <w:spacing w:after="0" w:line="141" w:lineRule="exact"/>
              <w:rPr>
                <w:sz w:val="20"/>
                <w:szCs w:val="20"/>
                <w:color w:val="auto"/>
              </w:rPr>
            </w:pPr>
            <w:r>
              <w:rPr>
                <w:rFonts w:ascii="Arial" w:cs="Arial" w:eastAsia="Arial" w:hAnsi="Arial"/>
                <w:sz w:val="13"/>
                <w:szCs w:val="13"/>
                <w:color w:val="auto"/>
              </w:rPr>
              <w:t>10.9 %</w:t>
            </w:r>
          </w:p>
        </w:tc>
        <w:tc>
          <w:tcPr>
            <w:tcW w:w="0" w:type="dxa"/>
            <w:vAlign w:val="bottom"/>
          </w:tcPr>
          <w:p>
            <w:pPr>
              <w:spacing w:after="0"/>
              <w:rPr>
                <w:sz w:val="1"/>
                <w:szCs w:val="1"/>
                <w:color w:val="auto"/>
              </w:rPr>
            </w:pPr>
          </w:p>
        </w:tc>
      </w:tr>
      <w:tr>
        <w:trPr>
          <w:trHeight w:val="135"/>
        </w:trPr>
        <w:tc>
          <w:tcPr>
            <w:tcW w:w="820" w:type="dxa"/>
            <w:vAlign w:val="bottom"/>
            <w:gridSpan w:val="2"/>
          </w:tcPr>
          <w:p>
            <w:pPr>
              <w:spacing w:after="0" w:line="135" w:lineRule="exact"/>
              <w:rPr>
                <w:sz w:val="20"/>
                <w:szCs w:val="20"/>
                <w:color w:val="auto"/>
              </w:rPr>
            </w:pPr>
            <w:r>
              <w:rPr>
                <w:rFonts w:ascii="Arial" w:cs="Arial" w:eastAsia="Arial" w:hAnsi="Arial"/>
                <w:sz w:val="13"/>
                <w:szCs w:val="13"/>
                <w:color w:val="auto"/>
              </w:rPr>
              <w:t>Other</w:t>
            </w: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21,189</w:t>
            </w:r>
          </w:p>
        </w:tc>
        <w:tc>
          <w:tcPr>
            <w:tcW w:w="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tcPr>
          <w:p>
            <w:pPr>
              <w:spacing w:after="0"/>
              <w:rPr>
                <w:sz w:val="11"/>
                <w:szCs w:val="11"/>
                <w:color w:val="auto"/>
              </w:rPr>
            </w:pPr>
          </w:p>
        </w:tc>
        <w:tc>
          <w:tcPr>
            <w:tcW w:w="7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26,007</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8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5,023</w:t>
            </w:r>
          </w:p>
        </w:tc>
        <w:tc>
          <w:tcPr>
            <w:tcW w:w="120" w:type="dxa"/>
            <w:vAlign w:val="bottom"/>
            <w:tcBorders>
              <w:left w:val="single" w:sz="8" w:color="auto"/>
            </w:tcBorders>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4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3"/>
                <w:szCs w:val="13"/>
                <w:color w:val="auto"/>
              </w:rPr>
              <w:t>20,984</w:t>
            </w:r>
          </w:p>
        </w:tc>
        <w:tc>
          <w:tcPr>
            <w:tcW w:w="14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7"/>
              </w:rPr>
              <w:t>(4,818)</w:t>
            </w:r>
          </w:p>
        </w:tc>
        <w:tc>
          <w:tcPr>
            <w:tcW w:w="6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(100.0)%</w:t>
            </w:r>
          </w:p>
        </w:tc>
        <w:tc>
          <w:tcPr>
            <w:tcW w:w="4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(18.5)%</w:t>
            </w:r>
          </w:p>
        </w:tc>
        <w:tc>
          <w:tcPr>
            <w:tcW w:w="0" w:type="dxa"/>
            <w:vAlign w:val="bottom"/>
          </w:tcPr>
          <w:p>
            <w:pPr>
              <w:spacing w:after="0"/>
              <w:rPr>
                <w:sz w:val="1"/>
                <w:szCs w:val="1"/>
                <w:color w:val="auto"/>
              </w:rPr>
            </w:pPr>
          </w:p>
        </w:tc>
      </w:tr>
      <w:tr>
        <w:trPr>
          <w:trHeight w:val="20"/>
        </w:trPr>
        <w:tc>
          <w:tcPr>
            <w:tcW w:w="820" w:type="dxa"/>
            <w:vAlign w:val="bottom"/>
            <w:gridSpan w:val="2"/>
            <w:vMerge w:val="restart"/>
            <w:shd w:val="clear" w:color="auto" w:fill="CCEEFF"/>
          </w:tcPr>
          <w:p>
            <w:pPr>
              <w:spacing w:after="0" w:line="129" w:lineRule="exact"/>
              <w:rPr>
                <w:sz w:val="20"/>
                <w:szCs w:val="20"/>
                <w:color w:val="auto"/>
              </w:rPr>
            </w:pPr>
            <w:r>
              <w:rPr>
                <w:rFonts w:ascii="Arial" w:cs="Arial" w:eastAsia="Arial" w:hAnsi="Arial"/>
                <w:sz w:val="13"/>
                <w:szCs w:val="13"/>
                <w:color w:val="auto"/>
              </w:rPr>
              <w:t>Gross</w:t>
            </w: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tcBorders>
              <w:lef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20" w:type="dxa"/>
            <w:vAlign w:val="bottom"/>
            <w:gridSpan w:val="2"/>
            <w:vMerge w:val="continue"/>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3"/>
              </w:rPr>
              <w:t>$ 437,742</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$ 337,824</w:t>
            </w:r>
          </w:p>
        </w:tc>
        <w:tc>
          <w:tcPr>
            <w:tcW w:w="80" w:type="dxa"/>
            <w:vAlign w:val="bottom"/>
            <w:shd w:val="clear" w:color="auto" w:fill="CCEEFF"/>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66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$ 355,594</w:t>
            </w:r>
          </w:p>
        </w:tc>
        <w:tc>
          <w:tcPr>
            <w:tcW w:w="840" w:type="dxa"/>
            <w:vAlign w:val="bottom"/>
            <w:tcBorders>
              <w:right w:val="single" w:sz="8" w:color="CCEEFF"/>
            </w:tcBorders>
            <w:gridSpan w:val="2"/>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$ 328,814</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94"/>
              </w:rPr>
              <w:t>$ 96,833</w:t>
            </w: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3"/>
                <w:szCs w:val="13"/>
                <w:color w:val="auto"/>
                <w:w w:val="94"/>
              </w:rPr>
              <w:t>$ 81,804</w:t>
            </w:r>
          </w:p>
        </w:tc>
        <w:tc>
          <w:tcPr>
            <w:tcW w:w="740" w:type="dxa"/>
            <w:vAlign w:val="bottom"/>
            <w:tcBorders>
              <w:left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$ 258,761</w:t>
            </w:r>
          </w:p>
        </w:tc>
        <w:tc>
          <w:tcPr>
            <w:tcW w:w="74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$ 247,010</w:t>
            </w:r>
          </w:p>
        </w:tc>
        <w:tc>
          <w:tcPr>
            <w:tcW w:w="6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$ 82,148</w:t>
            </w:r>
          </w:p>
        </w:tc>
        <w:tc>
          <w:tcPr>
            <w:tcW w:w="1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9,010</w:t>
            </w:r>
          </w:p>
        </w:tc>
        <w:tc>
          <w:tcPr>
            <w:tcW w:w="14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color w:val="auto"/>
              </w:rPr>
              <w:t>23.1 %</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2.7 %</w:t>
            </w:r>
          </w:p>
        </w:tc>
        <w:tc>
          <w:tcPr>
            <w:tcW w:w="0" w:type="dxa"/>
            <w:vAlign w:val="bottom"/>
          </w:tcPr>
          <w:p>
            <w:pPr>
              <w:spacing w:after="0"/>
              <w:rPr>
                <w:sz w:val="1"/>
                <w:szCs w:val="1"/>
                <w:color w:val="auto"/>
              </w:rPr>
            </w:pPr>
          </w:p>
        </w:tc>
      </w:tr>
      <w:tr>
        <w:trPr>
          <w:trHeight w:val="128"/>
        </w:trPr>
        <w:tc>
          <w:tcPr>
            <w:tcW w:w="820" w:type="dxa"/>
            <w:vAlign w:val="bottom"/>
            <w:gridSpan w:val="2"/>
            <w:shd w:val="clear" w:color="auto" w:fill="CCEEFF"/>
          </w:tcPr>
          <w:p>
            <w:pPr>
              <w:spacing w:after="0" w:line="128" w:lineRule="exact"/>
              <w:rPr>
                <w:sz w:val="20"/>
                <w:szCs w:val="20"/>
                <w:color w:val="auto"/>
              </w:rPr>
            </w:pPr>
            <w:r>
              <w:rPr>
                <w:rFonts w:ascii="Arial" w:cs="Arial" w:eastAsia="Arial" w:hAnsi="Arial"/>
                <w:sz w:val="13"/>
                <w:szCs w:val="13"/>
                <w:color w:val="auto"/>
              </w:rPr>
              <w:t>revenue</w:t>
            </w:r>
          </w:p>
        </w:tc>
        <w:tc>
          <w:tcPr>
            <w:tcW w:w="600" w:type="dxa"/>
            <w:vAlign w:val="bottom"/>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660" w:type="dxa"/>
            <w:vAlign w:val="bottom"/>
            <w:tcBorders>
              <w:left w:val="single" w:sz="8" w:color="CCEEFF"/>
            </w:tcBorders>
            <w:vMerge w:val="continue"/>
            <w:shd w:val="clear" w:color="auto" w:fill="CCEEFF"/>
          </w:tcPr>
          <w:p>
            <w:pPr>
              <w:spacing w:after="0"/>
              <w:rPr>
                <w:sz w:val="11"/>
                <w:szCs w:val="11"/>
                <w:color w:val="auto"/>
              </w:rPr>
            </w:pPr>
          </w:p>
        </w:tc>
        <w:tc>
          <w:tcPr>
            <w:tcW w:w="840" w:type="dxa"/>
            <w:vAlign w:val="bottom"/>
            <w:tcBorders>
              <w:right w:val="single" w:sz="8" w:color="CCEEFF"/>
            </w:tcBorders>
            <w:gridSpan w:val="2"/>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tcBorders>
              <w:right w:val="single" w:sz="8" w:color="CCEEFF"/>
            </w:tcBorders>
            <w:vMerge w:val="continue"/>
            <w:shd w:val="clear" w:color="auto" w:fill="CCEEFF"/>
          </w:tcPr>
          <w:p>
            <w:pPr>
              <w:spacing w:after="0"/>
              <w:rPr>
                <w:sz w:val="11"/>
                <w:szCs w:val="11"/>
                <w:color w:val="auto"/>
              </w:rPr>
            </w:pPr>
          </w:p>
        </w:tc>
        <w:tc>
          <w:tcPr>
            <w:tcW w:w="740" w:type="dxa"/>
            <w:vAlign w:val="bottom"/>
            <w:tcBorders>
              <w:left w:val="single" w:sz="8" w:color="auto"/>
            </w:tcBorders>
            <w:gridSpan w:val="2"/>
            <w:vMerge w:val="continue"/>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6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42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gridSpan w:val="2"/>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6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60" w:type="dxa"/>
            <w:vAlign w:val="bottom"/>
            <w:tcBorders>
              <w:left w:val="single" w:sz="8" w:color="CCEEFF"/>
            </w:tcBorders>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tcBorders>
              <w:right w:val="single" w:sz="8" w:color="CCEEFF"/>
            </w:tcBorders>
            <w:shd w:val="clear" w:color="auto" w:fill="000000"/>
          </w:tcPr>
          <w:p>
            <w:pPr>
              <w:spacing w:after="0"/>
              <w:rPr>
                <w:sz w:val="2"/>
                <w:szCs w:val="2"/>
                <w:color w:val="auto"/>
              </w:rPr>
            </w:pPr>
          </w:p>
        </w:tc>
        <w:tc>
          <w:tcPr>
            <w:tcW w:w="120" w:type="dxa"/>
            <w:vAlign w:val="bottom"/>
            <w:tcBorders>
              <w:left w:val="single" w:sz="8" w:color="auto"/>
            </w:tcBorders>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660" w:right="160" w:hanging="333"/>
        <w:spacing w:after="0" w:line="225" w:lineRule="auto"/>
        <w:tabs>
          <w:tab w:leader="none" w:pos="6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Represents the combined results of the successor and predecessor periods for the full year ended December 31, 2018. This combination was performed by mathematical addition and is not a presentation made in accordance with GAAP. Revenue accounts were not impacted by the Refinitiv Transaction or the application of pushdown accounting. See “Presentation” above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VARIABLE FEES PER MILLION DOLLARS OF VOLUME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Three Months Ended</w:t>
            </w:r>
          </w:p>
        </w:tc>
        <w:tc>
          <w:tcPr>
            <w:tcW w:w="160" w:type="dxa"/>
            <w:vAlign w:val="bottom"/>
          </w:tcPr>
          <w:p>
            <w:pPr>
              <w:spacing w:after="0"/>
              <w:rPr>
                <w:sz w:val="12"/>
                <w:szCs w:val="12"/>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6"/>
              </w:rPr>
              <w:t>Three Months 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4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YoY</w:t>
            </w:r>
          </w:p>
        </w:tc>
      </w:tr>
      <w:tr>
        <w:trPr>
          <w:trHeight w:val="157"/>
        </w:trPr>
        <w:tc>
          <w:tcPr>
            <w:tcW w:w="46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2019</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120" w:type="dxa"/>
            <w:vAlign w:val="bottom"/>
            <w:tcBorders>
              <w:bottom w:val="single" w:sz="8" w:color="CCEEFF"/>
            </w:tcBorders>
          </w:tcPr>
          <w:p>
            <w:pPr>
              <w:spacing w:after="0"/>
              <w:rPr>
                <w:sz w:val="13"/>
                <w:szCs w:val="13"/>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Rates</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2.03</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45"/>
              <w:spacing w:after="0"/>
              <w:rPr>
                <w:sz w:val="20"/>
                <w:szCs w:val="20"/>
                <w:color w:val="auto"/>
              </w:rPr>
            </w:pPr>
            <w:r>
              <w:rPr>
                <w:rFonts w:ascii="Arial" w:cs="Arial" w:eastAsia="Arial" w:hAnsi="Arial"/>
                <w:sz w:val="9"/>
                <w:szCs w:val="9"/>
                <w:color w:val="auto"/>
                <w:w w:val="78"/>
              </w:rPr>
              <w:t>$</w:t>
            </w: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2.04</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(0.8)%</w:t>
            </w:r>
          </w:p>
        </w:tc>
      </w:tr>
      <w:tr>
        <w:trPr>
          <w:trHeight w:val="135"/>
        </w:trPr>
        <w:tc>
          <w:tcPr>
            <w:tcW w:w="4600" w:type="dxa"/>
            <w:vAlign w:val="bottom"/>
          </w:tcPr>
          <w:p>
            <w:pPr>
              <w:ind w:left="120"/>
              <w:spacing w:after="0" w:line="135" w:lineRule="exact"/>
              <w:rPr>
                <w:sz w:val="20"/>
                <w:szCs w:val="20"/>
                <w:color w:val="auto"/>
              </w:rPr>
            </w:pPr>
            <w:r>
              <w:rPr>
                <w:rFonts w:ascii="Arial" w:cs="Arial" w:eastAsia="Arial" w:hAnsi="Arial"/>
                <w:sz w:val="13"/>
                <w:szCs w:val="13"/>
                <w:color w:val="auto"/>
              </w:rPr>
              <w:t>Rates - excluding short-tenor swaps (less than 1 year)</w:t>
            </w:r>
          </w:p>
        </w:tc>
        <w:tc>
          <w:tcPr>
            <w:tcW w:w="7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2.24</w:t>
            </w:r>
          </w:p>
        </w:tc>
        <w:tc>
          <w:tcPr>
            <w:tcW w:w="320" w:type="dxa"/>
            <w:vAlign w:val="bottom"/>
            <w:gridSpan w:val="2"/>
          </w:tcPr>
          <w:p>
            <w:pPr>
              <w:jc w:val="right"/>
              <w:ind w:right="45"/>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2.11</w:t>
            </w:r>
          </w:p>
        </w:tc>
        <w:tc>
          <w:tcPr>
            <w:tcW w:w="1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6.0 %</w:t>
            </w: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Credit</w:t>
            </w:r>
          </w:p>
        </w:tc>
        <w:tc>
          <w:tcPr>
            <w:tcW w:w="7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46.17</w:t>
            </w:r>
          </w:p>
        </w:tc>
        <w:tc>
          <w:tcPr>
            <w:tcW w:w="320" w:type="dxa"/>
            <w:vAlign w:val="bottom"/>
            <w:gridSpan w:val="2"/>
            <w:shd w:val="clear" w:color="auto" w:fill="CCEEFF"/>
          </w:tcPr>
          <w:p>
            <w:pPr>
              <w:jc w:val="right"/>
              <w:ind w:right="45"/>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42.49</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8.7 %</w:t>
            </w: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Equities</w:t>
            </w:r>
          </w:p>
        </w:tc>
        <w:tc>
          <w:tcPr>
            <w:tcW w:w="7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16.12</w:t>
            </w:r>
          </w:p>
        </w:tc>
        <w:tc>
          <w:tcPr>
            <w:tcW w:w="320" w:type="dxa"/>
            <w:vAlign w:val="bottom"/>
            <w:gridSpan w:val="2"/>
          </w:tcPr>
          <w:p>
            <w:pPr>
              <w:jc w:val="right"/>
              <w:ind w:right="45"/>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20.19</w:t>
            </w:r>
          </w:p>
        </w:tc>
        <w:tc>
          <w:tcPr>
            <w:tcW w:w="1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(20.2)%</w:t>
            </w: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Money Markets</w:t>
            </w:r>
          </w:p>
        </w:tc>
        <w:tc>
          <w:tcPr>
            <w:tcW w:w="7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0.47</w:t>
            </w:r>
          </w:p>
        </w:tc>
        <w:tc>
          <w:tcPr>
            <w:tcW w:w="320" w:type="dxa"/>
            <w:vAlign w:val="bottom"/>
            <w:gridSpan w:val="2"/>
            <w:shd w:val="clear" w:color="auto" w:fill="CCEEFF"/>
          </w:tcPr>
          <w:p>
            <w:pPr>
              <w:jc w:val="right"/>
              <w:ind w:right="45"/>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0.52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(8.9)%</w:t>
            </w: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Total Fees per Million</w:t>
            </w:r>
          </w:p>
        </w:tc>
        <w:tc>
          <w:tcPr>
            <w:tcW w:w="7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2.59</w:t>
            </w:r>
          </w:p>
        </w:tc>
        <w:tc>
          <w:tcPr>
            <w:tcW w:w="320" w:type="dxa"/>
            <w:vAlign w:val="bottom"/>
            <w:gridSpan w:val="2"/>
          </w:tcPr>
          <w:p>
            <w:pPr>
              <w:jc w:val="right"/>
              <w:ind w:right="45"/>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2.66</w:t>
            </w:r>
          </w:p>
        </w:tc>
        <w:tc>
          <w:tcPr>
            <w:tcW w:w="1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w:t>
            </w:r>
          </w:p>
        </w:tc>
      </w:tr>
      <w:tr>
        <w:trPr>
          <w:trHeight w:val="135"/>
        </w:trPr>
        <w:tc>
          <w:tcPr>
            <w:tcW w:w="4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Total Fees per Million - excluding short-tenor swaps (less than 1 year)</w:t>
            </w:r>
          </w:p>
        </w:tc>
        <w:tc>
          <w:tcPr>
            <w:tcW w:w="7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2.76</w:t>
            </w:r>
          </w:p>
        </w:tc>
        <w:tc>
          <w:tcPr>
            <w:tcW w:w="320" w:type="dxa"/>
            <w:vAlign w:val="bottom"/>
            <w:gridSpan w:val="2"/>
            <w:shd w:val="clear" w:color="auto" w:fill="CCEEFF"/>
          </w:tcPr>
          <w:p>
            <w:pPr>
              <w:jc w:val="right"/>
              <w:ind w:right="45"/>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1.7 %</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77"/>
              <w:spacing w:after="0"/>
              <w:rPr>
                <w:sz w:val="20"/>
                <w:szCs w:val="20"/>
                <w:color w:val="auto"/>
              </w:rPr>
            </w:pPr>
            <w:r>
              <w:rPr>
                <w:rFonts w:ascii="Arial" w:cs="Arial" w:eastAsia="Arial" w:hAnsi="Arial"/>
                <w:sz w:val="13"/>
                <w:szCs w:val="13"/>
                <w:b w:val="1"/>
                <w:bCs w:val="1"/>
                <w:color w:val="auto"/>
                <w:w w:val="95"/>
              </w:rPr>
              <w:t>Year 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Year Ended</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4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December 31,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December 31,</w:t>
            </w:r>
          </w:p>
        </w:tc>
        <w:tc>
          <w:tcPr>
            <w:tcW w:w="8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YoY</w:t>
            </w:r>
          </w:p>
        </w:tc>
      </w:tr>
      <w:tr>
        <w:trPr>
          <w:trHeight w:val="157"/>
        </w:trPr>
        <w:tc>
          <w:tcPr>
            <w:tcW w:w="4600" w:type="dxa"/>
            <w:vAlign w:val="bottom"/>
            <w:tcBorders>
              <w:bottom w:val="single" w:sz="8" w:color="CCEEFF"/>
            </w:tcBorders>
          </w:tcPr>
          <w:p>
            <w:pPr>
              <w:spacing w:after="0"/>
              <w:rPr>
                <w:sz w:val="13"/>
                <w:szCs w:val="13"/>
                <w:color w:val="auto"/>
              </w:rPr>
            </w:pPr>
          </w:p>
        </w:tc>
        <w:tc>
          <w:tcPr>
            <w:tcW w:w="6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6"/>
              </w:rPr>
              <w:t>2019</w:t>
            </w:r>
          </w:p>
        </w:tc>
        <w:tc>
          <w:tcPr>
            <w:tcW w:w="16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6"/>
              </w:rPr>
              <w:t>2018</w:t>
            </w: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 Change</w:t>
            </w:r>
          </w:p>
        </w:tc>
        <w:tc>
          <w:tcPr>
            <w:tcW w:w="120" w:type="dxa"/>
            <w:vAlign w:val="bottom"/>
            <w:tcBorders>
              <w:bottom w:val="single" w:sz="8" w:color="CCEEFF"/>
            </w:tcBorders>
          </w:tcPr>
          <w:p>
            <w:pPr>
              <w:spacing w:after="0"/>
              <w:rPr>
                <w:sz w:val="13"/>
                <w:szCs w:val="13"/>
                <w:color w:val="auto"/>
              </w:rPr>
            </w:pPr>
          </w:p>
        </w:tc>
      </w:tr>
      <w:tr>
        <w:trPr>
          <w:trHeight w:val="129"/>
        </w:trPr>
        <w:tc>
          <w:tcPr>
            <w:tcW w:w="460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Rates</w:t>
            </w: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1.89</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11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2.04</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(7.4)%</w:t>
            </w:r>
          </w:p>
        </w:tc>
      </w:tr>
      <w:tr>
        <w:trPr>
          <w:trHeight w:val="135"/>
        </w:trPr>
        <w:tc>
          <w:tcPr>
            <w:tcW w:w="4600" w:type="dxa"/>
            <w:vAlign w:val="bottom"/>
          </w:tcPr>
          <w:p>
            <w:pPr>
              <w:ind w:left="120"/>
              <w:spacing w:after="0" w:line="135" w:lineRule="exact"/>
              <w:rPr>
                <w:sz w:val="20"/>
                <w:szCs w:val="20"/>
                <w:color w:val="auto"/>
              </w:rPr>
            </w:pPr>
            <w:r>
              <w:rPr>
                <w:rFonts w:ascii="Arial" w:cs="Arial" w:eastAsia="Arial" w:hAnsi="Arial"/>
                <w:sz w:val="13"/>
                <w:szCs w:val="13"/>
                <w:color w:val="auto"/>
              </w:rPr>
              <w:t>Rates - excluding short-tenor swaps (less than 1 year)</w:t>
            </w:r>
          </w:p>
        </w:tc>
        <w:tc>
          <w:tcPr>
            <w:tcW w:w="7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2.21</w:t>
            </w:r>
          </w:p>
        </w:tc>
        <w:tc>
          <w:tcPr>
            <w:tcW w:w="32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2.15</w:t>
            </w:r>
          </w:p>
        </w:tc>
        <w:tc>
          <w:tcPr>
            <w:tcW w:w="1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2.9 %</w:t>
            </w: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Credit</w:t>
            </w:r>
          </w:p>
        </w:tc>
        <w:tc>
          <w:tcPr>
            <w:tcW w:w="7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37.98</w:t>
            </w:r>
          </w:p>
        </w:tc>
        <w:tc>
          <w:tcPr>
            <w:tcW w:w="32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1.5 %</w:t>
            </w: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Equities</w:t>
            </w:r>
          </w:p>
        </w:tc>
        <w:tc>
          <w:tcPr>
            <w:tcW w:w="7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19.52</w:t>
            </w:r>
          </w:p>
        </w:tc>
        <w:tc>
          <w:tcPr>
            <w:tcW w:w="32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17.55</w:t>
            </w:r>
          </w:p>
        </w:tc>
        <w:tc>
          <w:tcPr>
            <w:tcW w:w="1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11.2 %</w:t>
            </w: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Money Markets</w:t>
            </w:r>
          </w:p>
        </w:tc>
        <w:tc>
          <w:tcPr>
            <w:tcW w:w="7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0.47</w:t>
            </w:r>
          </w:p>
        </w:tc>
        <w:tc>
          <w:tcPr>
            <w:tcW w:w="32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0.47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0.6 %</w:t>
            </w: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Total Fees per Million</w:t>
            </w:r>
          </w:p>
        </w:tc>
        <w:tc>
          <w:tcPr>
            <w:tcW w:w="78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2.40</w:t>
            </w:r>
          </w:p>
        </w:tc>
        <w:tc>
          <w:tcPr>
            <w:tcW w:w="320" w:type="dxa"/>
            <w:vAlign w:val="bottom"/>
            <w:gridSpan w:val="2"/>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2.59</w:t>
            </w:r>
          </w:p>
        </w:tc>
        <w:tc>
          <w:tcPr>
            <w:tcW w:w="140" w:type="dxa"/>
            <w:vAlign w:val="bottom"/>
          </w:tcPr>
          <w:p>
            <w:pPr>
              <w:spacing w:after="0"/>
              <w:rPr>
                <w:sz w:val="11"/>
                <w:szCs w:val="11"/>
                <w:color w:val="auto"/>
              </w:rPr>
            </w:pPr>
          </w:p>
        </w:tc>
        <w:tc>
          <w:tcPr>
            <w:tcW w:w="8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(7.2)%</w:t>
            </w:r>
          </w:p>
        </w:tc>
      </w:tr>
      <w:tr>
        <w:trPr>
          <w:trHeight w:val="135"/>
        </w:trPr>
        <w:tc>
          <w:tcPr>
            <w:tcW w:w="46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Total Fees per Million - excluding short-tenor swaps (less than 1 year)</w:t>
            </w:r>
          </w:p>
        </w:tc>
        <w:tc>
          <w:tcPr>
            <w:tcW w:w="780" w:type="dxa"/>
            <w:vAlign w:val="bottom"/>
            <w:gridSpan w:val="2"/>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2.66</w:t>
            </w:r>
          </w:p>
        </w:tc>
        <w:tc>
          <w:tcPr>
            <w:tcW w:w="320" w:type="dxa"/>
            <w:vAlign w:val="bottom"/>
            <w:gridSpan w:val="2"/>
            <w:shd w:val="clear" w:color="auto" w:fill="CCEEFF"/>
          </w:tcPr>
          <w:p>
            <w:pPr>
              <w:jc w:val="right"/>
              <w:ind w:right="53"/>
              <w:spacing w:after="0" w:line="135"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(0.4)%</w:t>
            </w:r>
          </w:p>
        </w:tc>
      </w:tr>
    </w:tbl>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t>TRADEWEB MARKETS INC.</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AVERAGE DAILY VOLUME</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57"/>
        </w:trPr>
        <w:tc>
          <w:tcPr>
            <w:tcW w:w="1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00" w:type="dxa"/>
            <w:vAlign w:val="bottom"/>
            <w:gridSpan w:val="3"/>
          </w:tcPr>
          <w:p>
            <w:pPr>
              <w:ind w:left="940"/>
              <w:spacing w:after="0"/>
              <w:rPr>
                <w:sz w:val="20"/>
                <w:szCs w:val="20"/>
                <w:color w:val="auto"/>
              </w:rPr>
            </w:pPr>
            <w:r>
              <w:rPr>
                <w:rFonts w:ascii="Arial" w:cs="Arial" w:eastAsia="Arial" w:hAnsi="Arial"/>
                <w:sz w:val="13"/>
                <w:szCs w:val="13"/>
                <w:b w:val="1"/>
                <w:bCs w:val="1"/>
                <w:color w:val="auto"/>
              </w:rPr>
              <w:t>4Q19</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3"/>
          </w:tcPr>
          <w:p>
            <w:pPr>
              <w:ind w:left="940"/>
              <w:spacing w:after="0"/>
              <w:rPr>
                <w:sz w:val="20"/>
                <w:szCs w:val="20"/>
                <w:color w:val="auto"/>
              </w:rPr>
            </w:pPr>
            <w:r>
              <w:rPr>
                <w:rFonts w:ascii="Arial" w:cs="Arial" w:eastAsia="Arial" w:hAnsi="Arial"/>
                <w:sz w:val="13"/>
                <w:szCs w:val="13"/>
                <w:b w:val="1"/>
                <w:bCs w:val="1"/>
                <w:color w:val="auto"/>
              </w:rPr>
              <w:t>4Q18</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280"/>
              <w:spacing w:after="0"/>
              <w:rPr>
                <w:sz w:val="20"/>
                <w:szCs w:val="20"/>
                <w:color w:val="auto"/>
              </w:rPr>
            </w:pPr>
            <w:r>
              <w:rPr>
                <w:rFonts w:ascii="Arial" w:cs="Arial" w:eastAsia="Arial" w:hAnsi="Arial"/>
                <w:sz w:val="13"/>
                <w:szCs w:val="13"/>
                <w:b w:val="1"/>
                <w:bCs w:val="1"/>
                <w:color w:val="auto"/>
              </w:rPr>
              <w:t>YoY</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300" w:type="dxa"/>
            <w:vAlign w:val="bottom"/>
            <w:tcBorders>
              <w:top w:val="single" w:sz="8" w:color="auto"/>
            </w:tcBorders>
            <w:gridSpan w:val="3"/>
          </w:tcPr>
          <w:p>
            <w:pPr>
              <w:jc w:val="center"/>
              <w:ind w:right="240"/>
              <w:spacing w:after="0" w:line="107" w:lineRule="exact"/>
              <w:rPr>
                <w:sz w:val="20"/>
                <w:szCs w:val="20"/>
                <w:color w:val="auto"/>
              </w:rPr>
            </w:pPr>
            <w:r>
              <w:rPr>
                <w:rFonts w:ascii="Arial" w:cs="Arial" w:eastAsia="Arial" w:hAnsi="Arial"/>
                <w:sz w:val="12"/>
                <w:szCs w:val="12"/>
                <w:b w:val="1"/>
                <w:bCs w:val="1"/>
                <w:color w:val="auto"/>
              </w:rPr>
              <w:t>ADV</w:t>
            </w:r>
          </w:p>
        </w:tc>
        <w:tc>
          <w:tcPr>
            <w:tcW w:w="880" w:type="dxa"/>
            <w:vAlign w:val="bottom"/>
            <w:tcBorders>
              <w:top w:val="single" w:sz="8" w:color="auto"/>
            </w:tcBorders>
          </w:tcPr>
          <w:p>
            <w:pPr>
              <w:jc w:val="center"/>
              <w:ind w:right="117"/>
              <w:spacing w:after="0" w:line="107" w:lineRule="exact"/>
              <w:rPr>
                <w:sz w:val="20"/>
                <w:szCs w:val="20"/>
                <w:color w:val="auto"/>
              </w:rPr>
            </w:pPr>
            <w:r>
              <w:rPr>
                <w:rFonts w:ascii="Arial" w:cs="Arial" w:eastAsia="Arial" w:hAnsi="Arial"/>
                <w:sz w:val="12"/>
                <w:szCs w:val="12"/>
                <w:b w:val="1"/>
                <w:bCs w:val="1"/>
                <w:color w:val="auto"/>
              </w:rPr>
              <w:t>Volume</w:t>
            </w:r>
          </w:p>
        </w:tc>
        <w:tc>
          <w:tcPr>
            <w:tcW w:w="60" w:type="dxa"/>
            <w:vAlign w:val="bottom"/>
          </w:tcPr>
          <w:p>
            <w:pPr>
              <w:spacing w:after="0"/>
              <w:rPr>
                <w:sz w:val="9"/>
                <w:szCs w:val="9"/>
                <w:color w:val="auto"/>
              </w:rPr>
            </w:pPr>
          </w:p>
        </w:tc>
        <w:tc>
          <w:tcPr>
            <w:tcW w:w="1300" w:type="dxa"/>
            <w:vAlign w:val="bottom"/>
            <w:tcBorders>
              <w:top w:val="single" w:sz="8" w:color="auto"/>
            </w:tcBorders>
            <w:gridSpan w:val="3"/>
          </w:tcPr>
          <w:p>
            <w:pPr>
              <w:jc w:val="center"/>
              <w:ind w:right="240"/>
              <w:spacing w:after="0" w:line="107" w:lineRule="exact"/>
              <w:rPr>
                <w:sz w:val="20"/>
                <w:szCs w:val="20"/>
                <w:color w:val="auto"/>
              </w:rPr>
            </w:pPr>
            <w:r>
              <w:rPr>
                <w:rFonts w:ascii="Arial" w:cs="Arial" w:eastAsia="Arial" w:hAnsi="Arial"/>
                <w:sz w:val="12"/>
                <w:szCs w:val="12"/>
                <w:b w:val="1"/>
                <w:bCs w:val="1"/>
                <w:color w:val="auto"/>
              </w:rPr>
              <w:t>ADV</w:t>
            </w:r>
          </w:p>
        </w:tc>
        <w:tc>
          <w:tcPr>
            <w:tcW w:w="860" w:type="dxa"/>
            <w:vAlign w:val="bottom"/>
            <w:tcBorders>
              <w:top w:val="single" w:sz="8" w:color="auto"/>
            </w:tcBorders>
          </w:tcPr>
          <w:p>
            <w:pPr>
              <w:jc w:val="right"/>
              <w:ind w:right="217"/>
              <w:spacing w:after="0" w:line="107" w:lineRule="exact"/>
              <w:rPr>
                <w:sz w:val="20"/>
                <w:szCs w:val="20"/>
                <w:color w:val="auto"/>
              </w:rPr>
            </w:pPr>
            <w:r>
              <w:rPr>
                <w:rFonts w:ascii="Arial" w:cs="Arial" w:eastAsia="Arial" w:hAnsi="Arial"/>
                <w:sz w:val="12"/>
                <w:szCs w:val="12"/>
                <w:b w:val="1"/>
                <w:bCs w:val="1"/>
                <w:color w:val="auto"/>
              </w:rPr>
              <w:t>Volume</w:t>
            </w:r>
          </w:p>
        </w:tc>
        <w:tc>
          <w:tcPr>
            <w:tcW w:w="60" w:type="dxa"/>
            <w:vAlign w:val="bottom"/>
          </w:tcPr>
          <w:p>
            <w:pPr>
              <w:spacing w:after="0"/>
              <w:rPr>
                <w:sz w:val="9"/>
                <w:szCs w:val="9"/>
                <w:color w:val="auto"/>
              </w:rPr>
            </w:pPr>
          </w:p>
        </w:tc>
        <w:tc>
          <w:tcPr>
            <w:tcW w:w="780" w:type="dxa"/>
            <w:vAlign w:val="bottom"/>
            <w:tcBorders>
              <w:top w:val="single" w:sz="8" w:color="auto"/>
            </w:tcBorders>
          </w:tcPr>
          <w:p>
            <w:pPr>
              <w:jc w:val="right"/>
              <w:ind w:right="197"/>
              <w:spacing w:after="0" w:line="107" w:lineRule="exact"/>
              <w:rPr>
                <w:sz w:val="20"/>
                <w:szCs w:val="20"/>
                <w:color w:val="auto"/>
              </w:rPr>
            </w:pPr>
            <w:r>
              <w:rPr>
                <w:rFonts w:ascii="Arial" w:cs="Arial" w:eastAsia="Arial" w:hAnsi="Arial"/>
                <w:sz w:val="12"/>
                <w:szCs w:val="12"/>
                <w:b w:val="1"/>
                <w:bCs w:val="1"/>
                <w:color w:val="auto"/>
              </w:rPr>
              <w:t>ADV</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200" w:type="dxa"/>
            <w:vAlign w:val="bottom"/>
          </w:tcPr>
          <w:p>
            <w:pPr>
              <w:spacing w:after="0"/>
              <w:rPr>
                <w:sz w:val="20"/>
                <w:szCs w:val="20"/>
                <w:color w:val="auto"/>
              </w:rPr>
            </w:pPr>
            <w:r>
              <w:rPr>
                <w:rFonts w:ascii="Arial" w:cs="Arial" w:eastAsia="Arial" w:hAnsi="Arial"/>
                <w:sz w:val="13"/>
                <w:szCs w:val="13"/>
                <w:b w:val="1"/>
                <w:bCs w:val="1"/>
                <w:color w:val="auto"/>
              </w:rPr>
              <w:t>Asset Class</w:t>
            </w:r>
          </w:p>
        </w:tc>
        <w:tc>
          <w:tcPr>
            <w:tcW w:w="2500" w:type="dxa"/>
            <w:vAlign w:val="bottom"/>
          </w:tcPr>
          <w:p>
            <w:pPr>
              <w:spacing w:after="0"/>
              <w:rPr>
                <w:sz w:val="20"/>
                <w:szCs w:val="20"/>
                <w:color w:val="auto"/>
              </w:rPr>
            </w:pPr>
            <w:r>
              <w:rPr>
                <w:rFonts w:ascii="Arial" w:cs="Arial" w:eastAsia="Arial" w:hAnsi="Arial"/>
                <w:sz w:val="13"/>
                <w:szCs w:val="13"/>
                <w:b w:val="1"/>
                <w:bCs w:val="1"/>
                <w:color w:val="auto"/>
              </w:rPr>
              <w:t>Product</w:t>
            </w:r>
          </w:p>
        </w:tc>
        <w:tc>
          <w:tcPr>
            <w:tcW w:w="13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(in $ mm)</w:t>
            </w: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(in $ mm)</w:t>
            </w:r>
          </w:p>
        </w:tc>
        <w:tc>
          <w:tcPr>
            <w:tcW w:w="13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(in $ mm)</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(in $ mm)</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line="132" w:lineRule="exact"/>
              <w:rPr>
                <w:sz w:val="20"/>
                <w:szCs w:val="20"/>
                <w:color w:val="auto"/>
              </w:rPr>
            </w:pPr>
            <w:r>
              <w:rPr>
                <w:rFonts w:ascii="Arial" w:cs="Arial" w:eastAsia="Arial" w:hAnsi="Arial"/>
                <w:sz w:val="13"/>
                <w:szCs w:val="13"/>
                <w:color w:val="auto"/>
              </w:rPr>
              <w:t>Rates</w:t>
            </w:r>
          </w:p>
        </w:tc>
        <w:tc>
          <w:tcPr>
            <w:tcW w:w="25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Cash</w:t>
            </w: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333333"/>
              </w:rPr>
              <w:t>267,716</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333333"/>
              </w:rPr>
              <w:t>16,639,376</w:t>
            </w:r>
          </w:p>
        </w:tc>
        <w:tc>
          <w:tcPr>
            <w:tcW w:w="6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333333"/>
              </w:rPr>
              <w:t>240,080</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333333"/>
              </w:rPr>
              <w:t>14,729,907</w:t>
            </w: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U.S. Government Bonds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77,007</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4,774,459</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79,091</w:t>
            </w: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4,824,576</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European Government Bonds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19,643</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1,257,179</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20,134</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1,308,730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Mortgages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167,952</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10,413,002</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138,929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8,474,693</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Government Bonds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3,113</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194,735</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1,925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121,907</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Derivatives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183,554</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11,551,786</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138,855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8,709,145</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Swaps/Swaptions ≥ 1Y</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138,753</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8,739,588</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125,140</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7,849,237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80"/>
              <w:spacing w:after="0" w:line="135" w:lineRule="exact"/>
              <w:rPr>
                <w:sz w:val="20"/>
                <w:szCs w:val="20"/>
                <w:color w:val="auto"/>
              </w:rPr>
            </w:pPr>
            <w:r>
              <w:rPr>
                <w:rFonts w:ascii="Arial" w:cs="Arial" w:eastAsia="Arial" w:hAnsi="Arial"/>
                <w:sz w:val="13"/>
                <w:szCs w:val="13"/>
                <w:color w:val="auto"/>
              </w:rPr>
              <w:t>Swaps/Swaptions &lt; 1Y</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44,165</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2,772,698</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13,122</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823,773</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236.6%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Futures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637</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39,500</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592</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36,136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Arial" w:cs="Arial" w:eastAsia="Arial" w:hAnsi="Arial"/>
                <w:sz w:val="13"/>
                <w:szCs w:val="13"/>
                <w:color w:val="auto"/>
              </w:rPr>
              <w:t>Credit</w:t>
            </w: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Total</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451,270</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28,191,162</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378,935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23,439,052</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continue"/>
          </w:tcPr>
          <w:p>
            <w:pPr>
              <w:spacing w:after="0"/>
              <w:rPr>
                <w:sz w:val="11"/>
                <w:szCs w:val="11"/>
                <w:color w:val="auto"/>
              </w:rPr>
            </w:pPr>
          </w:p>
        </w:tc>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6,000</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373,837</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4,323</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268,001</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U.S. High-Grade</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3,213</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199,230</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2,064</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125,876</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U.S. High-Yield</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357</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22,123</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269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16,421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European Credit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1,299</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83,111</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1,171</w:t>
            </w: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76,100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Municipal Bonds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217</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13,426</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292</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17,831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Chinese Bonds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849</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51,812</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484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29,013</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75.7%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Credit Bonds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65</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4,135</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44</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2,761</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Derivatives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7,218</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454,130</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7,711</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484,383</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Swaps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7,218</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454,130</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7,711</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484,383</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Arial" w:cs="Arial" w:eastAsia="Arial" w:hAnsi="Arial"/>
                <w:sz w:val="13"/>
                <w:szCs w:val="13"/>
                <w:color w:val="auto"/>
              </w:rPr>
              <w:t>Money Markets</w:t>
            </w: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Total</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13,218</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827,967</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12,034</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752,384</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9.8%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continue"/>
          </w:tcPr>
          <w:p>
            <w:pPr>
              <w:spacing w:after="0"/>
              <w:rPr>
                <w:sz w:val="11"/>
                <w:szCs w:val="11"/>
                <w:color w:val="auto"/>
              </w:rPr>
            </w:pPr>
          </w:p>
        </w:tc>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211,131</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13,211,134</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188,938</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11,689,227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Repurchase Agreements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192,990</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12,083,967</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168,690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10,450,000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Money Markets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18,141</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1,127,167</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20,248</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1,239,227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Arial" w:cs="Arial" w:eastAsia="Arial" w:hAnsi="Arial"/>
                <w:sz w:val="13"/>
                <w:szCs w:val="13"/>
                <w:color w:val="auto"/>
              </w:rPr>
              <w:t>Equities</w:t>
            </w: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Total</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211,131</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13,211,134</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188,938</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11,689,227</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continue"/>
          </w:tcPr>
          <w:p>
            <w:pPr>
              <w:spacing w:after="0"/>
              <w:rPr>
                <w:sz w:val="11"/>
                <w:szCs w:val="11"/>
                <w:color w:val="auto"/>
              </w:rPr>
            </w:pPr>
          </w:p>
        </w:tc>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4,548</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291,040</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5,202</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330,282</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U.S. ETFs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2,974</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190,355</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3,918</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246,862</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European ETFs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1,573</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100,685</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1,283</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83,420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Derivatives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4,442</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284,298</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3,343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212,662</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32.9%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Options/Convertibles/Swaps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2,628</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168,190</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964</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62,377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Futures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1,814</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116,108</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2,379</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150,285</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(23.7)%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8,990</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575,338</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8,544</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542,944</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p>
    <w:tbl>
      <w:tblPr>
        <w:tblLayout w:type="fixed"/>
        <w:tblInd w:w="1320" w:type="dxa"/>
        <w:tblCellMar>
          <w:top w:w="0" w:type="dxa"/>
          <w:left w:w="0" w:type="dxa"/>
          <w:bottom w:w="0" w:type="dxa"/>
          <w:right w:w="0" w:type="dxa"/>
        </w:tblCellMar>
      </w:tblPr>
      <w:tr>
        <w:trPr>
          <w:trHeight w:val="157"/>
        </w:trPr>
        <w:tc>
          <w:tcPr>
            <w:tcW w:w="2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4Q19</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4Q18</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280"/>
              <w:spacing w:after="0"/>
              <w:rPr>
                <w:sz w:val="20"/>
                <w:szCs w:val="20"/>
                <w:color w:val="auto"/>
              </w:rPr>
            </w:pPr>
            <w:r>
              <w:rPr>
                <w:rFonts w:ascii="Arial" w:cs="Arial" w:eastAsia="Arial" w:hAnsi="Arial"/>
                <w:sz w:val="13"/>
                <w:szCs w:val="13"/>
                <w:b w:val="1"/>
                <w:bCs w:val="1"/>
                <w:color w:val="auto"/>
              </w:rPr>
              <w:t>YoY</w:t>
            </w:r>
          </w:p>
        </w:tc>
      </w:tr>
      <w:tr>
        <w:trPr>
          <w:trHeight w:val="107"/>
        </w:trPr>
        <w:tc>
          <w:tcPr>
            <w:tcW w:w="2500" w:type="dxa"/>
            <w:vAlign w:val="bottom"/>
          </w:tcPr>
          <w:p>
            <w:pPr>
              <w:spacing w:after="0"/>
              <w:rPr>
                <w:sz w:val="9"/>
                <w:szCs w:val="9"/>
                <w:color w:val="auto"/>
              </w:rPr>
            </w:pPr>
          </w:p>
        </w:tc>
        <w:tc>
          <w:tcPr>
            <w:tcW w:w="1260" w:type="dxa"/>
            <w:vAlign w:val="bottom"/>
            <w:tcBorders>
              <w:top w:val="single" w:sz="8" w:color="auto"/>
            </w:tcBorders>
          </w:tcPr>
          <w:p>
            <w:pPr>
              <w:jc w:val="center"/>
              <w:ind w:right="138"/>
              <w:spacing w:after="0" w:line="107" w:lineRule="exact"/>
              <w:rPr>
                <w:sz w:val="20"/>
                <w:szCs w:val="20"/>
                <w:color w:val="auto"/>
              </w:rPr>
            </w:pPr>
            <w:r>
              <w:rPr>
                <w:rFonts w:ascii="Arial" w:cs="Arial" w:eastAsia="Arial" w:hAnsi="Arial"/>
                <w:sz w:val="12"/>
                <w:szCs w:val="12"/>
                <w:b w:val="1"/>
                <w:bCs w:val="1"/>
                <w:color w:val="auto"/>
              </w:rPr>
              <w:t>ADV</w:t>
            </w:r>
          </w:p>
        </w:tc>
        <w:tc>
          <w:tcPr>
            <w:tcW w:w="920" w:type="dxa"/>
            <w:vAlign w:val="bottom"/>
            <w:tcBorders>
              <w:top w:val="single" w:sz="8" w:color="auto"/>
            </w:tcBorders>
          </w:tcPr>
          <w:p>
            <w:pPr>
              <w:jc w:val="center"/>
              <w:ind w:right="79"/>
              <w:spacing w:after="0" w:line="107"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9"/>
                <w:szCs w:val="9"/>
                <w:color w:val="auto"/>
              </w:rPr>
            </w:pPr>
          </w:p>
        </w:tc>
        <w:tc>
          <w:tcPr>
            <w:tcW w:w="1260" w:type="dxa"/>
            <w:vAlign w:val="bottom"/>
            <w:tcBorders>
              <w:top w:val="single" w:sz="8" w:color="auto"/>
            </w:tcBorders>
          </w:tcPr>
          <w:p>
            <w:pPr>
              <w:jc w:val="center"/>
              <w:ind w:right="138"/>
              <w:spacing w:after="0" w:line="107" w:lineRule="exact"/>
              <w:rPr>
                <w:sz w:val="20"/>
                <w:szCs w:val="20"/>
                <w:color w:val="auto"/>
              </w:rPr>
            </w:pPr>
            <w:r>
              <w:rPr>
                <w:rFonts w:ascii="Arial" w:cs="Arial" w:eastAsia="Arial" w:hAnsi="Arial"/>
                <w:sz w:val="12"/>
                <w:szCs w:val="12"/>
                <w:b w:val="1"/>
                <w:bCs w:val="1"/>
                <w:color w:val="auto"/>
              </w:rPr>
              <w:t>ADV</w:t>
            </w:r>
          </w:p>
        </w:tc>
        <w:tc>
          <w:tcPr>
            <w:tcW w:w="900" w:type="dxa"/>
            <w:vAlign w:val="bottom"/>
            <w:tcBorders>
              <w:top w:val="single" w:sz="8" w:color="auto"/>
            </w:tcBorders>
          </w:tcPr>
          <w:p>
            <w:pPr>
              <w:jc w:val="center"/>
              <w:ind w:right="59"/>
              <w:spacing w:after="0" w:line="107"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9"/>
                <w:szCs w:val="9"/>
                <w:color w:val="auto"/>
              </w:rPr>
            </w:pPr>
          </w:p>
        </w:tc>
        <w:tc>
          <w:tcPr>
            <w:tcW w:w="780" w:type="dxa"/>
            <w:vAlign w:val="bottom"/>
            <w:tcBorders>
              <w:top w:val="single" w:sz="8" w:color="auto"/>
            </w:tcBorders>
          </w:tcPr>
          <w:p>
            <w:pPr>
              <w:ind w:left="260"/>
              <w:spacing w:after="0" w:line="107" w:lineRule="exact"/>
              <w:rPr>
                <w:sz w:val="20"/>
                <w:szCs w:val="20"/>
                <w:color w:val="auto"/>
              </w:rPr>
            </w:pPr>
            <w:r>
              <w:rPr>
                <w:rFonts w:ascii="Arial" w:cs="Arial" w:eastAsia="Arial" w:hAnsi="Arial"/>
                <w:sz w:val="12"/>
                <w:szCs w:val="12"/>
                <w:b w:val="1"/>
                <w:bCs w:val="1"/>
                <w:color w:val="auto"/>
              </w:rPr>
              <w:t>ADV</w:t>
            </w:r>
          </w:p>
        </w:tc>
        <w:tc>
          <w:tcPr>
            <w:tcW w:w="20" w:type="dxa"/>
            <w:vAlign w:val="bottom"/>
          </w:tcPr>
          <w:p>
            <w:pPr>
              <w:spacing w:after="0"/>
              <w:rPr>
                <w:sz w:val="9"/>
                <w:szCs w:val="9"/>
                <w:color w:val="auto"/>
              </w:rPr>
            </w:pPr>
          </w:p>
        </w:tc>
      </w:tr>
      <w:tr>
        <w:trPr>
          <w:trHeight w:val="157"/>
        </w:trPr>
        <w:tc>
          <w:tcPr>
            <w:tcW w:w="2500" w:type="dxa"/>
            <w:vAlign w:val="bottom"/>
          </w:tcPr>
          <w:p>
            <w:pPr>
              <w:spacing w:after="0"/>
              <w:rPr>
                <w:sz w:val="13"/>
                <w:szCs w:val="13"/>
                <w:color w:val="auto"/>
              </w:rPr>
            </w:pPr>
          </w:p>
        </w:tc>
        <w:tc>
          <w:tcPr>
            <w:tcW w:w="1260" w:type="dxa"/>
            <w:vAlign w:val="bottom"/>
          </w:tcPr>
          <w:p>
            <w:pPr>
              <w:jc w:val="center"/>
              <w:ind w:right="118"/>
              <w:spacing w:after="0"/>
              <w:rPr>
                <w:sz w:val="20"/>
                <w:szCs w:val="20"/>
                <w:color w:val="auto"/>
              </w:rPr>
            </w:pPr>
            <w:r>
              <w:rPr>
                <w:rFonts w:ascii="Arial" w:cs="Arial" w:eastAsia="Arial" w:hAnsi="Arial"/>
                <w:sz w:val="13"/>
                <w:szCs w:val="13"/>
                <w:b w:val="1"/>
                <w:bCs w:val="1"/>
                <w:color w:val="auto"/>
                <w:w w:val="96"/>
              </w:rPr>
              <w:t>(in $ mm)</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Daily Trades</w:t>
            </w:r>
          </w:p>
        </w:tc>
        <w:tc>
          <w:tcPr>
            <w:tcW w:w="1260" w:type="dxa"/>
            <w:vAlign w:val="bottom"/>
          </w:tcPr>
          <w:p>
            <w:pPr>
              <w:jc w:val="center"/>
              <w:ind w:right="118"/>
              <w:spacing w:after="0"/>
              <w:rPr>
                <w:sz w:val="20"/>
                <w:szCs w:val="20"/>
                <w:color w:val="auto"/>
              </w:rPr>
            </w:pPr>
            <w:r>
              <w:rPr>
                <w:rFonts w:ascii="Arial" w:cs="Arial" w:eastAsia="Arial" w:hAnsi="Arial"/>
                <w:sz w:val="13"/>
                <w:szCs w:val="13"/>
                <w:b w:val="1"/>
                <w:bCs w:val="1"/>
                <w:color w:val="auto"/>
                <w:w w:val="96"/>
              </w:rPr>
              <w:t>(in $ mm)</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Daily Trades</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5"/>
        </w:trPr>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w:t>
            </w:r>
          </w:p>
        </w:tc>
        <w:tc>
          <w:tcPr>
            <w:tcW w:w="1260" w:type="dxa"/>
            <w:vAlign w:val="bottom"/>
            <w:shd w:val="clear" w:color="auto" w:fill="CCEEFF"/>
          </w:tcPr>
          <w:p>
            <w:pPr>
              <w:jc w:val="right"/>
              <w:ind w:right="138"/>
              <w:spacing w:after="0" w:line="135" w:lineRule="exact"/>
              <w:rPr>
                <w:sz w:val="20"/>
                <w:szCs w:val="20"/>
                <w:color w:val="auto"/>
              </w:rPr>
            </w:pPr>
            <w:r>
              <w:rPr>
                <w:rFonts w:ascii="Arial" w:cs="Arial" w:eastAsia="Arial" w:hAnsi="Arial"/>
                <w:sz w:val="13"/>
                <w:szCs w:val="13"/>
                <w:color w:val="333333"/>
              </w:rPr>
              <w:t>684,609</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51,411</w:t>
            </w:r>
          </w:p>
        </w:tc>
        <w:tc>
          <w:tcPr>
            <w:tcW w:w="1260" w:type="dxa"/>
            <w:vAlign w:val="bottom"/>
            <w:shd w:val="clear" w:color="auto" w:fill="CCEEFF"/>
          </w:tcPr>
          <w:p>
            <w:pPr>
              <w:jc w:val="right"/>
              <w:ind w:right="138"/>
              <w:spacing w:after="0" w:line="135" w:lineRule="exact"/>
              <w:rPr>
                <w:sz w:val="20"/>
                <w:szCs w:val="20"/>
                <w:color w:val="auto"/>
              </w:rPr>
            </w:pPr>
            <w:r>
              <w:rPr>
                <w:rFonts w:ascii="Arial" w:cs="Arial" w:eastAsia="Arial" w:hAnsi="Arial"/>
                <w:sz w:val="13"/>
                <w:szCs w:val="13"/>
                <w:color w:val="333333"/>
              </w:rPr>
              <w:t>588,451</w:t>
            </w: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47,020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16.3%</w:t>
            </w:r>
          </w:p>
        </w:tc>
        <w:tc>
          <w:tcPr>
            <w:tcW w:w="20" w:type="dxa"/>
            <w:vAlign w:val="bottom"/>
          </w:tcPr>
          <w:p>
            <w:pPr>
              <w:spacing w:after="0"/>
              <w:rPr>
                <w:sz w:val="11"/>
                <w:szCs w:val="11"/>
                <w:color w:val="auto"/>
              </w:rPr>
            </w:pPr>
          </w:p>
        </w:tc>
      </w:tr>
    </w:tbl>
    <w:p>
      <w:pPr>
        <w:spacing w:after="0" w:line="40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805" w:right="1419" w:bottom="1440" w:gutter="0" w:footer="0" w:header="0"/>
        </w:sectPr>
      </w:pPr>
    </w:p>
    <w:bookmarkStart w:id="17" w:name="page18"/>
    <w:bookmarkEnd w:id="17"/>
    <w:tbl>
      <w:tblPr>
        <w:tblLayout w:type="fixed"/>
        <w:tblInd w:w="120" w:type="dxa"/>
        <w:tblCellMar>
          <w:top w:w="0" w:type="dxa"/>
          <w:left w:w="0" w:type="dxa"/>
          <w:bottom w:w="0" w:type="dxa"/>
          <w:right w:w="0" w:type="dxa"/>
        </w:tblCellMar>
      </w:tblPr>
      <w:tr>
        <w:trPr>
          <w:trHeight w:val="157"/>
        </w:trPr>
        <w:tc>
          <w:tcPr>
            <w:tcW w:w="12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300" w:type="dxa"/>
            <w:vAlign w:val="bottom"/>
            <w:gridSpan w:val="3"/>
          </w:tcPr>
          <w:p>
            <w:pPr>
              <w:jc w:val="right"/>
              <w:ind w:right="60"/>
              <w:spacing w:after="0"/>
              <w:rPr>
                <w:sz w:val="20"/>
                <w:szCs w:val="20"/>
                <w:color w:val="auto"/>
              </w:rPr>
            </w:pPr>
            <w:r>
              <w:rPr>
                <w:rFonts w:ascii="Arial" w:cs="Arial" w:eastAsia="Arial" w:hAnsi="Arial"/>
                <w:sz w:val="13"/>
                <w:szCs w:val="13"/>
                <w:b w:val="1"/>
                <w:bCs w:val="1"/>
                <w:color w:val="auto"/>
              </w:rPr>
              <w:t>2019</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2018</w:t>
            </w: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280"/>
              <w:spacing w:after="0"/>
              <w:rPr>
                <w:sz w:val="20"/>
                <w:szCs w:val="20"/>
                <w:color w:val="auto"/>
              </w:rPr>
            </w:pPr>
            <w:r>
              <w:rPr>
                <w:rFonts w:ascii="Arial" w:cs="Arial" w:eastAsia="Arial" w:hAnsi="Arial"/>
                <w:sz w:val="13"/>
                <w:szCs w:val="13"/>
                <w:b w:val="1"/>
                <w:bCs w:val="1"/>
                <w:color w:val="auto"/>
              </w:rPr>
              <w:t>YoY</w:t>
            </w:r>
          </w:p>
        </w:tc>
        <w:tc>
          <w:tcPr>
            <w:tcW w:w="0" w:type="dxa"/>
            <w:vAlign w:val="bottom"/>
          </w:tcPr>
          <w:p>
            <w:pPr>
              <w:spacing w:after="0"/>
              <w:rPr>
                <w:sz w:val="1"/>
                <w:szCs w:val="1"/>
                <w:color w:val="auto"/>
              </w:rPr>
            </w:pPr>
          </w:p>
        </w:tc>
      </w:tr>
      <w:tr>
        <w:trPr>
          <w:trHeight w:val="107"/>
        </w:trPr>
        <w:tc>
          <w:tcPr>
            <w:tcW w:w="12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1300" w:type="dxa"/>
            <w:vAlign w:val="bottom"/>
            <w:tcBorders>
              <w:top w:val="single" w:sz="8" w:color="auto"/>
            </w:tcBorders>
            <w:gridSpan w:val="3"/>
          </w:tcPr>
          <w:p>
            <w:pPr>
              <w:jc w:val="center"/>
              <w:ind w:right="240"/>
              <w:spacing w:after="0" w:line="107" w:lineRule="exact"/>
              <w:rPr>
                <w:sz w:val="20"/>
                <w:szCs w:val="20"/>
                <w:color w:val="auto"/>
              </w:rPr>
            </w:pPr>
            <w:r>
              <w:rPr>
                <w:rFonts w:ascii="Arial" w:cs="Arial" w:eastAsia="Arial" w:hAnsi="Arial"/>
                <w:sz w:val="12"/>
                <w:szCs w:val="12"/>
                <w:b w:val="1"/>
                <w:bCs w:val="1"/>
                <w:color w:val="auto"/>
              </w:rPr>
              <w:t>ADV</w:t>
            </w:r>
          </w:p>
        </w:tc>
        <w:tc>
          <w:tcPr>
            <w:tcW w:w="880" w:type="dxa"/>
            <w:vAlign w:val="bottom"/>
            <w:tcBorders>
              <w:top w:val="single" w:sz="8" w:color="auto"/>
            </w:tcBorders>
          </w:tcPr>
          <w:p>
            <w:pPr>
              <w:jc w:val="center"/>
              <w:ind w:right="117"/>
              <w:spacing w:after="0" w:line="107" w:lineRule="exact"/>
              <w:rPr>
                <w:sz w:val="20"/>
                <w:szCs w:val="20"/>
                <w:color w:val="auto"/>
              </w:rPr>
            </w:pPr>
            <w:r>
              <w:rPr>
                <w:rFonts w:ascii="Arial" w:cs="Arial" w:eastAsia="Arial" w:hAnsi="Arial"/>
                <w:sz w:val="12"/>
                <w:szCs w:val="12"/>
                <w:b w:val="1"/>
                <w:bCs w:val="1"/>
                <w:color w:val="auto"/>
              </w:rPr>
              <w:t>Volume</w:t>
            </w:r>
          </w:p>
        </w:tc>
        <w:tc>
          <w:tcPr>
            <w:tcW w:w="60" w:type="dxa"/>
            <w:vAlign w:val="bottom"/>
          </w:tcPr>
          <w:p>
            <w:pPr>
              <w:spacing w:after="0"/>
              <w:rPr>
                <w:sz w:val="9"/>
                <w:szCs w:val="9"/>
                <w:color w:val="auto"/>
              </w:rPr>
            </w:pPr>
          </w:p>
        </w:tc>
        <w:tc>
          <w:tcPr>
            <w:tcW w:w="1300" w:type="dxa"/>
            <w:vAlign w:val="bottom"/>
            <w:tcBorders>
              <w:top w:val="single" w:sz="8" w:color="auto"/>
            </w:tcBorders>
            <w:gridSpan w:val="3"/>
          </w:tcPr>
          <w:p>
            <w:pPr>
              <w:jc w:val="center"/>
              <w:ind w:right="240"/>
              <w:spacing w:after="0" w:line="107" w:lineRule="exact"/>
              <w:rPr>
                <w:sz w:val="20"/>
                <w:szCs w:val="20"/>
                <w:color w:val="auto"/>
              </w:rPr>
            </w:pPr>
            <w:r>
              <w:rPr>
                <w:rFonts w:ascii="Arial" w:cs="Arial" w:eastAsia="Arial" w:hAnsi="Arial"/>
                <w:sz w:val="12"/>
                <w:szCs w:val="12"/>
                <w:b w:val="1"/>
                <w:bCs w:val="1"/>
                <w:color w:val="auto"/>
              </w:rPr>
              <w:t>ADV</w:t>
            </w:r>
          </w:p>
        </w:tc>
        <w:tc>
          <w:tcPr>
            <w:tcW w:w="860" w:type="dxa"/>
            <w:vAlign w:val="bottom"/>
            <w:tcBorders>
              <w:top w:val="single" w:sz="8" w:color="auto"/>
            </w:tcBorders>
          </w:tcPr>
          <w:p>
            <w:pPr>
              <w:jc w:val="right"/>
              <w:ind w:right="217"/>
              <w:spacing w:after="0" w:line="107" w:lineRule="exact"/>
              <w:rPr>
                <w:sz w:val="20"/>
                <w:szCs w:val="20"/>
                <w:color w:val="auto"/>
              </w:rPr>
            </w:pPr>
            <w:r>
              <w:rPr>
                <w:rFonts w:ascii="Arial" w:cs="Arial" w:eastAsia="Arial" w:hAnsi="Arial"/>
                <w:sz w:val="12"/>
                <w:szCs w:val="12"/>
                <w:b w:val="1"/>
                <w:bCs w:val="1"/>
                <w:color w:val="auto"/>
              </w:rPr>
              <w:t>Volume</w:t>
            </w:r>
          </w:p>
        </w:tc>
        <w:tc>
          <w:tcPr>
            <w:tcW w:w="60" w:type="dxa"/>
            <w:vAlign w:val="bottom"/>
          </w:tcPr>
          <w:p>
            <w:pPr>
              <w:spacing w:after="0"/>
              <w:rPr>
                <w:sz w:val="9"/>
                <w:szCs w:val="9"/>
                <w:color w:val="auto"/>
              </w:rPr>
            </w:pPr>
          </w:p>
        </w:tc>
        <w:tc>
          <w:tcPr>
            <w:tcW w:w="780" w:type="dxa"/>
            <w:vAlign w:val="bottom"/>
            <w:tcBorders>
              <w:top w:val="single" w:sz="8" w:color="auto"/>
            </w:tcBorders>
          </w:tcPr>
          <w:p>
            <w:pPr>
              <w:jc w:val="right"/>
              <w:ind w:right="197"/>
              <w:spacing w:after="0" w:line="107" w:lineRule="exact"/>
              <w:rPr>
                <w:sz w:val="20"/>
                <w:szCs w:val="20"/>
                <w:color w:val="auto"/>
              </w:rPr>
            </w:pPr>
            <w:r>
              <w:rPr>
                <w:rFonts w:ascii="Arial" w:cs="Arial" w:eastAsia="Arial" w:hAnsi="Arial"/>
                <w:sz w:val="12"/>
                <w:szCs w:val="12"/>
                <w:b w:val="1"/>
                <w:bCs w:val="1"/>
                <w:color w:val="auto"/>
              </w:rPr>
              <w:t>ADV</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200" w:type="dxa"/>
            <w:vAlign w:val="bottom"/>
          </w:tcPr>
          <w:p>
            <w:pPr>
              <w:spacing w:after="0"/>
              <w:rPr>
                <w:sz w:val="20"/>
                <w:szCs w:val="20"/>
                <w:color w:val="auto"/>
              </w:rPr>
            </w:pPr>
            <w:r>
              <w:rPr>
                <w:rFonts w:ascii="Arial" w:cs="Arial" w:eastAsia="Arial" w:hAnsi="Arial"/>
                <w:sz w:val="13"/>
                <w:szCs w:val="13"/>
                <w:b w:val="1"/>
                <w:bCs w:val="1"/>
                <w:color w:val="auto"/>
              </w:rPr>
              <w:t>Asset Class</w:t>
            </w:r>
          </w:p>
        </w:tc>
        <w:tc>
          <w:tcPr>
            <w:tcW w:w="2500" w:type="dxa"/>
            <w:vAlign w:val="bottom"/>
          </w:tcPr>
          <w:p>
            <w:pPr>
              <w:spacing w:after="0"/>
              <w:rPr>
                <w:sz w:val="20"/>
                <w:szCs w:val="20"/>
                <w:color w:val="auto"/>
              </w:rPr>
            </w:pPr>
            <w:r>
              <w:rPr>
                <w:rFonts w:ascii="Arial" w:cs="Arial" w:eastAsia="Arial" w:hAnsi="Arial"/>
                <w:sz w:val="13"/>
                <w:szCs w:val="13"/>
                <w:b w:val="1"/>
                <w:bCs w:val="1"/>
                <w:color w:val="auto"/>
              </w:rPr>
              <w:t>Product</w:t>
            </w:r>
          </w:p>
        </w:tc>
        <w:tc>
          <w:tcPr>
            <w:tcW w:w="13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(in $ mm)</w:t>
            </w:r>
          </w:p>
        </w:tc>
        <w:tc>
          <w:tcPr>
            <w:tcW w:w="9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(in $ mm)</w:t>
            </w:r>
          </w:p>
        </w:tc>
        <w:tc>
          <w:tcPr>
            <w:tcW w:w="130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6"/>
              </w:rPr>
              <w:t>(in $ mm)</w:t>
            </w:r>
          </w:p>
        </w:tc>
        <w:tc>
          <w:tcPr>
            <w:tcW w:w="9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(in $ mm)</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line="132" w:lineRule="exact"/>
              <w:rPr>
                <w:sz w:val="20"/>
                <w:szCs w:val="20"/>
                <w:color w:val="auto"/>
              </w:rPr>
            </w:pPr>
            <w:r>
              <w:rPr>
                <w:rFonts w:ascii="Arial" w:cs="Arial" w:eastAsia="Arial" w:hAnsi="Arial"/>
                <w:sz w:val="13"/>
                <w:szCs w:val="13"/>
                <w:color w:val="auto"/>
              </w:rPr>
              <w:t>Rates</w:t>
            </w:r>
          </w:p>
        </w:tc>
        <w:tc>
          <w:tcPr>
            <w:tcW w:w="25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Cash</w:t>
            </w: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333333"/>
              </w:rPr>
              <w:t>276,592</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333333"/>
              </w:rPr>
              <w:t>69,226,217</w:t>
            </w:r>
          </w:p>
        </w:tc>
        <w:tc>
          <w:tcPr>
            <w:tcW w:w="6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333333"/>
              </w:rPr>
              <w:t>225,608</w:t>
            </w:r>
          </w:p>
        </w:tc>
        <w:tc>
          <w:tcPr>
            <w:tcW w:w="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333333"/>
              </w:rPr>
              <w:t>56,318,282</w:t>
            </w:r>
          </w:p>
        </w:tc>
        <w:tc>
          <w:tcPr>
            <w:tcW w:w="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U.S. Government Bonds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80,487</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20,121,700</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70,129</w:t>
            </w: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17,462,137</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European Government Bonds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22,232</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5,668,809</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19,682</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5,038,567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Mortgages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170,264</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42,565,880</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133,810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33,318,664</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27.2%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Government Bonds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3,610</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869,829</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1,987</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498,913</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Derivatives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213,053</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53,645,508</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128,415</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32,307,333</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Swaps/Swaptions ≥ 1Y</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140,914</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35,516,302</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110,185</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27,732,742</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Swaps/Swaptions &lt; 1Y</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71,541</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17,979,965</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17,656</w:t>
            </w: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4,431,785</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305.2%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Futures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597</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149,241</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573</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142,806</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Arial" w:cs="Arial" w:eastAsia="Arial" w:hAnsi="Arial"/>
                <w:sz w:val="13"/>
                <w:szCs w:val="13"/>
                <w:color w:val="auto"/>
              </w:rPr>
              <w:t>Credit</w:t>
            </w: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Total</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489,645</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122,871,725</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354,023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88,625,615</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38.3%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continue"/>
          </w:tcPr>
          <w:p>
            <w:pPr>
              <w:spacing w:after="0"/>
              <w:rPr>
                <w:sz w:val="11"/>
                <w:szCs w:val="11"/>
                <w:color w:val="auto"/>
              </w:rPr>
            </w:pPr>
          </w:p>
        </w:tc>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5,654</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1,419,081</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4,222</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1,057,403</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U.S. High-Grade</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2,815</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703,652</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1,788</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445,312</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57.4%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U.S. High-Yield</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323</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80,811</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245</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60,936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European Credit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1,276</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325,500</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1,306</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334,248</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Municipal Bonds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242</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60,601</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273</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67,940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Chinese Bonds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931</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231,698</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550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133,639</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69.2%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Credit Bonds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67</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16,820</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61</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15,328</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Derivatives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9,123</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2,302,118</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8,436</w:t>
            </w: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2,128,806</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Swaps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9,123</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2,302,118</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8,436</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2,128,806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Arial" w:cs="Arial" w:eastAsia="Arial" w:hAnsi="Arial"/>
                <w:sz w:val="13"/>
                <w:szCs w:val="13"/>
                <w:color w:val="auto"/>
              </w:rPr>
              <w:t>Money Markets</w:t>
            </w: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Total</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14,777</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3,721,199</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12,658</w:t>
            </w: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3,186,209</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16.7%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continue"/>
          </w:tcPr>
          <w:p>
            <w:pPr>
              <w:spacing w:after="0"/>
              <w:rPr>
                <w:sz w:val="11"/>
                <w:szCs w:val="11"/>
                <w:color w:val="auto"/>
              </w:rPr>
            </w:pPr>
          </w:p>
        </w:tc>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213,209</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53,706,377</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173,743</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43,462,916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Repurchase Agreements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194,831</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49,107,259</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152,319</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38,118,466</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Other Money Markets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18,378</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4,599,118</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21,424</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5,344,450</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restart"/>
          </w:tcPr>
          <w:p>
            <w:pPr>
              <w:spacing w:after="0"/>
              <w:rPr>
                <w:sz w:val="20"/>
                <w:szCs w:val="20"/>
                <w:color w:val="auto"/>
              </w:rPr>
            </w:pPr>
            <w:r>
              <w:rPr>
                <w:rFonts w:ascii="Arial" w:cs="Arial" w:eastAsia="Arial" w:hAnsi="Arial"/>
                <w:sz w:val="13"/>
                <w:szCs w:val="13"/>
                <w:color w:val="auto"/>
              </w:rPr>
              <w:t>Equities</w:t>
            </w: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Total</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213,209</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53,706,377</w:t>
            </w:r>
          </w:p>
        </w:tc>
        <w:tc>
          <w:tcPr>
            <w:tcW w:w="1060" w:type="dxa"/>
            <w:vAlign w:val="bottom"/>
          </w:tcPr>
          <w:p>
            <w:pPr>
              <w:jc w:val="right"/>
              <w:spacing w:after="0" w:line="135" w:lineRule="exact"/>
              <w:rPr>
                <w:sz w:val="20"/>
                <w:szCs w:val="20"/>
                <w:color w:val="auto"/>
              </w:rPr>
            </w:pPr>
            <w:r>
              <w:rPr>
                <w:rFonts w:ascii="Arial" w:cs="Arial" w:eastAsia="Arial" w:hAnsi="Arial"/>
                <w:sz w:val="13"/>
                <w:szCs w:val="13"/>
                <w:color w:val="333333"/>
              </w:rPr>
              <w:t>173,743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43,462,916</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vMerge w:val="continue"/>
          </w:tcPr>
          <w:p>
            <w:pPr>
              <w:spacing w:after="0"/>
              <w:rPr>
                <w:sz w:val="11"/>
                <w:szCs w:val="11"/>
                <w:color w:val="auto"/>
              </w:rPr>
            </w:pPr>
          </w:p>
        </w:tc>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Cash</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4,405</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1,114,738</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4,495</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1,134,074</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U.S. ETFs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2,816</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709,651</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3,330</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835,909</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(15.4)%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European ETFs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1,589</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405,087</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1,165</w:t>
            </w: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298,165</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spacing w:after="0" w:line="135" w:lineRule="exact"/>
              <w:rPr>
                <w:sz w:val="20"/>
                <w:szCs w:val="20"/>
                <w:color w:val="auto"/>
              </w:rPr>
            </w:pPr>
            <w:r>
              <w:rPr>
                <w:rFonts w:ascii="Arial" w:cs="Arial" w:eastAsia="Arial" w:hAnsi="Arial"/>
                <w:sz w:val="13"/>
                <w:szCs w:val="13"/>
                <w:color w:val="auto"/>
              </w:rPr>
              <w:t>Derivatives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3,391</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858,029</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3,303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828,492</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Options/Convertibles/Swaps</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1,689</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429,336</w:t>
            </w:r>
          </w:p>
        </w:tc>
        <w:tc>
          <w:tcPr>
            <w:tcW w:w="10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999</w:t>
            </w: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333333"/>
              </w:rPr>
              <w:t>249,365</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tcPr>
          <w:p>
            <w:pPr>
              <w:ind w:left="100"/>
              <w:spacing w:after="0" w:line="135" w:lineRule="exact"/>
              <w:rPr>
                <w:sz w:val="20"/>
                <w:szCs w:val="20"/>
                <w:color w:val="auto"/>
              </w:rPr>
            </w:pPr>
            <w:r>
              <w:rPr>
                <w:rFonts w:ascii="Arial" w:cs="Arial" w:eastAsia="Arial" w:hAnsi="Arial"/>
                <w:sz w:val="13"/>
                <w:szCs w:val="13"/>
                <w:color w:val="auto"/>
              </w:rPr>
              <w:t>Futures</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1,701</w:t>
            </w:r>
          </w:p>
        </w:tc>
        <w:tc>
          <w:tcPr>
            <w:tcW w:w="180" w:type="dxa"/>
            <w:vAlign w:val="bottom"/>
          </w:tcPr>
          <w:p>
            <w:pPr>
              <w:spacing w:after="0"/>
              <w:rPr>
                <w:sz w:val="11"/>
                <w:szCs w:val="11"/>
                <w:color w:val="auto"/>
              </w:rPr>
            </w:pPr>
          </w:p>
        </w:tc>
        <w:tc>
          <w:tcPr>
            <w:tcW w:w="94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428,693</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333333"/>
              </w:rPr>
              <w:t>2,303</w:t>
            </w:r>
          </w:p>
        </w:tc>
        <w:tc>
          <w:tcPr>
            <w:tcW w:w="18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333333"/>
              </w:rPr>
              <w:t>579,127</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7,795</w:t>
            </w:r>
          </w:p>
        </w:tc>
        <w:tc>
          <w:tcPr>
            <w:tcW w:w="1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1,972,767</w:t>
            </w:r>
          </w:p>
        </w:tc>
        <w:tc>
          <w:tcPr>
            <w:tcW w:w="11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7,798</w:t>
            </w:r>
          </w:p>
        </w:tc>
        <w:tc>
          <w:tcPr>
            <w:tcW w:w="1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1,962,566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5654675</wp:posOffset>
            </wp:positionH>
            <wp:positionV relativeFrom="page">
              <wp:posOffset>88900</wp:posOffset>
            </wp:positionV>
            <wp:extent cx="100330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003300" cy="308610"/>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57"/>
        </w:trPr>
        <w:tc>
          <w:tcPr>
            <w:tcW w:w="25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auto"/>
              </w:rPr>
              <w:t>2018</w:t>
            </w: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280"/>
              <w:spacing w:after="0"/>
              <w:rPr>
                <w:sz w:val="20"/>
                <w:szCs w:val="20"/>
                <w:color w:val="auto"/>
              </w:rPr>
            </w:pPr>
            <w:r>
              <w:rPr>
                <w:rFonts w:ascii="Arial" w:cs="Arial" w:eastAsia="Arial" w:hAnsi="Arial"/>
                <w:sz w:val="13"/>
                <w:szCs w:val="13"/>
                <w:b w:val="1"/>
                <w:bCs w:val="1"/>
                <w:color w:val="auto"/>
              </w:rPr>
              <w:t>YoY</w:t>
            </w:r>
          </w:p>
        </w:tc>
      </w:tr>
      <w:tr>
        <w:trPr>
          <w:trHeight w:val="107"/>
        </w:trPr>
        <w:tc>
          <w:tcPr>
            <w:tcW w:w="2500" w:type="dxa"/>
            <w:vAlign w:val="bottom"/>
          </w:tcPr>
          <w:p>
            <w:pPr>
              <w:spacing w:after="0"/>
              <w:rPr>
                <w:sz w:val="9"/>
                <w:szCs w:val="9"/>
                <w:color w:val="auto"/>
              </w:rPr>
            </w:pPr>
          </w:p>
        </w:tc>
        <w:tc>
          <w:tcPr>
            <w:tcW w:w="1260" w:type="dxa"/>
            <w:vAlign w:val="bottom"/>
            <w:tcBorders>
              <w:top w:val="single" w:sz="8" w:color="auto"/>
            </w:tcBorders>
          </w:tcPr>
          <w:p>
            <w:pPr>
              <w:jc w:val="center"/>
              <w:ind w:right="138"/>
              <w:spacing w:after="0" w:line="107" w:lineRule="exact"/>
              <w:rPr>
                <w:sz w:val="20"/>
                <w:szCs w:val="20"/>
                <w:color w:val="auto"/>
              </w:rPr>
            </w:pPr>
            <w:r>
              <w:rPr>
                <w:rFonts w:ascii="Arial" w:cs="Arial" w:eastAsia="Arial" w:hAnsi="Arial"/>
                <w:sz w:val="12"/>
                <w:szCs w:val="12"/>
                <w:b w:val="1"/>
                <w:bCs w:val="1"/>
                <w:color w:val="auto"/>
              </w:rPr>
              <w:t>ADV</w:t>
            </w:r>
          </w:p>
        </w:tc>
        <w:tc>
          <w:tcPr>
            <w:tcW w:w="920" w:type="dxa"/>
            <w:vAlign w:val="bottom"/>
            <w:tcBorders>
              <w:top w:val="single" w:sz="8" w:color="auto"/>
            </w:tcBorders>
          </w:tcPr>
          <w:p>
            <w:pPr>
              <w:jc w:val="center"/>
              <w:ind w:right="79"/>
              <w:spacing w:after="0" w:line="107"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9"/>
                <w:szCs w:val="9"/>
                <w:color w:val="auto"/>
              </w:rPr>
            </w:pPr>
          </w:p>
        </w:tc>
        <w:tc>
          <w:tcPr>
            <w:tcW w:w="1260" w:type="dxa"/>
            <w:vAlign w:val="bottom"/>
            <w:tcBorders>
              <w:top w:val="single" w:sz="8" w:color="auto"/>
            </w:tcBorders>
          </w:tcPr>
          <w:p>
            <w:pPr>
              <w:jc w:val="center"/>
              <w:ind w:right="138"/>
              <w:spacing w:after="0" w:line="107" w:lineRule="exact"/>
              <w:rPr>
                <w:sz w:val="20"/>
                <w:szCs w:val="20"/>
                <w:color w:val="auto"/>
              </w:rPr>
            </w:pPr>
            <w:r>
              <w:rPr>
                <w:rFonts w:ascii="Arial" w:cs="Arial" w:eastAsia="Arial" w:hAnsi="Arial"/>
                <w:sz w:val="12"/>
                <w:szCs w:val="12"/>
                <w:b w:val="1"/>
                <w:bCs w:val="1"/>
                <w:color w:val="auto"/>
              </w:rPr>
              <w:t>ADV</w:t>
            </w:r>
          </w:p>
        </w:tc>
        <w:tc>
          <w:tcPr>
            <w:tcW w:w="900" w:type="dxa"/>
            <w:vAlign w:val="bottom"/>
            <w:tcBorders>
              <w:top w:val="single" w:sz="8" w:color="auto"/>
            </w:tcBorders>
          </w:tcPr>
          <w:p>
            <w:pPr>
              <w:jc w:val="center"/>
              <w:ind w:right="59"/>
              <w:spacing w:after="0" w:line="107" w:lineRule="exact"/>
              <w:rPr>
                <w:sz w:val="20"/>
                <w:szCs w:val="20"/>
                <w:color w:val="auto"/>
              </w:rPr>
            </w:pPr>
            <w:r>
              <w:rPr>
                <w:rFonts w:ascii="Arial" w:cs="Arial" w:eastAsia="Arial" w:hAnsi="Arial"/>
                <w:sz w:val="12"/>
                <w:szCs w:val="12"/>
                <w:b w:val="1"/>
                <w:bCs w:val="1"/>
                <w:color w:val="auto"/>
              </w:rPr>
              <w:t>Average</w:t>
            </w:r>
          </w:p>
        </w:tc>
        <w:tc>
          <w:tcPr>
            <w:tcW w:w="60" w:type="dxa"/>
            <w:vAlign w:val="bottom"/>
          </w:tcPr>
          <w:p>
            <w:pPr>
              <w:spacing w:after="0"/>
              <w:rPr>
                <w:sz w:val="9"/>
                <w:szCs w:val="9"/>
                <w:color w:val="auto"/>
              </w:rPr>
            </w:pPr>
          </w:p>
        </w:tc>
        <w:tc>
          <w:tcPr>
            <w:tcW w:w="780" w:type="dxa"/>
            <w:vAlign w:val="bottom"/>
            <w:tcBorders>
              <w:top w:val="single" w:sz="8" w:color="auto"/>
            </w:tcBorders>
          </w:tcPr>
          <w:p>
            <w:pPr>
              <w:ind w:left="260"/>
              <w:spacing w:after="0" w:line="107" w:lineRule="exact"/>
              <w:rPr>
                <w:sz w:val="20"/>
                <w:szCs w:val="20"/>
                <w:color w:val="auto"/>
              </w:rPr>
            </w:pPr>
            <w:r>
              <w:rPr>
                <w:rFonts w:ascii="Arial" w:cs="Arial" w:eastAsia="Arial" w:hAnsi="Arial"/>
                <w:sz w:val="12"/>
                <w:szCs w:val="12"/>
                <w:b w:val="1"/>
                <w:bCs w:val="1"/>
                <w:color w:val="auto"/>
              </w:rPr>
              <w:t>ADV</w:t>
            </w:r>
          </w:p>
        </w:tc>
        <w:tc>
          <w:tcPr>
            <w:tcW w:w="20" w:type="dxa"/>
            <w:vAlign w:val="bottom"/>
          </w:tcPr>
          <w:p>
            <w:pPr>
              <w:spacing w:after="0"/>
              <w:rPr>
                <w:sz w:val="9"/>
                <w:szCs w:val="9"/>
                <w:color w:val="auto"/>
              </w:rPr>
            </w:pPr>
          </w:p>
        </w:tc>
      </w:tr>
      <w:tr>
        <w:trPr>
          <w:trHeight w:val="157"/>
        </w:trPr>
        <w:tc>
          <w:tcPr>
            <w:tcW w:w="2500" w:type="dxa"/>
            <w:vAlign w:val="bottom"/>
          </w:tcPr>
          <w:p>
            <w:pPr>
              <w:spacing w:after="0"/>
              <w:rPr>
                <w:sz w:val="13"/>
                <w:szCs w:val="13"/>
                <w:color w:val="auto"/>
              </w:rPr>
            </w:pPr>
          </w:p>
        </w:tc>
        <w:tc>
          <w:tcPr>
            <w:tcW w:w="1260" w:type="dxa"/>
            <w:vAlign w:val="bottom"/>
          </w:tcPr>
          <w:p>
            <w:pPr>
              <w:jc w:val="center"/>
              <w:ind w:right="118"/>
              <w:spacing w:after="0"/>
              <w:rPr>
                <w:sz w:val="20"/>
                <w:szCs w:val="20"/>
                <w:color w:val="auto"/>
              </w:rPr>
            </w:pPr>
            <w:r>
              <w:rPr>
                <w:rFonts w:ascii="Arial" w:cs="Arial" w:eastAsia="Arial" w:hAnsi="Arial"/>
                <w:sz w:val="13"/>
                <w:szCs w:val="13"/>
                <w:b w:val="1"/>
                <w:bCs w:val="1"/>
                <w:color w:val="auto"/>
                <w:w w:val="96"/>
              </w:rPr>
              <w:t>(in $ mm)</w:t>
            </w:r>
          </w:p>
        </w:tc>
        <w:tc>
          <w:tcPr>
            <w:tcW w:w="9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Daily Trades</w:t>
            </w:r>
          </w:p>
        </w:tc>
        <w:tc>
          <w:tcPr>
            <w:tcW w:w="1260" w:type="dxa"/>
            <w:vAlign w:val="bottom"/>
          </w:tcPr>
          <w:p>
            <w:pPr>
              <w:jc w:val="center"/>
              <w:ind w:right="118"/>
              <w:spacing w:after="0"/>
              <w:rPr>
                <w:sz w:val="20"/>
                <w:szCs w:val="20"/>
                <w:color w:val="auto"/>
              </w:rPr>
            </w:pPr>
            <w:r>
              <w:rPr>
                <w:rFonts w:ascii="Arial" w:cs="Arial" w:eastAsia="Arial" w:hAnsi="Arial"/>
                <w:sz w:val="13"/>
                <w:szCs w:val="13"/>
                <w:b w:val="1"/>
                <w:bCs w:val="1"/>
                <w:color w:val="auto"/>
                <w:w w:val="96"/>
              </w:rPr>
              <w:t>(in $ mm)</w:t>
            </w: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Daily Trades</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35"/>
        </w:trPr>
        <w:tc>
          <w:tcPr>
            <w:tcW w:w="25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w:t>
            </w:r>
          </w:p>
        </w:tc>
        <w:tc>
          <w:tcPr>
            <w:tcW w:w="1260" w:type="dxa"/>
            <w:vAlign w:val="bottom"/>
            <w:shd w:val="clear" w:color="auto" w:fill="CCEEFF"/>
          </w:tcPr>
          <w:p>
            <w:pPr>
              <w:jc w:val="right"/>
              <w:ind w:right="138"/>
              <w:spacing w:after="0" w:line="135" w:lineRule="exact"/>
              <w:rPr>
                <w:sz w:val="20"/>
                <w:szCs w:val="20"/>
                <w:color w:val="auto"/>
              </w:rPr>
            </w:pPr>
            <w:r>
              <w:rPr>
                <w:rFonts w:ascii="Arial" w:cs="Arial" w:eastAsia="Arial" w:hAnsi="Arial"/>
                <w:sz w:val="13"/>
                <w:szCs w:val="13"/>
                <w:color w:val="333333"/>
              </w:rPr>
              <w:t>725,426</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51,218</w:t>
            </w:r>
          </w:p>
        </w:tc>
        <w:tc>
          <w:tcPr>
            <w:tcW w:w="1260" w:type="dxa"/>
            <w:vAlign w:val="bottom"/>
            <w:shd w:val="clear" w:color="auto" w:fill="CCEEFF"/>
          </w:tcPr>
          <w:p>
            <w:pPr>
              <w:jc w:val="right"/>
              <w:ind w:right="138"/>
              <w:spacing w:after="0" w:line="135" w:lineRule="exact"/>
              <w:rPr>
                <w:sz w:val="20"/>
                <w:szCs w:val="20"/>
                <w:color w:val="auto"/>
              </w:rPr>
            </w:pPr>
            <w:r>
              <w:rPr>
                <w:rFonts w:ascii="Arial" w:cs="Arial" w:eastAsia="Arial" w:hAnsi="Arial"/>
                <w:sz w:val="13"/>
                <w:szCs w:val="13"/>
                <w:color w:val="333333"/>
              </w:rPr>
              <w:t>548,221</w:t>
            </w:r>
          </w:p>
        </w:tc>
        <w:tc>
          <w:tcPr>
            <w:tcW w:w="96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333333"/>
              </w:rPr>
              <w:t>41,626</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32.3%</w:t>
            </w:r>
          </w:p>
        </w:tc>
        <w:tc>
          <w:tcPr>
            <w:tcW w:w="20" w:type="dxa"/>
            <w:vAlign w:val="bottom"/>
          </w:tcPr>
          <w:p>
            <w:pPr>
              <w:spacing w:after="0"/>
              <w:rPr>
                <w:sz w:val="11"/>
                <w:szCs w:val="1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To access historical traded volumes, go to https://www.tradeweb.com/newsroom/monthly-activity-reports/.</w:t>
      </w: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475615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806"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lvl w:ilvl="1">
      <w:lvlJc w:val="left"/>
      <w:lvlText w:val="(%2)"/>
      <w:numFmt w:val="decimal"/>
      <w:start w:val="1"/>
    </w:lvl>
  </w:abstractNum>
  <w:abstractNum w:abstractNumId="5">
    <w:nsid w:val="216231B"/>
    <w:multiLevelType w:val="hybridMultilevel"/>
    <w:lvl w:ilvl="0">
      <w:lvlJc w:val="left"/>
      <w:lvlText w:val="§"/>
      <w:numFmt w:val="bullet"/>
      <w:start w:val="1"/>
    </w:lvl>
    <w:lvl w:ilvl="1">
      <w:lvlJc w:val="left"/>
      <w:lvlText w:val="-"/>
      <w:numFmt w:val="bullet"/>
      <w:start w:val="1"/>
    </w:lvl>
  </w:abstractNum>
  <w:abstractNum w:abstractNumId="6">
    <w:nsid w:val="1F16E9E8"/>
    <w:multiLevelType w:val="hybridMultilevel"/>
    <w:lvl w:ilvl="0">
      <w:lvlJc w:val="left"/>
      <w:lvlText w:val="(%1)"/>
      <w:numFmt w:val="decimal"/>
      <w:start w:val="1"/>
    </w:lvl>
    <w:lvl w:ilvl="1">
      <w:lvlJc w:val="left"/>
      <w:lvlText w:val="%2."/>
      <w:numFmt w:val="lowerLetter"/>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lowerLetter"/>
      <w:start w:val="1"/>
    </w:lvl>
  </w:abstractNum>
  <w:abstractNum w:abstractNumId="10">
    <w:nsid w:val="3352255A"/>
    <w:multiLevelType w:val="hybridMultilevel"/>
    <w:lvl w:ilvl="0">
      <w:lvlJc w:val="left"/>
      <w:lvlText w:val="(%1)"/>
      <w:numFmt w:val="decimal"/>
      <w:start w:val="2"/>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2020-02-12T06:12:42Z</dcterms:created>
  <dcterms:modified xsi:type="dcterms:W3CDTF">2020-02-12T06:12:42Z</dcterms:modified>
</cp:coreProperties>
</file>