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03/31/2025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1,848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147.95</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59,172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03/31/2025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740" w:type="dxa"/>
            <w:vAlign w:val="bottom"/>
            <w:tcBorders>
              <w:bottom w:val="single" w:sz="8" w:color="2C2C2C"/>
            </w:tcBorders>
          </w:tcPr>
          <w:p>
            <w:pPr>
              <w:jc w:val="right"/>
              <w:ind w:right="193"/>
              <w:spacing w:after="0"/>
              <w:rPr>
                <w:sz w:val="20"/>
                <w:szCs w:val="20"/>
                <w:color w:val="auto"/>
              </w:rPr>
            </w:pPr>
            <w:r>
              <w:rPr>
                <w:rFonts w:ascii="Times New Roman" w:cs="Times New Roman" w:eastAsia="Times New Roman" w:hAnsi="Times New Roman"/>
                <w:sz w:val="17"/>
                <w:szCs w:val="17"/>
                <w:color w:val="0000FF"/>
              </w:rPr>
              <w:t>15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59,187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6,229 unvested RSUs in respect of Class A Common Stock that are scheduled to vest on March 15, 2026, (ii) 33,881 unvested RSUs in respect of Class A Common Stock that are scheduled to vest on January 1, 2026, (iii) 7,431 unvested RSUs in respect of Class A Common Stock that are scheduled to vest in equal installments on March 15, 2026 and March 15, 2027, and (iv) 9,860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18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2025-04-02T16:26:43Z</dcterms:created>
  <dcterms:modified xsi:type="dcterms:W3CDTF">2025-04-02T16:26:43Z</dcterms:modified>
</cp:coreProperties>
</file>