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Friedman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01/06/2025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General Counsel and Secretary</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00" w:type="dxa"/>
            <w:vAlign w:val="bottom"/>
            <w:gridSpan w:val="7"/>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9"/>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gridSpan w:val="3"/>
          </w:tcPr>
          <w:p>
            <w:pPr>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900" w:type="dxa"/>
            <w:vAlign w:val="bottom"/>
            <w:gridSpan w:val="6"/>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90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40" w:type="dxa"/>
            <w:vAlign w:val="bottom"/>
          </w:tcPr>
          <w:p>
            <w:pPr>
              <w:spacing w:after="0"/>
              <w:rPr>
                <w:sz w:val="7"/>
                <w:szCs w:val="7"/>
                <w:color w:val="auto"/>
              </w:rPr>
            </w:pPr>
          </w:p>
        </w:tc>
        <w:tc>
          <w:tcPr>
            <w:tcW w:w="4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2"/>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4"/>
              </w:rPr>
              <w:t>Owned</w:t>
            </w:r>
          </w:p>
        </w:tc>
        <w:tc>
          <w:tcPr>
            <w:tcW w:w="700" w:type="dxa"/>
            <w:vAlign w:val="bottom"/>
          </w:tcPr>
          <w:p>
            <w:pPr>
              <w:spacing w:after="0"/>
              <w:rPr>
                <w:sz w:val="11"/>
                <w:szCs w:val="11"/>
                <w:color w:val="auto"/>
              </w:rPr>
            </w:pP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w w:val="98"/>
              </w:rPr>
              <w:t>01/06/2025</w:t>
            </w:r>
          </w:p>
        </w:tc>
        <w:tc>
          <w:tcPr>
            <w:tcW w:w="7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4,274</w:t>
            </w:r>
          </w:p>
        </w:tc>
        <w:tc>
          <w:tcPr>
            <w:tcW w:w="46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132.3628</w:t>
            </w:r>
            <w:r>
              <w:rPr>
                <w:rFonts w:ascii="Times New Roman" w:cs="Times New Roman" w:eastAsia="Times New Roman" w:hAnsi="Times New Roman"/>
                <w:sz w:val="22"/>
                <w:szCs w:val="22"/>
                <w:color w:val="008000"/>
                <w:vertAlign w:val="superscript"/>
              </w:rPr>
              <w:t>(2)</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29,425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May 9, 2024.</w:t>
      </w:r>
    </w:p>
    <w:p>
      <w:pPr>
        <w:spacing w:after="0" w:line="5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$131.29 to $133.09,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1,741 unvested restricted stock units ("RSUs") in respect of the issuer's Class A common stock ("Class A Common Stock") which are scheduled to vest on March 15, 2025, (ii) 5,031 unvested RSUs in respect of Class A Common Stock which are scheduled to vest in equal installments on March 15, 2025 and March 15, 2026, (iii) 13,682 unvested RSUs in respect of Class A Common Stock which are scheduled to vest on January 1, 2026, and (iv) 5,971 unvested RSUs in respect of Class A Common Stock which are scheduled to vest in equal installments on March 15, 2025, March 15, 2026 and March 15, 2027, in each case subject to the reporting person's continued employment through the applicable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Friedman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01/08/2025</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2025-01-08T15:15:48Z</dcterms:created>
  <dcterms:modified xsi:type="dcterms:W3CDTF">2025-01-08T15:15:48Z</dcterms:modified>
</cp:coreProperties>
</file>