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684354523.xml.htm"/>
      <w:bookmarkStart w:id="1" w:name="kswkform4_16843545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Yared Rana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TRADEWEB MARKETS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1177 AVENUE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Tradeweb Markets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7"/>
        <w:gridCol w:w="904"/>
        <w:gridCol w:w="773"/>
        <w:gridCol w:w="601"/>
        <w:gridCol w:w="354"/>
        <w:gridCol w:w="863"/>
        <w:gridCol w:w="468"/>
        <w:gridCol w:w="631"/>
        <w:gridCol w:w="1187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1,627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is an award of restricted stock units in respect of the issuer's Class A common stock. Subject to the reporting person's continued service as a director of the issuer through the vesting date, these restricted stock units are scheduled to vest on May 15, 2024 and settle in Class A common stock of the issuer within 30 days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amount includes 1,627 unvested restricted stock units in respect of the issuer's Class A Common Stock as described in footnote 1 to this Form 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Zucker, Attorney-in-Fact for Rana Yared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05/17/2023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40347" TargetMode="External"/><Relationship Id="rId4" Type="http://schemas.openxmlformats.org/officeDocument/2006/relationships/hyperlink" Target="http://www.sec.gov/cgi-bin/browse-edgar?action=getcompany&amp;CIK=000175873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652</Words>
  <Characters>3486</Characters>
  <CharactersWithSpaces>4077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