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400685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74295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77" w:lineRule="exact"/>
        <w:rPr>
          <w:sz w:val="24"/>
          <w:szCs w:val="24"/>
          <w:color w:val="auto"/>
        </w:rPr>
      </w:pPr>
    </w:p>
    <w:p>
      <w:pPr>
        <w:ind w:left="40" w:right="279" w:firstLine="9"/>
        <w:spacing w:after="0" w:line="250" w:lineRule="auto"/>
        <w:tabs>
          <w:tab w:leader="none" w:pos="29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wp:posOffset>
            </wp:positionH>
            <wp:positionV relativeFrom="paragraph">
              <wp:posOffset>-247015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40" w:right="259" w:firstLine="9"/>
        <w:spacing w:after="0" w:line="237" w:lineRule="auto"/>
        <w:tabs>
          <w:tab w:leader="none" w:pos="28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wp:posOffset>
            </wp:positionH>
            <wp:positionV relativeFrom="paragraph">
              <wp:posOffset>-240665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7"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Commission File Number: 001-38860</w:t>
      </w:r>
    </w:p>
    <w:p>
      <w:pPr>
        <w:spacing w:after="0" w:line="77"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Tradeweb Markets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117475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207"/>
        </w:trPr>
        <w:tc>
          <w:tcPr>
            <w:tcW w:w="5180" w:type="dxa"/>
            <w:vAlign w:val="bottom"/>
          </w:tcPr>
          <w:p>
            <w:pPr>
              <w:jc w:val="center"/>
              <w:ind w:right="790"/>
              <w:spacing w:after="0"/>
              <w:rPr>
                <w:sz w:val="20"/>
                <w:szCs w:val="20"/>
                <w:color w:val="auto"/>
              </w:rPr>
            </w:pPr>
            <w:r>
              <w:rPr>
                <w:rFonts w:ascii="Arial" w:cs="Arial" w:eastAsia="Arial" w:hAnsi="Arial"/>
                <w:sz w:val="18"/>
                <w:szCs w:val="18"/>
                <w:b w:val="1"/>
                <w:bCs w:val="1"/>
                <w:color w:val="auto"/>
                <w:w w:val="93"/>
              </w:rPr>
              <w:t>Delaware</w:t>
            </w:r>
          </w:p>
        </w:tc>
        <w:tc>
          <w:tcPr>
            <w:tcW w:w="2820" w:type="dxa"/>
            <w:vAlign w:val="bottom"/>
          </w:tcPr>
          <w:p>
            <w:pPr>
              <w:jc w:val="right"/>
              <w:ind w:right="790"/>
              <w:spacing w:after="0"/>
              <w:rPr>
                <w:sz w:val="20"/>
                <w:szCs w:val="20"/>
                <w:color w:val="auto"/>
              </w:rPr>
            </w:pPr>
            <w:r>
              <w:rPr>
                <w:rFonts w:ascii="Arial" w:cs="Arial" w:eastAsia="Arial" w:hAnsi="Arial"/>
                <w:sz w:val="18"/>
                <w:szCs w:val="18"/>
                <w:b w:val="1"/>
                <w:bCs w:val="1"/>
                <w:color w:val="auto"/>
              </w:rPr>
              <w:t>83-2456358</w:t>
            </w:r>
          </w:p>
        </w:tc>
      </w:tr>
      <w:tr>
        <w:trPr>
          <w:trHeight w:val="230"/>
        </w:trPr>
        <w:tc>
          <w:tcPr>
            <w:tcW w:w="5180" w:type="dxa"/>
            <w:vAlign w:val="bottom"/>
          </w:tcPr>
          <w:p>
            <w:pPr>
              <w:jc w:val="center"/>
              <w:ind w:right="790"/>
              <w:spacing w:after="0"/>
              <w:rPr>
                <w:sz w:val="20"/>
                <w:szCs w:val="20"/>
                <w:color w:val="auto"/>
              </w:rPr>
            </w:pPr>
            <w:r>
              <w:rPr>
                <w:rFonts w:ascii="Arial" w:cs="Arial" w:eastAsia="Arial" w:hAnsi="Arial"/>
                <w:sz w:val="18"/>
                <w:szCs w:val="18"/>
                <w:color w:val="auto"/>
                <w:w w:val="92"/>
              </w:rPr>
              <w:t>(State of other jurisdiction of incorporation or organization)</w:t>
            </w:r>
          </w:p>
        </w:tc>
        <w:tc>
          <w:tcPr>
            <w:tcW w:w="2820" w:type="dxa"/>
            <w:vAlign w:val="bottom"/>
          </w:tcPr>
          <w:p>
            <w:pPr>
              <w:jc w:val="center"/>
              <w:ind w:left="110"/>
              <w:spacing w:after="0"/>
              <w:rPr>
                <w:sz w:val="20"/>
                <w:szCs w:val="20"/>
                <w:color w:val="auto"/>
              </w:rPr>
            </w:pPr>
            <w:r>
              <w:rPr>
                <w:rFonts w:ascii="Arial" w:cs="Arial" w:eastAsia="Arial" w:hAnsi="Arial"/>
                <w:sz w:val="18"/>
                <w:szCs w:val="18"/>
                <w:color w:val="auto"/>
                <w:w w:val="94"/>
              </w:rPr>
              <w:t>(I.R.S. Employer Identification No.)</w:t>
            </w:r>
          </w:p>
        </w:tc>
      </w:tr>
      <w:tr>
        <w:trPr>
          <w:trHeight w:val="481"/>
        </w:trPr>
        <w:tc>
          <w:tcPr>
            <w:tcW w:w="5180" w:type="dxa"/>
            <w:vAlign w:val="bottom"/>
          </w:tcPr>
          <w:p>
            <w:pPr>
              <w:jc w:val="center"/>
              <w:ind w:right="790"/>
              <w:spacing w:after="0"/>
              <w:rPr>
                <w:sz w:val="20"/>
                <w:szCs w:val="20"/>
                <w:color w:val="auto"/>
              </w:rPr>
            </w:pPr>
            <w:r>
              <w:rPr>
                <w:rFonts w:ascii="Arial" w:cs="Arial" w:eastAsia="Arial" w:hAnsi="Arial"/>
                <w:sz w:val="18"/>
                <w:szCs w:val="18"/>
                <w:b w:val="1"/>
                <w:bCs w:val="1"/>
                <w:color w:val="auto"/>
                <w:w w:val="88"/>
              </w:rPr>
              <w:t>1177 Avenue of the Americas</w:t>
            </w:r>
          </w:p>
        </w:tc>
        <w:tc>
          <w:tcPr>
            <w:tcW w:w="2820" w:type="dxa"/>
            <w:vAlign w:val="bottom"/>
          </w:tcPr>
          <w:p>
            <w:pPr>
              <w:spacing w:after="0"/>
              <w:rPr>
                <w:sz w:val="24"/>
                <w:szCs w:val="24"/>
                <w:color w:val="auto"/>
              </w:rPr>
            </w:pPr>
          </w:p>
        </w:tc>
      </w:tr>
      <w:tr>
        <w:trPr>
          <w:trHeight w:val="193"/>
        </w:trPr>
        <w:tc>
          <w:tcPr>
            <w:tcW w:w="5180" w:type="dxa"/>
            <w:vAlign w:val="bottom"/>
          </w:tcPr>
          <w:p>
            <w:pPr>
              <w:jc w:val="center"/>
              <w:ind w:right="790"/>
              <w:spacing w:after="0" w:line="193" w:lineRule="exact"/>
              <w:rPr>
                <w:sz w:val="20"/>
                <w:szCs w:val="20"/>
                <w:color w:val="auto"/>
              </w:rPr>
            </w:pPr>
            <w:r>
              <w:rPr>
                <w:rFonts w:ascii="Arial" w:cs="Arial" w:eastAsia="Arial" w:hAnsi="Arial"/>
                <w:sz w:val="18"/>
                <w:szCs w:val="18"/>
                <w:b w:val="1"/>
                <w:bCs w:val="1"/>
                <w:color w:val="auto"/>
                <w:w w:val="93"/>
              </w:rPr>
              <w:t>New York, New York</w:t>
            </w:r>
          </w:p>
        </w:tc>
        <w:tc>
          <w:tcPr>
            <w:tcW w:w="2820" w:type="dxa"/>
            <w:vAlign w:val="bottom"/>
          </w:tcPr>
          <w:p>
            <w:pPr>
              <w:jc w:val="right"/>
              <w:ind w:right="990"/>
              <w:spacing w:after="0" w:line="193" w:lineRule="exact"/>
              <w:rPr>
                <w:sz w:val="20"/>
                <w:szCs w:val="20"/>
                <w:color w:val="auto"/>
              </w:rPr>
            </w:pPr>
            <w:r>
              <w:rPr>
                <w:rFonts w:ascii="Arial" w:cs="Arial" w:eastAsia="Arial" w:hAnsi="Arial"/>
                <w:sz w:val="18"/>
                <w:szCs w:val="18"/>
                <w:b w:val="1"/>
                <w:bCs w:val="1"/>
                <w:color w:val="auto"/>
              </w:rPr>
              <w:t>10036</w:t>
            </w:r>
          </w:p>
        </w:tc>
      </w:tr>
      <w:tr>
        <w:trPr>
          <w:trHeight w:val="230"/>
        </w:trPr>
        <w:tc>
          <w:tcPr>
            <w:tcW w:w="5180" w:type="dxa"/>
            <w:vAlign w:val="bottom"/>
          </w:tcPr>
          <w:p>
            <w:pPr>
              <w:jc w:val="center"/>
              <w:ind w:right="790"/>
              <w:spacing w:after="0"/>
              <w:rPr>
                <w:sz w:val="20"/>
                <w:szCs w:val="20"/>
                <w:color w:val="auto"/>
              </w:rPr>
            </w:pPr>
            <w:r>
              <w:rPr>
                <w:rFonts w:ascii="Arial" w:cs="Arial" w:eastAsia="Arial" w:hAnsi="Arial"/>
                <w:sz w:val="18"/>
                <w:szCs w:val="18"/>
                <w:color w:val="auto"/>
                <w:w w:val="92"/>
              </w:rPr>
              <w:t>(Address of principal executive offices)</w:t>
            </w:r>
          </w:p>
        </w:tc>
        <w:tc>
          <w:tcPr>
            <w:tcW w:w="2820" w:type="dxa"/>
            <w:vAlign w:val="bottom"/>
          </w:tcPr>
          <w:p>
            <w:pPr>
              <w:jc w:val="center"/>
              <w:ind w:left="110"/>
              <w:spacing w:after="0"/>
              <w:rPr>
                <w:sz w:val="20"/>
                <w:szCs w:val="20"/>
                <w:color w:val="auto"/>
              </w:rPr>
            </w:pPr>
            <w:r>
              <w:rPr>
                <w:rFonts w:ascii="Arial" w:cs="Arial" w:eastAsia="Arial" w:hAnsi="Arial"/>
                <w:sz w:val="18"/>
                <w:szCs w:val="18"/>
                <w:color w:val="auto"/>
                <w:w w:val="91"/>
              </w:rPr>
              <w:t>(Zip Code)</w:t>
            </w:r>
          </w:p>
        </w:tc>
      </w:tr>
      <w:tr>
        <w:trPr>
          <w:trHeight w:val="283"/>
        </w:trPr>
        <w:tc>
          <w:tcPr>
            <w:tcW w:w="5180" w:type="dxa"/>
            <w:vAlign w:val="bottom"/>
          </w:tcPr>
          <w:p>
            <w:pPr>
              <w:jc w:val="right"/>
              <w:ind w:right="110"/>
              <w:spacing w:after="0"/>
              <w:rPr>
                <w:sz w:val="20"/>
                <w:szCs w:val="20"/>
                <w:color w:val="auto"/>
              </w:rPr>
            </w:pPr>
            <w:r>
              <w:rPr>
                <w:rFonts w:ascii="Arial" w:cs="Arial" w:eastAsia="Arial" w:hAnsi="Arial"/>
                <w:sz w:val="18"/>
                <w:szCs w:val="18"/>
                <w:b w:val="1"/>
                <w:bCs w:val="1"/>
                <w:color w:val="auto"/>
              </w:rPr>
              <w:t>(646) 430-6000</w:t>
            </w:r>
          </w:p>
        </w:tc>
        <w:tc>
          <w:tcPr>
            <w:tcW w:w="282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6" w:lineRule="exact"/>
        <w:rPr>
          <w:sz w:val="24"/>
          <w:szCs w:val="24"/>
          <w:color w:val="auto"/>
        </w:rPr>
      </w:pPr>
    </w:p>
    <w:tbl>
      <w:tblPr>
        <w:tblLayout w:type="fixed"/>
        <w:tblInd w:w="40" w:type="dxa"/>
        <w:tblCellMar>
          <w:top w:w="0" w:type="dxa"/>
          <w:left w:w="0" w:type="dxa"/>
          <w:bottom w:w="0" w:type="dxa"/>
          <w:right w:w="0" w:type="dxa"/>
        </w:tblCellMar>
      </w:tblPr>
      <w:tr>
        <w:trPr>
          <w:trHeight w:val="182"/>
        </w:trPr>
        <w:tc>
          <w:tcPr>
            <w:tcW w:w="374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20" w:type="dxa"/>
            <w:vAlign w:val="bottom"/>
          </w:tcPr>
          <w:p>
            <w:pPr>
              <w:spacing w:after="0"/>
              <w:rPr>
                <w:sz w:val="15"/>
                <w:szCs w:val="15"/>
                <w:color w:val="auto"/>
              </w:rPr>
            </w:pPr>
          </w:p>
        </w:tc>
      </w:tr>
      <w:tr>
        <w:trPr>
          <w:trHeight w:val="363"/>
        </w:trPr>
        <w:tc>
          <w:tcPr>
            <w:tcW w:w="20" w:type="dxa"/>
            <w:vAlign w:val="bottom"/>
          </w:tcPr>
          <w:p>
            <w:pPr>
              <w:spacing w:after="0"/>
              <w:rPr>
                <w:sz w:val="24"/>
                <w:szCs w:val="24"/>
                <w:color w:val="auto"/>
              </w:rPr>
            </w:pPr>
          </w:p>
        </w:tc>
        <w:tc>
          <w:tcPr>
            <w:tcW w:w="3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Title of each class</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Trading Symbol(s)</w:t>
            </w:r>
          </w:p>
        </w:tc>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76"/>
        </w:trPr>
        <w:tc>
          <w:tcPr>
            <w:tcW w:w="20" w:type="dxa"/>
            <w:vAlign w:val="bottom"/>
          </w:tcPr>
          <w:p>
            <w:pPr>
              <w:spacing w:after="0"/>
              <w:rPr>
                <w:sz w:val="15"/>
                <w:szCs w:val="15"/>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 par value $0.00001</w:t>
            </w:r>
          </w:p>
        </w:tc>
        <w:tc>
          <w:tcPr>
            <w:tcW w:w="160" w:type="dxa"/>
            <w:vAlign w:val="bottom"/>
          </w:tcPr>
          <w:p>
            <w:pPr>
              <w:spacing w:after="0"/>
              <w:rPr>
                <w:sz w:val="15"/>
                <w:szCs w:val="15"/>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TW</w:t>
            </w:r>
          </w:p>
        </w:tc>
        <w:tc>
          <w:tcPr>
            <w:tcW w:w="160" w:type="dxa"/>
            <w:vAlign w:val="bottom"/>
          </w:tcPr>
          <w:p>
            <w:pPr>
              <w:spacing w:after="0"/>
              <w:rPr>
                <w:sz w:val="15"/>
                <w:szCs w:val="15"/>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Nasdaq Global Select Market</w:t>
            </w:r>
          </w:p>
        </w:tc>
      </w:tr>
    </w:tbl>
    <w:p>
      <w:pPr>
        <w:spacing w:after="0" w:line="231" w:lineRule="exact"/>
        <w:rPr>
          <w:sz w:val="24"/>
          <w:szCs w:val="24"/>
          <w:color w:val="auto"/>
        </w:rPr>
      </w:pPr>
    </w:p>
    <w:p>
      <w:pPr>
        <w:ind w:left="40" w:right="239"/>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46" w:lineRule="exact"/>
        <w:rPr>
          <w:sz w:val="24"/>
          <w:szCs w:val="24"/>
          <w:color w:val="auto"/>
        </w:rPr>
      </w:pPr>
    </w:p>
    <w:p>
      <w:pPr>
        <w:ind w:left="40" w:right="99"/>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20" w:hanging="176"/>
        <w:spacing w:after="0" w:line="161" w:lineRule="exact"/>
        <w:tabs>
          <w:tab w:leader="none" w:pos="22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75" w:lineRule="exact"/>
        <w:rPr>
          <w:sz w:val="24"/>
          <w:szCs w:val="24"/>
          <w:color w:val="auto"/>
        </w:rPr>
      </w:pPr>
    </w:p>
    <w:p>
      <w:pPr>
        <w:ind w:left="40" w:right="239"/>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233" w:right="1440" w:bottom="1440" w:gutter="0" w:footer="0" w:header="0"/>
        </w:sectPr>
      </w:pPr>
    </w:p>
    <w:p>
      <w:pPr>
        <w:spacing w:after="0" w:line="61" w:lineRule="exact"/>
        <w:rPr>
          <w:sz w:val="24"/>
          <w:szCs w:val="24"/>
          <w:color w:val="auto"/>
        </w:rPr>
      </w:pPr>
    </w:p>
    <w:p>
      <w:pPr>
        <w:ind w:left="60"/>
        <w:spacing w:after="0" w:line="290" w:lineRule="auto"/>
        <w:rPr>
          <w:sz w:val="20"/>
          <w:szCs w:val="20"/>
          <w:color w:val="auto"/>
        </w:rPr>
      </w:pPr>
      <w:r>
        <w:rPr>
          <w:rFonts w:ascii="Arial" w:cs="Arial" w:eastAsia="Arial" w:hAnsi="Arial"/>
          <w:sz w:val="13"/>
          <w:szCs w:val="13"/>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290" w:lineRule="auto"/>
        <w:rPr>
          <w:sz w:val="20"/>
          <w:szCs w:val="20"/>
          <w:color w:val="auto"/>
        </w:rPr>
      </w:pPr>
      <w:r>
        <w:rPr>
          <w:rFonts w:ascii="Arial" w:cs="Arial" w:eastAsia="Arial" w:hAnsi="Arial"/>
          <w:sz w:val="13"/>
          <w:szCs w:val="13"/>
          <w:color w:val="auto"/>
        </w:rPr>
        <w:t>Accelerated filer Emerging growth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779"/>
        <w:spacing w:after="0" w:line="141" w:lineRule="exact"/>
        <w:rPr>
          <w:sz w:val="20"/>
          <w:szCs w:val="20"/>
          <w:color w:val="auto"/>
        </w:rPr>
      </w:pPr>
      <w:r>
        <w:rPr>
          <w:rFonts w:ascii="MS PGothic" w:cs="MS PGothic" w:eastAsia="MS PGothic" w:hAnsi="MS PGothic"/>
          <w:sz w:val="14"/>
          <w:szCs w:val="14"/>
          <w:color w:val="auto"/>
        </w:rPr>
        <w:t>☒</w:t>
      </w:r>
    </w:p>
    <w:p>
      <w:pPr>
        <w:spacing w:after="0" w:line="265" w:lineRule="exact"/>
        <w:rPr>
          <w:sz w:val="24"/>
          <w:szCs w:val="24"/>
          <w:color w:val="auto"/>
        </w:rPr>
      </w:pPr>
    </w:p>
    <w:p>
      <w:pPr>
        <w:sectPr>
          <w:pgSz w:w="11900" w:h="16838" w:orient="portrait"/>
          <w:cols w:equalWidth="0" w:num="6">
            <w:col w:w="1620" w:space="560"/>
            <w:col w:w="160" w:space="720"/>
            <w:col w:w="1580" w:space="540"/>
            <w:col w:w="120" w:space="720"/>
            <w:col w:w="1360" w:space="720"/>
            <w:col w:w="919"/>
          </w:cols>
          <w:pgMar w:left="1440" w:top="233" w:right="1440" w:bottom="1440" w:gutter="0" w:footer="0" w:header="0"/>
          <w:type w:val="continuous"/>
        </w:sectPr>
      </w:pPr>
    </w:p>
    <w:p>
      <w:pPr>
        <w:ind w:left="40" w:right="11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left="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85" w:lineRule="exact"/>
        <w:rPr>
          <w:sz w:val="24"/>
          <w:szCs w:val="24"/>
          <w:color w:val="auto"/>
        </w:rPr>
      </w:pPr>
    </w:p>
    <w:tbl>
      <w:tblPr>
        <w:tblLayout w:type="fixed"/>
        <w:tblInd w:w="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40" w:type="dxa"/>
            <w:vAlign w:val="bottom"/>
            <w:gridSpan w:val="2"/>
          </w:tcPr>
          <w:p>
            <w:pPr>
              <w:ind w:left="2160"/>
              <w:spacing w:after="0"/>
              <w:rPr>
                <w:sz w:val="20"/>
                <w:szCs w:val="20"/>
                <w:color w:val="auto"/>
              </w:rPr>
            </w:pPr>
            <w:r>
              <w:rPr>
                <w:rFonts w:ascii="Arial" w:cs="Arial" w:eastAsia="Arial" w:hAnsi="Arial"/>
                <w:sz w:val="14"/>
                <w:szCs w:val="14"/>
                <w:color w:val="auto"/>
              </w:rPr>
              <w:t>Class of Stock</w:t>
            </w:r>
          </w:p>
        </w:tc>
        <w:tc>
          <w:tcPr>
            <w:tcW w:w="3700" w:type="dxa"/>
            <w:vAlign w:val="bottom"/>
            <w:gridSpan w:val="2"/>
          </w:tcPr>
          <w:p>
            <w:pPr>
              <w:jc w:val="right"/>
              <w:ind w:right="760"/>
              <w:spacing w:after="0"/>
              <w:rPr>
                <w:sz w:val="20"/>
                <w:szCs w:val="20"/>
                <w:color w:val="auto"/>
              </w:rPr>
            </w:pPr>
            <w:r>
              <w:rPr>
                <w:rFonts w:ascii="Arial" w:cs="Arial" w:eastAsia="Arial" w:hAnsi="Arial"/>
                <w:sz w:val="14"/>
                <w:szCs w:val="14"/>
                <w:color w:val="auto"/>
              </w:rPr>
              <w:t>Shares Outstanding as of May 1, 2020</w:t>
            </w:r>
          </w:p>
        </w:tc>
      </w:tr>
      <w:tr>
        <w:trPr>
          <w:trHeight w:val="123"/>
        </w:trPr>
        <w:tc>
          <w:tcPr>
            <w:tcW w:w="20" w:type="dxa"/>
            <w:vAlign w:val="bottom"/>
          </w:tcPr>
          <w:p>
            <w:pPr>
              <w:spacing w:after="0"/>
              <w:rPr>
                <w:sz w:val="10"/>
                <w:szCs w:val="10"/>
                <w:color w:val="auto"/>
              </w:rPr>
            </w:pPr>
          </w:p>
        </w:tc>
        <w:tc>
          <w:tcPr>
            <w:tcW w:w="51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Class A Common Stock, par value $0.00001 per share</w:t>
            </w:r>
          </w:p>
        </w:tc>
        <w:tc>
          <w:tcPr>
            <w:tcW w:w="80" w:type="dxa"/>
            <w:vAlign w:val="bottom"/>
          </w:tcPr>
          <w:p>
            <w:pPr>
              <w:spacing w:after="0"/>
              <w:rPr>
                <w:sz w:val="10"/>
                <w:szCs w:val="10"/>
                <w:color w:val="auto"/>
              </w:rPr>
            </w:pPr>
          </w:p>
        </w:tc>
        <w:tc>
          <w:tcPr>
            <w:tcW w:w="370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83,945,458</w:t>
            </w:r>
          </w:p>
        </w:tc>
      </w:tr>
      <w:tr>
        <w:trPr>
          <w:trHeight w:val="148"/>
        </w:trPr>
        <w:tc>
          <w:tcPr>
            <w:tcW w:w="5260" w:type="dxa"/>
            <w:vAlign w:val="bottom"/>
            <w:gridSpan w:val="3"/>
          </w:tcPr>
          <w:p>
            <w:pPr>
              <w:spacing w:after="0" w:line="149" w:lineRule="exact"/>
              <w:rPr>
                <w:sz w:val="20"/>
                <w:szCs w:val="20"/>
                <w:color w:val="auto"/>
              </w:rPr>
            </w:pPr>
            <w:r>
              <w:rPr>
                <w:rFonts w:ascii="Arial" w:cs="Arial" w:eastAsia="Arial" w:hAnsi="Arial"/>
                <w:sz w:val="14"/>
                <w:szCs w:val="14"/>
                <w:color w:val="auto"/>
              </w:rPr>
              <w:t>Class B Common Stock, par value $0.00001 per share</w:t>
            </w:r>
          </w:p>
        </w:tc>
        <w:tc>
          <w:tcPr>
            <w:tcW w:w="3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96,933,192</w:t>
            </w:r>
          </w:p>
        </w:tc>
      </w:tr>
      <w:tr>
        <w:trPr>
          <w:trHeight w:val="149"/>
        </w:trPr>
        <w:tc>
          <w:tcPr>
            <w:tcW w:w="5260" w:type="dxa"/>
            <w:vAlign w:val="bottom"/>
            <w:gridSpan w:val="3"/>
          </w:tcPr>
          <w:p>
            <w:pPr>
              <w:spacing w:after="0" w:line="149" w:lineRule="exact"/>
              <w:rPr>
                <w:sz w:val="20"/>
                <w:szCs w:val="20"/>
                <w:color w:val="auto"/>
              </w:rPr>
            </w:pPr>
            <w:r>
              <w:rPr>
                <w:rFonts w:ascii="Arial" w:cs="Arial" w:eastAsia="Arial" w:hAnsi="Arial"/>
                <w:sz w:val="14"/>
                <w:szCs w:val="14"/>
                <w:color w:val="auto"/>
              </w:rPr>
              <w:t>Class C Common Stock, par value $0.00001 per share</w:t>
            </w:r>
          </w:p>
        </w:tc>
        <w:tc>
          <w:tcPr>
            <w:tcW w:w="3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8,079,983</w:t>
            </w:r>
          </w:p>
        </w:tc>
      </w:tr>
      <w:tr>
        <w:trPr>
          <w:trHeight w:val="182"/>
        </w:trPr>
        <w:tc>
          <w:tcPr>
            <w:tcW w:w="5260" w:type="dxa"/>
            <w:vAlign w:val="bottom"/>
            <w:gridSpan w:val="3"/>
          </w:tcPr>
          <w:p>
            <w:pPr>
              <w:spacing w:after="0"/>
              <w:rPr>
                <w:sz w:val="20"/>
                <w:szCs w:val="20"/>
                <w:color w:val="auto"/>
              </w:rPr>
            </w:pPr>
            <w:r>
              <w:rPr>
                <w:rFonts w:ascii="Arial" w:cs="Arial" w:eastAsia="Arial" w:hAnsi="Arial"/>
                <w:sz w:val="14"/>
                <w:szCs w:val="14"/>
                <w:color w:val="auto"/>
              </w:rPr>
              <w:t>Class D Common Stock, par value $0.00001 per share</w:t>
            </w:r>
          </w:p>
        </w:tc>
        <w:tc>
          <w:tcPr>
            <w:tcW w:w="3700" w:type="dxa"/>
            <w:vAlign w:val="bottom"/>
            <w:gridSpan w:val="2"/>
          </w:tcPr>
          <w:p>
            <w:pPr>
              <w:jc w:val="right"/>
              <w:spacing w:after="0"/>
              <w:rPr>
                <w:sz w:val="20"/>
                <w:szCs w:val="20"/>
                <w:color w:val="auto"/>
              </w:rPr>
            </w:pPr>
            <w:r>
              <w:rPr>
                <w:rFonts w:ascii="Arial" w:cs="Arial" w:eastAsia="Arial" w:hAnsi="Arial"/>
                <w:sz w:val="14"/>
                <w:szCs w:val="14"/>
                <w:color w:val="auto"/>
              </w:rPr>
              <w:t>36,931,823</w:t>
            </w:r>
          </w:p>
        </w:tc>
      </w:tr>
      <w:tr>
        <w:trPr>
          <w:trHeight w:val="66"/>
        </w:trPr>
        <w:tc>
          <w:tcPr>
            <w:tcW w:w="20" w:type="dxa"/>
            <w:vAlign w:val="bottom"/>
            <w:tcBorders>
              <w:bottom w:val="single" w:sz="8" w:color="auto"/>
            </w:tcBorders>
          </w:tcPr>
          <w:p>
            <w:pPr>
              <w:spacing w:after="0"/>
              <w:rPr>
                <w:sz w:val="5"/>
                <w:szCs w:val="5"/>
                <w:color w:val="auto"/>
              </w:rPr>
            </w:pPr>
          </w:p>
        </w:tc>
        <w:tc>
          <w:tcPr>
            <w:tcW w:w="5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r>
      <w:tr>
        <w:trPr>
          <w:trHeight w:val="41"/>
        </w:trPr>
        <w:tc>
          <w:tcPr>
            <w:tcW w:w="20" w:type="dxa"/>
            <w:vAlign w:val="bottom"/>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100"/>
        </w:trPr>
        <w:tc>
          <w:tcPr>
            <w:tcW w:w="20" w:type="dxa"/>
            <w:vAlign w:val="bottom"/>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9019"/>
          </w:cols>
          <w:pgMar w:left="1440" w:top="233" w:right="1440"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TRADEWEB MARKETS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300" w:type="dxa"/>
            <w:vAlign w:val="bottom"/>
            <w:gridSpan w:val="2"/>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CAUTIONARY NOTE REGARDING FORWARD-LOOKING STATEMENTS</w:t>
              </w:r>
            </w:hyperlink>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830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8"/>
        </w:trPr>
        <w:tc>
          <w:tcPr>
            <w:tcW w:w="8300" w:type="dxa"/>
            <w:vAlign w:val="bottom"/>
            <w:gridSpan w:val="2"/>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PART I — FINANCIAL INFORMATION</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rFonts w:ascii="Arial" w:cs="Arial" w:eastAsia="Arial" w:hAnsi="Arial"/>
                <w:sz w:val="18"/>
                <w:szCs w:val="18"/>
                <w:color w:val="0000EE"/>
              </w:rPr>
            </w:pPr>
            <w:hyperlink w:anchor="page7">
              <w:r>
                <w:rPr>
                  <w:rFonts w:ascii="Arial" w:cs="Arial" w:eastAsia="Arial" w:hAnsi="Arial"/>
                  <w:sz w:val="18"/>
                  <w:szCs w:val="18"/>
                  <w:u w:val="single" w:color="auto"/>
                  <w:color w:val="0000EE"/>
                </w:rPr>
                <w:t>Item 1</w:t>
              </w:r>
              <w:r>
                <w:rPr>
                  <w:rFonts w:ascii="Arial" w:cs="Arial" w:eastAsia="Arial" w:hAnsi="Arial"/>
                  <w:sz w:val="18"/>
                  <w:szCs w:val="18"/>
                  <w:color w:val="0000EE"/>
                </w:rPr>
                <w:t>.</w:t>
              </w:r>
            </w:hyperlink>
          </w:p>
        </w:tc>
        <w:tc>
          <w:tcPr>
            <w:tcW w:w="7580" w:type="dxa"/>
            <w:vAlign w:val="bottom"/>
          </w:tcPr>
          <w:p>
            <w:pPr>
              <w:ind w:left="1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2"/>
        </w:trPr>
        <w:tc>
          <w:tcPr>
            <w:tcW w:w="8300" w:type="dxa"/>
            <w:vAlign w:val="bottom"/>
            <w:gridSpan w:val="2"/>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Financial Condition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2"/>
        </w:trPr>
        <w:tc>
          <w:tcPr>
            <w:tcW w:w="8300" w:type="dxa"/>
            <w:vAlign w:val="bottom"/>
            <w:gridSpan w:val="2"/>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Statements of Income</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32"/>
        </w:trPr>
        <w:tc>
          <w:tcPr>
            <w:tcW w:w="8300" w:type="dxa"/>
            <w:vAlign w:val="bottom"/>
            <w:gridSpan w:val="2"/>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Consolidated Statements of Comprehensive Income</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32"/>
        </w:trPr>
        <w:tc>
          <w:tcPr>
            <w:tcW w:w="8300" w:type="dxa"/>
            <w:vAlign w:val="bottom"/>
            <w:gridSpan w:val="2"/>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Consolidated Statements of Changes in Equity</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32"/>
        </w:trPr>
        <w:tc>
          <w:tcPr>
            <w:tcW w:w="8300" w:type="dxa"/>
            <w:vAlign w:val="bottom"/>
            <w:gridSpan w:val="2"/>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Consolidated Statements of Cash Flows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32"/>
        </w:trPr>
        <w:tc>
          <w:tcPr>
            <w:tcW w:w="8300" w:type="dxa"/>
            <w:vAlign w:val="bottom"/>
            <w:gridSpan w:val="2"/>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Notes to Consolidated 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720" w:type="dxa"/>
            <w:vAlign w:val="bottom"/>
          </w:tcPr>
          <w:p>
            <w:pPr>
              <w:spacing w:after="0"/>
              <w:rPr>
                <w:rFonts w:ascii="Arial" w:cs="Arial" w:eastAsia="Arial" w:hAnsi="Arial"/>
                <w:sz w:val="18"/>
                <w:szCs w:val="18"/>
                <w:color w:val="0000EE"/>
              </w:rPr>
            </w:pPr>
            <w:hyperlink w:anchor="page39">
              <w:r>
                <w:rPr>
                  <w:rFonts w:ascii="Arial" w:cs="Arial" w:eastAsia="Arial" w:hAnsi="Arial"/>
                  <w:sz w:val="18"/>
                  <w:szCs w:val="18"/>
                  <w:u w:val="single" w:color="auto"/>
                  <w:color w:val="0000EE"/>
                </w:rPr>
                <w:t>Item 2</w:t>
              </w:r>
              <w:r>
                <w:rPr>
                  <w:rFonts w:ascii="Arial" w:cs="Arial" w:eastAsia="Arial" w:hAnsi="Arial"/>
                  <w:sz w:val="18"/>
                  <w:szCs w:val="18"/>
                  <w:color w:val="0000EE"/>
                </w:rPr>
                <w:t>.</w:t>
              </w:r>
            </w:hyperlink>
          </w:p>
        </w:tc>
        <w:tc>
          <w:tcPr>
            <w:tcW w:w="7580" w:type="dxa"/>
            <w:vAlign w:val="bottom"/>
          </w:tcPr>
          <w:p>
            <w:pPr>
              <w:ind w:left="10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32"/>
        </w:trPr>
        <w:tc>
          <w:tcPr>
            <w:tcW w:w="720" w:type="dxa"/>
            <w:vAlign w:val="bottom"/>
          </w:tcPr>
          <w:p>
            <w:pPr>
              <w:spacing w:after="0"/>
              <w:rPr>
                <w:rFonts w:ascii="Arial" w:cs="Arial" w:eastAsia="Arial" w:hAnsi="Arial"/>
                <w:sz w:val="18"/>
                <w:szCs w:val="18"/>
                <w:color w:val="0000EE"/>
              </w:rPr>
            </w:pPr>
            <w:hyperlink w:anchor="page65">
              <w:r>
                <w:rPr>
                  <w:rFonts w:ascii="Arial" w:cs="Arial" w:eastAsia="Arial" w:hAnsi="Arial"/>
                  <w:sz w:val="18"/>
                  <w:szCs w:val="18"/>
                  <w:u w:val="single" w:color="auto"/>
                  <w:color w:val="0000EE"/>
                </w:rPr>
                <w:t>Item 3</w:t>
              </w:r>
              <w:r>
                <w:rPr>
                  <w:rFonts w:ascii="Arial" w:cs="Arial" w:eastAsia="Arial" w:hAnsi="Arial"/>
                  <w:sz w:val="18"/>
                  <w:szCs w:val="18"/>
                  <w:color w:val="0000EE"/>
                </w:rPr>
                <w:t>.</w:t>
              </w:r>
            </w:hyperlink>
          </w:p>
        </w:tc>
        <w:tc>
          <w:tcPr>
            <w:tcW w:w="7580" w:type="dxa"/>
            <w:vAlign w:val="bottom"/>
          </w:tcPr>
          <w:p>
            <w:pPr>
              <w:ind w:left="10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Quantitative and Qualitative Disclosures about Market Risk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32"/>
        </w:trPr>
        <w:tc>
          <w:tcPr>
            <w:tcW w:w="720" w:type="dxa"/>
            <w:vAlign w:val="bottom"/>
          </w:tcPr>
          <w:p>
            <w:pPr>
              <w:spacing w:after="0"/>
              <w:rPr>
                <w:rFonts w:ascii="Arial" w:cs="Arial" w:eastAsia="Arial" w:hAnsi="Arial"/>
                <w:sz w:val="18"/>
                <w:szCs w:val="18"/>
                <w:color w:val="0000EE"/>
              </w:rPr>
            </w:pPr>
            <w:hyperlink w:anchor="page67">
              <w:r>
                <w:rPr>
                  <w:rFonts w:ascii="Arial" w:cs="Arial" w:eastAsia="Arial" w:hAnsi="Arial"/>
                  <w:sz w:val="18"/>
                  <w:szCs w:val="18"/>
                  <w:u w:val="single" w:color="auto"/>
                  <w:color w:val="0000EE"/>
                </w:rPr>
                <w:t>Item 4</w:t>
              </w:r>
              <w:r>
                <w:rPr>
                  <w:rFonts w:ascii="Arial" w:cs="Arial" w:eastAsia="Arial" w:hAnsi="Arial"/>
                  <w:sz w:val="18"/>
                  <w:szCs w:val="18"/>
                  <w:color w:val="0000EE"/>
                </w:rPr>
                <w:t>.</w:t>
              </w:r>
            </w:hyperlink>
          </w:p>
        </w:tc>
        <w:tc>
          <w:tcPr>
            <w:tcW w:w="7580" w:type="dxa"/>
            <w:vAlign w:val="bottom"/>
          </w:tcPr>
          <w:p>
            <w:pPr>
              <w:ind w:left="10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Controls and Procedures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32"/>
        </w:trPr>
        <w:tc>
          <w:tcPr>
            <w:tcW w:w="8300" w:type="dxa"/>
            <w:vAlign w:val="bottom"/>
            <w:gridSpan w:val="2"/>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PART II — 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32"/>
        </w:trPr>
        <w:tc>
          <w:tcPr>
            <w:tcW w:w="720" w:type="dxa"/>
            <w:vAlign w:val="bottom"/>
          </w:tcPr>
          <w:p>
            <w:pPr>
              <w:spacing w:after="0"/>
              <w:rPr>
                <w:rFonts w:ascii="Arial" w:cs="Arial" w:eastAsia="Arial" w:hAnsi="Arial"/>
                <w:sz w:val="18"/>
                <w:szCs w:val="18"/>
                <w:color w:val="0000EE"/>
              </w:rPr>
            </w:pPr>
            <w:hyperlink w:anchor="page68">
              <w:r>
                <w:rPr>
                  <w:rFonts w:ascii="Arial" w:cs="Arial" w:eastAsia="Arial" w:hAnsi="Arial"/>
                  <w:sz w:val="18"/>
                  <w:szCs w:val="18"/>
                  <w:u w:val="single" w:color="auto"/>
                  <w:color w:val="0000EE"/>
                </w:rPr>
                <w:t>Item 1</w:t>
              </w:r>
              <w:r>
                <w:rPr>
                  <w:rFonts w:ascii="Arial" w:cs="Arial" w:eastAsia="Arial" w:hAnsi="Arial"/>
                  <w:sz w:val="18"/>
                  <w:szCs w:val="18"/>
                  <w:color w:val="0000EE"/>
                </w:rPr>
                <w:t>.</w:t>
              </w:r>
            </w:hyperlink>
          </w:p>
        </w:tc>
        <w:tc>
          <w:tcPr>
            <w:tcW w:w="7580" w:type="dxa"/>
            <w:vAlign w:val="bottom"/>
          </w:tcPr>
          <w:p>
            <w:pPr>
              <w:ind w:left="10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Legal Proceedings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32"/>
        </w:trPr>
        <w:tc>
          <w:tcPr>
            <w:tcW w:w="72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Item 1A.</w:t>
              </w:r>
            </w:hyperlink>
          </w:p>
        </w:tc>
        <w:tc>
          <w:tcPr>
            <w:tcW w:w="7580" w:type="dxa"/>
            <w:vAlign w:val="bottom"/>
          </w:tcPr>
          <w:p>
            <w:pPr>
              <w:ind w:left="10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32"/>
        </w:trPr>
        <w:tc>
          <w:tcPr>
            <w:tcW w:w="720" w:type="dxa"/>
            <w:vAlign w:val="bottom"/>
          </w:tcPr>
          <w:p>
            <w:pPr>
              <w:spacing w:after="0"/>
              <w:rPr>
                <w:rFonts w:ascii="Arial" w:cs="Arial" w:eastAsia="Arial" w:hAnsi="Arial"/>
                <w:sz w:val="18"/>
                <w:szCs w:val="18"/>
                <w:color w:val="0000EE"/>
              </w:rPr>
            </w:pPr>
            <w:hyperlink w:anchor="page68">
              <w:r>
                <w:rPr>
                  <w:rFonts w:ascii="Arial" w:cs="Arial" w:eastAsia="Arial" w:hAnsi="Arial"/>
                  <w:sz w:val="18"/>
                  <w:szCs w:val="18"/>
                  <w:u w:val="single" w:color="auto"/>
                  <w:color w:val="0000EE"/>
                </w:rPr>
                <w:t>Item 2</w:t>
              </w:r>
              <w:r>
                <w:rPr>
                  <w:rFonts w:ascii="Arial" w:cs="Arial" w:eastAsia="Arial" w:hAnsi="Arial"/>
                  <w:sz w:val="18"/>
                  <w:szCs w:val="18"/>
                  <w:color w:val="0000EE"/>
                </w:rPr>
                <w:t>.</w:t>
              </w:r>
            </w:hyperlink>
          </w:p>
        </w:tc>
        <w:tc>
          <w:tcPr>
            <w:tcW w:w="7580" w:type="dxa"/>
            <w:vAlign w:val="bottom"/>
          </w:tcPr>
          <w:p>
            <w:pPr>
              <w:ind w:left="10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Unregistered Sales of Equity Securities and 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32"/>
        </w:trPr>
        <w:tc>
          <w:tcPr>
            <w:tcW w:w="720" w:type="dxa"/>
            <w:vAlign w:val="bottom"/>
          </w:tcPr>
          <w:p>
            <w:pPr>
              <w:spacing w:after="0"/>
              <w:rPr>
                <w:rFonts w:ascii="Arial" w:cs="Arial" w:eastAsia="Arial" w:hAnsi="Arial"/>
                <w:sz w:val="18"/>
                <w:szCs w:val="18"/>
                <w:color w:val="0000EE"/>
              </w:rPr>
            </w:pPr>
            <w:hyperlink w:anchor="page68">
              <w:r>
                <w:rPr>
                  <w:rFonts w:ascii="Arial" w:cs="Arial" w:eastAsia="Arial" w:hAnsi="Arial"/>
                  <w:sz w:val="18"/>
                  <w:szCs w:val="18"/>
                  <w:u w:val="single" w:color="auto"/>
                  <w:color w:val="0000EE"/>
                </w:rPr>
                <w:t>Item 3</w:t>
              </w:r>
              <w:r>
                <w:rPr>
                  <w:rFonts w:ascii="Arial" w:cs="Arial" w:eastAsia="Arial" w:hAnsi="Arial"/>
                  <w:sz w:val="18"/>
                  <w:szCs w:val="18"/>
                  <w:color w:val="0000EE"/>
                </w:rPr>
                <w:t>.</w:t>
              </w:r>
            </w:hyperlink>
          </w:p>
        </w:tc>
        <w:tc>
          <w:tcPr>
            <w:tcW w:w="7580" w:type="dxa"/>
            <w:vAlign w:val="bottom"/>
          </w:tcPr>
          <w:p>
            <w:pPr>
              <w:ind w:left="10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Defaults Upon Senior Securities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32"/>
        </w:trPr>
        <w:tc>
          <w:tcPr>
            <w:tcW w:w="720" w:type="dxa"/>
            <w:vAlign w:val="bottom"/>
          </w:tcPr>
          <w:p>
            <w:pPr>
              <w:spacing w:after="0"/>
              <w:rPr>
                <w:rFonts w:ascii="Arial" w:cs="Arial" w:eastAsia="Arial" w:hAnsi="Arial"/>
                <w:sz w:val="18"/>
                <w:szCs w:val="18"/>
                <w:color w:val="0000EE"/>
              </w:rPr>
            </w:pPr>
            <w:hyperlink w:anchor="page68">
              <w:r>
                <w:rPr>
                  <w:rFonts w:ascii="Arial" w:cs="Arial" w:eastAsia="Arial" w:hAnsi="Arial"/>
                  <w:sz w:val="18"/>
                  <w:szCs w:val="18"/>
                  <w:u w:val="single" w:color="auto"/>
                  <w:color w:val="0000EE"/>
                </w:rPr>
                <w:t>Item 4</w:t>
              </w:r>
              <w:r>
                <w:rPr>
                  <w:rFonts w:ascii="Arial" w:cs="Arial" w:eastAsia="Arial" w:hAnsi="Arial"/>
                  <w:sz w:val="18"/>
                  <w:szCs w:val="18"/>
                  <w:color w:val="0000EE"/>
                </w:rPr>
                <w:t>.</w:t>
              </w:r>
            </w:hyperlink>
          </w:p>
        </w:tc>
        <w:tc>
          <w:tcPr>
            <w:tcW w:w="7580" w:type="dxa"/>
            <w:vAlign w:val="bottom"/>
          </w:tcPr>
          <w:p>
            <w:pPr>
              <w:ind w:left="10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Mine Safety Disclosures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32"/>
        </w:trPr>
        <w:tc>
          <w:tcPr>
            <w:tcW w:w="720" w:type="dxa"/>
            <w:vAlign w:val="bottom"/>
          </w:tcPr>
          <w:p>
            <w:pPr>
              <w:spacing w:after="0"/>
              <w:rPr>
                <w:rFonts w:ascii="Arial" w:cs="Arial" w:eastAsia="Arial" w:hAnsi="Arial"/>
                <w:sz w:val="18"/>
                <w:szCs w:val="18"/>
                <w:color w:val="0000EE"/>
              </w:rPr>
            </w:pPr>
            <w:hyperlink w:anchor="page68">
              <w:r>
                <w:rPr>
                  <w:rFonts w:ascii="Arial" w:cs="Arial" w:eastAsia="Arial" w:hAnsi="Arial"/>
                  <w:sz w:val="18"/>
                  <w:szCs w:val="18"/>
                  <w:u w:val="single" w:color="auto"/>
                  <w:color w:val="0000EE"/>
                </w:rPr>
                <w:t>Item 5</w:t>
              </w:r>
              <w:r>
                <w:rPr>
                  <w:rFonts w:ascii="Arial" w:cs="Arial" w:eastAsia="Arial" w:hAnsi="Arial"/>
                  <w:sz w:val="18"/>
                  <w:szCs w:val="18"/>
                  <w:color w:val="0000EE"/>
                </w:rPr>
                <w:t>.</w:t>
              </w:r>
            </w:hyperlink>
          </w:p>
        </w:tc>
        <w:tc>
          <w:tcPr>
            <w:tcW w:w="7580" w:type="dxa"/>
            <w:vAlign w:val="bottom"/>
          </w:tcPr>
          <w:p>
            <w:pPr>
              <w:ind w:left="10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32"/>
        </w:trPr>
        <w:tc>
          <w:tcPr>
            <w:tcW w:w="720" w:type="dxa"/>
            <w:vAlign w:val="bottom"/>
          </w:tcPr>
          <w:p>
            <w:pPr>
              <w:spacing w:after="0"/>
              <w:rPr>
                <w:rFonts w:ascii="Arial" w:cs="Arial" w:eastAsia="Arial" w:hAnsi="Arial"/>
                <w:sz w:val="18"/>
                <w:szCs w:val="18"/>
                <w:color w:val="0000EE"/>
              </w:rPr>
            </w:pPr>
            <w:hyperlink w:anchor="page69">
              <w:r>
                <w:rPr>
                  <w:rFonts w:ascii="Arial" w:cs="Arial" w:eastAsia="Arial" w:hAnsi="Arial"/>
                  <w:sz w:val="18"/>
                  <w:szCs w:val="18"/>
                  <w:u w:val="single" w:color="auto"/>
                  <w:color w:val="0000EE"/>
                </w:rPr>
                <w:t>Item 6</w:t>
              </w:r>
              <w:r>
                <w:rPr>
                  <w:rFonts w:ascii="Arial" w:cs="Arial" w:eastAsia="Arial" w:hAnsi="Arial"/>
                  <w:sz w:val="18"/>
                  <w:szCs w:val="18"/>
                  <w:color w:val="0000EE"/>
                </w:rPr>
                <w:t>.</w:t>
              </w:r>
            </w:hyperlink>
          </w:p>
        </w:tc>
        <w:tc>
          <w:tcPr>
            <w:tcW w:w="7580" w:type="dxa"/>
            <w:vAlign w:val="bottom"/>
          </w:tcPr>
          <w:p>
            <w:pPr>
              <w:ind w:left="10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Exhibits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7580" w:type="dxa"/>
            <w:vAlign w:val="bottom"/>
          </w:tcPr>
          <w:p>
            <w:pPr>
              <w:ind w:left="10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Signatures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661"/>
        </w:trPr>
        <w:tc>
          <w:tcPr>
            <w:tcW w:w="720" w:type="dxa"/>
            <w:vAlign w:val="bottom"/>
          </w:tcPr>
          <w:p>
            <w:pPr>
              <w:spacing w:after="0"/>
              <w:rPr>
                <w:sz w:val="24"/>
                <w:szCs w:val="24"/>
                <w:color w:val="auto"/>
              </w:rPr>
            </w:pPr>
          </w:p>
        </w:tc>
        <w:tc>
          <w:tcPr>
            <w:tcW w:w="7580" w:type="dxa"/>
            <w:vAlign w:val="bottom"/>
          </w:tcPr>
          <w:p>
            <w:pPr>
              <w:ind w:left="3700"/>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2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2" w:name="page3"/>
    <w:bookmarkEnd w:id="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ind w:left="40" w:right="79" w:firstLine="324"/>
        <w:spacing w:after="0" w:line="293" w:lineRule="auto"/>
        <w:rPr>
          <w:sz w:val="20"/>
          <w:szCs w:val="20"/>
          <w:color w:val="auto"/>
        </w:rPr>
      </w:pPr>
      <w:r>
        <w:rPr>
          <w:rFonts w:ascii="Arial" w:cs="Arial" w:eastAsia="Arial" w:hAnsi="Arial"/>
          <w:sz w:val="16"/>
          <w:szCs w:val="16"/>
          <w:color w:val="auto"/>
        </w:rPr>
        <w:t>The financial statements and other disclosures contained in this report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 For more information regarding the transactions described above, see Note 1 – Organization to our unaudited consolidated financial statements included elsewhere in this Quarterly Report on Form 10-Q.</w:t>
      </w:r>
    </w:p>
    <w:p>
      <w:pPr>
        <w:spacing w:after="0" w:line="164" w:lineRule="exact"/>
        <w:rPr>
          <w:sz w:val="20"/>
          <w:szCs w:val="20"/>
          <w:color w:val="auto"/>
        </w:rPr>
      </w:pPr>
    </w:p>
    <w:p>
      <w:pPr>
        <w:ind w:left="40" w:right="139" w:firstLine="324"/>
        <w:spacing w:after="0" w:line="290" w:lineRule="auto"/>
        <w:rPr>
          <w:sz w:val="20"/>
          <w:szCs w:val="20"/>
          <w:color w:val="auto"/>
        </w:rPr>
      </w:pPr>
      <w:r>
        <w:rPr>
          <w:rFonts w:ascii="Arial" w:cs="Arial" w:eastAsia="Arial" w:hAnsi="Arial"/>
          <w:sz w:val="16"/>
          <w:szCs w:val="16"/>
          <w:color w:val="auto"/>
        </w:rPr>
        <w:t>The financial statements and other disclosures contained in this Quarterly Report on Form 10-Q relate to periods that ended both prior to and after the completion of the Reorganization Transactions and the IPO. 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65" w:lineRule="exact"/>
        <w:rPr>
          <w:sz w:val="20"/>
          <w:szCs w:val="20"/>
          <w:color w:val="auto"/>
        </w:rPr>
      </w:pPr>
    </w:p>
    <w:p>
      <w:pPr>
        <w:ind w:left="40" w:right="139" w:firstLine="324"/>
        <w:spacing w:after="0" w:line="287" w:lineRule="auto"/>
        <w:rPr>
          <w:sz w:val="20"/>
          <w:szCs w:val="20"/>
          <w:color w:val="auto"/>
        </w:rPr>
      </w:pPr>
      <w:r>
        <w:rPr>
          <w:rFonts w:ascii="Arial" w:cs="Arial" w:eastAsia="Arial" w:hAnsi="Arial"/>
          <w:sz w:val="16"/>
          <w:szCs w:val="16"/>
          <w:color w:val="auto"/>
        </w:rPr>
        <w:t>The unaudited consolidated financial statements and other financial disclosures included elsewhere in this Quarterly Report on Form 10-Q relating to periods prior to and including March 31, 2019, which we sometimes refer to as the “pre-IPO period,” reflect the results of operations, financial position and cash flows of Tradeweb Markets LLC, the predecessor of Tradeweb Markets Inc. for financial reporting purposes, and its subsidiaries. The unaudited consolidated financial statements and other financial disclosures included elsewhere in this Quarterly Report on Form 10-Q relating to periods beginning on April 1, 2019, and through and including March 31, 2020, which we sometimes refer to as the “post-IPO period,” reflect the results of operations, financial position and cash flows of Tradeweb Markets Inc. and its subsidiaries, including the consolidation of its investment in Tradeweb Markets LLC. As a result, for financial reporting purposes, the pre-IPO period excludes, and the post-IPO period includes, our financial results from April 1, 2019 through April 3, 2019, which are not material. The unaudited consolidated financial statements and other financial disclosures included elsewhere in this Quarterly Report on Form 10-Q do not reflect what the results of operations, financial position or cash flows would have been had the Reorganization Transactions and the IPO taken place at the beginning of the periods presented.</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used in this Quarterly Report on Form 10-Q, unless the context otherwise requires, references to:</w:t>
      </w:r>
    </w:p>
    <w:p>
      <w:pPr>
        <w:spacing w:after="0" w:line="225" w:lineRule="exact"/>
        <w:rPr>
          <w:sz w:val="20"/>
          <w:szCs w:val="20"/>
          <w:color w:val="auto"/>
        </w:rPr>
      </w:pPr>
    </w:p>
    <w:p>
      <w:pPr>
        <w:ind w:left="700" w:right="259" w:firstLine="27"/>
        <w:spacing w:after="0" w:line="287" w:lineRule="auto"/>
        <w:rPr>
          <w:sz w:val="20"/>
          <w:szCs w:val="20"/>
          <w:color w:val="auto"/>
        </w:rPr>
      </w:pPr>
      <w:r>
        <w:rPr>
          <w:rFonts w:ascii="Arial" w:cs="Arial" w:eastAsia="Arial" w:hAnsi="Arial"/>
          <w:sz w:val="16"/>
          <w:szCs w:val="16"/>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w:t>
      </w:r>
    </w:p>
    <w:p>
      <w:pPr>
        <w:spacing w:after="0" w:line="2" w:lineRule="exact"/>
        <w:rPr>
          <w:sz w:val="20"/>
          <w:szCs w:val="20"/>
          <w:color w:val="auto"/>
        </w:rPr>
      </w:pPr>
    </w:p>
    <w:p>
      <w:pPr>
        <w:ind w:left="700" w:right="159"/>
        <w:spacing w:after="0" w:line="323" w:lineRule="auto"/>
        <w:rPr>
          <w:sz w:val="20"/>
          <w:szCs w:val="20"/>
          <w:color w:val="auto"/>
        </w:rPr>
      </w:pPr>
      <w:r>
        <w:rPr>
          <w:rFonts w:ascii="Arial" w:cs="Arial" w:eastAsia="Arial" w:hAnsi="Arial"/>
          <w:sz w:val="16"/>
          <w:szCs w:val="16"/>
          <w:color w:val="auto"/>
        </w:rPr>
        <w:t>(ii) following the completion of the Reorganization Transactions to Tradeweb Markets Inc., and, unless otherwise stated or the context otherwise requires, TWM LLC and all of its subsidiaries and any predecessor entities.</w:t>
      </w:r>
    </w:p>
    <w:p>
      <w:pPr>
        <w:spacing w:after="0" w:line="138" w:lineRule="exact"/>
        <w:rPr>
          <w:sz w:val="20"/>
          <w:szCs w:val="20"/>
          <w:color w:val="auto"/>
        </w:rPr>
      </w:pPr>
    </w:p>
    <w:p>
      <w:pPr>
        <w:ind w:left="700" w:right="99" w:hanging="332"/>
        <w:spacing w:after="0" w:line="272" w:lineRule="auto"/>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Following the IPO and the application of the net proceeds therefrom, entities affiliated with BofA Securities, Inc., RBS Securities Inc. and UBS Securities LLC no longer hold LLC Interests and, except as otherwise indicated, are not considered Bank Stockholders for post-IPO periods.</w:t>
      </w:r>
    </w:p>
    <w:p>
      <w:pPr>
        <w:spacing w:after="0" w:line="177" w:lineRule="exact"/>
        <w:rPr>
          <w:sz w:val="20"/>
          <w:szCs w:val="20"/>
          <w:color w:val="auto"/>
        </w:rPr>
      </w:pPr>
    </w:p>
    <w:p>
      <w:pPr>
        <w:ind w:left="700" w:right="59" w:firstLine="27"/>
        <w:spacing w:after="0" w:line="301" w:lineRule="auto"/>
        <w:rPr>
          <w:sz w:val="20"/>
          <w:szCs w:val="20"/>
          <w:color w:val="auto"/>
        </w:rPr>
      </w:pPr>
      <w:r>
        <w:rPr>
          <w:rFonts w:ascii="Arial" w:cs="Arial" w:eastAsia="Arial" w:hAnsi="Arial"/>
          <w:sz w:val="16"/>
          <w:szCs w:val="16"/>
          <w:color w:val="auto"/>
        </w:rPr>
        <w:t>“Continuing LLC Owners” refer collectively to (i) those Original LLC Owners, including an indirect subsidiary of Refinitiv (as defined below), certain of the Bank Stockholders and members of management, that continue to own LLC Interests after the completion of the IPO and Reorganization Transactions, that received shares of our Class C common stock, shares of our Class D common stock or a combination of both, as the case may be, in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right="159"/>
        <w:spacing w:after="0" w:line="279" w:lineRule="auto"/>
        <w:rPr>
          <w:sz w:val="20"/>
          <w:szCs w:val="20"/>
          <w:color w:val="auto"/>
        </w:rPr>
      </w:pPr>
      <w:r>
        <w:rPr>
          <w:rFonts w:ascii="Arial" w:cs="Arial" w:eastAsia="Arial" w:hAnsi="Arial"/>
          <w:sz w:val="17"/>
          <w:szCs w:val="17"/>
          <w:color w:val="auto"/>
        </w:rPr>
        <w:t>connection with the completion of the Reorganization Transactions, and that may redeem or exchange their LLC Interests for shares of our Class A common stock or Class B common stock and (ii) solely with respect to the Tax Receivable Agreement (as defined below), also includes those Original LLC Owners, including certain Bank Stockholders, that disposed of all of their LLC Interests for cash in connection with the IPO.</w:t>
      </w:r>
    </w:p>
    <w:p>
      <w:pPr>
        <w:spacing w:after="0" w:line="171" w:lineRule="exact"/>
        <w:rPr>
          <w:sz w:val="20"/>
          <w:szCs w:val="20"/>
          <w:color w:val="auto"/>
        </w:rPr>
      </w:pPr>
    </w:p>
    <w:p>
      <w:pPr>
        <w:ind w:left="700" w:right="459" w:firstLine="27"/>
        <w:spacing w:after="0" w:line="259" w:lineRule="auto"/>
        <w:rPr>
          <w:sz w:val="20"/>
          <w:szCs w:val="20"/>
          <w:color w:val="auto"/>
        </w:rPr>
      </w:pPr>
      <w:r>
        <w:rPr>
          <w:rFonts w:ascii="Arial" w:cs="Arial" w:eastAsia="Arial" w:hAnsi="Arial"/>
          <w:sz w:val="18"/>
          <w:szCs w:val="18"/>
          <w:color w:val="auto"/>
        </w:rPr>
        <w:t>“Investor Group” refer to certain investment funds affiliated with The Blackstone Group Inc. (f/k/a The Blackstone Group L.P.), an affiliate of Canada Pension Plan Investment Board, an affiliate of GIC Special Investments Pte. Ltd. and certain co-investors, which collectively hold indirectly a 55% ownership interest in Refinitiv (as defined below).</w:t>
      </w:r>
    </w:p>
    <w:p>
      <w:pPr>
        <w:spacing w:after="0" w:line="187" w:lineRule="exact"/>
        <w:rPr>
          <w:sz w:val="20"/>
          <w:szCs w:val="20"/>
          <w:color w:val="auto"/>
        </w:rPr>
      </w:pPr>
    </w:p>
    <w:p>
      <w:pPr>
        <w:ind w:left="700" w:right="419" w:firstLine="27"/>
        <w:spacing w:after="0" w:line="277" w:lineRule="auto"/>
        <w:rPr>
          <w:sz w:val="20"/>
          <w:szCs w:val="20"/>
          <w:color w:val="auto"/>
        </w:rPr>
      </w:pPr>
      <w:r>
        <w:rPr>
          <w:rFonts w:ascii="Arial" w:cs="Arial" w:eastAsia="Arial" w:hAnsi="Arial"/>
          <w:sz w:val="18"/>
          <w:szCs w:val="18"/>
          <w:color w:val="auto"/>
        </w:rPr>
        <w:t>“LLC Interests” refer to the single class of common membership interests of TWM LLC issued in connection with the Reorganization Transactions.</w:t>
      </w:r>
    </w:p>
    <w:p>
      <w:pPr>
        <w:spacing w:after="0" w:line="170" w:lineRule="exact"/>
        <w:rPr>
          <w:sz w:val="20"/>
          <w:szCs w:val="20"/>
          <w:color w:val="auto"/>
        </w:rPr>
      </w:pPr>
    </w:p>
    <w:p>
      <w:pPr>
        <w:ind w:left="700" w:right="119" w:firstLine="27"/>
        <w:spacing w:after="0" w:line="277" w:lineRule="auto"/>
        <w:rPr>
          <w:sz w:val="20"/>
          <w:szCs w:val="20"/>
          <w:color w:val="auto"/>
        </w:rPr>
      </w:pPr>
      <w:r>
        <w:rPr>
          <w:rFonts w:ascii="Arial" w:cs="Arial" w:eastAsia="Arial" w:hAnsi="Arial"/>
          <w:sz w:val="18"/>
          <w:szCs w:val="18"/>
          <w:color w:val="auto"/>
        </w:rPr>
        <w:t>“LSEG Transaction” refer to the acquisition of the Refinitiv business by London Stock Exchange Group plc in an all share transaction for a total enterprise value of approximately $27 billion.</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“Original LLC Owners” refer to the owners of TWM LLC prior to the Reorganization Transactions.</w:t>
      </w:r>
    </w:p>
    <w:p>
      <w:pPr>
        <w:spacing w:after="0" w:line="225" w:lineRule="exact"/>
        <w:rPr>
          <w:sz w:val="20"/>
          <w:szCs w:val="20"/>
          <w:color w:val="auto"/>
        </w:rPr>
      </w:pPr>
    </w:p>
    <w:p>
      <w:pPr>
        <w:jc w:val="both"/>
        <w:ind w:left="700" w:right="199" w:firstLine="27"/>
        <w:spacing w:after="0" w:line="279" w:lineRule="auto"/>
        <w:rPr>
          <w:sz w:val="20"/>
          <w:szCs w:val="20"/>
          <w:color w:val="auto"/>
        </w:rPr>
      </w:pPr>
      <w:r>
        <w:rPr>
          <w:rFonts w:ascii="Arial" w:cs="Arial" w:eastAsia="Arial" w:hAnsi="Arial"/>
          <w:sz w:val="17"/>
          <w:szCs w:val="17"/>
          <w:color w:val="auto"/>
        </w:rPr>
        <w:t>“Refinitiv” refer to Refinitiv Holdings Limited, and unless otherwise stated or the context otherwise requires, all of its subsidiaries, which owns substantially all of the former financial and risk business of Thomson Reuters (as defined below), including, prior to and following the completion of the Reorganization Transactions, an indirect majority ownership interest in Tradeweb, and is controlled by the Investor Group.</w:t>
      </w:r>
    </w:p>
    <w:p>
      <w:pPr>
        <w:spacing w:after="0" w:line="171" w:lineRule="exact"/>
        <w:rPr>
          <w:sz w:val="20"/>
          <w:szCs w:val="20"/>
          <w:color w:val="auto"/>
        </w:rPr>
      </w:pPr>
    </w:p>
    <w:p>
      <w:pPr>
        <w:jc w:val="both"/>
        <w:ind w:left="700" w:right="99" w:firstLine="27"/>
        <w:spacing w:after="0" w:line="263" w:lineRule="auto"/>
        <w:rPr>
          <w:sz w:val="20"/>
          <w:szCs w:val="20"/>
          <w:color w:val="auto"/>
        </w:rPr>
      </w:pPr>
      <w:r>
        <w:rPr>
          <w:rFonts w:ascii="Arial" w:cs="Arial" w:eastAsia="Arial" w:hAnsi="Arial"/>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84" w:lineRule="exact"/>
        <w:rPr>
          <w:sz w:val="20"/>
          <w:szCs w:val="20"/>
          <w:color w:val="auto"/>
        </w:rPr>
      </w:pPr>
    </w:p>
    <w:p>
      <w:pPr>
        <w:ind w:left="700" w:right="319" w:firstLine="27"/>
        <w:spacing w:after="0" w:line="277" w:lineRule="auto"/>
        <w:rPr>
          <w:sz w:val="20"/>
          <w:szCs w:val="20"/>
          <w:color w:val="auto"/>
        </w:rPr>
      </w:pPr>
      <w:r>
        <w:rPr>
          <w:rFonts w:ascii="Arial" w:cs="Arial" w:eastAsia="Arial" w:hAnsi="Arial"/>
          <w:sz w:val="18"/>
          <w:szCs w:val="18"/>
          <w:color w:val="auto"/>
        </w:rPr>
        <w:t>“Thomson Reuters” refer to Thomson Reuters Corporation, which indirectly holds a 45% ownership interest in Refinitiv.</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40" w:right="119" w:firstLine="359"/>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dividend policy and our expectations, beliefs, plans, strategies, objectives, prospects or assumptions regarding future events, including the pending LSEG Transaction, our performance or otherwise, contained in this Quarterly Report on Form 10-Q are forward-looking statements. In addition, statements contained in this Quarterly Report on Form 10-Q relating to the COVID-19 pandemic, the potential impacts of which are inherently uncertain, are forward-looking statements.</w:t>
      </w:r>
    </w:p>
    <w:p>
      <w:pPr>
        <w:spacing w:after="0" w:line="179" w:lineRule="exact"/>
        <w:rPr>
          <w:sz w:val="20"/>
          <w:szCs w:val="20"/>
          <w:color w:val="auto"/>
        </w:rPr>
      </w:pPr>
    </w:p>
    <w:p>
      <w:pPr>
        <w:ind w:left="40" w:right="159" w:firstLine="359"/>
        <w:spacing w:after="0" w:line="296"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share price.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459"/>
        <w:spacing w:after="0" w:line="277" w:lineRule="auto"/>
        <w:rPr>
          <w:sz w:val="20"/>
          <w:szCs w:val="20"/>
          <w:color w:val="auto"/>
        </w:rPr>
      </w:pPr>
      <w:r>
        <w:rPr>
          <w:rFonts w:ascii="Arial" w:cs="Arial" w:eastAsia="Arial" w:hAnsi="Arial"/>
          <w:sz w:val="18"/>
          <w:szCs w:val="18"/>
          <w:color w:val="auto"/>
        </w:rPr>
        <w:t>Some of the factors that could cause actual results to differ materially from those expressed or implied by the forward-looking statements include:</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changes in economic, political, social and market conditions and the impact of these changes on trading volumes;</w:t>
      </w:r>
    </w:p>
    <w:p>
      <w:pPr>
        <w:spacing w:after="0" w:line="24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failure to compete successfully;</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failure to adapt our business effectively to keep pace with industry changes;</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consolidation and concentration in the financial services industry;</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dependence on dealer clients that are also stockholders;</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inability to maintain and grow the capacity of our trading platforms, systems and infrastructure;</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design defects, errors, failures or delays with our platforms or solutions;</w:t>
      </w:r>
    </w:p>
    <w:p>
      <w:pPr>
        <w:spacing w:after="0" w:line="225" w:lineRule="exact"/>
        <w:rPr>
          <w:sz w:val="20"/>
          <w:szCs w:val="20"/>
          <w:color w:val="auto"/>
        </w:rPr>
      </w:pPr>
    </w:p>
    <w:p>
      <w:pPr>
        <w:ind w:left="760" w:right="219" w:firstLine="28"/>
        <w:spacing w:after="0" w:line="277" w:lineRule="auto"/>
        <w:rPr>
          <w:sz w:val="20"/>
          <w:szCs w:val="20"/>
          <w:color w:val="auto"/>
        </w:rPr>
      </w:pPr>
      <w:r>
        <w:rPr>
          <w:rFonts w:ascii="Arial" w:cs="Arial" w:eastAsia="Arial" w:hAnsi="Arial"/>
          <w:sz w:val="18"/>
          <w:szCs w:val="18"/>
          <w:color w:val="auto"/>
        </w:rPr>
        <w:t>systems failures, interruptions, delays in services, cybersecurity incidents, catastrophic events and any resulting interruptions;</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dependence on third parties for certain market data and certain key functions;</w:t>
      </w:r>
    </w:p>
    <w:p>
      <w:pPr>
        <w:spacing w:after="0" w:line="29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ability to implement our business strategies profitably;</w:t>
      </w:r>
    </w:p>
    <w:p>
      <w:pPr>
        <w:spacing w:after="0" w:line="225" w:lineRule="exact"/>
        <w:rPr>
          <w:sz w:val="20"/>
          <w:szCs w:val="20"/>
          <w:color w:val="auto"/>
        </w:rPr>
      </w:pPr>
    </w:p>
    <w:p>
      <w:pPr>
        <w:ind w:left="760" w:right="979" w:firstLine="28"/>
        <w:spacing w:after="0" w:line="277" w:lineRule="auto"/>
        <w:rPr>
          <w:sz w:val="20"/>
          <w:szCs w:val="20"/>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ability to retain the services of certain members of our management;</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inadequate protection of our intellectual property;</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extensive regulation of our industry;</w:t>
      </w:r>
    </w:p>
    <w:p>
      <w:pPr>
        <w:spacing w:after="0" w:line="225" w:lineRule="exact"/>
        <w:rPr>
          <w:sz w:val="20"/>
          <w:szCs w:val="20"/>
          <w:color w:val="auto"/>
        </w:rPr>
      </w:pPr>
    </w:p>
    <w:p>
      <w:pPr>
        <w:ind w:left="760" w:right="139" w:firstLine="28"/>
        <w:spacing w:after="0" w:line="259" w:lineRule="auto"/>
        <w:rPr>
          <w:sz w:val="20"/>
          <w:szCs w:val="20"/>
          <w:color w:val="auto"/>
        </w:rPr>
      </w:pPr>
      <w:r>
        <w:rPr>
          <w:rFonts w:ascii="Arial" w:cs="Arial" w:eastAsia="Arial" w:hAnsi="Arial"/>
          <w:sz w:val="18"/>
          <w:szCs w:val="18"/>
          <w:color w:val="auto"/>
        </w:rPr>
        <w:t>limitations on operating our business and incurring additional indebtedness as a result of covenant restrictions under our $500.0 million senior secured revolving credit facility (the “Revolving Credit Facility”) with Citibank, N.A., as administrative agent and collateral agent, and the other lenders party thereto, and certain Refinitiv indebtedness;</w:t>
      </w:r>
    </w:p>
    <w:p>
      <w:pPr>
        <w:spacing w:after="0" w:line="187" w:lineRule="exact"/>
        <w:rPr>
          <w:sz w:val="20"/>
          <w:szCs w:val="20"/>
          <w:color w:val="auto"/>
        </w:rPr>
      </w:pPr>
    </w:p>
    <w:p>
      <w:pPr>
        <w:ind w:left="760" w:right="119" w:firstLine="28"/>
        <w:spacing w:after="0" w:line="263" w:lineRule="auto"/>
        <w:rPr>
          <w:sz w:val="20"/>
          <w:szCs w:val="20"/>
          <w:color w:val="auto"/>
        </w:rPr>
      </w:pPr>
      <w:r>
        <w:rPr>
          <w:rFonts w:ascii="Arial" w:cs="Arial" w:eastAsia="Arial" w:hAnsi="Arial"/>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8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ability to realize any benefit from our organizational structure;</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Refinitiv’s control of us and our status as a controlled company; and</w:t>
      </w:r>
    </w:p>
    <w:p>
      <w:pPr>
        <w:spacing w:after="0" w:line="225" w:lineRule="exact"/>
        <w:rPr>
          <w:sz w:val="20"/>
          <w:szCs w:val="20"/>
          <w:color w:val="auto"/>
        </w:rPr>
      </w:pPr>
    </w:p>
    <w:p>
      <w:pPr>
        <w:ind w:left="760" w:right="99" w:hanging="392"/>
        <w:spacing w:after="0" w:line="259"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“Item 1A. Risk Factors” of our Annual Report on Form 10-K, as amended, for the year ended December 31, 2019 (the “2019 Form 10-K”), filed with the Securities and Exchange Commission (“SEC”), “Item 1A. Risk Factors” in this Quarterly Report on Form 10-Q, and in other filings we may make from time to time with the SEC.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firstLine="359"/>
        <w:spacing w:after="0" w:line="272" w:lineRule="auto"/>
        <w:rPr>
          <w:sz w:val="20"/>
          <w:szCs w:val="20"/>
          <w:color w:val="auto"/>
        </w:rPr>
      </w:pPr>
      <w:r>
        <w:rPr>
          <w:rFonts w:ascii="Arial" w:cs="Arial" w:eastAsia="Arial" w:hAnsi="Arial"/>
          <w:sz w:val="17"/>
          <w:szCs w:val="17"/>
          <w:color w:val="auto"/>
        </w:rPr>
        <w:t>Given these risks and uncertainties, you are cautioned not to place undue reliance on such forward-looking statements. The forward-looking statements contained in this Quarterly Report on Form 10-Q are not guarantees of future performance and our actual results of operations, financial condition or liquidity, and the development of the industry and markets in which we operate, may differ materially from the forward-looking statements contained in this Quarterly Report on Form 10-Q. In addition, even if our results of operations, financial condition or liquidity, and events in the industry and markets in which we operate, are consistent with the forward-looking statements contained in this Quarterly Report on Form 10-Q, they may not be predictive of results or developments in future periods.</w:t>
      </w:r>
    </w:p>
    <w:p>
      <w:pPr>
        <w:spacing w:after="0" w:line="177" w:lineRule="exact"/>
        <w:rPr>
          <w:sz w:val="20"/>
          <w:szCs w:val="20"/>
          <w:color w:val="auto"/>
        </w:rPr>
      </w:pPr>
    </w:p>
    <w:p>
      <w:pPr>
        <w:ind w:left="40" w:right="159" w:firstLine="359"/>
        <w:spacing w:after="0" w:line="259" w:lineRule="auto"/>
        <w:rPr>
          <w:sz w:val="20"/>
          <w:szCs w:val="20"/>
          <w:color w:val="auto"/>
        </w:rPr>
      </w:pPr>
      <w:r>
        <w:rPr>
          <w:rFonts w:ascii="Arial" w:cs="Arial" w:eastAsia="Arial" w:hAnsi="Arial"/>
          <w:sz w:val="18"/>
          <w:szCs w:val="18"/>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87" w:lineRule="exact"/>
        <w:rPr>
          <w:sz w:val="20"/>
          <w:szCs w:val="20"/>
          <w:color w:val="auto"/>
        </w:rPr>
      </w:pPr>
    </w:p>
    <w:p>
      <w:pPr>
        <w:ind w:left="40" w:right="259" w:firstLine="359"/>
        <w:spacing w:after="0" w:line="291" w:lineRule="auto"/>
        <w:rPr>
          <w:sz w:val="20"/>
          <w:szCs w:val="20"/>
          <w:color w:val="auto"/>
        </w:rPr>
      </w:pPr>
      <w:r>
        <w:rPr>
          <w:rFonts w:ascii="Arial" w:cs="Arial" w:eastAsia="Arial" w:hAnsi="Arial"/>
          <w:sz w:val="16"/>
          <w:szCs w:val="16"/>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Twitter. The information that we post through these social media channels may be deemed material. As a result, we encourage investors, the media and others interested in Tradeweb to monitor these social media channels in addition to following our press releases, SEC filings and public conference calls and webcasts. These social media channels may be updated from time to time on our investor relations website.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PART I — FINANCIAL INFORMATION</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1. -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Tradeweb Markets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Statements of Financial Condition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7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6"/>
              </w:rPr>
              <w:t>March 31,</w:t>
            </w:r>
          </w:p>
        </w:tc>
        <w:tc>
          <w:tcPr>
            <w:tcW w:w="2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w w:val="89"/>
              </w:rPr>
              <w:t>December 31,</w:t>
            </w:r>
          </w:p>
        </w:tc>
      </w:tr>
      <w:tr>
        <w:trPr>
          <w:trHeight w:val="161"/>
        </w:trPr>
        <w:tc>
          <w:tcPr>
            <w:tcW w:w="7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2019</w:t>
            </w:r>
          </w:p>
        </w:tc>
      </w:tr>
      <w:tr>
        <w:trPr>
          <w:trHeight w:val="142"/>
        </w:trPr>
        <w:tc>
          <w:tcPr>
            <w:tcW w:w="7200" w:type="dxa"/>
            <w:vAlign w:val="bottom"/>
            <w:shd w:val="clear" w:color="auto" w:fill="CCEEFF"/>
          </w:tcPr>
          <w:p>
            <w:pPr>
              <w:ind w:left="3400"/>
              <w:spacing w:after="0" w:line="142" w:lineRule="exact"/>
              <w:rPr>
                <w:sz w:val="20"/>
                <w:szCs w:val="20"/>
                <w:color w:val="auto"/>
              </w:rPr>
            </w:pPr>
            <w:r>
              <w:rPr>
                <w:rFonts w:ascii="Arial" w:cs="Arial" w:eastAsia="Arial" w:hAnsi="Arial"/>
                <w:sz w:val="13"/>
                <w:szCs w:val="13"/>
                <w:b w:val="1"/>
                <w:bCs w:val="1"/>
                <w:color w:val="auto"/>
              </w:rPr>
              <w:t>Assets</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8"/>
        </w:trPr>
        <w:tc>
          <w:tcPr>
            <w:tcW w:w="720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424,357</w:t>
            </w:r>
          </w:p>
        </w:tc>
        <w:tc>
          <w:tcPr>
            <w:tcW w:w="100" w:type="dxa"/>
            <w:vAlign w:val="bottom"/>
          </w:tcPr>
          <w:p>
            <w:pPr>
              <w:spacing w:after="0"/>
              <w:rPr>
                <w:sz w:val="12"/>
                <w:szCs w:val="12"/>
                <w:color w:val="auto"/>
              </w:rPr>
            </w:pP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460,711</w:t>
            </w:r>
          </w:p>
        </w:tc>
      </w:tr>
      <w:tr>
        <w:trPr>
          <w:trHeight w:val="149"/>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Restricted cash</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148"/>
        </w:trPr>
        <w:tc>
          <w:tcPr>
            <w:tcW w:w="7200" w:type="dxa"/>
            <w:vAlign w:val="bottom"/>
          </w:tcPr>
          <w:p>
            <w:pPr>
              <w:spacing w:after="0"/>
              <w:rPr>
                <w:sz w:val="20"/>
                <w:szCs w:val="20"/>
                <w:color w:val="auto"/>
              </w:rPr>
            </w:pPr>
            <w:r>
              <w:rPr>
                <w:rFonts w:ascii="Arial" w:cs="Arial" w:eastAsia="Arial" w:hAnsi="Arial"/>
                <w:sz w:val="13"/>
                <w:szCs w:val="13"/>
                <w:color w:val="auto"/>
              </w:rPr>
              <w:t>Receivable from brokers and dealers and clearing organizations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95,908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30,641</w:t>
            </w:r>
          </w:p>
        </w:tc>
      </w:tr>
      <w:tr>
        <w:trPr>
          <w:trHeight w:val="148"/>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Deposits with clearing organizations</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11,307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9,724</w:t>
            </w:r>
          </w:p>
        </w:tc>
      </w:tr>
      <w:tr>
        <w:trPr>
          <w:trHeight w:val="148"/>
        </w:trPr>
        <w:tc>
          <w:tcPr>
            <w:tcW w:w="7200" w:type="dxa"/>
            <w:vAlign w:val="bottom"/>
          </w:tcPr>
          <w:p>
            <w:pPr>
              <w:spacing w:after="0"/>
              <w:rPr>
                <w:sz w:val="20"/>
                <w:szCs w:val="20"/>
                <w:color w:val="auto"/>
              </w:rPr>
            </w:pPr>
            <w:r>
              <w:rPr>
                <w:rFonts w:ascii="Arial" w:cs="Arial" w:eastAsia="Arial" w:hAnsi="Arial"/>
                <w:sz w:val="13"/>
                <w:szCs w:val="13"/>
                <w:color w:val="auto"/>
                <w:w w:val="96"/>
              </w:rPr>
              <w:t>Accounts receivable, net of allowance for credit losses of $150 and $195 at March 31, 2020 and December 31, 2019, respectively</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133,468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92,814</w:t>
            </w:r>
          </w:p>
        </w:tc>
      </w:tr>
      <w:tr>
        <w:trPr>
          <w:trHeight w:val="148"/>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Furniture, equipment, purchased software and leasehold improvements, net of accumulated depreciation and amortization</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37,061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40,405</w:t>
            </w:r>
          </w:p>
        </w:tc>
      </w:tr>
      <w:tr>
        <w:trPr>
          <w:trHeight w:val="149"/>
        </w:trPr>
        <w:tc>
          <w:tcPr>
            <w:tcW w:w="7200" w:type="dxa"/>
            <w:vAlign w:val="bottom"/>
          </w:tcPr>
          <w:p>
            <w:pPr>
              <w:spacing w:after="0"/>
              <w:rPr>
                <w:sz w:val="20"/>
                <w:szCs w:val="20"/>
                <w:color w:val="auto"/>
              </w:rPr>
            </w:pPr>
            <w:r>
              <w:rPr>
                <w:rFonts w:ascii="Arial" w:cs="Arial" w:eastAsia="Arial" w:hAnsi="Arial"/>
                <w:sz w:val="13"/>
                <w:szCs w:val="13"/>
                <w:color w:val="auto"/>
              </w:rPr>
              <w:t>Right-of-use assets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27,281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24,504</w:t>
            </w:r>
          </w:p>
        </w:tc>
      </w:tr>
      <w:tr>
        <w:trPr>
          <w:trHeight w:val="148"/>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Software development costs, net of accumulated amortization</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172,100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173,086</w:t>
            </w:r>
          </w:p>
        </w:tc>
      </w:tr>
      <w:tr>
        <w:trPr>
          <w:trHeight w:val="148"/>
        </w:trPr>
        <w:tc>
          <w:tcPr>
            <w:tcW w:w="7200" w:type="dxa"/>
            <w:vAlign w:val="bottom"/>
          </w:tcPr>
          <w:p>
            <w:pPr>
              <w:spacing w:after="0"/>
              <w:rPr>
                <w:sz w:val="20"/>
                <w:szCs w:val="20"/>
                <w:color w:val="auto"/>
              </w:rPr>
            </w:pPr>
            <w:r>
              <w:rPr>
                <w:rFonts w:ascii="Arial" w:cs="Arial" w:eastAsia="Arial" w:hAnsi="Arial"/>
                <w:sz w:val="13"/>
                <w:szCs w:val="13"/>
                <w:color w:val="auto"/>
              </w:rPr>
              <w:t>Goodwill</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2,694,797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2,694,797</w:t>
            </w:r>
          </w:p>
        </w:tc>
      </w:tr>
      <w:tr>
        <w:trPr>
          <w:trHeight w:val="148"/>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 net of accumulated amortization</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1,256,589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1,281,441</w:t>
            </w:r>
          </w:p>
        </w:tc>
      </w:tr>
      <w:tr>
        <w:trPr>
          <w:trHeight w:val="148"/>
        </w:trPr>
        <w:tc>
          <w:tcPr>
            <w:tcW w:w="7200" w:type="dxa"/>
            <w:vAlign w:val="bottom"/>
          </w:tcPr>
          <w:p>
            <w:pPr>
              <w:spacing w:after="0"/>
              <w:rPr>
                <w:sz w:val="20"/>
                <w:szCs w:val="20"/>
                <w:color w:val="auto"/>
              </w:rPr>
            </w:pPr>
            <w:r>
              <w:rPr>
                <w:rFonts w:ascii="Arial" w:cs="Arial" w:eastAsia="Arial" w:hAnsi="Arial"/>
                <w:sz w:val="13"/>
                <w:szCs w:val="13"/>
                <w:color w:val="auto"/>
              </w:rPr>
              <w:t>Receivable from affiliates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1,506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2,525</w:t>
            </w:r>
          </w:p>
        </w:tc>
      </w:tr>
      <w:tr>
        <w:trPr>
          <w:trHeight w:val="148"/>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291,920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256,450</w:t>
            </w:r>
          </w:p>
        </w:tc>
      </w:tr>
      <w:tr>
        <w:trPr>
          <w:trHeight w:val="149"/>
        </w:trPr>
        <w:tc>
          <w:tcPr>
            <w:tcW w:w="72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assets</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37,422</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27,236</w:t>
            </w:r>
          </w:p>
        </w:tc>
      </w:tr>
      <w:tr>
        <w:trPr>
          <w:trHeight w:val="149"/>
        </w:trPr>
        <w:tc>
          <w:tcPr>
            <w:tcW w:w="7200" w:type="dxa"/>
            <w:vAlign w:val="bottom"/>
            <w:tcBorders>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3"/>
                <w:szCs w:val="13"/>
                <w:b w:val="1"/>
                <w:bCs w:val="1"/>
                <w:color w:val="auto"/>
              </w:rPr>
              <w:t>Total assets</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5,184,716</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5,095,334</w:t>
            </w:r>
          </w:p>
        </w:tc>
      </w:tr>
      <w:tr>
        <w:trPr>
          <w:trHeight w:val="149"/>
        </w:trPr>
        <w:tc>
          <w:tcPr>
            <w:tcW w:w="7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7200" w:type="dxa"/>
            <w:vAlign w:val="bottom"/>
            <w:shd w:val="clear" w:color="auto" w:fill="CCEEFF"/>
          </w:tcPr>
          <w:p>
            <w:pPr>
              <w:ind w:left="2540"/>
              <w:spacing w:after="0"/>
              <w:rPr>
                <w:sz w:val="20"/>
                <w:szCs w:val="20"/>
                <w:color w:val="auto"/>
              </w:rPr>
            </w:pPr>
            <w:r>
              <w:rPr>
                <w:rFonts w:ascii="Arial" w:cs="Arial" w:eastAsia="Arial" w:hAnsi="Arial"/>
                <w:sz w:val="13"/>
                <w:szCs w:val="13"/>
                <w:b w:val="1"/>
                <w:bCs w:val="1"/>
                <w:color w:val="auto"/>
              </w:rPr>
              <w:t>Liabilities and Stockholders' Equity</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8"/>
        </w:trPr>
        <w:tc>
          <w:tcPr>
            <w:tcW w:w="7200" w:type="dxa"/>
            <w:vAlign w:val="bottom"/>
          </w:tcPr>
          <w:p>
            <w:pPr>
              <w:spacing w:after="0"/>
              <w:rPr>
                <w:sz w:val="20"/>
                <w:szCs w:val="20"/>
                <w:color w:val="auto"/>
              </w:rPr>
            </w:pPr>
            <w:r>
              <w:rPr>
                <w:rFonts w:ascii="Arial" w:cs="Arial" w:eastAsia="Arial" w:hAnsi="Arial"/>
                <w:sz w:val="13"/>
                <w:szCs w:val="13"/>
                <w:b w:val="1"/>
                <w:bCs w:val="1"/>
                <w:color w:val="auto"/>
              </w:rPr>
              <w:t>Liabilities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Payable to brokers and dealers and clearing organizations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55,157</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30,452</w:t>
            </w:r>
          </w:p>
        </w:tc>
      </w:tr>
      <w:tr>
        <w:trPr>
          <w:trHeight w:val="148"/>
        </w:trPr>
        <w:tc>
          <w:tcPr>
            <w:tcW w:w="7200" w:type="dxa"/>
            <w:vAlign w:val="bottom"/>
          </w:tcPr>
          <w:p>
            <w:pPr>
              <w:spacing w:after="0"/>
              <w:rPr>
                <w:sz w:val="20"/>
                <w:szCs w:val="20"/>
                <w:color w:val="auto"/>
              </w:rPr>
            </w:pPr>
            <w:r>
              <w:rPr>
                <w:rFonts w:ascii="Arial" w:cs="Arial" w:eastAsia="Arial" w:hAnsi="Arial"/>
                <w:sz w:val="13"/>
                <w:szCs w:val="13"/>
                <w:color w:val="auto"/>
              </w:rPr>
              <w:t>Accrued compensation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58,016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119,415</w:t>
            </w:r>
          </w:p>
        </w:tc>
      </w:tr>
      <w:tr>
        <w:trPr>
          <w:trHeight w:val="149"/>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26,269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23,990</w:t>
            </w:r>
          </w:p>
        </w:tc>
      </w:tr>
      <w:tr>
        <w:trPr>
          <w:trHeight w:val="148"/>
        </w:trPr>
        <w:tc>
          <w:tcPr>
            <w:tcW w:w="7200" w:type="dxa"/>
            <w:vAlign w:val="bottom"/>
          </w:tcPr>
          <w:p>
            <w:pPr>
              <w:spacing w:after="0"/>
              <w:rPr>
                <w:sz w:val="20"/>
                <w:szCs w:val="20"/>
                <w:color w:val="auto"/>
              </w:rPr>
            </w:pPr>
            <w:r>
              <w:rPr>
                <w:rFonts w:ascii="Arial" w:cs="Arial" w:eastAsia="Arial" w:hAnsi="Arial"/>
                <w:sz w:val="13"/>
                <w:szCs w:val="13"/>
                <w:color w:val="auto"/>
              </w:rPr>
              <w:t>Accounts payable, accrued expenses and other liabilities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46,134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32,834</w:t>
            </w:r>
          </w:p>
        </w:tc>
      </w:tr>
      <w:tr>
        <w:trPr>
          <w:trHeight w:val="148"/>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Employee equity compensation payable</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w:t>
            </w:r>
          </w:p>
        </w:tc>
      </w:tr>
      <w:tr>
        <w:trPr>
          <w:trHeight w:val="148"/>
        </w:trPr>
        <w:tc>
          <w:tcPr>
            <w:tcW w:w="7200" w:type="dxa"/>
            <w:vAlign w:val="bottom"/>
          </w:tcPr>
          <w:p>
            <w:pPr>
              <w:spacing w:after="0"/>
              <w:rPr>
                <w:sz w:val="20"/>
                <w:szCs w:val="20"/>
                <w:color w:val="auto"/>
              </w:rPr>
            </w:pPr>
            <w:r>
              <w:rPr>
                <w:rFonts w:ascii="Arial" w:cs="Arial" w:eastAsia="Arial" w:hAnsi="Arial"/>
                <w:sz w:val="13"/>
                <w:szCs w:val="13"/>
                <w:color w:val="auto"/>
              </w:rPr>
              <w:t>Lease liability</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33,366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30,955</w:t>
            </w:r>
          </w:p>
        </w:tc>
      </w:tr>
      <w:tr>
        <w:trPr>
          <w:trHeight w:val="148"/>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Payable to affiliates</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1,506</w:t>
            </w:r>
          </w:p>
        </w:tc>
      </w:tr>
      <w:tr>
        <w:trPr>
          <w:trHeight w:val="149"/>
        </w:trPr>
        <w:tc>
          <w:tcPr>
            <w:tcW w:w="7200" w:type="dxa"/>
            <w:vAlign w:val="bottom"/>
          </w:tcPr>
          <w:p>
            <w:pPr>
              <w:spacing w:after="0"/>
              <w:rPr>
                <w:sz w:val="20"/>
                <w:szCs w:val="20"/>
                <w:color w:val="auto"/>
              </w:rPr>
            </w:pPr>
            <w:r>
              <w:rPr>
                <w:rFonts w:ascii="Arial" w:cs="Arial" w:eastAsia="Arial" w:hAnsi="Arial"/>
                <w:sz w:val="13"/>
                <w:szCs w:val="13"/>
                <w:color w:val="auto"/>
              </w:rPr>
              <w:t>Deferred tax liability</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21,572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21,572</w:t>
            </w:r>
          </w:p>
        </w:tc>
      </w:tr>
      <w:tr>
        <w:trPr>
          <w:trHeight w:val="148"/>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Tax receivable agreement liability</w:t>
            </w:r>
          </w:p>
        </w:tc>
        <w:tc>
          <w:tcPr>
            <w:tcW w:w="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252,029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240,817</w:t>
            </w:r>
          </w:p>
        </w:tc>
      </w:tr>
      <w:tr>
        <w:trPr>
          <w:trHeight w:val="142"/>
        </w:trPr>
        <w:tc>
          <w:tcPr>
            <w:tcW w:w="720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3"/>
                <w:szCs w:val="13"/>
                <w:b w:val="1"/>
                <w:bCs w:val="1"/>
                <w:color w:val="auto"/>
              </w:rPr>
              <w:t>Total liabilities</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495,868</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502,589</w:t>
            </w:r>
          </w:p>
        </w:tc>
      </w:tr>
      <w:tr>
        <w:trPr>
          <w:trHeight w:val="142"/>
        </w:trPr>
        <w:tc>
          <w:tcPr>
            <w:tcW w:w="7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8"/>
        </w:trPr>
        <w:tc>
          <w:tcPr>
            <w:tcW w:w="7200" w:type="dxa"/>
            <w:vAlign w:val="bottom"/>
          </w:tcPr>
          <w:p>
            <w:pPr>
              <w:spacing w:after="0"/>
              <w:rPr>
                <w:sz w:val="20"/>
                <w:szCs w:val="20"/>
                <w:color w:val="auto"/>
              </w:rPr>
            </w:pPr>
            <w:r>
              <w:rPr>
                <w:rFonts w:ascii="Arial" w:cs="Arial" w:eastAsia="Arial" w:hAnsi="Arial"/>
                <w:sz w:val="13"/>
                <w:szCs w:val="13"/>
                <w:color w:val="auto"/>
              </w:rPr>
              <w:t>Commitments and contingencies (Note 14)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7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8"/>
        </w:trPr>
        <w:tc>
          <w:tcPr>
            <w:tcW w:w="7200" w:type="dxa"/>
            <w:vAlign w:val="bottom"/>
          </w:tcPr>
          <w:p>
            <w:pPr>
              <w:spacing w:after="0"/>
              <w:rPr>
                <w:sz w:val="20"/>
                <w:szCs w:val="20"/>
                <w:color w:val="auto"/>
              </w:rPr>
            </w:pPr>
            <w:r>
              <w:rPr>
                <w:rFonts w:ascii="Arial" w:cs="Arial" w:eastAsia="Arial" w:hAnsi="Arial"/>
                <w:sz w:val="13"/>
                <w:szCs w:val="13"/>
                <w:b w:val="1"/>
                <w:bCs w:val="1"/>
                <w:color w:val="auto"/>
              </w:rPr>
              <w:t>Stockholders' Equity</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Preferred stock, $.00001 par value; 250,000,000 shares authorized; none issued or outstanding</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38"/>
        </w:trPr>
        <w:tc>
          <w:tcPr>
            <w:tcW w:w="7200" w:type="dxa"/>
            <w:vAlign w:val="bottom"/>
          </w:tcPr>
          <w:p>
            <w:pPr>
              <w:spacing w:after="0" w:line="138" w:lineRule="exact"/>
              <w:rPr>
                <w:sz w:val="20"/>
                <w:szCs w:val="20"/>
                <w:color w:val="auto"/>
              </w:rPr>
            </w:pPr>
            <w:r>
              <w:rPr>
                <w:rFonts w:ascii="Arial" w:cs="Arial" w:eastAsia="Arial" w:hAnsi="Arial"/>
                <w:sz w:val="13"/>
                <w:szCs w:val="13"/>
                <w:color w:val="auto"/>
                <w:w w:val="93"/>
              </w:rPr>
              <w:t>Class A common stock, $.00001 par value; 1,000,000,000 shares authorized; 70,670,440 shares issued and outstanding as of March</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59"/>
        </w:trPr>
        <w:tc>
          <w:tcPr>
            <w:tcW w:w="7200" w:type="dxa"/>
            <w:vAlign w:val="bottom"/>
          </w:tcPr>
          <w:p>
            <w:pPr>
              <w:spacing w:after="0"/>
              <w:rPr>
                <w:sz w:val="20"/>
                <w:szCs w:val="20"/>
                <w:color w:val="auto"/>
              </w:rPr>
            </w:pPr>
            <w:r>
              <w:rPr>
                <w:rFonts w:ascii="Arial" w:cs="Arial" w:eastAsia="Arial" w:hAnsi="Arial"/>
                <w:sz w:val="13"/>
                <w:szCs w:val="13"/>
                <w:color w:val="auto"/>
              </w:rPr>
              <w:t>31, 2020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38"/>
        </w:trPr>
        <w:tc>
          <w:tcPr>
            <w:tcW w:w="72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5"/>
              </w:rPr>
              <w:t>Class B common stock, $.00001 par value; 450,000,000 shares authorized; 96,933,192 shares issued and outstanding as of March</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59"/>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31, 2020</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38"/>
        </w:trPr>
        <w:tc>
          <w:tcPr>
            <w:tcW w:w="7200" w:type="dxa"/>
            <w:vAlign w:val="bottom"/>
          </w:tcPr>
          <w:p>
            <w:pPr>
              <w:spacing w:after="0" w:line="138" w:lineRule="exact"/>
              <w:rPr>
                <w:sz w:val="20"/>
                <w:szCs w:val="20"/>
                <w:color w:val="auto"/>
              </w:rPr>
            </w:pPr>
            <w:r>
              <w:rPr>
                <w:rFonts w:ascii="Arial" w:cs="Arial" w:eastAsia="Arial" w:hAnsi="Arial"/>
                <w:sz w:val="13"/>
                <w:szCs w:val="13"/>
                <w:color w:val="auto"/>
                <w:w w:val="93"/>
              </w:rPr>
              <w:t>Class C common stock, $.00001 par value; 350,000,000 shares authorized; 7,389,983 shares issued and outstanding as of March 31,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59"/>
        </w:trPr>
        <w:tc>
          <w:tcPr>
            <w:tcW w:w="7200" w:type="dxa"/>
            <w:vAlign w:val="bottom"/>
          </w:tcPr>
          <w:p>
            <w:pPr>
              <w:spacing w:after="0"/>
              <w:rPr>
                <w:sz w:val="20"/>
                <w:szCs w:val="20"/>
                <w:color w:val="auto"/>
              </w:rPr>
            </w:pPr>
            <w:r>
              <w:rPr>
                <w:rFonts w:ascii="Arial" w:cs="Arial" w:eastAsia="Arial" w:hAnsi="Arial"/>
                <w:sz w:val="13"/>
                <w:szCs w:val="13"/>
                <w:color w:val="auto"/>
              </w:rPr>
              <w:t>2020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8"/>
        </w:trPr>
        <w:tc>
          <w:tcPr>
            <w:tcW w:w="72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5"/>
              </w:rPr>
              <w:t>Class D common stock, $.00001 par value; 300,000,000 shares authorized; 49,871,231 shares issued and outstanding as of March</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59"/>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31, 2020</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49"/>
        </w:trPr>
        <w:tc>
          <w:tcPr>
            <w:tcW w:w="720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3,426,625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3,329,386</w:t>
            </w:r>
          </w:p>
        </w:tc>
      </w:tr>
      <w:tr>
        <w:trPr>
          <w:trHeight w:val="148"/>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Accumulated other comprehensive income (loss)</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1,366</w:t>
            </w:r>
          </w:p>
        </w:tc>
      </w:tr>
      <w:tr>
        <w:trPr>
          <w:trHeight w:val="149"/>
        </w:trPr>
        <w:tc>
          <w:tcPr>
            <w:tcW w:w="72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Retained earnings</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78,361</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47,833</w:t>
            </w:r>
          </w:p>
        </w:tc>
      </w:tr>
      <w:tr>
        <w:trPr>
          <w:trHeight w:val="142"/>
        </w:trPr>
        <w:tc>
          <w:tcPr>
            <w:tcW w:w="7200" w:type="dxa"/>
            <w:vAlign w:val="bottom"/>
            <w:shd w:val="clear" w:color="auto" w:fill="CCEEFF"/>
          </w:tcPr>
          <w:p>
            <w:pPr>
              <w:ind w:left="120"/>
              <w:spacing w:after="0" w:line="142" w:lineRule="exact"/>
              <w:rPr>
                <w:sz w:val="20"/>
                <w:szCs w:val="20"/>
                <w:color w:val="auto"/>
              </w:rPr>
            </w:pPr>
            <w:r>
              <w:rPr>
                <w:rFonts w:ascii="Arial" w:cs="Arial" w:eastAsia="Arial" w:hAnsi="Arial"/>
                <w:sz w:val="13"/>
                <w:szCs w:val="13"/>
                <w:color w:val="auto"/>
              </w:rPr>
              <w:t>Total stockholders' equity attributable to Tradeweb Markets Inc.</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3,502,809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3,378,588</w:t>
            </w:r>
          </w:p>
        </w:tc>
      </w:tr>
      <w:tr>
        <w:trPr>
          <w:trHeight w:val="149"/>
        </w:trPr>
        <w:tc>
          <w:tcPr>
            <w:tcW w:w="72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Non-controlling interests</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1,186,039</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1,214,157</w:t>
            </w:r>
          </w:p>
        </w:tc>
      </w:tr>
      <w:tr>
        <w:trPr>
          <w:trHeight w:val="142"/>
        </w:trPr>
        <w:tc>
          <w:tcPr>
            <w:tcW w:w="7200" w:type="dxa"/>
            <w:vAlign w:val="bottom"/>
            <w:shd w:val="clear" w:color="auto" w:fill="CCEEFF"/>
          </w:tcPr>
          <w:p>
            <w:pPr>
              <w:ind w:left="120"/>
              <w:spacing w:after="0" w:line="142" w:lineRule="exact"/>
              <w:rPr>
                <w:sz w:val="20"/>
                <w:szCs w:val="20"/>
                <w:color w:val="auto"/>
              </w:rPr>
            </w:pPr>
            <w:r>
              <w:rPr>
                <w:rFonts w:ascii="Arial" w:cs="Arial" w:eastAsia="Arial" w:hAnsi="Arial"/>
                <w:sz w:val="13"/>
                <w:szCs w:val="13"/>
                <w:b w:val="1"/>
                <w:bCs w:val="1"/>
                <w:color w:val="auto"/>
              </w:rPr>
              <w:t>Total equity</w:t>
            </w:r>
          </w:p>
        </w:tc>
        <w:tc>
          <w:tcPr>
            <w:tcW w:w="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4,688,848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4,592,745</w:t>
            </w:r>
          </w:p>
        </w:tc>
      </w:tr>
      <w:tr>
        <w:trPr>
          <w:trHeight w:val="149"/>
        </w:trPr>
        <w:tc>
          <w:tcPr>
            <w:tcW w:w="7200" w:type="dxa"/>
            <w:vAlign w:val="bottom"/>
          </w:tcPr>
          <w:p>
            <w:pPr>
              <w:spacing w:after="0" w:line="142" w:lineRule="exact"/>
              <w:rPr>
                <w:sz w:val="20"/>
                <w:szCs w:val="20"/>
                <w:color w:val="auto"/>
              </w:rPr>
            </w:pPr>
            <w:r>
              <w:rPr>
                <w:rFonts w:ascii="Arial" w:cs="Arial" w:eastAsia="Arial" w:hAnsi="Arial"/>
                <w:sz w:val="13"/>
                <w:szCs w:val="13"/>
                <w:b w:val="1"/>
                <w:bCs w:val="1"/>
                <w:color w:val="auto"/>
              </w:rPr>
              <w:t>Total liabilities and stockholders' equity</w:t>
            </w:r>
          </w:p>
        </w:tc>
        <w:tc>
          <w:tcPr>
            <w:tcW w:w="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5,184,716</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5,095,334</w:t>
            </w:r>
          </w:p>
        </w:tc>
      </w:tr>
    </w:tbl>
    <w:p>
      <w:pPr>
        <w:spacing w:after="0" w:line="28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Income</w:t>
      </w: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right"/>
              <w:ind w:right="388"/>
              <w:spacing w:after="0"/>
              <w:rPr>
                <w:sz w:val="20"/>
                <w:szCs w:val="20"/>
                <w:color w:val="auto"/>
              </w:rPr>
            </w:pPr>
            <w:r>
              <w:rPr>
                <w:rFonts w:ascii="Arial" w:cs="Arial" w:eastAsia="Arial" w:hAnsi="Arial"/>
                <w:sz w:val="14"/>
                <w:szCs w:val="14"/>
                <w:b w:val="1"/>
                <w:bCs w:val="1"/>
                <w:color w:val="auto"/>
              </w:rPr>
              <w:t>March 31, 2019</w:t>
            </w:r>
          </w:p>
        </w:tc>
      </w:tr>
      <w:tr>
        <w:trPr>
          <w:trHeight w:val="142"/>
        </w:trPr>
        <w:tc>
          <w:tcPr>
            <w:tcW w:w="41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Revenues</w:t>
            </w:r>
          </w:p>
        </w:tc>
        <w:tc>
          <w:tcPr>
            <w:tcW w:w="8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r>
      <w:tr>
        <w:trPr>
          <w:trHeight w:val="149"/>
        </w:trPr>
        <w:tc>
          <w:tcPr>
            <w:tcW w:w="41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Transaction fees</w:t>
            </w:r>
          </w:p>
        </w:tc>
        <w:tc>
          <w:tcPr>
            <w:tcW w:w="10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700" w:type="dxa"/>
            <w:vAlign w:val="bottom"/>
          </w:tcPr>
          <w:p>
            <w:pPr>
              <w:jc w:val="right"/>
              <w:spacing w:after="0" w:line="149" w:lineRule="exact"/>
              <w:rPr>
                <w:sz w:val="20"/>
                <w:szCs w:val="20"/>
                <w:color w:val="auto"/>
              </w:rPr>
            </w:pPr>
            <w:r>
              <w:rPr>
                <w:rFonts w:ascii="Arial" w:cs="Arial" w:eastAsia="Arial" w:hAnsi="Arial"/>
                <w:sz w:val="14"/>
                <w:szCs w:val="14"/>
                <w:color w:val="auto"/>
              </w:rPr>
              <w:t>140,824</w:t>
            </w:r>
          </w:p>
        </w:tc>
        <w:tc>
          <w:tcPr>
            <w:tcW w:w="100" w:type="dxa"/>
            <w:vAlign w:val="bottom"/>
          </w:tcPr>
          <w:p>
            <w:pPr>
              <w:spacing w:after="0"/>
              <w:rPr>
                <w:sz w:val="12"/>
                <w:szCs w:val="12"/>
                <w:color w:val="auto"/>
              </w:rPr>
            </w:pPr>
          </w:p>
        </w:tc>
        <w:tc>
          <w:tcPr>
            <w:tcW w:w="2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700" w:type="dxa"/>
            <w:vAlign w:val="bottom"/>
          </w:tcPr>
          <w:p>
            <w:pPr>
              <w:jc w:val="right"/>
              <w:spacing w:after="0" w:line="149" w:lineRule="exact"/>
              <w:rPr>
                <w:sz w:val="20"/>
                <w:szCs w:val="20"/>
                <w:color w:val="auto"/>
              </w:rPr>
            </w:pPr>
            <w:r>
              <w:rPr>
                <w:rFonts w:ascii="Arial" w:cs="Arial" w:eastAsia="Arial" w:hAnsi="Arial"/>
                <w:sz w:val="14"/>
                <w:szCs w:val="14"/>
                <w:color w:val="auto"/>
              </w:rPr>
              <w:t>102,640</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Subscription fees</w:t>
            </w: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34,483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34,445</w:t>
            </w:r>
          </w:p>
        </w:tc>
      </w:tr>
      <w:tr>
        <w:trPr>
          <w:trHeight w:val="148"/>
        </w:trPr>
        <w:tc>
          <w:tcPr>
            <w:tcW w:w="41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Commissions</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Arial" w:cs="Arial" w:eastAsia="Arial" w:hAnsi="Arial"/>
                <w:sz w:val="14"/>
                <w:szCs w:val="14"/>
                <w:color w:val="auto"/>
              </w:rPr>
              <w:t>42,493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Arial" w:cs="Arial" w:eastAsia="Arial" w:hAnsi="Arial"/>
                <w:sz w:val="14"/>
                <w:szCs w:val="14"/>
                <w:color w:val="auto"/>
              </w:rPr>
              <w:t>34,197</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Refinitiv market data fees</w:t>
            </w: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14,628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13,616</w:t>
            </w:r>
          </w:p>
        </w:tc>
      </w:tr>
      <w:tr>
        <w:trPr>
          <w:trHeight w:val="148"/>
        </w:trPr>
        <w:tc>
          <w:tcPr>
            <w:tcW w:w="4140" w:type="dxa"/>
            <w:vAlign w:val="bottom"/>
            <w:tcBorders>
              <w:bottom w:val="single" w:sz="8" w:color="CCEEFF"/>
            </w:tcBorders>
            <w:gridSpan w:val="2"/>
          </w:tcPr>
          <w:p>
            <w:pPr>
              <w:ind w:left="120"/>
              <w:spacing w:after="0" w:line="149" w:lineRule="exact"/>
              <w:rPr>
                <w:sz w:val="20"/>
                <w:szCs w:val="20"/>
                <w:color w:val="auto"/>
              </w:rPr>
            </w:pPr>
            <w:r>
              <w:rPr>
                <w:rFonts w:ascii="Arial" w:cs="Arial" w:eastAsia="Arial" w:hAnsi="Arial"/>
                <w:sz w:val="14"/>
                <w:szCs w:val="14"/>
                <w:color w:val="auto"/>
              </w:rPr>
              <w:t>Other</w:t>
            </w:r>
          </w:p>
        </w:tc>
        <w:tc>
          <w:tcPr>
            <w:tcW w:w="8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2,178</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1,894</w:t>
            </w:r>
          </w:p>
        </w:tc>
      </w:tr>
      <w:tr>
        <w:trPr>
          <w:trHeight w:val="142"/>
        </w:trPr>
        <w:tc>
          <w:tcPr>
            <w:tcW w:w="414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b w:val="1"/>
                <w:bCs w:val="1"/>
                <w:color w:val="auto"/>
              </w:rPr>
              <w:t>Gross revenue</w:t>
            </w: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234,606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186,792</w:t>
            </w:r>
          </w:p>
        </w:tc>
      </w:tr>
      <w:tr>
        <w:trPr>
          <w:trHeight w:val="148"/>
        </w:trPr>
        <w:tc>
          <w:tcPr>
            <w:tcW w:w="3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Employee compensation and benefits</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Arial" w:cs="Arial" w:eastAsia="Arial" w:hAnsi="Arial"/>
                <w:sz w:val="14"/>
                <w:szCs w:val="14"/>
                <w:color w:val="auto"/>
              </w:rPr>
              <w:t>90,520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Arial" w:cs="Arial" w:eastAsia="Arial" w:hAnsi="Arial"/>
                <w:sz w:val="14"/>
                <w:szCs w:val="14"/>
                <w:color w:val="auto"/>
              </w:rPr>
              <w:t>77,273</w:t>
            </w:r>
          </w:p>
        </w:tc>
      </w:tr>
      <w:tr>
        <w:trPr>
          <w:trHeight w:val="149"/>
        </w:trPr>
        <w:tc>
          <w:tcPr>
            <w:tcW w:w="4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37,176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33,503</w:t>
            </w:r>
          </w:p>
        </w:tc>
      </w:tr>
      <w:tr>
        <w:trPr>
          <w:trHeight w:val="148"/>
        </w:trPr>
        <w:tc>
          <w:tcPr>
            <w:tcW w:w="41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Technology and communications</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Arial" w:cs="Arial" w:eastAsia="Arial" w:hAnsi="Arial"/>
                <w:sz w:val="14"/>
                <w:szCs w:val="14"/>
                <w:color w:val="auto"/>
              </w:rPr>
              <w:t>10,318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Arial" w:cs="Arial" w:eastAsia="Arial" w:hAnsi="Arial"/>
                <w:sz w:val="14"/>
                <w:szCs w:val="14"/>
                <w:color w:val="auto"/>
              </w:rPr>
              <w:t>10,040</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General and administrative</w:t>
            </w: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9,089</w:t>
            </w:r>
          </w:p>
        </w:tc>
      </w:tr>
      <w:tr>
        <w:trPr>
          <w:trHeight w:val="148"/>
        </w:trPr>
        <w:tc>
          <w:tcPr>
            <w:tcW w:w="41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Professional fees</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Arial" w:cs="Arial" w:eastAsia="Arial" w:hAnsi="Arial"/>
                <w:sz w:val="14"/>
                <w:szCs w:val="14"/>
                <w:color w:val="auto"/>
              </w:rPr>
              <w:t>6,911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Arial" w:cs="Arial" w:eastAsia="Arial" w:hAnsi="Arial"/>
                <w:sz w:val="14"/>
                <w:szCs w:val="14"/>
                <w:color w:val="auto"/>
              </w:rPr>
              <w:t>6,971</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Occupancy</w:t>
            </w:r>
          </w:p>
        </w:tc>
        <w:tc>
          <w:tcPr>
            <w:tcW w:w="8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3,639</w:t>
            </w:r>
          </w:p>
        </w:tc>
      </w:tr>
      <w:tr>
        <w:trPr>
          <w:trHeight w:val="142"/>
        </w:trPr>
        <w:tc>
          <w:tcPr>
            <w:tcW w:w="4140" w:type="dxa"/>
            <w:vAlign w:val="bottom"/>
            <w:tcBorders>
              <w:bottom w:val="single" w:sz="8" w:color="CCEEFF"/>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Total expenses</w:t>
            </w:r>
          </w:p>
        </w:tc>
        <w:tc>
          <w:tcPr>
            <w:tcW w:w="8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156,991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140,515</w:t>
            </w:r>
          </w:p>
        </w:tc>
      </w:tr>
      <w:tr>
        <w:trPr>
          <w:trHeight w:val="142"/>
        </w:trPr>
        <w:tc>
          <w:tcPr>
            <w:tcW w:w="41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income</w:t>
            </w:r>
          </w:p>
        </w:tc>
        <w:tc>
          <w:tcPr>
            <w:tcW w:w="8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77,615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46,277</w:t>
            </w:r>
          </w:p>
        </w:tc>
      </w:tr>
      <w:tr>
        <w:trPr>
          <w:trHeight w:val="142"/>
        </w:trPr>
        <w:tc>
          <w:tcPr>
            <w:tcW w:w="4140" w:type="dxa"/>
            <w:vAlign w:val="bottom"/>
            <w:tcBorders>
              <w:bottom w:val="single" w:sz="8" w:color="CCEEFF"/>
            </w:tcBorders>
            <w:gridSpan w:val="2"/>
          </w:tcPr>
          <w:p>
            <w:pPr>
              <w:ind w:left="120"/>
              <w:spacing w:after="0" w:line="142" w:lineRule="exact"/>
              <w:rPr>
                <w:sz w:val="20"/>
                <w:szCs w:val="20"/>
                <w:color w:val="auto"/>
              </w:rPr>
            </w:pPr>
            <w:r>
              <w:rPr>
                <w:rFonts w:ascii="Arial" w:cs="Arial" w:eastAsia="Arial" w:hAnsi="Arial"/>
                <w:sz w:val="14"/>
                <w:szCs w:val="14"/>
                <w:color w:val="auto"/>
              </w:rPr>
              <w:t>Net interest income</w:t>
            </w:r>
          </w:p>
        </w:tc>
        <w:tc>
          <w:tcPr>
            <w:tcW w:w="8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699</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858</w:t>
            </w:r>
          </w:p>
        </w:tc>
      </w:tr>
      <w:tr>
        <w:trPr>
          <w:trHeight w:val="142"/>
        </w:trPr>
        <w:tc>
          <w:tcPr>
            <w:tcW w:w="41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Income before taxes</w:t>
            </w:r>
          </w:p>
        </w:tc>
        <w:tc>
          <w:tcPr>
            <w:tcW w:w="8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78,314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47,135</w:t>
            </w:r>
          </w:p>
        </w:tc>
      </w:tr>
      <w:tr>
        <w:trPr>
          <w:trHeight w:val="142"/>
        </w:trPr>
        <w:tc>
          <w:tcPr>
            <w:tcW w:w="414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Provision for income taxes</w:t>
            </w:r>
          </w:p>
        </w:tc>
        <w:tc>
          <w:tcPr>
            <w:tcW w:w="8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(15,829)</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(4,783)</w:t>
            </w:r>
          </w:p>
        </w:tc>
      </w:tr>
      <w:tr>
        <w:trPr>
          <w:trHeight w:val="162"/>
        </w:trPr>
        <w:tc>
          <w:tcPr>
            <w:tcW w:w="414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8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62,485</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1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42,352</w:t>
            </w:r>
          </w:p>
        </w:tc>
      </w:tr>
      <w:tr>
        <w:trPr>
          <w:trHeight w:val="135"/>
        </w:trPr>
        <w:tc>
          <w:tcPr>
            <w:tcW w:w="4140" w:type="dxa"/>
            <w:vAlign w:val="bottom"/>
            <w:tcBorders>
              <w:bottom w:val="single" w:sz="8" w:color="CCEEFF"/>
            </w:tcBorders>
            <w:gridSpan w:val="2"/>
          </w:tcPr>
          <w:p>
            <w:pPr>
              <w:spacing w:after="0" w:line="135" w:lineRule="exact"/>
              <w:rPr>
                <w:sz w:val="20"/>
                <w:szCs w:val="20"/>
                <w:color w:val="auto"/>
              </w:rPr>
            </w:pPr>
            <w:r>
              <w:rPr>
                <w:rFonts w:ascii="Arial" w:cs="Arial" w:eastAsia="Arial" w:hAnsi="Arial"/>
                <w:sz w:val="14"/>
                <w:szCs w:val="14"/>
                <w:color w:val="auto"/>
              </w:rPr>
              <w:t>Less: Net income attributable to non-controlling interests</w:t>
            </w:r>
          </w:p>
        </w:tc>
        <w:tc>
          <w:tcPr>
            <w:tcW w:w="8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18,557</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700" w:type="dxa"/>
            <w:vAlign w:val="bottom"/>
            <w:tcBorders>
              <w:bottom w:val="single" w:sz="8" w:color="CCEEFF"/>
            </w:tcBorders>
          </w:tcPr>
          <w:p>
            <w:pPr>
              <w:spacing w:after="0"/>
              <w:rPr>
                <w:sz w:val="11"/>
                <w:szCs w:val="11"/>
                <w:color w:val="auto"/>
              </w:rPr>
            </w:pPr>
          </w:p>
        </w:tc>
      </w:tr>
      <w:tr>
        <w:trPr>
          <w:trHeight w:val="149"/>
        </w:trPr>
        <w:tc>
          <w:tcPr>
            <w:tcW w:w="414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income attributable to Tradeweb Markets Inc.</w:t>
            </w:r>
          </w:p>
        </w:tc>
        <w:tc>
          <w:tcPr>
            <w:tcW w:w="8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43,928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700" w:type="dxa"/>
            <w:vAlign w:val="bottom"/>
            <w:tcBorders>
              <w:bottom w:val="single" w:sz="8" w:color="CCEEFF"/>
            </w:tcBorders>
            <w:shd w:val="clear" w:color="auto" w:fill="CCEEFF"/>
          </w:tcPr>
          <w:p>
            <w:pPr>
              <w:spacing w:after="0"/>
              <w:rPr>
                <w:sz w:val="12"/>
                <w:szCs w:val="12"/>
                <w:color w:val="auto"/>
              </w:rPr>
            </w:pPr>
          </w:p>
        </w:tc>
      </w:tr>
      <w:tr>
        <w:trPr>
          <w:trHeight w:val="148"/>
        </w:trPr>
        <w:tc>
          <w:tcPr>
            <w:tcW w:w="3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35"/>
        </w:trPr>
        <w:tc>
          <w:tcPr>
            <w:tcW w:w="414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 xml:space="preserve">EPS calculations for post-IPO and pre-IPO periods </w:t>
            </w:r>
            <w:r>
              <w:rPr>
                <w:rFonts w:ascii="Arial" w:cs="Arial" w:eastAsia="Arial" w:hAnsi="Arial"/>
                <w:sz w:val="14"/>
                <w:szCs w:val="14"/>
                <w:b w:val="1"/>
                <w:bCs w:val="1"/>
                <w:color w:val="auto"/>
                <w:vertAlign w:val="superscript"/>
              </w:rPr>
              <w:t>(1)</w:t>
            </w: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r>
      <w:tr>
        <w:trPr>
          <w:trHeight w:val="142"/>
        </w:trPr>
        <w:tc>
          <w:tcPr>
            <w:tcW w:w="31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Earnings per share</w:t>
            </w:r>
          </w:p>
        </w:tc>
        <w:tc>
          <w:tcPr>
            <w:tcW w:w="98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700" w:type="dxa"/>
            <w:vAlign w:val="bottom"/>
            <w:tcBorders>
              <w:top w:val="single" w:sz="8" w:color="CCEEFF"/>
            </w:tcBorders>
          </w:tcPr>
          <w:p>
            <w:pPr>
              <w:spacing w:after="0"/>
              <w:rPr>
                <w:sz w:val="12"/>
                <w:szCs w:val="12"/>
                <w:color w:val="auto"/>
              </w:rPr>
            </w:pPr>
          </w:p>
        </w:tc>
      </w:tr>
      <w:tr>
        <w:trPr>
          <w:trHeight w:val="168"/>
        </w:trPr>
        <w:tc>
          <w:tcPr>
            <w:tcW w:w="4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Basic</w:t>
            </w:r>
          </w:p>
        </w:tc>
        <w:tc>
          <w:tcPr>
            <w:tcW w:w="10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xml:space="preserve">0.26 </w:t>
            </w:r>
            <w:r>
              <w:rPr>
                <w:rFonts w:ascii="Arial" w:cs="Arial" w:eastAsia="Arial" w:hAnsi="Arial"/>
                <w:sz w:val="14"/>
                <w:szCs w:val="14"/>
                <w:color w:val="auto"/>
                <w:vertAlign w:val="superscript"/>
              </w:rPr>
              <w:t>(a)</w:t>
            </w:r>
          </w:p>
        </w:tc>
        <w:tc>
          <w:tcPr>
            <w:tcW w:w="2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 xml:space="preserve">0.19 </w:t>
            </w:r>
            <w:r>
              <w:rPr>
                <w:rFonts w:ascii="Arial" w:cs="Arial" w:eastAsia="Arial" w:hAnsi="Arial"/>
                <w:sz w:val="14"/>
                <w:szCs w:val="14"/>
                <w:color w:val="auto"/>
                <w:vertAlign w:val="superscript"/>
              </w:rPr>
              <w:t>(b)</w:t>
            </w:r>
          </w:p>
        </w:tc>
      </w:tr>
      <w:tr>
        <w:trPr>
          <w:trHeight w:val="143"/>
        </w:trPr>
        <w:tc>
          <w:tcPr>
            <w:tcW w:w="4140" w:type="dxa"/>
            <w:vAlign w:val="bottom"/>
            <w:tcBorders>
              <w:top w:val="single" w:sz="8" w:color="CCEEFF"/>
              <w:bottom w:val="single" w:sz="8" w:color="CCEEFF"/>
            </w:tcBorders>
            <w:gridSpan w:val="2"/>
          </w:tcPr>
          <w:p>
            <w:pPr>
              <w:ind w:left="120"/>
              <w:spacing w:after="0" w:line="135" w:lineRule="exact"/>
              <w:rPr>
                <w:sz w:val="20"/>
                <w:szCs w:val="20"/>
                <w:color w:val="auto"/>
              </w:rPr>
            </w:pPr>
            <w:r>
              <w:rPr>
                <w:rFonts w:ascii="Arial" w:cs="Arial" w:eastAsia="Arial" w:hAnsi="Arial"/>
                <w:sz w:val="14"/>
                <w:szCs w:val="14"/>
                <w:color w:val="auto"/>
              </w:rPr>
              <w:t>Diluted</w:t>
            </w:r>
          </w:p>
        </w:tc>
        <w:tc>
          <w:tcPr>
            <w:tcW w:w="86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 xml:space="preserve">0.25 </w:t>
            </w:r>
            <w:r>
              <w:rPr>
                <w:rFonts w:ascii="Arial" w:cs="Arial" w:eastAsia="Arial" w:hAnsi="Arial"/>
                <w:sz w:val="14"/>
                <w:szCs w:val="14"/>
                <w:color w:val="auto"/>
                <w:vertAlign w:val="superscript"/>
              </w:rPr>
              <w:t>(a)</w:t>
            </w:r>
          </w:p>
        </w:tc>
        <w:tc>
          <w:tcPr>
            <w:tcW w:w="10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35" w:lineRule="exact"/>
              <w:rPr>
                <w:sz w:val="20"/>
                <w:szCs w:val="20"/>
                <w:color w:val="auto"/>
              </w:rPr>
            </w:pPr>
            <w:r>
              <w:rPr>
                <w:rFonts w:ascii="Arial" w:cs="Arial" w:eastAsia="Arial" w:hAnsi="Arial"/>
                <w:sz w:val="14"/>
                <w:szCs w:val="14"/>
                <w:color w:val="auto"/>
                <w:w w:val="76"/>
              </w:rPr>
              <w:t>$</w:t>
            </w:r>
          </w:p>
        </w:tc>
        <w:tc>
          <w:tcPr>
            <w:tcW w:w="17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 xml:space="preserve">0.19 </w:t>
            </w:r>
            <w:r>
              <w:rPr>
                <w:rFonts w:ascii="Arial" w:cs="Arial" w:eastAsia="Arial" w:hAnsi="Arial"/>
                <w:sz w:val="14"/>
                <w:szCs w:val="14"/>
                <w:color w:val="auto"/>
                <w:vertAlign w:val="superscript"/>
              </w:rPr>
              <w:t>(b)</w:t>
            </w:r>
          </w:p>
        </w:tc>
      </w:tr>
      <w:tr>
        <w:trPr>
          <w:trHeight w:val="149"/>
        </w:trPr>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Weighted average shares outstanding</w:t>
            </w: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Basic</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 xml:space="preserve">166,234,749 </w:t>
            </w:r>
            <w:r>
              <w:rPr>
                <w:rFonts w:ascii="Arial" w:cs="Arial" w:eastAsia="Arial" w:hAnsi="Arial"/>
                <w:sz w:val="14"/>
                <w:szCs w:val="14"/>
                <w:color w:val="auto"/>
                <w:vertAlign w:val="superscript"/>
              </w:rPr>
              <w:t>(a)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spacing w:after="0" w:line="149" w:lineRule="exact"/>
              <w:rPr>
                <w:sz w:val="20"/>
                <w:szCs w:val="20"/>
                <w:color w:val="auto"/>
              </w:rPr>
            </w:pPr>
            <w:r>
              <w:rPr>
                <w:rFonts w:ascii="Arial" w:cs="Arial" w:eastAsia="Arial" w:hAnsi="Arial"/>
                <w:sz w:val="14"/>
                <w:szCs w:val="14"/>
                <w:color w:val="auto"/>
              </w:rPr>
              <w:t xml:space="preserve">222,222,197 </w:t>
            </w:r>
            <w:r>
              <w:rPr>
                <w:rFonts w:ascii="Arial" w:cs="Arial" w:eastAsia="Arial" w:hAnsi="Arial"/>
                <w:sz w:val="14"/>
                <w:szCs w:val="14"/>
                <w:color w:val="auto"/>
                <w:vertAlign w:val="superscript"/>
              </w:rPr>
              <w:t>(b)</w:t>
            </w:r>
          </w:p>
        </w:tc>
      </w:tr>
      <w:tr>
        <w:trPr>
          <w:trHeight w:val="149"/>
        </w:trPr>
        <w:tc>
          <w:tcPr>
            <w:tcW w:w="4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Diluted</w:t>
            </w: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xml:space="preserve">174,517,244 </w:t>
            </w:r>
            <w:r>
              <w:rPr>
                <w:rFonts w:ascii="Arial" w:cs="Arial" w:eastAsia="Arial" w:hAnsi="Arial"/>
                <w:sz w:val="14"/>
                <w:szCs w:val="14"/>
                <w:color w:val="auto"/>
                <w:vertAlign w:val="superscript"/>
              </w:rPr>
              <w:t>(a)</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xml:space="preserve">223,320,457 </w:t>
            </w:r>
            <w:r>
              <w:rPr>
                <w:rFonts w:ascii="Arial" w:cs="Arial" w:eastAsia="Arial" w:hAnsi="Arial"/>
                <w:sz w:val="14"/>
                <w:szCs w:val="14"/>
                <w:color w:val="auto"/>
                <w:vertAlign w:val="superscript"/>
              </w:rPr>
              <w:t>(b)</w:t>
            </w:r>
          </w:p>
        </w:tc>
      </w:tr>
    </w:tbl>
    <w:p>
      <w:pPr>
        <w:spacing w:after="0" w:line="130" w:lineRule="exact"/>
        <w:rPr>
          <w:sz w:val="20"/>
          <w:szCs w:val="20"/>
          <w:color w:val="auto"/>
        </w:rPr>
      </w:pPr>
    </w:p>
    <w:p>
      <w:pPr>
        <w:ind w:left="440" w:right="59" w:hanging="315"/>
        <w:spacing w:after="0" w:line="243" w:lineRule="auto"/>
        <w:tabs>
          <w:tab w:leader="none" w:pos="44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April 2019, the Company completed the Reorganization Transactions and the IPO, which, among other things, resulted in Tradeweb Markets Inc. becoming the successor of Tradeweb Markets LLC for financial reporting purposes. As a result, earnings per share information for the pre-IPO period is not comparable to the earnings per share information for the post-IPO period. Therefore, earnings per share information is being presented separately for the pre-IPO and post-IPO periods. See Note 15 – Earnings Per Share for additional information.</w:t>
      </w:r>
    </w:p>
    <w:p>
      <w:pPr>
        <w:ind w:left="1100" w:hanging="327"/>
        <w:spacing w:after="0" w:line="221" w:lineRule="auto"/>
        <w:tabs>
          <w:tab w:leader="none" w:pos="1100" w:val="left"/>
        </w:tabs>
        <w:numPr>
          <w:ilvl w:val="1"/>
          <w:numId w:val="6"/>
        </w:numPr>
        <w:rPr>
          <w:rFonts w:ascii="Arial" w:cs="Arial" w:eastAsia="Arial" w:hAnsi="Arial"/>
          <w:sz w:val="14"/>
          <w:szCs w:val="14"/>
          <w:color w:val="auto"/>
        </w:rPr>
      </w:pPr>
      <w:r>
        <w:rPr>
          <w:rFonts w:ascii="Arial" w:cs="Arial" w:eastAsia="Arial" w:hAnsi="Arial"/>
          <w:sz w:val="14"/>
          <w:szCs w:val="14"/>
          <w:color w:val="auto"/>
        </w:rPr>
        <w:t>Presents information for Tradeweb Markets Inc. (post-IPO period).</w:t>
      </w:r>
    </w:p>
    <w:p>
      <w:pPr>
        <w:ind w:left="1100" w:hanging="327"/>
        <w:spacing w:after="0"/>
        <w:tabs>
          <w:tab w:leader="none" w:pos="1100" w:val="left"/>
        </w:tabs>
        <w:numPr>
          <w:ilvl w:val="1"/>
          <w:numId w:val="6"/>
        </w:numPr>
        <w:rPr>
          <w:rFonts w:ascii="Arial" w:cs="Arial" w:eastAsia="Arial" w:hAnsi="Arial"/>
          <w:sz w:val="14"/>
          <w:szCs w:val="14"/>
          <w:color w:val="auto"/>
        </w:rPr>
      </w:pPr>
      <w:r>
        <w:rPr>
          <w:rFonts w:ascii="Arial" w:cs="Arial" w:eastAsia="Arial" w:hAnsi="Arial"/>
          <w:sz w:val="14"/>
          <w:szCs w:val="14"/>
          <w:color w:val="auto"/>
        </w:rPr>
        <w:t>Presents information for Tradeweb Markets LLC (pre-IPO period).</w:t>
      </w:r>
    </w:p>
    <w:p>
      <w:pPr>
        <w:spacing w:after="0" w:line="19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Consolidated Statements of Comprehensive Income</w:t>
      </w:r>
    </w:p>
    <w:p>
      <w:pPr>
        <w:jc w:val="center"/>
        <w:ind w:right="60"/>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Comprehensive income - Pre-IPO attributable to Tradeweb Markets LLC</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8"/>
              </w:rPr>
              <w:t>March 31, 2020</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147"/>
        </w:trPr>
        <w:tc>
          <w:tcPr>
            <w:tcW w:w="6080" w:type="dxa"/>
            <w:vAlign w:val="bottom"/>
            <w:tcBorders>
              <w:bottom w:val="single" w:sz="8" w:color="auto"/>
            </w:tcBorders>
            <w:gridSpan w:val="2"/>
            <w:vMerge w:val="continue"/>
          </w:tcPr>
          <w:p>
            <w:pPr>
              <w:spacing w:after="0"/>
              <w:rPr>
                <w:sz w:val="12"/>
                <w:szCs w:val="12"/>
                <w:color w:val="auto"/>
              </w:rPr>
            </w:pPr>
          </w:p>
        </w:tc>
        <w:tc>
          <w:tcPr>
            <w:tcW w:w="320" w:type="dxa"/>
            <w:vAlign w:val="bottom"/>
            <w:gridSpan w:val="2"/>
            <w:vMerge w:val="restart"/>
          </w:tcPr>
          <w:p>
            <w:pPr>
              <w:jc w:val="right"/>
              <w:ind w:right="23"/>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42,352</w:t>
            </w:r>
          </w:p>
        </w:tc>
        <w:tc>
          <w:tcPr>
            <w:tcW w:w="0" w:type="dxa"/>
            <w:vAlign w:val="bottom"/>
          </w:tcPr>
          <w:p>
            <w:pPr>
              <w:spacing w:after="0"/>
              <w:rPr>
                <w:sz w:val="1"/>
                <w:szCs w:val="1"/>
                <w:color w:val="auto"/>
              </w:rPr>
            </w:pPr>
          </w:p>
        </w:tc>
      </w:tr>
      <w:tr>
        <w:trPr>
          <w:trHeight w:val="142"/>
        </w:trPr>
        <w:tc>
          <w:tcPr>
            <w:tcW w:w="6080" w:type="dxa"/>
            <w:vAlign w:val="bottom"/>
            <w:gridSpan w:val="2"/>
          </w:tcPr>
          <w:p>
            <w:pPr>
              <w:spacing w:after="0" w:line="142" w:lineRule="exact"/>
              <w:rPr>
                <w:sz w:val="20"/>
                <w:szCs w:val="20"/>
                <w:color w:val="auto"/>
              </w:rPr>
            </w:pPr>
            <w:r>
              <w:rPr>
                <w:rFonts w:ascii="Arial" w:cs="Arial" w:eastAsia="Arial" w:hAnsi="Arial"/>
                <w:sz w:val="14"/>
                <w:szCs w:val="14"/>
                <w:color w:val="auto"/>
              </w:rPr>
              <w:t>Pre-IPO net income attributable to Tradeweb Markets LLC</w:t>
            </w:r>
          </w:p>
        </w:tc>
        <w:tc>
          <w:tcPr>
            <w:tcW w:w="32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Foreign currency translation adjustments attributable to Tradeweb Markets LLC</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Pre-IPO comprehensive income attributable to Tradeweb Markets LLC</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43,340</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Comprehensive income - Tradeweb Markets Inc.</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line="142" w:lineRule="exact"/>
              <w:rPr>
                <w:sz w:val="20"/>
                <w:szCs w:val="20"/>
                <w:color w:val="auto"/>
              </w:rPr>
            </w:pPr>
            <w:r>
              <w:rPr>
                <w:rFonts w:ascii="Arial" w:cs="Arial" w:eastAsia="Arial" w:hAnsi="Arial"/>
                <w:sz w:val="14"/>
                <w:szCs w:val="14"/>
                <w:color w:val="auto"/>
              </w:rPr>
              <w:t>Net income attributable to Tradeweb Markets Inc.</w:t>
            </w:r>
          </w:p>
        </w:tc>
        <w:tc>
          <w:tcPr>
            <w:tcW w:w="320" w:type="dxa"/>
            <w:vAlign w:val="bottom"/>
            <w:gridSpan w:val="2"/>
          </w:tcPr>
          <w:p>
            <w:pPr>
              <w:jc w:val="right"/>
              <w:ind w:right="23"/>
              <w:spacing w:after="0" w:line="142"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42" w:lineRule="exact"/>
              <w:rPr>
                <w:sz w:val="20"/>
                <w:szCs w:val="20"/>
                <w:color w:val="auto"/>
              </w:rPr>
            </w:pPr>
            <w:r>
              <w:rPr>
                <w:rFonts w:ascii="Arial" w:cs="Arial" w:eastAsia="Arial" w:hAnsi="Arial"/>
                <w:sz w:val="14"/>
                <w:szCs w:val="14"/>
                <w:color w:val="auto"/>
              </w:rPr>
              <w:t>43,928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Foreign currency translation adjustments attributable to Tradeweb Markets Inc.</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(3,552)</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Comprehensive income attributable to Tradeweb Markets Inc.</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40,376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Comprehensive income - Non-controlling interests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line="142" w:lineRule="exact"/>
              <w:rPr>
                <w:sz w:val="20"/>
                <w:szCs w:val="20"/>
                <w:color w:val="auto"/>
              </w:rPr>
            </w:pPr>
            <w:r>
              <w:rPr>
                <w:rFonts w:ascii="Arial" w:cs="Arial" w:eastAsia="Arial" w:hAnsi="Arial"/>
                <w:sz w:val="14"/>
                <w:szCs w:val="14"/>
                <w:color w:val="auto"/>
              </w:rPr>
              <w:t>Net income attributable to non-controlling interests</w:t>
            </w:r>
          </w:p>
        </w:tc>
        <w:tc>
          <w:tcPr>
            <w:tcW w:w="320" w:type="dxa"/>
            <w:vAlign w:val="bottom"/>
            <w:gridSpan w:val="2"/>
          </w:tcPr>
          <w:p>
            <w:pPr>
              <w:jc w:val="right"/>
              <w:ind w:right="23"/>
              <w:spacing w:after="0" w:line="142"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42" w:lineRule="exact"/>
              <w:rPr>
                <w:sz w:val="20"/>
                <w:szCs w:val="20"/>
                <w:color w:val="auto"/>
              </w:rPr>
            </w:pPr>
            <w:r>
              <w:rPr>
                <w:rFonts w:ascii="Arial" w:cs="Arial" w:eastAsia="Arial" w:hAnsi="Arial"/>
                <w:sz w:val="14"/>
                <w:szCs w:val="14"/>
                <w:color w:val="auto"/>
              </w:rPr>
              <w:t>18,557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Foreign currency translation adjustments attributable to non-controlling interests</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(1,232)</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Comprehensive income attributable to non-controlling interests</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17,325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125" w:right="139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Consolidated Statements of Changes in Equity</w:t>
      </w: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jc w:val="center"/>
              <w:spacing w:after="0"/>
              <w:rPr>
                <w:sz w:val="20"/>
                <w:szCs w:val="20"/>
                <w:color w:val="auto"/>
              </w:rPr>
            </w:pPr>
            <w:r>
              <w:rPr>
                <w:rFonts w:ascii="Arial" w:cs="Arial" w:eastAsia="Arial" w:hAnsi="Arial"/>
                <w:sz w:val="9"/>
                <w:szCs w:val="9"/>
                <w:b w:val="1"/>
                <w:bCs w:val="1"/>
                <w:color w:val="auto"/>
                <w:w w:val="88"/>
              </w:rPr>
              <w:t>Accumulated</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5"/>
              </w:rPr>
              <w:t>Additional</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jc w:val="center"/>
              <w:ind w:right="55"/>
              <w:spacing w:after="0" w:line="95" w:lineRule="exact"/>
              <w:rPr>
                <w:sz w:val="20"/>
                <w:szCs w:val="20"/>
                <w:color w:val="auto"/>
              </w:rPr>
            </w:pPr>
            <w:r>
              <w:rPr>
                <w:rFonts w:ascii="Arial" w:cs="Arial" w:eastAsia="Arial" w:hAnsi="Arial"/>
                <w:sz w:val="9"/>
                <w:szCs w:val="9"/>
                <w:b w:val="1"/>
                <w:bCs w:val="1"/>
                <w:color w:val="auto"/>
                <w:w w:val="91"/>
              </w:rPr>
              <w:t>Other</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87"/>
              </w:rPr>
              <w:t>Non-</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92"/>
              </w:rPr>
              <w:t>Total</w:t>
            </w:r>
          </w:p>
        </w:tc>
      </w:tr>
      <w:tr>
        <w:trPr>
          <w:trHeight w:val="94"/>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4"/>
          </w:tcPr>
          <w:p>
            <w:pPr>
              <w:jc w:val="right"/>
              <w:ind w:right="275"/>
              <w:spacing w:after="0" w:line="95" w:lineRule="exact"/>
              <w:rPr>
                <w:sz w:val="20"/>
                <w:szCs w:val="20"/>
                <w:color w:val="auto"/>
              </w:rPr>
            </w:pPr>
            <w:r>
              <w:rPr>
                <w:rFonts w:ascii="Arial" w:cs="Arial" w:eastAsia="Arial" w:hAnsi="Arial"/>
                <w:sz w:val="9"/>
                <w:szCs w:val="9"/>
                <w:b w:val="1"/>
                <w:bCs w:val="1"/>
                <w:color w:val="auto"/>
              </w:rPr>
              <w:t>Class A</w:t>
            </w:r>
          </w:p>
        </w:tc>
        <w:tc>
          <w:tcPr>
            <w:tcW w:w="100" w:type="dxa"/>
            <w:vAlign w:val="bottom"/>
          </w:tcPr>
          <w:p>
            <w:pPr>
              <w:spacing w:after="0"/>
              <w:rPr>
                <w:sz w:val="8"/>
                <w:szCs w:val="8"/>
                <w:color w:val="auto"/>
              </w:rPr>
            </w:pPr>
          </w:p>
        </w:tc>
        <w:tc>
          <w:tcPr>
            <w:tcW w:w="940" w:type="dxa"/>
            <w:vAlign w:val="bottom"/>
            <w:gridSpan w:val="4"/>
          </w:tcPr>
          <w:p>
            <w:pPr>
              <w:jc w:val="right"/>
              <w:ind w:right="295"/>
              <w:spacing w:after="0" w:line="95" w:lineRule="exact"/>
              <w:rPr>
                <w:sz w:val="20"/>
                <w:szCs w:val="20"/>
                <w:color w:val="auto"/>
              </w:rPr>
            </w:pPr>
            <w:r>
              <w:rPr>
                <w:rFonts w:ascii="Arial" w:cs="Arial" w:eastAsia="Arial" w:hAnsi="Arial"/>
                <w:sz w:val="9"/>
                <w:szCs w:val="9"/>
                <w:b w:val="1"/>
                <w:bCs w:val="1"/>
                <w:color w:val="auto"/>
              </w:rPr>
              <w:t>Class B</w:t>
            </w:r>
          </w:p>
        </w:tc>
        <w:tc>
          <w:tcPr>
            <w:tcW w:w="80" w:type="dxa"/>
            <w:vAlign w:val="bottom"/>
          </w:tcPr>
          <w:p>
            <w:pPr>
              <w:spacing w:after="0"/>
              <w:rPr>
                <w:sz w:val="8"/>
                <w:szCs w:val="8"/>
                <w:color w:val="auto"/>
              </w:rPr>
            </w:pPr>
          </w:p>
        </w:tc>
        <w:tc>
          <w:tcPr>
            <w:tcW w:w="900" w:type="dxa"/>
            <w:vAlign w:val="bottom"/>
            <w:gridSpan w:val="4"/>
          </w:tcPr>
          <w:p>
            <w:pPr>
              <w:jc w:val="center"/>
              <w:spacing w:after="0" w:line="95" w:lineRule="exact"/>
              <w:rPr>
                <w:sz w:val="20"/>
                <w:szCs w:val="20"/>
                <w:color w:val="auto"/>
              </w:rPr>
            </w:pPr>
            <w:r>
              <w:rPr>
                <w:rFonts w:ascii="Arial" w:cs="Arial" w:eastAsia="Arial" w:hAnsi="Arial"/>
                <w:sz w:val="9"/>
                <w:szCs w:val="9"/>
                <w:b w:val="1"/>
                <w:bCs w:val="1"/>
                <w:color w:val="auto"/>
                <w:w w:val="90"/>
              </w:rPr>
              <w:t>Class C</w:t>
            </w:r>
          </w:p>
        </w:tc>
        <w:tc>
          <w:tcPr>
            <w:tcW w:w="100" w:type="dxa"/>
            <w:vAlign w:val="bottom"/>
          </w:tcPr>
          <w:p>
            <w:pPr>
              <w:spacing w:after="0"/>
              <w:rPr>
                <w:sz w:val="8"/>
                <w:szCs w:val="8"/>
                <w:color w:val="auto"/>
              </w:rPr>
            </w:pPr>
          </w:p>
        </w:tc>
        <w:tc>
          <w:tcPr>
            <w:tcW w:w="920" w:type="dxa"/>
            <w:vAlign w:val="bottom"/>
            <w:gridSpan w:val="4"/>
          </w:tcPr>
          <w:p>
            <w:pPr>
              <w:jc w:val="right"/>
              <w:ind w:right="275"/>
              <w:spacing w:after="0" w:line="95" w:lineRule="exact"/>
              <w:rPr>
                <w:sz w:val="20"/>
                <w:szCs w:val="20"/>
                <w:color w:val="auto"/>
              </w:rPr>
            </w:pPr>
            <w:r>
              <w:rPr>
                <w:rFonts w:ascii="Arial" w:cs="Arial" w:eastAsia="Arial" w:hAnsi="Arial"/>
                <w:sz w:val="9"/>
                <w:szCs w:val="9"/>
                <w:b w:val="1"/>
                <w:bCs w:val="1"/>
                <w:color w:val="auto"/>
              </w:rPr>
              <w:t>Class D</w:t>
            </w:r>
          </w:p>
        </w:tc>
        <w:tc>
          <w:tcPr>
            <w:tcW w:w="100" w:type="dxa"/>
            <w:vAlign w:val="bottom"/>
          </w:tcPr>
          <w:p>
            <w:pPr>
              <w:spacing w:after="0"/>
              <w:rPr>
                <w:sz w:val="8"/>
                <w:szCs w:val="8"/>
                <w:color w:val="auto"/>
              </w:rPr>
            </w:pPr>
          </w:p>
        </w:tc>
        <w:tc>
          <w:tcPr>
            <w:tcW w:w="4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9"/>
              </w:rPr>
              <w:t>Paid-In</w:t>
            </w:r>
          </w:p>
        </w:tc>
        <w:tc>
          <w:tcPr>
            <w:tcW w:w="680" w:type="dxa"/>
            <w:vAlign w:val="bottom"/>
            <w:gridSpan w:val="3"/>
          </w:tcPr>
          <w:p>
            <w:pPr>
              <w:jc w:val="center"/>
              <w:ind w:left="35"/>
              <w:spacing w:after="0" w:line="95" w:lineRule="exact"/>
              <w:rPr>
                <w:sz w:val="20"/>
                <w:szCs w:val="20"/>
                <w:color w:val="auto"/>
              </w:rPr>
            </w:pPr>
            <w:r>
              <w:rPr>
                <w:rFonts w:ascii="Arial" w:cs="Arial" w:eastAsia="Arial" w:hAnsi="Arial"/>
                <w:sz w:val="9"/>
                <w:szCs w:val="9"/>
                <w:b w:val="1"/>
                <w:bCs w:val="1"/>
                <w:color w:val="auto"/>
                <w:w w:val="88"/>
              </w:rPr>
              <w:t>Comprehensive</w:t>
            </w:r>
          </w:p>
        </w:tc>
        <w:tc>
          <w:tcPr>
            <w:tcW w:w="100" w:type="dxa"/>
            <w:vAlign w:val="bottom"/>
          </w:tcPr>
          <w:p>
            <w:pPr>
              <w:spacing w:after="0"/>
              <w:rPr>
                <w:sz w:val="8"/>
                <w:szCs w:val="8"/>
                <w:color w:val="auto"/>
              </w:rPr>
            </w:pPr>
          </w:p>
        </w:tc>
        <w:tc>
          <w:tcPr>
            <w:tcW w:w="400" w:type="dxa"/>
            <w:vAlign w:val="bottom"/>
            <w:gridSpan w:val="2"/>
          </w:tcPr>
          <w:p>
            <w:pPr>
              <w:jc w:val="right"/>
              <w:spacing w:after="0" w:line="95" w:lineRule="exact"/>
              <w:rPr>
                <w:sz w:val="20"/>
                <w:szCs w:val="20"/>
                <w:color w:val="auto"/>
              </w:rPr>
            </w:pPr>
            <w:r>
              <w:rPr>
                <w:rFonts w:ascii="Arial" w:cs="Arial" w:eastAsia="Arial" w:hAnsi="Arial"/>
                <w:sz w:val="9"/>
                <w:szCs w:val="9"/>
                <w:b w:val="1"/>
                <w:bCs w:val="1"/>
                <w:color w:val="auto"/>
                <w:w w:val="89"/>
              </w:rPr>
              <w:t>Retained</w:t>
            </w:r>
          </w:p>
        </w:tc>
        <w:tc>
          <w:tcPr>
            <w:tcW w:w="100" w:type="dxa"/>
            <w:vAlign w:val="bottom"/>
          </w:tcPr>
          <w:p>
            <w:pPr>
              <w:spacing w:after="0"/>
              <w:rPr>
                <w:sz w:val="8"/>
                <w:szCs w:val="8"/>
                <w:color w:val="auto"/>
              </w:rPr>
            </w:pPr>
          </w:p>
        </w:tc>
        <w:tc>
          <w:tcPr>
            <w:tcW w:w="46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1"/>
              </w:rPr>
              <w:t>Controlling</w:t>
            </w:r>
          </w:p>
        </w:tc>
        <w:tc>
          <w:tcPr>
            <w:tcW w:w="620" w:type="dxa"/>
            <w:vAlign w:val="bottom"/>
            <w:gridSpan w:val="4"/>
          </w:tcPr>
          <w:p>
            <w:pPr>
              <w:jc w:val="center"/>
              <w:ind w:left="35"/>
              <w:spacing w:after="0" w:line="95" w:lineRule="exact"/>
              <w:rPr>
                <w:sz w:val="20"/>
                <w:szCs w:val="20"/>
                <w:color w:val="auto"/>
              </w:rPr>
            </w:pPr>
            <w:r>
              <w:rPr>
                <w:rFonts w:ascii="Arial" w:cs="Arial" w:eastAsia="Arial" w:hAnsi="Arial"/>
                <w:sz w:val="9"/>
                <w:szCs w:val="9"/>
                <w:b w:val="1"/>
                <w:bCs w:val="1"/>
                <w:color w:val="auto"/>
                <w:w w:val="91"/>
              </w:rPr>
              <w:t>Stockholders'</w:t>
            </w:r>
          </w:p>
        </w:tc>
      </w:tr>
      <w:tr>
        <w:trPr>
          <w:trHeight w:val="104"/>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4"/>
          </w:tcPr>
          <w:p>
            <w:pPr>
              <w:jc w:val="right"/>
              <w:ind w:right="115"/>
              <w:spacing w:after="0"/>
              <w:rPr>
                <w:sz w:val="20"/>
                <w:szCs w:val="20"/>
                <w:color w:val="auto"/>
              </w:rPr>
            </w:pPr>
            <w:r>
              <w:rPr>
                <w:rFonts w:ascii="Arial" w:cs="Arial" w:eastAsia="Arial" w:hAnsi="Arial"/>
                <w:sz w:val="9"/>
                <w:szCs w:val="9"/>
                <w:b w:val="1"/>
                <w:bCs w:val="1"/>
                <w:color w:val="auto"/>
              </w:rPr>
              <w:t>Common Stock</w:t>
            </w:r>
          </w:p>
        </w:tc>
        <w:tc>
          <w:tcPr>
            <w:tcW w:w="100" w:type="dxa"/>
            <w:vAlign w:val="bottom"/>
          </w:tcPr>
          <w:p>
            <w:pPr>
              <w:spacing w:after="0"/>
              <w:rPr>
                <w:sz w:val="9"/>
                <w:szCs w:val="9"/>
                <w:color w:val="auto"/>
              </w:rPr>
            </w:pPr>
          </w:p>
        </w:tc>
        <w:tc>
          <w:tcPr>
            <w:tcW w:w="940" w:type="dxa"/>
            <w:vAlign w:val="bottom"/>
            <w:gridSpan w:val="4"/>
          </w:tcPr>
          <w:p>
            <w:pPr>
              <w:jc w:val="right"/>
              <w:ind w:right="13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9"/>
                <w:szCs w:val="9"/>
                <w:color w:val="auto"/>
              </w:rPr>
            </w:pPr>
          </w:p>
        </w:tc>
        <w:tc>
          <w:tcPr>
            <w:tcW w:w="900" w:type="dxa"/>
            <w:vAlign w:val="bottom"/>
            <w:gridSpan w:val="4"/>
          </w:tcPr>
          <w:p>
            <w:pPr>
              <w:jc w:val="center"/>
              <w:spacing w:after="0"/>
              <w:rPr>
                <w:sz w:val="20"/>
                <w:szCs w:val="20"/>
                <w:color w:val="auto"/>
              </w:rPr>
            </w:pPr>
            <w:r>
              <w:rPr>
                <w:rFonts w:ascii="Arial" w:cs="Arial" w:eastAsia="Arial" w:hAnsi="Arial"/>
                <w:sz w:val="9"/>
                <w:szCs w:val="9"/>
                <w:b w:val="1"/>
                <w:bCs w:val="1"/>
                <w:color w:val="auto"/>
                <w:w w:val="87"/>
              </w:rPr>
              <w:t>Common Stock</w:t>
            </w:r>
          </w:p>
        </w:tc>
        <w:tc>
          <w:tcPr>
            <w:tcW w:w="100" w:type="dxa"/>
            <w:vAlign w:val="bottom"/>
          </w:tcPr>
          <w:p>
            <w:pPr>
              <w:spacing w:after="0"/>
              <w:rPr>
                <w:sz w:val="9"/>
                <w:szCs w:val="9"/>
                <w:color w:val="auto"/>
              </w:rPr>
            </w:pPr>
          </w:p>
        </w:tc>
        <w:tc>
          <w:tcPr>
            <w:tcW w:w="920" w:type="dxa"/>
            <w:vAlign w:val="bottom"/>
            <w:gridSpan w:val="4"/>
          </w:tcPr>
          <w:p>
            <w:pPr>
              <w:jc w:val="right"/>
              <w:ind w:right="135"/>
              <w:spacing w:after="0"/>
              <w:rPr>
                <w:sz w:val="20"/>
                <w:szCs w:val="20"/>
                <w:color w:val="auto"/>
              </w:rPr>
            </w:pPr>
            <w:r>
              <w:rPr>
                <w:rFonts w:ascii="Arial" w:cs="Arial" w:eastAsia="Arial" w:hAnsi="Arial"/>
                <w:sz w:val="9"/>
                <w:szCs w:val="9"/>
                <w:b w:val="1"/>
                <w:bCs w:val="1"/>
                <w:color w:val="auto"/>
              </w:rPr>
              <w:t>Common Stock</w:t>
            </w:r>
          </w:p>
        </w:tc>
        <w:tc>
          <w:tcPr>
            <w:tcW w:w="10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9"/>
                <w:szCs w:val="9"/>
                <w:b w:val="1"/>
                <w:bCs w:val="1"/>
                <w:color w:val="auto"/>
                <w:w w:val="93"/>
              </w:rPr>
              <w:t>Capital</w:t>
            </w:r>
          </w:p>
        </w:tc>
        <w:tc>
          <w:tcPr>
            <w:tcW w:w="100" w:type="dxa"/>
            <w:vAlign w:val="bottom"/>
          </w:tcPr>
          <w:p>
            <w:pPr>
              <w:spacing w:after="0"/>
              <w:rPr>
                <w:sz w:val="9"/>
                <w:szCs w:val="9"/>
                <w:color w:val="auto"/>
              </w:rPr>
            </w:pPr>
          </w:p>
        </w:tc>
        <w:tc>
          <w:tcPr>
            <w:tcW w:w="580" w:type="dxa"/>
            <w:vAlign w:val="bottom"/>
            <w:gridSpan w:val="2"/>
          </w:tcPr>
          <w:p>
            <w:pPr>
              <w:jc w:val="center"/>
              <w:spacing w:after="0"/>
              <w:rPr>
                <w:sz w:val="20"/>
                <w:szCs w:val="20"/>
                <w:color w:val="auto"/>
              </w:rPr>
            </w:pPr>
            <w:r>
              <w:rPr>
                <w:rFonts w:ascii="Arial" w:cs="Arial" w:eastAsia="Arial" w:hAnsi="Arial"/>
                <w:sz w:val="9"/>
                <w:szCs w:val="9"/>
                <w:b w:val="1"/>
                <w:bCs w:val="1"/>
                <w:color w:val="auto"/>
                <w:w w:val="88"/>
              </w:rPr>
              <w:t>Income (Loss)</w:t>
            </w:r>
          </w:p>
        </w:tc>
        <w:tc>
          <w:tcPr>
            <w:tcW w:w="100" w:type="dxa"/>
            <w:vAlign w:val="bottom"/>
          </w:tcPr>
          <w:p>
            <w:pPr>
              <w:spacing w:after="0"/>
              <w:rPr>
                <w:sz w:val="9"/>
                <w:szCs w:val="9"/>
                <w:color w:val="auto"/>
              </w:rPr>
            </w:pPr>
          </w:p>
        </w:tc>
        <w:tc>
          <w:tcPr>
            <w:tcW w:w="400" w:type="dxa"/>
            <w:vAlign w:val="bottom"/>
            <w:gridSpan w:val="2"/>
          </w:tcPr>
          <w:p>
            <w:pPr>
              <w:jc w:val="right"/>
              <w:spacing w:after="0"/>
              <w:rPr>
                <w:sz w:val="20"/>
                <w:szCs w:val="20"/>
                <w:color w:val="auto"/>
              </w:rPr>
            </w:pPr>
            <w:r>
              <w:rPr>
                <w:rFonts w:ascii="Arial" w:cs="Arial" w:eastAsia="Arial" w:hAnsi="Arial"/>
                <w:sz w:val="9"/>
                <w:szCs w:val="9"/>
                <w:b w:val="1"/>
                <w:bCs w:val="1"/>
                <w:color w:val="auto"/>
                <w:w w:val="93"/>
              </w:rPr>
              <w:t>Earnings</w:t>
            </w:r>
          </w:p>
        </w:tc>
        <w:tc>
          <w:tcPr>
            <w:tcW w:w="10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9"/>
                <w:szCs w:val="9"/>
                <w:b w:val="1"/>
                <w:bCs w:val="1"/>
                <w:color w:val="auto"/>
                <w:w w:val="90"/>
              </w:rPr>
              <w:t>Interests</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4"/>
              </w:rPr>
              <w:t>Equity</w:t>
            </w: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55"/>
              <w:spacing w:after="0" w:line="88" w:lineRule="exact"/>
              <w:rPr>
                <w:sz w:val="20"/>
                <w:szCs w:val="20"/>
                <w:color w:val="auto"/>
              </w:rPr>
            </w:pPr>
            <w:r>
              <w:rPr>
                <w:rFonts w:ascii="Arial" w:cs="Arial" w:eastAsia="Arial" w:hAnsi="Arial"/>
                <w:sz w:val="9"/>
                <w:szCs w:val="9"/>
                <w:b w:val="1"/>
                <w:bCs w:val="1"/>
                <w:color w:val="auto"/>
              </w:rPr>
              <w:t>Shares</w:t>
            </w:r>
          </w:p>
        </w:tc>
        <w:tc>
          <w:tcPr>
            <w:tcW w:w="8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CCEEFF"/>
            </w:tcBorders>
          </w:tcPr>
          <w:p>
            <w:pPr>
              <w:spacing w:after="0"/>
              <w:rPr>
                <w:sz w:val="7"/>
                <w:szCs w:val="7"/>
                <w:color w:val="auto"/>
              </w:rPr>
            </w:pPr>
          </w:p>
        </w:tc>
        <w:tc>
          <w:tcPr>
            <w:tcW w:w="3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88"/>
              </w:rPr>
              <w:t>Amount</w:t>
            </w:r>
          </w:p>
        </w:tc>
        <w:tc>
          <w:tcPr>
            <w:tcW w:w="100" w:type="dxa"/>
            <w:vAlign w:val="bottom"/>
            <w:tcBorders>
              <w:bottom w:val="single" w:sz="8" w:color="CCEEFF"/>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55"/>
              <w:spacing w:after="0" w:line="88" w:lineRule="exact"/>
              <w:rPr>
                <w:sz w:val="20"/>
                <w:szCs w:val="20"/>
                <w:color w:val="auto"/>
              </w:rPr>
            </w:pPr>
            <w:r>
              <w:rPr>
                <w:rFonts w:ascii="Arial" w:cs="Arial" w:eastAsia="Arial" w:hAnsi="Arial"/>
                <w:sz w:val="9"/>
                <w:szCs w:val="9"/>
                <w:b w:val="1"/>
                <w:bCs w:val="1"/>
                <w:color w:val="auto"/>
              </w:rPr>
              <w:t>Shares</w:t>
            </w:r>
          </w:p>
        </w:tc>
        <w:tc>
          <w:tcPr>
            <w:tcW w:w="8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CCEEFF"/>
            </w:tcBorders>
          </w:tcPr>
          <w:p>
            <w:pPr>
              <w:spacing w:after="0"/>
              <w:rPr>
                <w:sz w:val="7"/>
                <w:szCs w:val="7"/>
                <w:color w:val="auto"/>
              </w:rPr>
            </w:pPr>
          </w:p>
        </w:tc>
        <w:tc>
          <w:tcPr>
            <w:tcW w:w="3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93"/>
              </w:rPr>
              <w:t>Amount</w:t>
            </w:r>
          </w:p>
        </w:tc>
        <w:tc>
          <w:tcPr>
            <w:tcW w:w="80" w:type="dxa"/>
            <w:vAlign w:val="bottom"/>
            <w:tcBorders>
              <w:bottom w:val="single" w:sz="8" w:color="CCEEFF"/>
            </w:tcBorders>
          </w:tcPr>
          <w:p>
            <w:pPr>
              <w:spacing w:after="0"/>
              <w:rPr>
                <w:sz w:val="7"/>
                <w:szCs w:val="7"/>
                <w:color w:val="auto"/>
              </w:rPr>
            </w:pPr>
          </w:p>
        </w:tc>
        <w:tc>
          <w:tcPr>
            <w:tcW w:w="420" w:type="dxa"/>
            <w:vAlign w:val="bottom"/>
            <w:tcBorders>
              <w:top w:val="single" w:sz="8" w:color="auto"/>
              <w:bottom w:val="single" w:sz="8" w:color="auto"/>
            </w:tcBorders>
          </w:tcPr>
          <w:p>
            <w:pPr>
              <w:jc w:val="right"/>
              <w:ind w:right="35"/>
              <w:spacing w:after="0" w:line="88" w:lineRule="exact"/>
              <w:rPr>
                <w:sz w:val="20"/>
                <w:szCs w:val="20"/>
                <w:color w:val="auto"/>
              </w:rPr>
            </w:pPr>
            <w:r>
              <w:rPr>
                <w:rFonts w:ascii="Arial" w:cs="Arial" w:eastAsia="Arial" w:hAnsi="Arial"/>
                <w:sz w:val="9"/>
                <w:szCs w:val="9"/>
                <w:b w:val="1"/>
                <w:bCs w:val="1"/>
                <w:color w:val="auto"/>
              </w:rPr>
              <w:t>Shares</w:t>
            </w:r>
          </w:p>
        </w:tc>
        <w:tc>
          <w:tcPr>
            <w:tcW w:w="80" w:type="dxa"/>
            <w:vAlign w:val="bottom"/>
            <w:tcBorders>
              <w:top w:val="single" w:sz="8" w:color="auto"/>
              <w:bottom w:val="single" w:sz="8" w:color="CCEEFF"/>
            </w:tcBorders>
          </w:tcPr>
          <w:p>
            <w:pPr>
              <w:spacing w:after="0"/>
              <w:rPr>
                <w:sz w:val="7"/>
                <w:szCs w:val="7"/>
                <w:color w:val="auto"/>
              </w:rPr>
            </w:pPr>
          </w:p>
        </w:tc>
        <w:tc>
          <w:tcPr>
            <w:tcW w:w="40" w:type="dxa"/>
            <w:vAlign w:val="bottom"/>
            <w:tcBorders>
              <w:top w:val="single" w:sz="8" w:color="auto"/>
              <w:bottom w:val="single" w:sz="8" w:color="CCEEFF"/>
            </w:tcBorders>
          </w:tcPr>
          <w:p>
            <w:pPr>
              <w:spacing w:after="0"/>
              <w:rPr>
                <w:sz w:val="7"/>
                <w:szCs w:val="7"/>
                <w:color w:val="auto"/>
              </w:rPr>
            </w:pPr>
          </w:p>
        </w:tc>
        <w:tc>
          <w:tcPr>
            <w:tcW w:w="360" w:type="dxa"/>
            <w:vAlign w:val="bottom"/>
            <w:tcBorders>
              <w:top w:val="single" w:sz="8" w:color="auto"/>
              <w:bottom w:val="single" w:sz="8" w:color="auto"/>
            </w:tcBorders>
          </w:tcPr>
          <w:p>
            <w:pPr>
              <w:ind w:left="20"/>
              <w:spacing w:after="0" w:line="88" w:lineRule="exact"/>
              <w:rPr>
                <w:sz w:val="20"/>
                <w:szCs w:val="20"/>
                <w:color w:val="auto"/>
              </w:rPr>
            </w:pPr>
            <w:r>
              <w:rPr>
                <w:rFonts w:ascii="Arial" w:cs="Arial" w:eastAsia="Arial" w:hAnsi="Arial"/>
                <w:sz w:val="9"/>
                <w:szCs w:val="9"/>
                <w:b w:val="1"/>
                <w:bCs w:val="1"/>
                <w:color w:val="auto"/>
                <w:w w:val="93"/>
              </w:rPr>
              <w:t>Amount</w:t>
            </w:r>
          </w:p>
        </w:tc>
        <w:tc>
          <w:tcPr>
            <w:tcW w:w="100" w:type="dxa"/>
            <w:vAlign w:val="bottom"/>
            <w:tcBorders>
              <w:bottom w:val="single" w:sz="8" w:color="CCEEFF"/>
            </w:tcBorders>
          </w:tcPr>
          <w:p>
            <w:pPr>
              <w:spacing w:after="0"/>
              <w:rPr>
                <w:sz w:val="7"/>
                <w:szCs w:val="7"/>
                <w:color w:val="auto"/>
              </w:rPr>
            </w:pPr>
          </w:p>
        </w:tc>
        <w:tc>
          <w:tcPr>
            <w:tcW w:w="440" w:type="dxa"/>
            <w:vAlign w:val="bottom"/>
            <w:tcBorders>
              <w:top w:val="single" w:sz="8" w:color="auto"/>
              <w:bottom w:val="single" w:sz="8" w:color="auto"/>
            </w:tcBorders>
          </w:tcPr>
          <w:p>
            <w:pPr>
              <w:ind w:left="80"/>
              <w:spacing w:after="0" w:line="88" w:lineRule="exact"/>
              <w:rPr>
                <w:sz w:val="20"/>
                <w:szCs w:val="20"/>
                <w:color w:val="auto"/>
              </w:rPr>
            </w:pPr>
            <w:r>
              <w:rPr>
                <w:rFonts w:ascii="Arial" w:cs="Arial" w:eastAsia="Arial" w:hAnsi="Arial"/>
                <w:sz w:val="9"/>
                <w:szCs w:val="9"/>
                <w:b w:val="1"/>
                <w:bCs w:val="1"/>
                <w:color w:val="auto"/>
              </w:rPr>
              <w:t>Shares</w:t>
            </w:r>
          </w:p>
        </w:tc>
        <w:tc>
          <w:tcPr>
            <w:tcW w:w="8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CCEEFF"/>
            </w:tcBorders>
          </w:tcPr>
          <w:p>
            <w:pPr>
              <w:spacing w:after="0"/>
              <w:rPr>
                <w:sz w:val="7"/>
                <w:szCs w:val="7"/>
                <w:color w:val="auto"/>
              </w:rPr>
            </w:pPr>
          </w:p>
        </w:tc>
        <w:tc>
          <w:tcPr>
            <w:tcW w:w="3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88"/>
              </w:rPr>
              <w:t>Amount</w:t>
            </w:r>
          </w:p>
        </w:tc>
        <w:tc>
          <w:tcPr>
            <w:tcW w:w="100" w:type="dxa"/>
            <w:vAlign w:val="bottom"/>
            <w:tcBorders>
              <w:bottom w:val="single" w:sz="8" w:color="CCEEFF"/>
            </w:tcBorders>
          </w:tcPr>
          <w:p>
            <w:pPr>
              <w:spacing w:after="0"/>
              <w:rPr>
                <w:sz w:val="7"/>
                <w:szCs w:val="7"/>
                <w:color w:val="auto"/>
              </w:rPr>
            </w:pPr>
          </w:p>
        </w:tc>
        <w:tc>
          <w:tcPr>
            <w:tcW w:w="460" w:type="dxa"/>
            <w:vAlign w:val="bottom"/>
            <w:tcBorders>
              <w:top w:val="single" w:sz="8" w:color="auto"/>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CCEEFF"/>
            </w:tcBorders>
          </w:tcPr>
          <w:p>
            <w:pPr>
              <w:spacing w:after="0"/>
              <w:rPr>
                <w:sz w:val="7"/>
                <w:szCs w:val="7"/>
                <w:color w:val="auto"/>
              </w:rPr>
            </w:pPr>
          </w:p>
        </w:tc>
        <w:tc>
          <w:tcPr>
            <w:tcW w:w="480" w:type="dxa"/>
            <w:vAlign w:val="bottom"/>
            <w:tcBorders>
              <w:top w:val="single" w:sz="8" w:color="auto"/>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CCEEFF"/>
            </w:tcBorders>
          </w:tcPr>
          <w:p>
            <w:pPr>
              <w:spacing w:after="0"/>
              <w:rPr>
                <w:sz w:val="7"/>
                <w:szCs w:val="7"/>
                <w:color w:val="auto"/>
              </w:rPr>
            </w:pPr>
          </w:p>
        </w:tc>
        <w:tc>
          <w:tcPr>
            <w:tcW w:w="340" w:type="dxa"/>
            <w:vAlign w:val="bottom"/>
            <w:tcBorders>
              <w:top w:val="single" w:sz="8" w:color="auto"/>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60" w:type="dxa"/>
            <w:vAlign w:val="bottom"/>
            <w:tcBorders>
              <w:top w:val="single" w:sz="8" w:color="auto"/>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CCEEFF"/>
            </w:tcBorders>
          </w:tcPr>
          <w:p>
            <w:pPr>
              <w:spacing w:after="0"/>
              <w:rPr>
                <w:sz w:val="7"/>
                <w:szCs w:val="7"/>
                <w:color w:val="auto"/>
              </w:rPr>
            </w:pPr>
          </w:p>
        </w:tc>
        <w:tc>
          <w:tcPr>
            <w:tcW w:w="440" w:type="dxa"/>
            <w:vAlign w:val="bottom"/>
            <w:tcBorders>
              <w:top w:val="single" w:sz="8" w:color="auto"/>
              <w:bottom w:val="single" w:sz="8" w:color="CCEEFF"/>
            </w:tcBorders>
          </w:tcPr>
          <w:p>
            <w:pPr>
              <w:spacing w:after="0"/>
              <w:rPr>
                <w:sz w:val="7"/>
                <w:szCs w:val="7"/>
                <w:color w:val="auto"/>
              </w:rPr>
            </w:pPr>
          </w:p>
        </w:tc>
        <w:tc>
          <w:tcPr>
            <w:tcW w:w="20" w:type="dxa"/>
            <w:vAlign w:val="bottom"/>
          </w:tcPr>
          <w:p>
            <w:pPr>
              <w:spacing w:after="0"/>
              <w:rPr>
                <w:sz w:val="7"/>
                <w:szCs w:val="7"/>
                <w:color w:val="auto"/>
              </w:rPr>
            </w:pPr>
          </w:p>
        </w:tc>
      </w:tr>
      <w:tr>
        <w:trPr>
          <w:trHeight w:val="88"/>
        </w:trPr>
        <w:tc>
          <w:tcPr>
            <w:tcW w:w="20" w:type="dxa"/>
            <w:vAlign w:val="bottom"/>
          </w:tcPr>
          <w:p>
            <w:pPr>
              <w:spacing w:after="0"/>
              <w:rPr>
                <w:sz w:val="7"/>
                <w:szCs w:val="7"/>
                <w:color w:val="auto"/>
              </w:rPr>
            </w:pPr>
          </w:p>
        </w:tc>
        <w:tc>
          <w:tcPr>
            <w:tcW w:w="24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Balance at December 31, 2019</w:t>
            </w: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w w:val="84"/>
              </w:rPr>
              <w:t>66,408,328</w:t>
            </w:r>
          </w:p>
        </w:tc>
        <w:tc>
          <w:tcPr>
            <w:tcW w:w="14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rPr>
              <w:t>1</w:t>
            </w: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w w:val="84"/>
              </w:rPr>
              <w:t>96,933,192</w:t>
            </w:r>
          </w:p>
        </w:tc>
        <w:tc>
          <w:tcPr>
            <w:tcW w:w="14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ind w:right="15"/>
              <w:spacing w:after="0" w:line="88" w:lineRule="exact"/>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ind w:right="15"/>
              <w:spacing w:after="0" w:line="88" w:lineRule="exact"/>
              <w:rPr>
                <w:sz w:val="20"/>
                <w:szCs w:val="20"/>
                <w:color w:val="auto"/>
              </w:rPr>
            </w:pPr>
            <w:r>
              <w:rPr>
                <w:rFonts w:ascii="Arial" w:cs="Arial" w:eastAsia="Arial" w:hAnsi="Arial"/>
                <w:sz w:val="9"/>
                <w:szCs w:val="9"/>
                <w:color w:val="auto"/>
                <w:w w:val="84"/>
              </w:rPr>
              <w:t>8,328,983</w:t>
            </w:r>
          </w:p>
        </w:tc>
        <w:tc>
          <w:tcPr>
            <w:tcW w:w="12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ind w:left="220"/>
              <w:spacing w:after="0" w:line="8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w w:val="84"/>
              </w:rPr>
              <w:t>50,853,172</w:t>
            </w:r>
          </w:p>
        </w:tc>
        <w:tc>
          <w:tcPr>
            <w:tcW w:w="14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rPr>
              <w:t>1</w:t>
            </w:r>
          </w:p>
        </w:tc>
        <w:tc>
          <w:tcPr>
            <w:tcW w:w="56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$ 3,329,386</w:t>
            </w:r>
          </w:p>
        </w:tc>
        <w:tc>
          <w:tcPr>
            <w:tcW w:w="200" w:type="dxa"/>
            <w:vAlign w:val="bottom"/>
            <w:gridSpan w:val="2"/>
            <w:shd w:val="clear" w:color="auto" w:fill="CCEEFF"/>
          </w:tcPr>
          <w:p>
            <w:pPr>
              <w:jc w:val="right"/>
              <w:ind w:right="23"/>
              <w:spacing w:after="0" w:line="88"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rPr>
              <w:t>1,366</w:t>
            </w:r>
          </w:p>
        </w:tc>
        <w:tc>
          <w:tcPr>
            <w:tcW w:w="16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rPr>
              <w:t>47,833</w:t>
            </w:r>
          </w:p>
        </w:tc>
        <w:tc>
          <w:tcPr>
            <w:tcW w:w="56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$ 1,214,157</w:t>
            </w:r>
          </w:p>
        </w:tc>
        <w:tc>
          <w:tcPr>
            <w:tcW w:w="16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w w:val="94"/>
              </w:rPr>
              <w:t>4,592,745</w:t>
            </w:r>
          </w:p>
        </w:tc>
        <w:tc>
          <w:tcPr>
            <w:tcW w:w="20" w:type="dxa"/>
            <w:vAlign w:val="bottom"/>
          </w:tcPr>
          <w:p>
            <w:pPr>
              <w:spacing w:after="0"/>
              <w:rPr>
                <w:sz w:val="7"/>
                <w:szCs w:val="7"/>
                <w:color w:val="auto"/>
              </w:rPr>
            </w:pPr>
          </w:p>
        </w:tc>
      </w:tr>
      <w:tr>
        <w:trPr>
          <w:trHeight w:val="87"/>
        </w:trPr>
        <w:tc>
          <w:tcPr>
            <w:tcW w:w="20" w:type="dxa"/>
            <w:vAlign w:val="bottom"/>
          </w:tcPr>
          <w:p>
            <w:pPr>
              <w:spacing w:after="0"/>
              <w:rPr>
                <w:sz w:val="7"/>
                <w:szCs w:val="7"/>
                <w:color w:val="auto"/>
              </w:rPr>
            </w:pPr>
          </w:p>
        </w:tc>
        <w:tc>
          <w:tcPr>
            <w:tcW w:w="2460" w:type="dxa"/>
            <w:vAlign w:val="bottom"/>
          </w:tcPr>
          <w:p>
            <w:pPr>
              <w:spacing w:after="0" w:line="88" w:lineRule="exact"/>
              <w:rPr>
                <w:sz w:val="20"/>
                <w:szCs w:val="20"/>
                <w:color w:val="auto"/>
              </w:rPr>
            </w:pPr>
            <w:r>
              <w:rPr>
                <w:rFonts w:ascii="Arial" w:cs="Arial" w:eastAsia="Arial" w:hAnsi="Arial"/>
                <w:sz w:val="9"/>
                <w:szCs w:val="9"/>
                <w:color w:val="auto"/>
                <w:w w:val="98"/>
              </w:rPr>
              <w:t>Activities related to exchanges of LLC Interests, net of offering</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2480" w:type="dxa"/>
            <w:vAlign w:val="bottom"/>
            <w:gridSpan w:val="2"/>
          </w:tcPr>
          <w:p>
            <w:pPr>
              <w:spacing w:after="0" w:line="102" w:lineRule="exact"/>
              <w:rPr>
                <w:sz w:val="20"/>
                <w:szCs w:val="20"/>
                <w:color w:val="auto"/>
              </w:rPr>
            </w:pPr>
            <w:r>
              <w:rPr>
                <w:rFonts w:ascii="Arial" w:cs="Arial" w:eastAsia="Arial" w:hAnsi="Arial"/>
                <w:sz w:val="9"/>
                <w:szCs w:val="9"/>
                <w:color w:val="auto"/>
              </w:rPr>
              <w:t>costs and cancellations</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1,920,941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ind w:right="15"/>
              <w:spacing w:after="0" w:line="102"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spacing w:after="0" w:line="102" w:lineRule="exact"/>
              <w:rPr>
                <w:sz w:val="20"/>
                <w:szCs w:val="20"/>
                <w:color w:val="auto"/>
              </w:rPr>
            </w:pPr>
            <w:r>
              <w:rPr>
                <w:rFonts w:ascii="Arial" w:cs="Arial" w:eastAsia="Arial" w:hAnsi="Arial"/>
                <w:sz w:val="9"/>
                <w:szCs w:val="9"/>
                <w:color w:val="auto"/>
              </w:rPr>
              <w:t>(939,000)</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ind w:left="22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ind w:left="180"/>
              <w:spacing w:after="0" w:line="102" w:lineRule="exact"/>
              <w:rPr>
                <w:sz w:val="20"/>
                <w:szCs w:val="20"/>
                <w:color w:val="auto"/>
              </w:rPr>
            </w:pPr>
            <w:r>
              <w:rPr>
                <w:rFonts w:ascii="Arial" w:cs="Arial" w:eastAsia="Arial" w:hAnsi="Arial"/>
                <w:sz w:val="9"/>
                <w:szCs w:val="9"/>
                <w:color w:val="auto"/>
                <w:w w:val="88"/>
              </w:rPr>
              <w:t>(981,941)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102" w:lineRule="exact"/>
              <w:rPr>
                <w:sz w:val="20"/>
                <w:szCs w:val="20"/>
                <w:color w:val="auto"/>
              </w:rPr>
            </w:pPr>
            <w:r>
              <w:rPr>
                <w:rFonts w:ascii="Arial" w:cs="Arial" w:eastAsia="Arial" w:hAnsi="Arial"/>
                <w:sz w:val="9"/>
                <w:szCs w:val="9"/>
                <w:color w:val="auto"/>
              </w:rPr>
              <w:t>(1)</w:t>
            </w:r>
          </w:p>
        </w:tc>
        <w:tc>
          <w:tcPr>
            <w:tcW w:w="560" w:type="dxa"/>
            <w:vAlign w:val="bottom"/>
            <w:gridSpan w:val="2"/>
          </w:tcPr>
          <w:p>
            <w:pPr>
              <w:jc w:val="right"/>
              <w:spacing w:after="0" w:line="102" w:lineRule="exact"/>
              <w:rPr>
                <w:sz w:val="20"/>
                <w:szCs w:val="20"/>
                <w:color w:val="auto"/>
              </w:rPr>
            </w:pPr>
            <w:r>
              <w:rPr>
                <w:rFonts w:ascii="Arial" w:cs="Arial" w:eastAsia="Arial" w:hAnsi="Arial"/>
                <w:sz w:val="9"/>
                <w:szCs w:val="9"/>
                <w:color w:val="auto"/>
              </w:rPr>
              <w:t>(335)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(336)</w:t>
            </w:r>
          </w:p>
        </w:tc>
        <w:tc>
          <w:tcPr>
            <w:tcW w:w="20" w:type="dxa"/>
            <w:vAlign w:val="bottom"/>
          </w:tcPr>
          <w:p>
            <w:pPr>
              <w:spacing w:after="0"/>
              <w:rPr>
                <w:sz w:val="8"/>
                <w:szCs w:val="8"/>
                <w:color w:val="auto"/>
              </w:rPr>
            </w:pPr>
          </w:p>
        </w:tc>
      </w:tr>
      <w:tr>
        <w:trPr>
          <w:trHeight w:val="95"/>
        </w:trPr>
        <w:tc>
          <w:tcPr>
            <w:tcW w:w="248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color w:val="auto"/>
              </w:rPr>
              <w:t>Issuance of common stock from equity incentive plans</w:t>
            </w:r>
          </w:p>
        </w:tc>
        <w:tc>
          <w:tcPr>
            <w:tcW w:w="54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2,341,171</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ind w:right="15"/>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15"/>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ind w:left="220"/>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35,422</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35,422</w:t>
            </w:r>
          </w:p>
        </w:tc>
        <w:tc>
          <w:tcPr>
            <w:tcW w:w="20" w:type="dxa"/>
            <w:vAlign w:val="bottom"/>
          </w:tcPr>
          <w:p>
            <w:pPr>
              <w:spacing w:after="0"/>
              <w:rPr>
                <w:sz w:val="8"/>
                <w:szCs w:val="8"/>
                <w:color w:val="auto"/>
              </w:rPr>
            </w:pPr>
          </w:p>
        </w:tc>
      </w:tr>
      <w:tr>
        <w:trPr>
          <w:trHeight w:val="87"/>
        </w:trPr>
        <w:tc>
          <w:tcPr>
            <w:tcW w:w="2480" w:type="dxa"/>
            <w:vAlign w:val="bottom"/>
            <w:gridSpan w:val="2"/>
          </w:tcPr>
          <w:p>
            <w:pPr>
              <w:spacing w:after="0" w:line="88" w:lineRule="exact"/>
              <w:rPr>
                <w:sz w:val="20"/>
                <w:szCs w:val="20"/>
                <w:color w:val="auto"/>
              </w:rPr>
            </w:pPr>
            <w:r>
              <w:rPr>
                <w:rFonts w:ascii="Arial" w:cs="Arial" w:eastAsia="Arial" w:hAnsi="Arial"/>
                <w:sz w:val="9"/>
                <w:szCs w:val="9"/>
                <w:color w:val="auto"/>
                <w:w w:val="94"/>
              </w:rPr>
              <w:t>Tax receivable agreement liability and deferred taxes arising from</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2480" w:type="dxa"/>
            <w:vAlign w:val="bottom"/>
            <w:gridSpan w:val="2"/>
          </w:tcPr>
          <w:p>
            <w:pPr>
              <w:spacing w:after="0" w:line="102" w:lineRule="exact"/>
              <w:rPr>
                <w:sz w:val="20"/>
                <w:szCs w:val="20"/>
                <w:color w:val="auto"/>
              </w:rPr>
            </w:pPr>
            <w:r>
              <w:rPr>
                <w:rFonts w:ascii="Arial" w:cs="Arial" w:eastAsia="Arial" w:hAnsi="Arial"/>
                <w:sz w:val="9"/>
                <w:szCs w:val="9"/>
                <w:color w:val="auto"/>
              </w:rPr>
              <w:t>LLC Interest ownership exchanges</w:t>
            </w:r>
          </w:p>
        </w:tc>
        <w:tc>
          <w:tcPr>
            <w:tcW w:w="10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ind w:right="15"/>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20" w:type="dxa"/>
            <w:vAlign w:val="bottom"/>
          </w:tcPr>
          <w:p>
            <w:pPr>
              <w:jc w:val="right"/>
              <w:ind w:right="15"/>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ind w:left="220"/>
              <w:spacing w:after="0" w:line="10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spacing w:after="0" w:line="102" w:lineRule="exact"/>
              <w:rPr>
                <w:sz w:val="20"/>
                <w:szCs w:val="20"/>
                <w:color w:val="auto"/>
              </w:rPr>
            </w:pPr>
            <w:r>
              <w:rPr>
                <w:rFonts w:ascii="Arial" w:cs="Arial" w:eastAsia="Arial" w:hAnsi="Arial"/>
                <w:sz w:val="9"/>
                <w:szCs w:val="9"/>
                <w:color w:val="auto"/>
              </w:rPr>
              <w:t>32,736</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32,736</w:t>
            </w:r>
          </w:p>
        </w:tc>
        <w:tc>
          <w:tcPr>
            <w:tcW w:w="20" w:type="dxa"/>
            <w:vAlign w:val="bottom"/>
          </w:tcPr>
          <w:p>
            <w:pPr>
              <w:spacing w:after="0"/>
              <w:rPr>
                <w:sz w:val="8"/>
                <w:szCs w:val="8"/>
                <w:color w:val="auto"/>
              </w:rPr>
            </w:pPr>
          </w:p>
        </w:tc>
      </w:tr>
      <w:tr>
        <w:trPr>
          <w:trHeight w:val="94"/>
        </w:trPr>
        <w:tc>
          <w:tcPr>
            <w:tcW w:w="248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color w:val="auto"/>
              </w:rPr>
              <w:t>Adjustments to non-controlling interests</w:t>
            </w: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ind w:right="15"/>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15"/>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ind w:left="220"/>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45,436</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7</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(45,443)</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r>
      <w:tr>
        <w:trPr>
          <w:trHeight w:val="94"/>
        </w:trPr>
        <w:tc>
          <w:tcPr>
            <w:tcW w:w="2480" w:type="dxa"/>
            <w:vAlign w:val="bottom"/>
            <w:gridSpan w:val="2"/>
          </w:tcPr>
          <w:p>
            <w:pPr>
              <w:spacing w:after="0" w:line="95" w:lineRule="exact"/>
              <w:rPr>
                <w:sz w:val="20"/>
                <w:szCs w:val="20"/>
                <w:color w:val="auto"/>
              </w:rPr>
            </w:pPr>
            <w:r>
              <w:rPr>
                <w:rFonts w:ascii="Arial" w:cs="Arial" w:eastAsia="Arial" w:hAnsi="Arial"/>
                <w:sz w:val="9"/>
                <w:szCs w:val="9"/>
                <w:color w:val="auto"/>
              </w:rPr>
              <w:t>Dividends ($0.08 per share)</w:t>
            </w:r>
          </w:p>
        </w:tc>
        <w:tc>
          <w:tcPr>
            <w:tcW w:w="10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ind w:right="15"/>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20" w:type="dxa"/>
            <w:vAlign w:val="bottom"/>
          </w:tcPr>
          <w:p>
            <w:pPr>
              <w:jc w:val="right"/>
              <w:ind w:right="15"/>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ind w:left="220"/>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5" w:lineRule="exact"/>
              <w:rPr>
                <w:sz w:val="20"/>
                <w:szCs w:val="20"/>
                <w:color w:val="auto"/>
              </w:rPr>
            </w:pPr>
            <w:r>
              <w:rPr>
                <w:rFonts w:ascii="Arial" w:cs="Arial" w:eastAsia="Arial" w:hAnsi="Arial"/>
                <w:sz w:val="9"/>
                <w:szCs w:val="9"/>
                <w:color w:val="auto"/>
                <w:w w:val="95"/>
              </w:rPr>
              <w:t>(13,400)</w:t>
            </w:r>
          </w:p>
        </w:tc>
        <w:tc>
          <w:tcPr>
            <w:tcW w:w="100" w:type="dxa"/>
            <w:vAlign w:val="bottom"/>
          </w:tcPr>
          <w:p>
            <w:pPr>
              <w:spacing w:after="0"/>
              <w:rPr>
                <w:sz w:val="8"/>
                <w:szCs w:val="8"/>
                <w:color w:val="auto"/>
              </w:rPr>
            </w:pPr>
          </w:p>
        </w:tc>
        <w:tc>
          <w:tcPr>
            <w:tcW w:w="4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(13,400)</w:t>
            </w:r>
          </w:p>
        </w:tc>
        <w:tc>
          <w:tcPr>
            <w:tcW w:w="20" w:type="dxa"/>
            <w:vAlign w:val="bottom"/>
          </w:tcPr>
          <w:p>
            <w:pPr>
              <w:spacing w:after="0"/>
              <w:rPr>
                <w:sz w:val="8"/>
                <w:szCs w:val="8"/>
                <w:color w:val="auto"/>
              </w:rPr>
            </w:pPr>
          </w:p>
        </w:tc>
      </w:tr>
      <w:tr>
        <w:trPr>
          <w:trHeight w:val="95"/>
        </w:trPr>
        <w:tc>
          <w:tcPr>
            <w:tcW w:w="248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color w:val="auto"/>
              </w:rPr>
              <w:t>Stock-based compensation expense under the PRSU Plan</w:t>
            </w: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ind w:right="15"/>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15"/>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ind w:left="220"/>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5,407</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5,407</w:t>
            </w:r>
          </w:p>
        </w:tc>
        <w:tc>
          <w:tcPr>
            <w:tcW w:w="20" w:type="dxa"/>
            <w:vAlign w:val="bottom"/>
          </w:tcPr>
          <w:p>
            <w:pPr>
              <w:spacing w:after="0"/>
              <w:rPr>
                <w:sz w:val="8"/>
                <w:szCs w:val="8"/>
                <w:color w:val="auto"/>
              </w:rPr>
            </w:pPr>
          </w:p>
        </w:tc>
      </w:tr>
      <w:tr>
        <w:trPr>
          <w:trHeight w:val="94"/>
        </w:trPr>
        <w:tc>
          <w:tcPr>
            <w:tcW w:w="2480" w:type="dxa"/>
            <w:vAlign w:val="bottom"/>
            <w:gridSpan w:val="2"/>
          </w:tcPr>
          <w:p>
            <w:pPr>
              <w:spacing w:after="0" w:line="95" w:lineRule="exact"/>
              <w:rPr>
                <w:sz w:val="20"/>
                <w:szCs w:val="20"/>
                <w:color w:val="auto"/>
              </w:rPr>
            </w:pPr>
            <w:r>
              <w:rPr>
                <w:rFonts w:ascii="Arial" w:cs="Arial" w:eastAsia="Arial" w:hAnsi="Arial"/>
                <w:sz w:val="9"/>
                <w:szCs w:val="9"/>
                <w:color w:val="auto"/>
              </w:rPr>
              <w:t>Stock-based compensation expense under the RSU Plan</w:t>
            </w:r>
          </w:p>
        </w:tc>
        <w:tc>
          <w:tcPr>
            <w:tcW w:w="10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ind w:right="15"/>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20" w:type="dxa"/>
            <w:vAlign w:val="bottom"/>
          </w:tcPr>
          <w:p>
            <w:pPr>
              <w:jc w:val="right"/>
              <w:ind w:right="15"/>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ind w:left="220"/>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spacing w:after="0" w:line="95" w:lineRule="exact"/>
              <w:rPr>
                <w:sz w:val="20"/>
                <w:szCs w:val="20"/>
                <w:color w:val="auto"/>
              </w:rPr>
            </w:pPr>
            <w:r>
              <w:rPr>
                <w:rFonts w:ascii="Arial" w:cs="Arial" w:eastAsia="Arial" w:hAnsi="Arial"/>
                <w:sz w:val="9"/>
                <w:szCs w:val="9"/>
                <w:color w:val="auto"/>
              </w:rPr>
              <w:t>315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315</w:t>
            </w:r>
          </w:p>
        </w:tc>
        <w:tc>
          <w:tcPr>
            <w:tcW w:w="20" w:type="dxa"/>
            <w:vAlign w:val="bottom"/>
          </w:tcPr>
          <w:p>
            <w:pPr>
              <w:spacing w:after="0"/>
              <w:rPr>
                <w:sz w:val="8"/>
                <w:szCs w:val="8"/>
                <w:color w:val="auto"/>
              </w:rPr>
            </w:pPr>
          </w:p>
        </w:tc>
      </w:tr>
      <w:tr>
        <w:trPr>
          <w:trHeight w:val="94"/>
        </w:trPr>
        <w:tc>
          <w:tcPr>
            <w:tcW w:w="248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color w:val="auto"/>
              </w:rPr>
              <w:t>Stock-based compensation expense under the Option Plan</w:t>
            </w: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ind w:right="15"/>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15"/>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ind w:left="220"/>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2,249</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2,249</w:t>
            </w:r>
          </w:p>
        </w:tc>
        <w:tc>
          <w:tcPr>
            <w:tcW w:w="20" w:type="dxa"/>
            <w:vAlign w:val="bottom"/>
          </w:tcPr>
          <w:p>
            <w:pPr>
              <w:spacing w:after="0"/>
              <w:rPr>
                <w:sz w:val="8"/>
                <w:szCs w:val="8"/>
                <w:color w:val="auto"/>
              </w:rPr>
            </w:pPr>
          </w:p>
        </w:tc>
      </w:tr>
      <w:tr>
        <w:trPr>
          <w:trHeight w:val="95"/>
        </w:trPr>
        <w:tc>
          <w:tcPr>
            <w:tcW w:w="2480" w:type="dxa"/>
            <w:vAlign w:val="bottom"/>
            <w:gridSpan w:val="2"/>
          </w:tcPr>
          <w:p>
            <w:pPr>
              <w:spacing w:after="0" w:line="95" w:lineRule="exact"/>
              <w:rPr>
                <w:sz w:val="20"/>
                <w:szCs w:val="20"/>
                <w:color w:val="auto"/>
              </w:rPr>
            </w:pPr>
            <w:r>
              <w:rPr>
                <w:rFonts w:ascii="Arial" w:cs="Arial" w:eastAsia="Arial" w:hAnsi="Arial"/>
                <w:sz w:val="9"/>
                <w:szCs w:val="9"/>
                <w:color w:val="auto"/>
              </w:rPr>
              <w:t>Payroll taxes paid for stock-based compensation exercises</w:t>
            </w:r>
          </w:p>
        </w:tc>
        <w:tc>
          <w:tcPr>
            <w:tcW w:w="10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ind w:right="15"/>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20" w:type="dxa"/>
            <w:vAlign w:val="bottom"/>
          </w:tcPr>
          <w:p>
            <w:pPr>
              <w:jc w:val="right"/>
              <w:ind w:right="15"/>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ind w:left="220"/>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spacing w:after="0" w:line="95" w:lineRule="exact"/>
              <w:rPr>
                <w:sz w:val="20"/>
                <w:szCs w:val="20"/>
                <w:color w:val="auto"/>
              </w:rPr>
            </w:pPr>
            <w:r>
              <w:rPr>
                <w:rFonts w:ascii="Arial" w:cs="Arial" w:eastAsia="Arial" w:hAnsi="Arial"/>
                <w:sz w:val="9"/>
                <w:szCs w:val="9"/>
                <w:color w:val="auto"/>
              </w:rPr>
              <w:t>(23,991)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(23,991)</w:t>
            </w:r>
          </w:p>
        </w:tc>
        <w:tc>
          <w:tcPr>
            <w:tcW w:w="20" w:type="dxa"/>
            <w:vAlign w:val="bottom"/>
          </w:tcPr>
          <w:p>
            <w:pPr>
              <w:spacing w:after="0"/>
              <w:rPr>
                <w:sz w:val="8"/>
                <w:szCs w:val="8"/>
                <w:color w:val="auto"/>
              </w:rPr>
            </w:pPr>
          </w:p>
        </w:tc>
      </w:tr>
      <w:tr>
        <w:trPr>
          <w:trHeight w:val="94"/>
        </w:trPr>
        <w:tc>
          <w:tcPr>
            <w:tcW w:w="248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color w:val="auto"/>
              </w:rPr>
              <w:t>Net income</w:t>
            </w: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ind w:right="15"/>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15"/>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ind w:left="220"/>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43,928</w:t>
            </w:r>
          </w:p>
        </w:tc>
        <w:tc>
          <w:tcPr>
            <w:tcW w:w="56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18,557</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62,485</w:t>
            </w:r>
          </w:p>
        </w:tc>
        <w:tc>
          <w:tcPr>
            <w:tcW w:w="20" w:type="dxa"/>
            <w:vAlign w:val="bottom"/>
          </w:tcPr>
          <w:p>
            <w:pPr>
              <w:spacing w:after="0"/>
              <w:rPr>
                <w:sz w:val="8"/>
                <w:szCs w:val="8"/>
                <w:color w:val="auto"/>
              </w:rPr>
            </w:pPr>
          </w:p>
        </w:tc>
      </w:tr>
      <w:tr>
        <w:trPr>
          <w:trHeight w:val="95"/>
        </w:trPr>
        <w:tc>
          <w:tcPr>
            <w:tcW w:w="2480" w:type="dxa"/>
            <w:vAlign w:val="bottom"/>
            <w:gridSpan w:val="2"/>
          </w:tcPr>
          <w:p>
            <w:pPr>
              <w:spacing w:after="0" w:line="95" w:lineRule="exact"/>
              <w:rPr>
                <w:sz w:val="20"/>
                <w:szCs w:val="20"/>
                <w:color w:val="auto"/>
              </w:rPr>
            </w:pPr>
            <w:r>
              <w:rPr>
                <w:rFonts w:ascii="Arial" w:cs="Arial" w:eastAsia="Arial" w:hAnsi="Arial"/>
                <w:sz w:val="9"/>
                <w:szCs w:val="9"/>
                <w:color w:val="auto"/>
              </w:rPr>
              <w:t>Foreign currency translation adjustments</w:t>
            </w:r>
          </w:p>
        </w:tc>
        <w:tc>
          <w:tcPr>
            <w:tcW w:w="10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ind w:right="15"/>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20" w:type="dxa"/>
            <w:vAlign w:val="bottom"/>
          </w:tcPr>
          <w:p>
            <w:pPr>
              <w:jc w:val="right"/>
              <w:ind w:right="15"/>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ind w:left="220"/>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Arial" w:cs="Arial" w:eastAsia="Arial" w:hAnsi="Arial"/>
                <w:sz w:val="9"/>
                <w:szCs w:val="9"/>
                <w:color w:val="auto"/>
              </w:rPr>
              <w:t>(3,552)</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spacing w:after="0" w:line="95" w:lineRule="exact"/>
              <w:rPr>
                <w:sz w:val="20"/>
                <w:szCs w:val="20"/>
                <w:color w:val="auto"/>
              </w:rPr>
            </w:pPr>
            <w:r>
              <w:rPr>
                <w:rFonts w:ascii="Arial" w:cs="Arial" w:eastAsia="Arial" w:hAnsi="Arial"/>
                <w:sz w:val="9"/>
                <w:szCs w:val="9"/>
                <w:color w:val="auto"/>
              </w:rPr>
              <w:t>(1,232)</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(4,784)</w:t>
            </w:r>
          </w:p>
        </w:tc>
        <w:tc>
          <w:tcPr>
            <w:tcW w:w="20" w:type="dxa"/>
            <w:vAlign w:val="bottom"/>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2460" w:type="dxa"/>
            <w:vAlign w:val="bottom"/>
            <w:tcBorders>
              <w:top w:val="single" w:sz="8" w:color="CCEEFF"/>
              <w:bottom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Balance at March 31, 2020</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4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84"/>
              </w:rPr>
              <w:t>70,670,440</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3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4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84"/>
              </w:rPr>
              <w:t>96,933,192</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360" w:type="dxa"/>
            <w:vAlign w:val="bottom"/>
            <w:tcBorders>
              <w:top w:val="single" w:sz="8" w:color="auto"/>
              <w:bottom w:val="single" w:sz="8" w:color="auto"/>
            </w:tcBorders>
            <w:shd w:val="clear" w:color="auto" w:fill="CCEEFF"/>
          </w:tcPr>
          <w:p>
            <w:pPr>
              <w:jc w:val="right"/>
              <w:ind w:right="15"/>
              <w:spacing w:after="0" w:line="88" w:lineRule="exact"/>
              <w:rPr>
                <w:sz w:val="20"/>
                <w:szCs w:val="20"/>
                <w:color w:val="auto"/>
              </w:rPr>
            </w:pPr>
            <w:r>
              <w:rPr>
                <w:rFonts w:ascii="Arial" w:cs="Arial" w:eastAsia="Arial" w:hAnsi="Arial"/>
                <w:sz w:val="9"/>
                <w:szCs w:val="9"/>
                <w:color w:val="auto"/>
              </w:rPr>
              <w:t>1</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420" w:type="dxa"/>
            <w:vAlign w:val="bottom"/>
            <w:tcBorders>
              <w:top w:val="single" w:sz="8" w:color="auto"/>
              <w:bottom w:val="single" w:sz="8" w:color="auto"/>
            </w:tcBorders>
            <w:shd w:val="clear" w:color="auto" w:fill="CCEEFF"/>
          </w:tcPr>
          <w:p>
            <w:pPr>
              <w:jc w:val="right"/>
              <w:ind w:right="15"/>
              <w:spacing w:after="0" w:line="88" w:lineRule="exact"/>
              <w:rPr>
                <w:sz w:val="20"/>
                <w:szCs w:val="20"/>
                <w:color w:val="auto"/>
              </w:rPr>
            </w:pPr>
            <w:r>
              <w:rPr>
                <w:rFonts w:ascii="Arial" w:cs="Arial" w:eastAsia="Arial" w:hAnsi="Arial"/>
                <w:sz w:val="9"/>
                <w:szCs w:val="9"/>
                <w:color w:val="auto"/>
                <w:w w:val="84"/>
              </w:rPr>
              <w:t>7,389,983</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360" w:type="dxa"/>
            <w:vAlign w:val="bottom"/>
            <w:tcBorders>
              <w:top w:val="single" w:sz="8" w:color="auto"/>
              <w:bottom w:val="single" w:sz="8" w:color="auto"/>
            </w:tcBorders>
            <w:shd w:val="clear" w:color="auto" w:fill="CCEEFF"/>
          </w:tcPr>
          <w:p>
            <w:pPr>
              <w:ind w:left="220"/>
              <w:spacing w:after="0" w:line="88" w:lineRule="exact"/>
              <w:rPr>
                <w:sz w:val="20"/>
                <w:szCs w:val="20"/>
                <w:color w:val="auto"/>
              </w:rPr>
            </w:pPr>
            <w:r>
              <w:rPr>
                <w:rFonts w:ascii="Arial" w:cs="Arial" w:eastAsia="Arial" w:hAnsi="Arial"/>
                <w:sz w:val="9"/>
                <w:szCs w:val="9"/>
                <w:color w:val="auto"/>
              </w:rPr>
              <w:t>—</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4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84"/>
              </w:rPr>
              <w:t>49,871,231</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3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4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84"/>
              </w:rPr>
              <w:t>$ 3,426,625</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4"/>
                <w:szCs w:val="4"/>
                <w:color w:val="auto"/>
                <w:w w:val="87"/>
              </w:rPr>
              <w:t>$</w:t>
            </w:r>
          </w:p>
        </w:tc>
        <w:tc>
          <w:tcPr>
            <w:tcW w:w="4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(2,179)</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3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78,361</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4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84"/>
              </w:rPr>
              <w:t>$ 1,186,039</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4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94"/>
              </w:rPr>
              <w:t>4,688,848</w:t>
            </w:r>
          </w:p>
        </w:tc>
        <w:tc>
          <w:tcPr>
            <w:tcW w:w="20" w:type="dxa"/>
            <w:vAlign w:val="bottom"/>
          </w:tcPr>
          <w:p>
            <w:pPr>
              <w:spacing w:after="0"/>
              <w:rPr>
                <w:sz w:val="8"/>
                <w:szCs w:val="8"/>
                <w:color w:val="auto"/>
              </w:rPr>
            </w:pPr>
          </w:p>
        </w:tc>
      </w:tr>
    </w:tbl>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60007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00750" cy="26035"/>
                    </a:xfrm>
                    <a:prstGeom prst="rect">
                      <a:avLst/>
                    </a:prstGeom>
                    <a:noFill/>
                  </pic:spPr>
                </pic:pic>
              </a:graphicData>
            </a:graphic>
          </wp:anchor>
        </w:drawing>
      </w:r>
    </w:p>
    <w:p>
      <w:pPr>
        <w:sectPr>
          <w:pgSz w:w="11900" w:h="16838" w:orient="portrait"/>
          <w:cols w:equalWidth="0" w:num="1">
            <w:col w:w="9460"/>
          </w:cols>
          <w:pgMar w:left="1220" w:top="125" w:right="1219" w:bottom="1440" w:gutter="0" w:footer="0" w:header="0"/>
        </w:sectPr>
      </w:pPr>
    </w:p>
    <w:bookmarkStart w:id="10" w:name="page11"/>
    <w:bookmarkEnd w:id="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Changes in Equity – (Continued)</w:t>
      </w: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98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Members'</w:t>
            </w:r>
          </w:p>
        </w:tc>
        <w:tc>
          <w:tcPr>
            <w:tcW w:w="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9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5"/>
              </w:rPr>
              <w:t>Members'</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4"/>
                <w:szCs w:val="14"/>
                <w:color w:val="auto"/>
              </w:rPr>
            </w:pPr>
          </w:p>
        </w:tc>
        <w:tc>
          <w:tcPr>
            <w:tcW w:w="9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2"/>
        </w:trPr>
        <w:tc>
          <w:tcPr>
            <w:tcW w:w="5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Members' capital at December 31, 2018</w:t>
            </w: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4,573,200</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(866)</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4,572,334</w:t>
            </w:r>
          </w:p>
        </w:tc>
        <w:tc>
          <w:tcPr>
            <w:tcW w:w="0" w:type="dxa"/>
            <w:vAlign w:val="bottom"/>
          </w:tcPr>
          <w:p>
            <w:pPr>
              <w:spacing w:after="0"/>
              <w:rPr>
                <w:sz w:val="1"/>
                <w:szCs w:val="1"/>
                <w:color w:val="auto"/>
              </w:rPr>
            </w:pPr>
          </w:p>
        </w:tc>
      </w:tr>
      <w:tr>
        <w:trPr>
          <w:trHeight w:val="148"/>
        </w:trPr>
        <w:tc>
          <w:tcPr>
            <w:tcW w:w="504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42,352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42,352</w:t>
            </w:r>
          </w:p>
        </w:tc>
        <w:tc>
          <w:tcPr>
            <w:tcW w:w="0" w:type="dxa"/>
            <w:vAlign w:val="bottom"/>
          </w:tcPr>
          <w:p>
            <w:pPr>
              <w:spacing w:after="0"/>
              <w:rPr>
                <w:sz w:val="1"/>
                <w:szCs w:val="1"/>
                <w:color w:val="auto"/>
              </w:rPr>
            </w:pPr>
          </w:p>
        </w:tc>
      </w:tr>
      <w:tr>
        <w:trPr>
          <w:trHeight w:val="148"/>
        </w:trPr>
        <w:tc>
          <w:tcPr>
            <w:tcW w:w="5040" w:type="dxa"/>
            <w:vAlign w:val="bottom"/>
          </w:tcPr>
          <w:p>
            <w:pPr>
              <w:ind w:left="1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160" w:type="dxa"/>
            <w:vAlign w:val="bottom"/>
          </w:tcPr>
          <w:p>
            <w:pPr>
              <w:spacing w:after="0"/>
              <w:rPr>
                <w:sz w:val="12"/>
                <w:szCs w:val="12"/>
                <w:color w:val="auto"/>
              </w:rPr>
            </w:pPr>
          </w:p>
        </w:tc>
        <w:tc>
          <w:tcPr>
            <w:tcW w:w="12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988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 to Class C Shares and Class P(C) Shares in mezzanine capital</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(2,369)</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(2,369)</w:t>
            </w:r>
          </w:p>
        </w:tc>
        <w:tc>
          <w:tcPr>
            <w:tcW w:w="0" w:type="dxa"/>
            <w:vAlign w:val="bottom"/>
          </w:tcPr>
          <w:p>
            <w:pPr>
              <w:spacing w:after="0"/>
              <w:rPr>
                <w:sz w:val="1"/>
                <w:szCs w:val="1"/>
                <w:color w:val="auto"/>
              </w:rPr>
            </w:pPr>
          </w:p>
        </w:tc>
      </w:tr>
      <w:tr>
        <w:trPr>
          <w:trHeight w:val="148"/>
        </w:trPr>
        <w:tc>
          <w:tcPr>
            <w:tcW w:w="504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4,674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4,674</w:t>
            </w:r>
          </w:p>
        </w:tc>
        <w:tc>
          <w:tcPr>
            <w:tcW w:w="0" w:type="dxa"/>
            <w:vAlign w:val="bottom"/>
          </w:tcPr>
          <w:p>
            <w:pPr>
              <w:spacing w:after="0"/>
              <w:rPr>
                <w:sz w:val="1"/>
                <w:szCs w:val="1"/>
                <w:color w:val="auto"/>
              </w:rPr>
            </w:pPr>
          </w:p>
        </w:tc>
      </w:tr>
      <w:tr>
        <w:trPr>
          <w:trHeight w:val="149"/>
        </w:trPr>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distributions</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(20,000)</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49"/>
        </w:trPr>
        <w:tc>
          <w:tcPr>
            <w:tcW w:w="5040" w:type="dxa"/>
            <w:vAlign w:val="bottom"/>
          </w:tcPr>
          <w:p>
            <w:pPr>
              <w:spacing w:after="0" w:line="142" w:lineRule="exact"/>
              <w:rPr>
                <w:sz w:val="20"/>
                <w:szCs w:val="20"/>
                <w:color w:val="auto"/>
              </w:rPr>
            </w:pPr>
            <w:r>
              <w:rPr>
                <w:rFonts w:ascii="Arial" w:cs="Arial" w:eastAsia="Arial" w:hAnsi="Arial"/>
                <w:sz w:val="14"/>
                <w:szCs w:val="14"/>
                <w:color w:val="auto"/>
              </w:rPr>
              <w:t>Members' capital at March 31, 2019</w:t>
            </w: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4,597,857</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4,597,979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22"/>
          <w:szCs w:val="22"/>
          <w:b w:val="1"/>
          <w:bCs w:val="1"/>
          <w:color w:val="auto"/>
        </w:rPr>
        <w:t>Consolidated Statements of Cash Flows</w:t>
      </w: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Three Months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Three Months</w:t>
            </w:r>
          </w:p>
        </w:tc>
      </w:tr>
      <w:tr>
        <w:trPr>
          <w:trHeight w:val="148"/>
        </w:trPr>
        <w:tc>
          <w:tcPr>
            <w:tcW w:w="6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Ended</w:t>
            </w:r>
          </w:p>
        </w:tc>
      </w:tr>
      <w:tr>
        <w:trPr>
          <w:trHeight w:val="148"/>
        </w:trPr>
        <w:tc>
          <w:tcPr>
            <w:tcW w:w="6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140"/>
              <w:spacing w:after="0"/>
              <w:rPr>
                <w:sz w:val="20"/>
                <w:szCs w:val="20"/>
                <w:color w:val="auto"/>
              </w:rPr>
            </w:pPr>
            <w:r>
              <w:rPr>
                <w:rFonts w:ascii="Arial" w:cs="Arial" w:eastAsia="Arial" w:hAnsi="Arial"/>
                <w:sz w:val="13"/>
                <w:szCs w:val="13"/>
                <w:b w:val="1"/>
                <w:bCs w:val="1"/>
                <w:color w:val="auto"/>
              </w:rPr>
              <w:t>March 31,</w:t>
            </w:r>
          </w:p>
        </w:tc>
      </w:tr>
      <w:tr>
        <w:trPr>
          <w:trHeight w:val="161"/>
        </w:trPr>
        <w:tc>
          <w:tcPr>
            <w:tcW w:w="6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6"/>
              </w:rPr>
              <w:t>2020</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89"/>
              </w:rPr>
              <w:t>2019</w:t>
            </w:r>
          </w:p>
        </w:tc>
        <w:tc>
          <w:tcPr>
            <w:tcW w:w="20" w:type="dxa"/>
            <w:vAlign w:val="bottom"/>
          </w:tcPr>
          <w:p>
            <w:pPr>
              <w:spacing w:after="0"/>
              <w:rPr>
                <w:sz w:val="14"/>
                <w:szCs w:val="14"/>
                <w:color w:val="auto"/>
              </w:rPr>
            </w:pPr>
          </w:p>
        </w:tc>
      </w:tr>
      <w:tr>
        <w:trPr>
          <w:trHeight w:val="142"/>
        </w:trPr>
        <w:tc>
          <w:tcPr>
            <w:tcW w:w="666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660" w:type="dxa"/>
            <w:vAlign w:val="bottom"/>
          </w:tcPr>
          <w:p>
            <w:pPr>
              <w:spacing w:after="0"/>
              <w:rPr>
                <w:sz w:val="20"/>
                <w:szCs w:val="20"/>
                <w:color w:val="auto"/>
              </w:rPr>
            </w:pPr>
            <w:r>
              <w:rPr>
                <w:rFonts w:ascii="Arial" w:cs="Arial" w:eastAsia="Arial" w:hAnsi="Arial"/>
                <w:sz w:val="13"/>
                <w:szCs w:val="13"/>
                <w:color w:val="auto"/>
              </w:rPr>
              <w:t>Net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62,485</w:t>
            </w:r>
          </w:p>
        </w:tc>
        <w:tc>
          <w:tcPr>
            <w:tcW w:w="6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42,352</w:t>
            </w:r>
          </w:p>
        </w:tc>
        <w:tc>
          <w:tcPr>
            <w:tcW w:w="20" w:type="dxa"/>
            <w:vAlign w:val="bottom"/>
          </w:tcPr>
          <w:p>
            <w:pPr>
              <w:spacing w:after="0"/>
              <w:rPr>
                <w:sz w:val="12"/>
                <w:szCs w:val="12"/>
                <w:color w:val="auto"/>
              </w:rPr>
            </w:pPr>
          </w:p>
        </w:tc>
      </w:tr>
      <w:tr>
        <w:trPr>
          <w:trHeight w:val="148"/>
        </w:trPr>
        <w:tc>
          <w:tcPr>
            <w:tcW w:w="666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net income to net cash used in operating activities:</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66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37,176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33,503</w:t>
            </w:r>
          </w:p>
        </w:tc>
        <w:tc>
          <w:tcPr>
            <w:tcW w:w="20" w:type="dxa"/>
            <w:vAlign w:val="bottom"/>
          </w:tcPr>
          <w:p>
            <w:pPr>
              <w:spacing w:after="0"/>
              <w:rPr>
                <w:sz w:val="12"/>
                <w:szCs w:val="12"/>
                <w:color w:val="auto"/>
              </w:rPr>
            </w:pPr>
          </w:p>
        </w:tc>
      </w:tr>
      <w:tr>
        <w:trPr>
          <w:trHeight w:val="148"/>
        </w:trPr>
        <w:tc>
          <w:tcPr>
            <w:tcW w:w="6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expense</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7,971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4,674</w:t>
            </w:r>
          </w:p>
        </w:tc>
        <w:tc>
          <w:tcPr>
            <w:tcW w:w="20" w:type="dxa"/>
            <w:vAlign w:val="bottom"/>
          </w:tcPr>
          <w:p>
            <w:pPr>
              <w:spacing w:after="0"/>
              <w:rPr>
                <w:sz w:val="12"/>
                <w:szCs w:val="12"/>
                <w:color w:val="auto"/>
              </w:rPr>
            </w:pPr>
          </w:p>
        </w:tc>
      </w:tr>
      <w:tr>
        <w:trPr>
          <w:trHeight w:val="148"/>
        </w:trPr>
        <w:tc>
          <w:tcPr>
            <w:tcW w:w="6660" w:type="dxa"/>
            <w:vAlign w:val="bottom"/>
          </w:tcPr>
          <w:p>
            <w:pPr>
              <w:ind w:left="120"/>
              <w:spacing w:after="0"/>
              <w:rPr>
                <w:sz w:val="20"/>
                <w:szCs w:val="20"/>
                <w:color w:val="auto"/>
              </w:rPr>
            </w:pPr>
            <w:r>
              <w:rPr>
                <w:rFonts w:ascii="Arial" w:cs="Arial" w:eastAsia="Arial" w:hAnsi="Arial"/>
                <w:sz w:val="13"/>
                <w:szCs w:val="13"/>
                <w:color w:val="auto"/>
              </w:rPr>
              <w:t>Deferred taxes</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7,227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w:t>
            </w:r>
          </w:p>
        </w:tc>
        <w:tc>
          <w:tcPr>
            <w:tcW w:w="20" w:type="dxa"/>
            <w:vAlign w:val="bottom"/>
          </w:tcPr>
          <w:p>
            <w:pPr>
              <w:spacing w:after="0"/>
              <w:rPr>
                <w:sz w:val="12"/>
                <w:szCs w:val="12"/>
                <w:color w:val="auto"/>
              </w:rPr>
            </w:pPr>
          </w:p>
        </w:tc>
      </w:tr>
      <w:tr>
        <w:trPr>
          <w:trHeight w:val="149"/>
        </w:trPr>
        <w:tc>
          <w:tcPr>
            <w:tcW w:w="6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(Increase) decrease in operating assets:</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660" w:type="dxa"/>
            <w:vAlign w:val="bottom"/>
          </w:tcPr>
          <w:p>
            <w:pPr>
              <w:ind w:left="220"/>
              <w:spacing w:after="0"/>
              <w:rPr>
                <w:sz w:val="20"/>
                <w:szCs w:val="20"/>
                <w:color w:val="auto"/>
              </w:rPr>
            </w:pPr>
            <w:r>
              <w:rPr>
                <w:rFonts w:ascii="Arial" w:cs="Arial" w:eastAsia="Arial" w:hAnsi="Arial"/>
                <w:sz w:val="13"/>
                <w:szCs w:val="13"/>
                <w:color w:val="auto"/>
              </w:rPr>
              <w:t>Receivable from/payable to brokers and dealers and clearing organizations, net</w:t>
            </w:r>
          </w:p>
        </w:tc>
        <w:tc>
          <w:tcPr>
            <w:tcW w:w="10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(40,563)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(3,831)</w:t>
            </w:r>
          </w:p>
        </w:tc>
        <w:tc>
          <w:tcPr>
            <w:tcW w:w="20" w:type="dxa"/>
            <w:vAlign w:val="bottom"/>
          </w:tcPr>
          <w:p>
            <w:pPr>
              <w:spacing w:after="0"/>
              <w:rPr>
                <w:sz w:val="12"/>
                <w:szCs w:val="12"/>
                <w:color w:val="auto"/>
              </w:rPr>
            </w:pPr>
          </w:p>
        </w:tc>
      </w:tr>
      <w:tr>
        <w:trPr>
          <w:trHeight w:val="148"/>
        </w:trPr>
        <w:tc>
          <w:tcPr>
            <w:tcW w:w="66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Deposits with clearing organizations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(1,668)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2,570</w:t>
            </w:r>
          </w:p>
        </w:tc>
        <w:tc>
          <w:tcPr>
            <w:tcW w:w="20" w:type="dxa"/>
            <w:vAlign w:val="bottom"/>
          </w:tcPr>
          <w:p>
            <w:pPr>
              <w:spacing w:after="0"/>
              <w:rPr>
                <w:sz w:val="12"/>
                <w:szCs w:val="12"/>
                <w:color w:val="auto"/>
              </w:rPr>
            </w:pPr>
          </w:p>
        </w:tc>
      </w:tr>
      <w:tr>
        <w:trPr>
          <w:trHeight w:val="148"/>
        </w:trPr>
        <w:tc>
          <w:tcPr>
            <w:tcW w:w="6660" w:type="dxa"/>
            <w:vAlign w:val="bottom"/>
          </w:tcPr>
          <w:p>
            <w:pPr>
              <w:ind w:left="220"/>
              <w:spacing w:after="0"/>
              <w:rPr>
                <w:sz w:val="20"/>
                <w:szCs w:val="20"/>
                <w:color w:val="auto"/>
              </w:rPr>
            </w:pPr>
            <w:r>
              <w:rPr>
                <w:rFonts w:ascii="Arial" w:cs="Arial" w:eastAsia="Arial" w:hAnsi="Arial"/>
                <w:sz w:val="13"/>
                <w:szCs w:val="13"/>
                <w:color w:val="auto"/>
              </w:rPr>
              <w:t>Accounts receivable</w:t>
            </w:r>
          </w:p>
        </w:tc>
        <w:tc>
          <w:tcPr>
            <w:tcW w:w="10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(43,453)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(6,406)</w:t>
            </w:r>
          </w:p>
        </w:tc>
        <w:tc>
          <w:tcPr>
            <w:tcW w:w="20" w:type="dxa"/>
            <w:vAlign w:val="bottom"/>
          </w:tcPr>
          <w:p>
            <w:pPr>
              <w:spacing w:after="0"/>
              <w:rPr>
                <w:sz w:val="12"/>
                <w:szCs w:val="12"/>
                <w:color w:val="auto"/>
              </w:rPr>
            </w:pPr>
          </w:p>
        </w:tc>
      </w:tr>
      <w:tr>
        <w:trPr>
          <w:trHeight w:val="148"/>
        </w:trPr>
        <w:tc>
          <w:tcPr>
            <w:tcW w:w="66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Receivable from/payable to affiliates, net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1,167</w:t>
            </w:r>
          </w:p>
        </w:tc>
        <w:tc>
          <w:tcPr>
            <w:tcW w:w="20" w:type="dxa"/>
            <w:vAlign w:val="bottom"/>
          </w:tcPr>
          <w:p>
            <w:pPr>
              <w:spacing w:after="0"/>
              <w:rPr>
                <w:sz w:val="12"/>
                <w:szCs w:val="12"/>
                <w:color w:val="auto"/>
              </w:rPr>
            </w:pPr>
          </w:p>
        </w:tc>
      </w:tr>
      <w:tr>
        <w:trPr>
          <w:trHeight w:val="149"/>
        </w:trPr>
        <w:tc>
          <w:tcPr>
            <w:tcW w:w="6660" w:type="dxa"/>
            <w:vAlign w:val="bottom"/>
          </w:tcPr>
          <w:p>
            <w:pPr>
              <w:ind w:left="220"/>
              <w:spacing w:after="0"/>
              <w:rPr>
                <w:sz w:val="20"/>
                <w:szCs w:val="20"/>
                <w:color w:val="auto"/>
              </w:rPr>
            </w:pPr>
            <w:r>
              <w:rPr>
                <w:rFonts w:ascii="Arial" w:cs="Arial" w:eastAsia="Arial" w:hAnsi="Arial"/>
                <w:sz w:val="13"/>
                <w:szCs w:val="13"/>
                <w:color w:val="auto"/>
              </w:rPr>
              <w:t>Other assets</w:t>
            </w:r>
          </w:p>
        </w:tc>
        <w:tc>
          <w:tcPr>
            <w:tcW w:w="10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(9,837)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(7,152)</w:t>
            </w:r>
          </w:p>
        </w:tc>
        <w:tc>
          <w:tcPr>
            <w:tcW w:w="20" w:type="dxa"/>
            <w:vAlign w:val="bottom"/>
          </w:tcPr>
          <w:p>
            <w:pPr>
              <w:spacing w:after="0"/>
              <w:rPr>
                <w:sz w:val="12"/>
                <w:szCs w:val="12"/>
                <w:color w:val="auto"/>
              </w:rPr>
            </w:pPr>
          </w:p>
        </w:tc>
      </w:tr>
      <w:tr>
        <w:trPr>
          <w:trHeight w:val="148"/>
        </w:trPr>
        <w:tc>
          <w:tcPr>
            <w:tcW w:w="6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Increase (decrease) in operating liabilities:</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660" w:type="dxa"/>
            <w:vAlign w:val="bottom"/>
          </w:tcPr>
          <w:p>
            <w:pPr>
              <w:ind w:left="220"/>
              <w:spacing w:after="0"/>
              <w:rPr>
                <w:sz w:val="20"/>
                <w:szCs w:val="20"/>
                <w:color w:val="auto"/>
              </w:rPr>
            </w:pPr>
            <w:r>
              <w:rPr>
                <w:rFonts w:ascii="Arial" w:cs="Arial" w:eastAsia="Arial" w:hAnsi="Arial"/>
                <w:sz w:val="13"/>
                <w:szCs w:val="13"/>
                <w:color w:val="auto"/>
              </w:rPr>
              <w:t>Accrued compensation</w:t>
            </w:r>
          </w:p>
        </w:tc>
        <w:tc>
          <w:tcPr>
            <w:tcW w:w="10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(59,910)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(66,447)</w:t>
            </w:r>
          </w:p>
        </w:tc>
        <w:tc>
          <w:tcPr>
            <w:tcW w:w="20" w:type="dxa"/>
            <w:vAlign w:val="bottom"/>
          </w:tcPr>
          <w:p>
            <w:pPr>
              <w:spacing w:after="0"/>
              <w:rPr>
                <w:sz w:val="12"/>
                <w:szCs w:val="12"/>
                <w:color w:val="auto"/>
              </w:rPr>
            </w:pPr>
          </w:p>
        </w:tc>
      </w:tr>
      <w:tr>
        <w:trPr>
          <w:trHeight w:val="148"/>
        </w:trPr>
        <w:tc>
          <w:tcPr>
            <w:tcW w:w="66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Deferred revenue</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w:t>
            </w:r>
          </w:p>
        </w:tc>
        <w:tc>
          <w:tcPr>
            <w:tcW w:w="20" w:type="dxa"/>
            <w:vAlign w:val="bottom"/>
          </w:tcPr>
          <w:p>
            <w:pPr>
              <w:spacing w:after="0"/>
              <w:rPr>
                <w:sz w:val="12"/>
                <w:szCs w:val="12"/>
                <w:color w:val="auto"/>
              </w:rPr>
            </w:pPr>
          </w:p>
        </w:tc>
      </w:tr>
      <w:tr>
        <w:trPr>
          <w:trHeight w:val="148"/>
        </w:trPr>
        <w:tc>
          <w:tcPr>
            <w:tcW w:w="6660" w:type="dxa"/>
            <w:vAlign w:val="bottom"/>
          </w:tcPr>
          <w:p>
            <w:pPr>
              <w:ind w:left="220"/>
              <w:spacing w:after="0"/>
              <w:rPr>
                <w:sz w:val="20"/>
                <w:szCs w:val="20"/>
                <w:color w:val="auto"/>
              </w:rPr>
            </w:pPr>
            <w:r>
              <w:rPr>
                <w:rFonts w:ascii="Arial" w:cs="Arial" w:eastAsia="Arial" w:hAnsi="Arial"/>
                <w:sz w:val="13"/>
                <w:szCs w:val="13"/>
                <w:color w:val="auto"/>
              </w:rPr>
              <w:t>Accounts payable, accrued expenses and other liabilities</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14,067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(4,911)</w:t>
            </w:r>
          </w:p>
        </w:tc>
        <w:tc>
          <w:tcPr>
            <w:tcW w:w="20" w:type="dxa"/>
            <w:vAlign w:val="bottom"/>
          </w:tcPr>
          <w:p>
            <w:pPr>
              <w:spacing w:after="0"/>
              <w:rPr>
                <w:sz w:val="12"/>
                <w:szCs w:val="12"/>
                <w:color w:val="auto"/>
              </w:rPr>
            </w:pPr>
          </w:p>
        </w:tc>
      </w:tr>
      <w:tr>
        <w:trPr>
          <w:trHeight w:val="149"/>
        </w:trPr>
        <w:tc>
          <w:tcPr>
            <w:tcW w:w="66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Employee equity compensation payable</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(17,161)</w:t>
            </w:r>
          </w:p>
        </w:tc>
        <w:tc>
          <w:tcPr>
            <w:tcW w:w="20" w:type="dxa"/>
            <w:vAlign w:val="bottom"/>
          </w:tcPr>
          <w:p>
            <w:pPr>
              <w:spacing w:after="0"/>
              <w:rPr>
                <w:sz w:val="12"/>
                <w:szCs w:val="12"/>
                <w:color w:val="auto"/>
              </w:rPr>
            </w:pPr>
          </w:p>
        </w:tc>
      </w:tr>
      <w:tr>
        <w:trPr>
          <w:trHeight w:val="142"/>
        </w:trPr>
        <w:tc>
          <w:tcPr>
            <w:tcW w:w="6660" w:type="dxa"/>
            <w:vAlign w:val="bottom"/>
            <w:tcBorders>
              <w:bottom w:val="single" w:sz="8" w:color="CCEEFF"/>
            </w:tcBorders>
          </w:tcPr>
          <w:p>
            <w:pPr>
              <w:ind w:left="340"/>
              <w:spacing w:after="0" w:line="142" w:lineRule="exact"/>
              <w:rPr>
                <w:sz w:val="20"/>
                <w:szCs w:val="20"/>
                <w:color w:val="auto"/>
              </w:rPr>
            </w:pPr>
            <w:r>
              <w:rPr>
                <w:rFonts w:ascii="Arial" w:cs="Arial" w:eastAsia="Arial" w:hAnsi="Arial"/>
                <w:sz w:val="13"/>
                <w:szCs w:val="13"/>
                <w:color w:val="auto"/>
              </w:rPr>
              <w:t>Net cash used in operating activities</w:t>
            </w: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(21,758)</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(21,079)</w:t>
            </w:r>
          </w:p>
        </w:tc>
        <w:tc>
          <w:tcPr>
            <w:tcW w:w="20" w:type="dxa"/>
            <w:vAlign w:val="bottom"/>
          </w:tcPr>
          <w:p>
            <w:pPr>
              <w:spacing w:after="0"/>
              <w:rPr>
                <w:sz w:val="12"/>
                <w:szCs w:val="12"/>
                <w:color w:val="auto"/>
              </w:rPr>
            </w:pPr>
          </w:p>
        </w:tc>
      </w:tr>
      <w:tr>
        <w:trPr>
          <w:trHeight w:val="142"/>
        </w:trPr>
        <w:tc>
          <w:tcPr>
            <w:tcW w:w="666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investing activities</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660" w:type="dxa"/>
            <w:vAlign w:val="bottom"/>
          </w:tcPr>
          <w:p>
            <w:pPr>
              <w:ind w:left="120"/>
              <w:spacing w:after="0"/>
              <w:rPr>
                <w:sz w:val="20"/>
                <w:szCs w:val="20"/>
                <w:color w:val="auto"/>
              </w:rPr>
            </w:pPr>
            <w:r>
              <w:rPr>
                <w:rFonts w:ascii="Arial" w:cs="Arial" w:eastAsia="Arial" w:hAnsi="Arial"/>
                <w:sz w:val="13"/>
                <w:szCs w:val="13"/>
                <w:color w:val="auto"/>
              </w:rPr>
              <w:t>Purchase of furniture, equipment, software and leasehold improvements</w:t>
            </w:r>
          </w:p>
        </w:tc>
        <w:tc>
          <w:tcPr>
            <w:tcW w:w="10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(1,298)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(1,516)</w:t>
            </w:r>
          </w:p>
        </w:tc>
        <w:tc>
          <w:tcPr>
            <w:tcW w:w="20" w:type="dxa"/>
            <w:vAlign w:val="bottom"/>
          </w:tcPr>
          <w:p>
            <w:pPr>
              <w:spacing w:after="0"/>
              <w:rPr>
                <w:sz w:val="12"/>
                <w:szCs w:val="12"/>
                <w:color w:val="auto"/>
              </w:rPr>
            </w:pPr>
          </w:p>
        </w:tc>
      </w:tr>
      <w:tr>
        <w:trPr>
          <w:trHeight w:val="149"/>
        </w:trPr>
        <w:tc>
          <w:tcPr>
            <w:tcW w:w="6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Capitalized software development costs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(7,063)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(6,767)</w:t>
            </w:r>
          </w:p>
        </w:tc>
        <w:tc>
          <w:tcPr>
            <w:tcW w:w="20" w:type="dxa"/>
            <w:vAlign w:val="bottom"/>
          </w:tcPr>
          <w:p>
            <w:pPr>
              <w:spacing w:after="0"/>
              <w:rPr>
                <w:sz w:val="12"/>
                <w:szCs w:val="12"/>
                <w:color w:val="auto"/>
              </w:rPr>
            </w:pPr>
          </w:p>
        </w:tc>
      </w:tr>
      <w:tr>
        <w:trPr>
          <w:trHeight w:val="142"/>
        </w:trPr>
        <w:tc>
          <w:tcPr>
            <w:tcW w:w="6660" w:type="dxa"/>
            <w:vAlign w:val="bottom"/>
            <w:tcBorders>
              <w:bottom w:val="single" w:sz="8" w:color="CCEEFF"/>
            </w:tcBorders>
          </w:tcPr>
          <w:p>
            <w:pPr>
              <w:ind w:left="340"/>
              <w:spacing w:after="0" w:line="142" w:lineRule="exact"/>
              <w:rPr>
                <w:sz w:val="20"/>
                <w:szCs w:val="20"/>
                <w:color w:val="auto"/>
              </w:rPr>
            </w:pPr>
            <w:r>
              <w:rPr>
                <w:rFonts w:ascii="Arial" w:cs="Arial" w:eastAsia="Arial" w:hAnsi="Arial"/>
                <w:sz w:val="13"/>
                <w:szCs w:val="13"/>
                <w:color w:val="auto"/>
              </w:rPr>
              <w:t>Net cash used in investing activities</w:t>
            </w: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(8,361)</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(8,283)</w:t>
            </w:r>
          </w:p>
        </w:tc>
        <w:tc>
          <w:tcPr>
            <w:tcW w:w="20" w:type="dxa"/>
            <w:vAlign w:val="bottom"/>
          </w:tcPr>
          <w:p>
            <w:pPr>
              <w:spacing w:after="0"/>
              <w:rPr>
                <w:sz w:val="12"/>
                <w:szCs w:val="12"/>
                <w:color w:val="auto"/>
              </w:rPr>
            </w:pPr>
          </w:p>
        </w:tc>
      </w:tr>
      <w:tr>
        <w:trPr>
          <w:trHeight w:val="142"/>
        </w:trPr>
        <w:tc>
          <w:tcPr>
            <w:tcW w:w="666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financing activities</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660" w:type="dxa"/>
            <w:vAlign w:val="bottom"/>
          </w:tcPr>
          <w:p>
            <w:pPr>
              <w:ind w:left="120"/>
              <w:spacing w:after="0"/>
              <w:rPr>
                <w:sz w:val="20"/>
                <w:szCs w:val="20"/>
                <w:color w:val="auto"/>
              </w:rPr>
            </w:pPr>
            <w:r>
              <w:rPr>
                <w:rFonts w:ascii="Arial" w:cs="Arial" w:eastAsia="Arial" w:hAnsi="Arial"/>
                <w:sz w:val="13"/>
                <w:szCs w:val="13"/>
                <w:color w:val="auto"/>
              </w:rPr>
              <w:t>Proceeds from stock-based compensation exercises</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35,422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8"/>
        </w:trPr>
        <w:tc>
          <w:tcPr>
            <w:tcW w:w="6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Offering costs from follow-on offering</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(308)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8"/>
        </w:trPr>
        <w:tc>
          <w:tcPr>
            <w:tcW w:w="6660" w:type="dxa"/>
            <w:vAlign w:val="bottom"/>
          </w:tcPr>
          <w:p>
            <w:pPr>
              <w:ind w:left="120"/>
              <w:spacing w:after="0"/>
              <w:rPr>
                <w:sz w:val="20"/>
                <w:szCs w:val="20"/>
                <w:color w:val="auto"/>
              </w:rPr>
            </w:pPr>
            <w:r>
              <w:rPr>
                <w:rFonts w:ascii="Arial" w:cs="Arial" w:eastAsia="Arial" w:hAnsi="Arial"/>
                <w:sz w:val="13"/>
                <w:szCs w:val="13"/>
                <w:color w:val="auto"/>
              </w:rPr>
              <w:t>Dividends</w:t>
            </w:r>
          </w:p>
        </w:tc>
        <w:tc>
          <w:tcPr>
            <w:tcW w:w="10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(13,400)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8"/>
        </w:trPr>
        <w:tc>
          <w:tcPr>
            <w:tcW w:w="6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Capital distributions to non-controlling interests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20" w:type="dxa"/>
            <w:vAlign w:val="bottom"/>
          </w:tcPr>
          <w:p>
            <w:pPr>
              <w:spacing w:after="0"/>
              <w:rPr>
                <w:sz w:val="12"/>
                <w:szCs w:val="12"/>
                <w:color w:val="auto"/>
              </w:rPr>
            </w:pPr>
          </w:p>
        </w:tc>
      </w:tr>
      <w:tr>
        <w:trPr>
          <w:trHeight w:val="149"/>
        </w:trPr>
        <w:tc>
          <w:tcPr>
            <w:tcW w:w="6660" w:type="dxa"/>
            <w:vAlign w:val="bottom"/>
          </w:tcPr>
          <w:p>
            <w:pPr>
              <w:ind w:left="120"/>
              <w:spacing w:after="0"/>
              <w:rPr>
                <w:sz w:val="20"/>
                <w:szCs w:val="20"/>
                <w:color w:val="auto"/>
              </w:rPr>
            </w:pPr>
            <w:r>
              <w:rPr>
                <w:rFonts w:ascii="Arial" w:cs="Arial" w:eastAsia="Arial" w:hAnsi="Arial"/>
                <w:sz w:val="13"/>
                <w:szCs w:val="13"/>
                <w:color w:val="auto"/>
              </w:rPr>
              <w:t>Payroll taxes paid for stock-based compensation exercises</w:t>
            </w:r>
          </w:p>
        </w:tc>
        <w:tc>
          <w:tcPr>
            <w:tcW w:w="10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(23,991)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2"/>
        </w:trPr>
        <w:tc>
          <w:tcPr>
            <w:tcW w:w="6660" w:type="dxa"/>
            <w:vAlign w:val="bottom"/>
            <w:tcBorders>
              <w:top w:val="single" w:sz="8" w:color="CCEEFF"/>
            </w:tcBorders>
            <w:shd w:val="clear" w:color="auto" w:fill="CCEEFF"/>
          </w:tcPr>
          <w:p>
            <w:pPr>
              <w:ind w:left="340"/>
              <w:spacing w:after="0" w:line="142" w:lineRule="exact"/>
              <w:rPr>
                <w:sz w:val="20"/>
                <w:szCs w:val="20"/>
                <w:color w:val="auto"/>
              </w:rPr>
            </w:pPr>
            <w:r>
              <w:rPr>
                <w:rFonts w:ascii="Arial" w:cs="Arial" w:eastAsia="Arial" w:hAnsi="Arial"/>
                <w:sz w:val="13"/>
                <w:szCs w:val="13"/>
                <w:color w:val="auto"/>
              </w:rPr>
              <w:t>Net cash used in financing activities</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(2,277)</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(20,000)</w:t>
            </w:r>
          </w:p>
        </w:tc>
        <w:tc>
          <w:tcPr>
            <w:tcW w:w="20" w:type="dxa"/>
            <w:vAlign w:val="bottom"/>
          </w:tcPr>
          <w:p>
            <w:pPr>
              <w:spacing w:after="0"/>
              <w:rPr>
                <w:sz w:val="12"/>
                <w:szCs w:val="12"/>
                <w:color w:val="auto"/>
              </w:rPr>
            </w:pPr>
          </w:p>
        </w:tc>
      </w:tr>
      <w:tr>
        <w:trPr>
          <w:trHeight w:val="142"/>
        </w:trPr>
        <w:tc>
          <w:tcPr>
            <w:tcW w:w="6660" w:type="dxa"/>
            <w:vAlign w:val="bottom"/>
            <w:tcBorders>
              <w:bottom w:val="single" w:sz="8" w:color="CCEEFF"/>
            </w:tcBorders>
          </w:tcPr>
          <w:p>
            <w:pPr>
              <w:spacing w:after="0" w:line="142" w:lineRule="exact"/>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(3,958)</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866</w:t>
            </w:r>
          </w:p>
        </w:tc>
        <w:tc>
          <w:tcPr>
            <w:tcW w:w="20" w:type="dxa"/>
            <w:vAlign w:val="bottom"/>
          </w:tcPr>
          <w:p>
            <w:pPr>
              <w:spacing w:after="0"/>
              <w:rPr>
                <w:sz w:val="12"/>
                <w:szCs w:val="12"/>
                <w:color w:val="auto"/>
              </w:rPr>
            </w:pPr>
          </w:p>
        </w:tc>
      </w:tr>
      <w:tr>
        <w:trPr>
          <w:trHeight w:val="142"/>
        </w:trPr>
        <w:tc>
          <w:tcPr>
            <w:tcW w:w="6660" w:type="dxa"/>
            <w:vAlign w:val="bottom"/>
            <w:shd w:val="clear" w:color="auto" w:fill="CCEEFF"/>
          </w:tcPr>
          <w:p>
            <w:pPr>
              <w:ind w:left="340"/>
              <w:spacing w:after="0" w:line="142" w:lineRule="exact"/>
              <w:rPr>
                <w:sz w:val="20"/>
                <w:szCs w:val="20"/>
                <w:color w:val="auto"/>
              </w:rPr>
            </w:pPr>
            <w:r>
              <w:rPr>
                <w:rFonts w:ascii="Arial" w:cs="Arial" w:eastAsia="Arial" w:hAnsi="Arial"/>
                <w:sz w:val="13"/>
                <w:szCs w:val="13"/>
                <w:color w:val="auto"/>
              </w:rPr>
              <w:t>Net decrease in cash and cash equivalents</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(36,354)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(48,496)</w:t>
            </w:r>
          </w:p>
        </w:tc>
        <w:tc>
          <w:tcPr>
            <w:tcW w:w="20" w:type="dxa"/>
            <w:vAlign w:val="bottom"/>
          </w:tcPr>
          <w:p>
            <w:pPr>
              <w:spacing w:after="0"/>
              <w:rPr>
                <w:sz w:val="12"/>
                <w:szCs w:val="12"/>
                <w:color w:val="auto"/>
              </w:rPr>
            </w:pPr>
          </w:p>
        </w:tc>
      </w:tr>
      <w:tr>
        <w:trPr>
          <w:trHeight w:val="148"/>
        </w:trPr>
        <w:tc>
          <w:tcPr>
            <w:tcW w:w="6660" w:type="dxa"/>
            <w:vAlign w:val="bottom"/>
          </w:tcPr>
          <w:p>
            <w:pPr>
              <w:spacing w:after="0"/>
              <w:rPr>
                <w:sz w:val="20"/>
                <w:szCs w:val="20"/>
                <w:color w:val="auto"/>
              </w:rPr>
            </w:pPr>
            <w:r>
              <w:rPr>
                <w:rFonts w:ascii="Arial" w:cs="Arial" w:eastAsia="Arial" w:hAnsi="Arial"/>
                <w:sz w:val="13"/>
                <w:szCs w:val="13"/>
                <w:b w:val="1"/>
                <w:bCs w:val="1"/>
                <w:color w:val="auto"/>
              </w:rPr>
              <w:t>Cash and cash equivalents and restricted cash</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660" w:type="dxa"/>
            <w:vAlign w:val="bottom"/>
            <w:shd w:val="clear" w:color="auto" w:fill="CCEEFF"/>
          </w:tcPr>
          <w:p>
            <w:pPr>
              <w:spacing w:after="0"/>
              <w:rPr>
                <w:sz w:val="20"/>
                <w:szCs w:val="20"/>
                <w:color w:val="auto"/>
              </w:rPr>
            </w:pPr>
            <w:r>
              <w:rPr>
                <w:rFonts w:ascii="Arial" w:cs="Arial" w:eastAsia="Arial" w:hAnsi="Arial"/>
                <w:sz w:val="13"/>
                <w:szCs w:val="13"/>
                <w:color w:val="auto"/>
              </w:rPr>
              <w:t>Beginning of period</w:t>
            </w:r>
          </w:p>
        </w:tc>
        <w:tc>
          <w:tcPr>
            <w:tcW w:w="1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461,711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411,304</w:t>
            </w:r>
          </w:p>
        </w:tc>
        <w:tc>
          <w:tcPr>
            <w:tcW w:w="20" w:type="dxa"/>
            <w:vAlign w:val="bottom"/>
          </w:tcPr>
          <w:p>
            <w:pPr>
              <w:spacing w:after="0"/>
              <w:rPr>
                <w:sz w:val="12"/>
                <w:szCs w:val="12"/>
                <w:color w:val="auto"/>
              </w:rPr>
            </w:pPr>
          </w:p>
        </w:tc>
      </w:tr>
      <w:tr>
        <w:trPr>
          <w:trHeight w:val="149"/>
        </w:trPr>
        <w:tc>
          <w:tcPr>
            <w:tcW w:w="6660" w:type="dxa"/>
            <w:vAlign w:val="bottom"/>
            <w:tcBorders>
              <w:bottom w:val="single" w:sz="8" w:color="CCEEFF"/>
            </w:tcBorders>
          </w:tcPr>
          <w:p>
            <w:pPr>
              <w:spacing w:after="0" w:line="142" w:lineRule="exact"/>
              <w:rPr>
                <w:sz w:val="20"/>
                <w:szCs w:val="20"/>
                <w:color w:val="auto"/>
              </w:rPr>
            </w:pPr>
            <w:r>
              <w:rPr>
                <w:rFonts w:ascii="Arial" w:cs="Arial" w:eastAsia="Arial" w:hAnsi="Arial"/>
                <w:sz w:val="13"/>
                <w:szCs w:val="13"/>
                <w:color w:val="auto"/>
              </w:rPr>
              <w:t>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425,357</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362,808</w:t>
            </w:r>
          </w:p>
        </w:tc>
        <w:tc>
          <w:tcPr>
            <w:tcW w:w="20" w:type="dxa"/>
            <w:vAlign w:val="bottom"/>
          </w:tcPr>
          <w:p>
            <w:pPr>
              <w:spacing w:after="0"/>
              <w:rPr>
                <w:sz w:val="12"/>
                <w:szCs w:val="12"/>
                <w:color w:val="auto"/>
              </w:rPr>
            </w:pPr>
          </w:p>
        </w:tc>
      </w:tr>
      <w:tr>
        <w:trPr>
          <w:trHeight w:val="149"/>
        </w:trPr>
        <w:tc>
          <w:tcPr>
            <w:tcW w:w="6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660" w:type="dxa"/>
            <w:vAlign w:val="bottom"/>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660" w:type="dxa"/>
            <w:vAlign w:val="bottom"/>
            <w:shd w:val="clear" w:color="auto" w:fill="CCEEFF"/>
          </w:tcPr>
          <w:p>
            <w:pPr>
              <w:spacing w:after="0"/>
              <w:rPr>
                <w:sz w:val="20"/>
                <w:szCs w:val="20"/>
                <w:color w:val="auto"/>
              </w:rPr>
            </w:pPr>
            <w:r>
              <w:rPr>
                <w:rFonts w:ascii="Arial" w:cs="Arial" w:eastAsia="Arial" w:hAnsi="Arial"/>
                <w:sz w:val="13"/>
                <w:szCs w:val="13"/>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9"/>
        </w:trPr>
        <w:tc>
          <w:tcPr>
            <w:tcW w:w="6660" w:type="dxa"/>
            <w:vAlign w:val="bottom"/>
          </w:tcPr>
          <w:p>
            <w:pPr>
              <w:spacing w:after="0"/>
              <w:rPr>
                <w:sz w:val="20"/>
                <w:szCs w:val="20"/>
                <w:color w:val="auto"/>
              </w:rPr>
            </w:pPr>
            <w:r>
              <w:rPr>
                <w:rFonts w:ascii="Arial" w:cs="Arial" w:eastAsia="Arial" w:hAnsi="Arial"/>
                <w:sz w:val="13"/>
                <w:szCs w:val="13"/>
                <w:color w:val="auto"/>
              </w:rPr>
              <w:t>Income taxes paid</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2,867</w:t>
            </w:r>
          </w:p>
        </w:tc>
        <w:tc>
          <w:tcPr>
            <w:tcW w:w="6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7,301</w:t>
            </w:r>
          </w:p>
        </w:tc>
        <w:tc>
          <w:tcPr>
            <w:tcW w:w="20" w:type="dxa"/>
            <w:vAlign w:val="bottom"/>
          </w:tcPr>
          <w:p>
            <w:pPr>
              <w:spacing w:after="0"/>
              <w:rPr>
                <w:sz w:val="12"/>
                <w:szCs w:val="12"/>
                <w:color w:val="auto"/>
              </w:rPr>
            </w:pPr>
          </w:p>
        </w:tc>
      </w:tr>
      <w:tr>
        <w:trPr>
          <w:trHeight w:val="148"/>
        </w:trPr>
        <w:tc>
          <w:tcPr>
            <w:tcW w:w="6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660" w:type="dxa"/>
            <w:vAlign w:val="bottom"/>
          </w:tcPr>
          <w:p>
            <w:pPr>
              <w:spacing w:after="0"/>
              <w:rPr>
                <w:sz w:val="20"/>
                <w:szCs w:val="20"/>
                <w:color w:val="auto"/>
              </w:rPr>
            </w:pPr>
            <w:r>
              <w:rPr>
                <w:rFonts w:ascii="Arial" w:cs="Arial" w:eastAsia="Arial" w:hAnsi="Arial"/>
                <w:sz w:val="13"/>
                <w:szCs w:val="13"/>
                <w:b w:val="1"/>
                <w:bCs w:val="1"/>
                <w:color w:val="auto"/>
              </w:rPr>
              <w:t>Non-cash financing activities</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660" w:type="dxa"/>
            <w:vAlign w:val="bottom"/>
            <w:shd w:val="clear" w:color="auto" w:fill="CCEEFF"/>
          </w:tcPr>
          <w:p>
            <w:pPr>
              <w:spacing w:after="0"/>
              <w:rPr>
                <w:sz w:val="20"/>
                <w:szCs w:val="20"/>
                <w:color w:val="auto"/>
              </w:rPr>
            </w:pPr>
            <w:r>
              <w:rPr>
                <w:rFonts w:ascii="Arial" w:cs="Arial" w:eastAsia="Arial" w:hAnsi="Arial"/>
                <w:sz w:val="13"/>
                <w:szCs w:val="13"/>
                <w:color w:val="auto"/>
              </w:rPr>
              <w:t>Items arising from LLC Interest ownership changes</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660" w:type="dxa"/>
            <w:vAlign w:val="bottom"/>
          </w:tcPr>
          <w:p>
            <w:pPr>
              <w:ind w:left="120"/>
              <w:spacing w:after="0"/>
              <w:rPr>
                <w:sz w:val="20"/>
                <w:szCs w:val="20"/>
                <w:color w:val="auto"/>
              </w:rPr>
            </w:pPr>
            <w:r>
              <w:rPr>
                <w:rFonts w:ascii="Arial" w:cs="Arial" w:eastAsia="Arial" w:hAnsi="Arial"/>
                <w:sz w:val="13"/>
                <w:szCs w:val="13"/>
                <w:color w:val="auto"/>
              </w:rPr>
              <w:t>Establishment of liabilities under tax receivable agreement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11,212</w:t>
            </w:r>
          </w:p>
        </w:tc>
        <w:tc>
          <w:tcPr>
            <w:tcW w:w="6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9"/>
        </w:trPr>
        <w:tc>
          <w:tcPr>
            <w:tcW w:w="6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tax asset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43,948</w:t>
            </w:r>
          </w:p>
        </w:tc>
        <w:tc>
          <w:tcPr>
            <w:tcW w:w="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297"/>
        </w:trPr>
        <w:tc>
          <w:tcPr>
            <w:tcW w:w="6660" w:type="dxa"/>
            <w:vAlign w:val="bottom"/>
          </w:tcPr>
          <w:p>
            <w:pPr>
              <w:spacing w:after="0"/>
              <w:rPr>
                <w:sz w:val="20"/>
                <w:szCs w:val="20"/>
                <w:color w:val="auto"/>
              </w:rPr>
            </w:pPr>
            <w:r>
              <w:rPr>
                <w:rFonts w:ascii="Arial" w:cs="Arial" w:eastAsia="Arial" w:hAnsi="Arial"/>
                <w:sz w:val="13"/>
                <w:szCs w:val="13"/>
                <w:b w:val="1"/>
                <w:bCs w:val="1"/>
                <w:color w:val="auto"/>
                <w:w w:val="96"/>
              </w:rPr>
              <w:t>Reconciliation of cash, cash equivalents and restricted cash as shown on the statements of financial condition:</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6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b w:val="1"/>
                <w:bCs w:val="1"/>
                <w:color w:val="auto"/>
                <w:w w:val="99"/>
              </w:rPr>
              <w:t>March 31,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center"/>
              <w:ind w:right="13"/>
              <w:spacing w:after="0"/>
              <w:rPr>
                <w:sz w:val="20"/>
                <w:szCs w:val="20"/>
                <w:color w:val="auto"/>
              </w:rPr>
            </w:pPr>
            <w:r>
              <w:rPr>
                <w:rFonts w:ascii="Arial" w:cs="Arial" w:eastAsia="Arial" w:hAnsi="Arial"/>
                <w:sz w:val="13"/>
                <w:szCs w:val="13"/>
                <w:b w:val="1"/>
                <w:bCs w:val="1"/>
                <w:color w:val="auto"/>
                <w:w w:val="92"/>
              </w:rPr>
              <w:t>December 31,</w:t>
            </w:r>
          </w:p>
        </w:tc>
        <w:tc>
          <w:tcPr>
            <w:tcW w:w="20" w:type="dxa"/>
            <w:vAlign w:val="bottom"/>
          </w:tcPr>
          <w:p>
            <w:pPr>
              <w:spacing w:after="0"/>
              <w:rPr>
                <w:sz w:val="12"/>
                <w:szCs w:val="12"/>
                <w:color w:val="auto"/>
              </w:rPr>
            </w:pPr>
          </w:p>
        </w:tc>
      </w:tr>
      <w:tr>
        <w:trPr>
          <w:trHeight w:val="148"/>
        </w:trPr>
        <w:tc>
          <w:tcPr>
            <w:tcW w:w="66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6"/>
              </w:rPr>
              <w:t>2020</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89"/>
              </w:rPr>
              <w:t>2019</w:t>
            </w:r>
          </w:p>
        </w:tc>
        <w:tc>
          <w:tcPr>
            <w:tcW w:w="20" w:type="dxa"/>
            <w:vAlign w:val="bottom"/>
          </w:tcPr>
          <w:p>
            <w:pPr>
              <w:spacing w:after="0"/>
              <w:rPr>
                <w:sz w:val="12"/>
                <w:szCs w:val="12"/>
                <w:color w:val="auto"/>
              </w:rPr>
            </w:pPr>
          </w:p>
        </w:tc>
      </w:tr>
      <w:tr>
        <w:trPr>
          <w:trHeight w:val="142"/>
        </w:trPr>
        <w:tc>
          <w:tcPr>
            <w:tcW w:w="66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424,357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460,711</w:t>
            </w:r>
          </w:p>
        </w:tc>
        <w:tc>
          <w:tcPr>
            <w:tcW w:w="20" w:type="dxa"/>
            <w:vAlign w:val="bottom"/>
          </w:tcPr>
          <w:p>
            <w:pPr>
              <w:spacing w:after="0"/>
              <w:rPr>
                <w:sz w:val="12"/>
                <w:szCs w:val="12"/>
                <w:color w:val="auto"/>
              </w:rPr>
            </w:pPr>
          </w:p>
        </w:tc>
      </w:tr>
      <w:tr>
        <w:trPr>
          <w:trHeight w:val="148"/>
        </w:trPr>
        <w:tc>
          <w:tcPr>
            <w:tcW w:w="66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Restricted cash</w:t>
            </w: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2"/>
                <w:szCs w:val="12"/>
                <w:color w:val="auto"/>
              </w:rPr>
            </w:pPr>
          </w:p>
        </w:tc>
      </w:tr>
      <w:tr>
        <w:trPr>
          <w:trHeight w:val="149"/>
        </w:trPr>
        <w:tc>
          <w:tcPr>
            <w:tcW w:w="66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Cash, cash equivalents and restricted cash shown in the statement of cash flows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425,357</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461,711</w:t>
            </w:r>
          </w:p>
        </w:tc>
        <w:tc>
          <w:tcPr>
            <w:tcW w:w="20" w:type="dxa"/>
            <w:vAlign w:val="bottom"/>
          </w:tcPr>
          <w:p>
            <w:pPr>
              <w:spacing w:after="0"/>
              <w:rPr>
                <w:sz w:val="12"/>
                <w:szCs w:val="12"/>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0" w:type="dxa"/>
            <w:vAlign w:val="bottom"/>
            <w:vMerge w:val="restart"/>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Note 1</w:t>
              </w:r>
            </w:hyperlink>
          </w:p>
        </w:tc>
        <w:tc>
          <w:tcPr>
            <w:tcW w:w="3600" w:type="dxa"/>
            <w:vAlign w:val="bottom"/>
            <w:vMerge w:val="restart"/>
          </w:tcPr>
          <w:p>
            <w:pPr>
              <w:ind w:left="8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Organization</w:t>
              </w:r>
            </w:hyperlink>
          </w:p>
        </w:tc>
        <w:tc>
          <w:tcPr>
            <w:tcW w:w="3900" w:type="dxa"/>
            <w:vAlign w:val="bottom"/>
          </w:tcPr>
          <w:p>
            <w:pPr>
              <w:spacing w:after="0"/>
              <w:rPr>
                <w:sz w:val="14"/>
                <w:szCs w:val="14"/>
                <w:color w:val="auto"/>
              </w:rPr>
            </w:pPr>
          </w:p>
        </w:tc>
        <w:tc>
          <w:tcPr>
            <w:tcW w:w="760" w:type="dxa"/>
            <w:vAlign w:val="bottom"/>
            <w:gridSpan w:val="2"/>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680" w:type="dxa"/>
            <w:vAlign w:val="bottom"/>
            <w:vMerge w:val="continue"/>
          </w:tcPr>
          <w:p>
            <w:pPr>
              <w:spacing w:after="0"/>
              <w:rPr>
                <w:sz w:val="16"/>
                <w:szCs w:val="16"/>
                <w:color w:val="auto"/>
              </w:rPr>
            </w:pPr>
          </w:p>
        </w:tc>
        <w:tc>
          <w:tcPr>
            <w:tcW w:w="3600" w:type="dxa"/>
            <w:vAlign w:val="bottom"/>
            <w:vMerge w:val="continue"/>
          </w:tcPr>
          <w:p>
            <w:pPr>
              <w:spacing w:after="0"/>
              <w:rPr>
                <w:sz w:val="16"/>
                <w:szCs w:val="16"/>
                <w:color w:val="auto"/>
              </w:rPr>
            </w:pPr>
          </w:p>
        </w:tc>
        <w:tc>
          <w:tcPr>
            <w:tcW w:w="3900" w:type="dxa"/>
            <w:vAlign w:val="bottom"/>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Note 2</w:t>
              </w:r>
            </w:hyperlink>
          </w:p>
        </w:tc>
        <w:tc>
          <w:tcPr>
            <w:tcW w:w="3600" w:type="dxa"/>
            <w:vAlign w:val="bottom"/>
          </w:tcPr>
          <w:p>
            <w:pPr>
              <w:ind w:left="8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Significant Accounting Policies</w:t>
              </w:r>
            </w:hyperlink>
          </w:p>
        </w:tc>
        <w:tc>
          <w:tcPr>
            <w:tcW w:w="466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Note 3</w:t>
              </w:r>
            </w:hyperlink>
          </w:p>
        </w:tc>
        <w:tc>
          <w:tcPr>
            <w:tcW w:w="3600" w:type="dxa"/>
            <w:vAlign w:val="bottom"/>
          </w:tcPr>
          <w:p>
            <w:pPr>
              <w:ind w:left="8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Restricted Cash</w:t>
              </w:r>
            </w:hyperlink>
          </w:p>
        </w:tc>
        <w:tc>
          <w:tcPr>
            <w:tcW w:w="466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Note 4</w:t>
              </w:r>
            </w:hyperlink>
          </w:p>
        </w:tc>
        <w:tc>
          <w:tcPr>
            <w:tcW w:w="3600" w:type="dxa"/>
            <w:vAlign w:val="bottom"/>
          </w:tcPr>
          <w:p>
            <w:pPr>
              <w:ind w:left="8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Goodwill and Intangible Assets</w:t>
              </w:r>
            </w:hyperlink>
          </w:p>
        </w:tc>
        <w:tc>
          <w:tcPr>
            <w:tcW w:w="466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Note 5</w:t>
              </w:r>
            </w:hyperlink>
          </w:p>
        </w:tc>
        <w:tc>
          <w:tcPr>
            <w:tcW w:w="3600" w:type="dxa"/>
            <w:vAlign w:val="bottom"/>
          </w:tcPr>
          <w:p>
            <w:pPr>
              <w:ind w:left="8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Revenue</w:t>
              </w:r>
            </w:hyperlink>
          </w:p>
        </w:tc>
        <w:tc>
          <w:tcPr>
            <w:tcW w:w="466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Note 6</w:t>
              </w:r>
            </w:hyperlink>
          </w:p>
        </w:tc>
        <w:tc>
          <w:tcPr>
            <w:tcW w:w="3600" w:type="dxa"/>
            <w:vAlign w:val="bottom"/>
          </w:tcPr>
          <w:p>
            <w:pPr>
              <w:ind w:left="8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Income Taxes</w:t>
              </w:r>
            </w:hyperlink>
          </w:p>
        </w:tc>
        <w:tc>
          <w:tcPr>
            <w:tcW w:w="466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Note 7</w:t>
              </w:r>
            </w:hyperlink>
          </w:p>
        </w:tc>
        <w:tc>
          <w:tcPr>
            <w:tcW w:w="3600" w:type="dxa"/>
            <w:vAlign w:val="bottom"/>
          </w:tcPr>
          <w:p>
            <w:pPr>
              <w:ind w:left="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Tax Receivable Agreement</w:t>
              </w:r>
            </w:hyperlink>
          </w:p>
        </w:tc>
        <w:tc>
          <w:tcPr>
            <w:tcW w:w="466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Note 8</w:t>
              </w:r>
            </w:hyperlink>
          </w:p>
        </w:tc>
        <w:tc>
          <w:tcPr>
            <w:tcW w:w="3600" w:type="dxa"/>
            <w:vAlign w:val="bottom"/>
          </w:tcPr>
          <w:p>
            <w:pPr>
              <w:ind w:left="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Stockholders’ Equity</w:t>
              </w:r>
            </w:hyperlink>
          </w:p>
        </w:tc>
        <w:tc>
          <w:tcPr>
            <w:tcW w:w="466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Note 9</w:t>
              </w:r>
            </w:hyperlink>
          </w:p>
        </w:tc>
        <w:tc>
          <w:tcPr>
            <w:tcW w:w="3600" w:type="dxa"/>
            <w:vAlign w:val="bottom"/>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Non-Controlling Interests</w:t>
              </w:r>
            </w:hyperlink>
          </w:p>
        </w:tc>
        <w:tc>
          <w:tcPr>
            <w:tcW w:w="466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Note 10</w:t>
              </w:r>
            </w:hyperlink>
          </w:p>
        </w:tc>
        <w:tc>
          <w:tcPr>
            <w:tcW w:w="3600" w:type="dxa"/>
            <w:vAlign w:val="bottom"/>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Stock-Based Compensation Plans</w:t>
              </w:r>
            </w:hyperlink>
          </w:p>
        </w:tc>
        <w:tc>
          <w:tcPr>
            <w:tcW w:w="466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Note 11</w:t>
              </w:r>
            </w:hyperlink>
          </w:p>
        </w:tc>
        <w:tc>
          <w:tcPr>
            <w:tcW w:w="3600" w:type="dxa"/>
            <w:vAlign w:val="bottom"/>
          </w:tcPr>
          <w:p>
            <w:pPr>
              <w:ind w:left="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Related Party Transactions</w:t>
              </w:r>
            </w:hyperlink>
          </w:p>
        </w:tc>
        <w:tc>
          <w:tcPr>
            <w:tcW w:w="466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Note 12</w:t>
              </w:r>
            </w:hyperlink>
          </w:p>
        </w:tc>
        <w:tc>
          <w:tcPr>
            <w:tcW w:w="3600" w:type="dxa"/>
            <w:vAlign w:val="bottom"/>
          </w:tcPr>
          <w:p>
            <w:pPr>
              <w:ind w:left="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Fair Value of Financial Instruments</w:t>
              </w:r>
            </w:hyperlink>
          </w:p>
        </w:tc>
        <w:tc>
          <w:tcPr>
            <w:tcW w:w="466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Note 13</w:t>
              </w:r>
            </w:hyperlink>
          </w:p>
        </w:tc>
        <w:tc>
          <w:tcPr>
            <w:tcW w:w="3600" w:type="dxa"/>
            <w:vAlign w:val="bottom"/>
          </w:tcPr>
          <w:p>
            <w:pPr>
              <w:ind w:left="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Credit Risk</w:t>
              </w:r>
            </w:hyperlink>
          </w:p>
        </w:tc>
        <w:tc>
          <w:tcPr>
            <w:tcW w:w="466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Note 14</w:t>
              </w:r>
            </w:hyperlink>
          </w:p>
        </w:tc>
        <w:tc>
          <w:tcPr>
            <w:tcW w:w="3600" w:type="dxa"/>
            <w:vAlign w:val="bottom"/>
          </w:tcPr>
          <w:p>
            <w:pPr>
              <w:ind w:left="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Commitments and Contingencies</w:t>
              </w:r>
            </w:hyperlink>
          </w:p>
        </w:tc>
        <w:tc>
          <w:tcPr>
            <w:tcW w:w="466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Note 15</w:t>
              </w:r>
            </w:hyperlink>
          </w:p>
        </w:tc>
        <w:tc>
          <w:tcPr>
            <w:tcW w:w="3600" w:type="dxa"/>
            <w:vAlign w:val="bottom"/>
          </w:tcPr>
          <w:p>
            <w:pPr>
              <w:ind w:left="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Earnings Per Share</w:t>
              </w:r>
            </w:hyperlink>
          </w:p>
        </w:tc>
        <w:tc>
          <w:tcPr>
            <w:tcW w:w="466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Note 16</w:t>
              </w:r>
            </w:hyperlink>
          </w:p>
        </w:tc>
        <w:tc>
          <w:tcPr>
            <w:tcW w:w="3600" w:type="dxa"/>
            <w:vAlign w:val="bottom"/>
          </w:tcPr>
          <w:p>
            <w:pPr>
              <w:ind w:left="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Regulatory Capital Requirements</w:t>
              </w:r>
            </w:hyperlink>
          </w:p>
        </w:tc>
        <w:tc>
          <w:tcPr>
            <w:tcW w:w="466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8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Note 17</w:t>
              </w:r>
            </w:hyperlink>
          </w:p>
        </w:tc>
        <w:tc>
          <w:tcPr>
            <w:tcW w:w="3600" w:type="dxa"/>
            <w:vAlign w:val="bottom"/>
          </w:tcPr>
          <w:p>
            <w:pPr>
              <w:ind w:left="80"/>
              <w:spacing w:after="0"/>
              <w:rPr>
                <w:rFonts w:ascii="Arial" w:cs="Arial" w:eastAsia="Arial" w:hAnsi="Arial"/>
                <w:sz w:val="18"/>
                <w:szCs w:val="18"/>
                <w:u w:val="single" w:color="auto"/>
                <w:color w:val="0000EE"/>
                <w:w w:val="92"/>
              </w:rPr>
            </w:pPr>
            <w:hyperlink w:anchor="page37">
              <w:r>
                <w:rPr>
                  <w:rFonts w:ascii="Arial" w:cs="Arial" w:eastAsia="Arial" w:hAnsi="Arial"/>
                  <w:sz w:val="18"/>
                  <w:szCs w:val="18"/>
                  <w:u w:val="single" w:color="auto"/>
                  <w:color w:val="0000EE"/>
                  <w:w w:val="92"/>
                </w:rPr>
                <w:t>Business Segment and Geographic Information</w:t>
              </w:r>
            </w:hyperlink>
          </w:p>
        </w:tc>
        <w:tc>
          <w:tcPr>
            <w:tcW w:w="466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68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Note 18</w:t>
              </w:r>
            </w:hyperlink>
          </w:p>
        </w:tc>
        <w:tc>
          <w:tcPr>
            <w:tcW w:w="3600" w:type="dxa"/>
            <w:vAlign w:val="bottom"/>
          </w:tcPr>
          <w:p>
            <w:pPr>
              <w:ind w:left="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Subsequent Events</w:t>
              </w:r>
            </w:hyperlink>
          </w:p>
        </w:tc>
        <w:tc>
          <w:tcPr>
            <w:tcW w:w="466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878"/>
        </w:trPr>
        <w:tc>
          <w:tcPr>
            <w:tcW w:w="6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900" w:type="dxa"/>
            <w:vAlign w:val="bottom"/>
          </w:tcPr>
          <w:p>
            <w:pPr>
              <w:jc w:val="right"/>
              <w:ind w:right="3530"/>
              <w:spacing w:after="0"/>
              <w:rPr>
                <w:sz w:val="20"/>
                <w:szCs w:val="20"/>
                <w:color w:val="auto"/>
              </w:rPr>
            </w:pPr>
            <w:r>
              <w:rPr>
                <w:rFonts w:ascii="Arial" w:cs="Arial" w:eastAsia="Arial" w:hAnsi="Arial"/>
                <w:sz w:val="18"/>
                <w:szCs w:val="18"/>
                <w:color w:val="auto"/>
              </w:rPr>
              <w:t>13</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13" w:name="page14"/>
    <w:bookmarkEnd w:id="1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ind w:left="620" w:hanging="576"/>
        <w:spacing w:after="0"/>
        <w:tabs>
          <w:tab w:leader="none" w:pos="6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color w:val="auto"/>
        </w:rPr>
        <w:t>Tradeweb Markets Inc. (the “Corporation”) was incorporated as a Delaware corporation on November 7, 2018 for the purpose of completing certain reorganization transactions in order to carry on the business of Tradeweb Markets LLC (“TWM LLC”) and conducting an initial public offering (“IPO”) as described below under “—Initial Public Offering” and “—Reorganization Transactions.”</w:t>
      </w:r>
    </w:p>
    <w:p>
      <w:pPr>
        <w:spacing w:after="0" w:line="187" w:lineRule="exact"/>
        <w:rPr>
          <w:sz w:val="20"/>
          <w:szCs w:val="20"/>
          <w:color w:val="auto"/>
        </w:rPr>
      </w:pPr>
    </w:p>
    <w:p>
      <w:pPr>
        <w:ind w:left="40" w:right="99"/>
        <w:spacing w:after="0" w:line="257" w:lineRule="auto"/>
        <w:rPr>
          <w:sz w:val="20"/>
          <w:szCs w:val="20"/>
          <w:color w:val="auto"/>
        </w:rPr>
      </w:pPr>
      <w:r>
        <w:rPr>
          <w:rFonts w:ascii="Arial" w:cs="Arial" w:eastAsia="Arial" w:hAnsi="Arial"/>
          <w:sz w:val="18"/>
          <w:szCs w:val="18"/>
          <w:color w:val="auto"/>
        </w:rPr>
        <w:t>The Corporation is a consolidating subsidiary of BCP York Holdings, (“BCP”) a company owned by certain investment funds affiliated with The Blackstone Group Inc. (f/k/a The Blackstone Group L.P.) (“Blackstone”), through BCP’s majority ownership interest in Refinitiv Holdings Limited (the “Parent” and, unless otherwise stated or the context otherwise requires, together with all of its subsidiaries, “Refinitiv”). As of March 31, 2020, Refinitiv owns a majority ownership interest in the Company (as defined below).</w:t>
      </w:r>
    </w:p>
    <w:p>
      <w:pPr>
        <w:spacing w:after="0" w:line="188"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consolidated financial statements. As of March 31, 2020, Tradeweb Markets Inc. owns 74.5% of TWM LLC and the Continuing LLC Owners (defined below) own the remaining 25.5% of TWM LLC.</w:t>
      </w:r>
    </w:p>
    <w:p>
      <w:pPr>
        <w:spacing w:after="0" w:line="195" w:lineRule="exact"/>
        <w:rPr>
          <w:sz w:val="20"/>
          <w:szCs w:val="20"/>
          <w:color w:val="auto"/>
        </w:rPr>
      </w:pPr>
    </w:p>
    <w:p>
      <w:pPr>
        <w:jc w:val="both"/>
        <w:ind w:left="40" w:right="279"/>
        <w:spacing w:after="0" w:line="311" w:lineRule="auto"/>
        <w:rPr>
          <w:sz w:val="20"/>
          <w:szCs w:val="20"/>
          <w:color w:val="auto"/>
        </w:rPr>
      </w:pPr>
      <w:r>
        <w:rPr>
          <w:rFonts w:ascii="Arial" w:cs="Arial" w:eastAsia="Arial" w:hAnsi="Arial"/>
          <w:sz w:val="16"/>
          <w:szCs w:val="16"/>
          <w:color w:val="auto"/>
        </w:rPr>
        <w:t>Unless the context otherwise requires, references to the “Company” refer to Tradeweb Markets Inc. and its consolidated subsidiaries, including TWM LLC, following the completion of the Reorganization Transactions (as defined below), and TWM LLC and its consolidated subsidiaries prior to the completion of the Reorganization Transactions.</w:t>
      </w:r>
    </w:p>
    <w:p>
      <w:pPr>
        <w:spacing w:after="0" w:line="149"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color w:val="auto"/>
        </w:rPr>
        <w:t>The Company is a leader in building and operating electronic marketplaces for a global network of clients across the institutional, wholesale and retail client sectors. The Company’s principal subsidiaries include:</w:t>
      </w:r>
    </w:p>
    <w:p>
      <w:pPr>
        <w:spacing w:after="0" w:line="170" w:lineRule="exact"/>
        <w:rPr>
          <w:sz w:val="20"/>
          <w:szCs w:val="20"/>
          <w:color w:val="auto"/>
        </w:rPr>
      </w:pPr>
    </w:p>
    <w:p>
      <w:pPr>
        <w:ind w:left="700" w:right="119" w:hanging="332"/>
        <w:spacing w:after="0" w:line="311"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Tradeweb LLC (“TWL”), a registered broker-dealer under the Securities Exchange Act of 1934, a member of the Financial Industry Regulatory Authority (“FINRA”), a registered independent introducing broker with the Commodities Future Trading Commission (“CFTC”) and a member of the National Futures Association (“NFA”).</w:t>
      </w:r>
    </w:p>
    <w:p>
      <w:pPr>
        <w:spacing w:after="0" w:line="148" w:lineRule="exact"/>
        <w:rPr>
          <w:rFonts w:ascii="Arial" w:cs="Arial" w:eastAsia="Arial" w:hAnsi="Arial"/>
          <w:sz w:val="16"/>
          <w:szCs w:val="16"/>
          <w:color w:val="auto"/>
        </w:rPr>
      </w:pPr>
    </w:p>
    <w:p>
      <w:pPr>
        <w:ind w:left="700" w:right="299" w:hanging="332"/>
        <w:spacing w:after="0" w:line="263"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Dealerweb Inc. (“DW”) (formerly known as Hilliard Farber &amp; Co., Inc.), a registered broker-dealer under the Securities Exchange Act of 1934 and a member of FINRA. DW is also registered as an introducing broker with the CFTC and NFA.</w:t>
      </w:r>
    </w:p>
    <w:p>
      <w:pPr>
        <w:spacing w:after="0" w:line="183" w:lineRule="exact"/>
        <w:rPr>
          <w:rFonts w:ascii="Arial" w:cs="Arial" w:eastAsia="Arial" w:hAnsi="Arial"/>
          <w:sz w:val="18"/>
          <w:szCs w:val="18"/>
          <w:color w:val="auto"/>
        </w:rPr>
      </w:pPr>
    </w:p>
    <w:p>
      <w:pPr>
        <w:ind w:left="700" w:right="299" w:hanging="332"/>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Tradeweb Direct LLC (“TWD”) (formerly known as BondDesk Trading LLC), a registered broker-dealer under the Securities Exchange Act of 1934 and a member of FINRA.</w:t>
      </w:r>
    </w:p>
    <w:p>
      <w:pPr>
        <w:spacing w:after="0" w:line="170" w:lineRule="exact"/>
        <w:rPr>
          <w:rFonts w:ascii="Arial" w:cs="Arial" w:eastAsia="Arial" w:hAnsi="Arial"/>
          <w:sz w:val="18"/>
          <w:szCs w:val="18"/>
          <w:color w:val="auto"/>
        </w:rPr>
      </w:pPr>
    </w:p>
    <w:p>
      <w:pPr>
        <w:ind w:left="700" w:right="199" w:hanging="332"/>
        <w:spacing w:after="0" w:line="263"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Tradeweb Europe Limited (“TEL”), a Multilateral Trading Facility regulated by the Financial Conduct Authority (the “FCA”) in the UK, which maintains branches in Asia which are regulated by certain Asian securities regulators.</w:t>
      </w:r>
    </w:p>
    <w:p>
      <w:pPr>
        <w:spacing w:after="0" w:line="183" w:lineRule="exact"/>
        <w:rPr>
          <w:rFonts w:ascii="Arial" w:cs="Arial" w:eastAsia="Arial" w:hAnsi="Arial"/>
          <w:sz w:val="18"/>
          <w:szCs w:val="18"/>
          <w:color w:val="auto"/>
        </w:rPr>
      </w:pPr>
    </w:p>
    <w:p>
      <w:pPr>
        <w:ind w:left="700" w:hanging="33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 SEF LLC (“TW SEF”), a Swap Execution Facility (“SEF”) regulated by the CFTC.</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DW SEF LLC (“DW SEF”), a SEF regulated by the CFTC.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right="259" w:hanging="332"/>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Tradeweb Japan K.K. (“TWJ”), a security house regulated by the Japanese Financial Services Agency (“JFSA”) and the Japan Securities Dealers Association (“JSDA”).</w:t>
      </w:r>
    </w:p>
    <w:p>
      <w:pPr>
        <w:spacing w:after="0" w:line="170" w:lineRule="exact"/>
        <w:rPr>
          <w:rFonts w:ascii="Arial" w:cs="Arial" w:eastAsia="Arial" w:hAnsi="Arial"/>
          <w:sz w:val="18"/>
          <w:szCs w:val="18"/>
          <w:color w:val="auto"/>
        </w:rPr>
      </w:pPr>
    </w:p>
    <w:p>
      <w:pPr>
        <w:ind w:left="700" w:right="719" w:hanging="332"/>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Tradeweb EU B.V. (“TWEU”), a Trading Venue and Approved Publication Arrangement regulated by the Netherlands Authority for the Financial Markets (“AFM”).</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left="40" w:right="139"/>
        <w:spacing w:after="0" w:line="290" w:lineRule="auto"/>
        <w:rPr>
          <w:sz w:val="20"/>
          <w:szCs w:val="20"/>
          <w:color w:val="auto"/>
        </w:rPr>
      </w:pPr>
      <w:r>
        <w:rPr>
          <w:rFonts w:ascii="Arial" w:cs="Arial" w:eastAsia="Arial" w:hAnsi="Arial"/>
          <w:sz w:val="16"/>
          <w:szCs w:val="16"/>
          <w:color w:val="auto"/>
        </w:rPr>
        <w:t>On April 8, 2019, the Corporation completed its IPO of 46,000,000 shares of Class A common stock, par value $0.00001 per share, of the Corporation (the “Class A common stock”) at a public offering price of $27.00, which included 6,000,000 shares of Class A common stock issued pursuant to the underwriters’ option to purchase additional shares of Class A common stock. The Corporation received $1.2 billion in net proceeds, after deducting underwriting discounts and commissions but before deducting offering expenses, which were used to purchase membership interests of TWM LLC from certain existing equity holders of TWM LLC (and the corresponding shares of common stock were cancelled as described below), at a purchase price per interest equal to the public offering price of $27.00, less the underwriting discounts and commissions payable thereon. See Note 8 – Stockholders’ Equity.</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Reorganization Transactions</w:t>
      </w:r>
    </w:p>
    <w:p>
      <w:pPr>
        <w:spacing w:after="0" w:line="225" w:lineRule="exact"/>
        <w:rPr>
          <w:sz w:val="20"/>
          <w:szCs w:val="20"/>
          <w:color w:val="auto"/>
        </w:rPr>
      </w:pPr>
    </w:p>
    <w:p>
      <w:pPr>
        <w:jc w:val="both"/>
        <w:ind w:left="40" w:right="239"/>
        <w:spacing w:after="0" w:line="263" w:lineRule="auto"/>
        <w:rPr>
          <w:sz w:val="20"/>
          <w:szCs w:val="20"/>
          <w:color w:val="auto"/>
        </w:rPr>
      </w:pPr>
      <w:r>
        <w:rPr>
          <w:rFonts w:ascii="Arial" w:cs="Arial" w:eastAsia="Arial" w:hAnsi="Arial"/>
          <w:sz w:val="18"/>
          <w:szCs w:val="18"/>
          <w:color w:val="auto"/>
        </w:rPr>
        <w:t>Prior to the closing of the IPO, a series of reorganization transactions (the “Reorganization Transactions”) was completed among the Corporation, TWM LLC and the owners of TWM LLC prior to the Reorganization Transactions (collectively, the “Original LLC Owners”), including the following parties:</w:t>
      </w:r>
    </w:p>
    <w:p>
      <w:pPr>
        <w:spacing w:after="0" w:line="184" w:lineRule="exact"/>
        <w:rPr>
          <w:sz w:val="20"/>
          <w:szCs w:val="20"/>
          <w:color w:val="auto"/>
        </w:rPr>
      </w:pPr>
    </w:p>
    <w:p>
      <w:pPr>
        <w:ind w:left="700" w:hanging="332"/>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investment and commercial banks (collectively, the “Bank Stockholders”);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members of management;</w:t>
      </w:r>
    </w:p>
    <w:p>
      <w:pPr>
        <w:spacing w:after="0" w:line="225" w:lineRule="exact"/>
        <w:rPr>
          <w:rFonts w:ascii="Arial" w:cs="Arial" w:eastAsia="Arial" w:hAnsi="Arial"/>
          <w:sz w:val="18"/>
          <w:szCs w:val="18"/>
          <w:color w:val="auto"/>
        </w:rPr>
      </w:pPr>
    </w:p>
    <w:p>
      <w:pPr>
        <w:ind w:left="700" w:right="119" w:hanging="332"/>
        <w:spacing w:after="0" w:line="272" w:lineRule="auto"/>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Refinitiv Direct Owner, (i) prior to June 28, 2019, a direct subsidiary of Refinitiv that owned interests in an entity that held membership interests of TWM LLC prior to the Reorganization Transactions and contributed such entity to the Corporation (the “Refinitiv Contribution”) in exchange for shares of Class B common stock, par value $0.00001 per share, of the Corporation (the “Class B common stock”) in connection with the completion of the Reorganization Transactions and (ii) on and after June 28, 2019, an indirect subsidiary of Refinitiv that owns shares of Class B common stock which shares were contributed by the direct subsidiary of Refinitiv referred to in the foregoing clause (i); and</w:t>
      </w:r>
    </w:p>
    <w:p>
      <w:pPr>
        <w:spacing w:after="0" w:line="177" w:lineRule="exact"/>
        <w:rPr>
          <w:rFonts w:ascii="Arial" w:cs="Arial" w:eastAsia="Arial" w:hAnsi="Arial"/>
          <w:sz w:val="17"/>
          <w:szCs w:val="17"/>
          <w:color w:val="auto"/>
        </w:rPr>
      </w:pPr>
    </w:p>
    <w:p>
      <w:pPr>
        <w:ind w:left="700" w:right="299" w:hanging="332"/>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indirect subsidiary (the “Refinitiv LLC Owner” and, together with the Refinitiv Direct Owner, the “Refinitiv Owners”) of Refinitiv.</w:t>
      </w:r>
    </w:p>
    <w:p>
      <w:pPr>
        <w:spacing w:after="0" w:line="170" w:lineRule="exact"/>
        <w:rPr>
          <w:sz w:val="20"/>
          <w:szCs w:val="20"/>
          <w:color w:val="auto"/>
        </w:rPr>
      </w:pPr>
    </w:p>
    <w:p>
      <w:pPr>
        <w:ind w:left="40" w:right="119"/>
        <w:spacing w:after="0" w:line="270" w:lineRule="auto"/>
        <w:rPr>
          <w:sz w:val="20"/>
          <w:szCs w:val="20"/>
          <w:color w:val="auto"/>
        </w:rPr>
      </w:pPr>
      <w:r>
        <w:rPr>
          <w:rFonts w:ascii="Arial" w:cs="Arial" w:eastAsia="Arial" w:hAnsi="Arial"/>
          <w:sz w:val="17"/>
          <w:szCs w:val="17"/>
          <w:color w:val="auto"/>
        </w:rPr>
        <w:t>As used herein, references to “Continuing LLC Owners” refer collectively to (i) those Original LLC Owners, including the Refinitiv LLC Owner, certain Bank Stockholders and members of management, that continue to own LLC Interests (as defined below) after the completion of the IPO and Reorganization Transactions,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and that may redeem or exchange their LLC Interests for shares of Class A common stock or Class B common stock and (ii) solely with respect to the Tax Receivable Agreement (as defined below), also includes those Original LLC Owners, including certain Bank Stockholders, that disposed of all of their LLC Interests for cash in connection with the IPO.</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Reorganization Transactions occurred:</w:t>
      </w:r>
    </w:p>
    <w:p>
      <w:pPr>
        <w:spacing w:after="0" w:line="225" w:lineRule="exact"/>
        <w:rPr>
          <w:sz w:val="20"/>
          <w:szCs w:val="20"/>
          <w:color w:val="auto"/>
        </w:rPr>
      </w:pPr>
    </w:p>
    <w:p>
      <w:pPr>
        <w:ind w:left="700" w:right="199" w:firstLine="108"/>
        <w:spacing w:after="0" w:line="287" w:lineRule="auto"/>
        <w:rPr>
          <w:sz w:val="20"/>
          <w:szCs w:val="20"/>
          <w:color w:val="auto"/>
        </w:rPr>
      </w:pPr>
      <w:r>
        <w:rPr>
          <w:rFonts w:ascii="Arial" w:cs="Arial" w:eastAsia="Arial" w:hAnsi="Arial"/>
          <w:sz w:val="16"/>
          <w:szCs w:val="16"/>
          <w:color w:val="auto"/>
        </w:rPr>
        <w:t>TWM LLC’s limited liability company agreement (the “TWM LLC Agreement”) was amended and restated to, among other things, (i) provide for a new single class of common membership interests in TWM LLC (“LLC Interests”), (ii) exchange all of the then existing membership interests in TWM LLC for LLC Interests and</w:t>
      </w:r>
    </w:p>
    <w:p>
      <w:pPr>
        <w:spacing w:after="0" w:line="2" w:lineRule="exact"/>
        <w:rPr>
          <w:sz w:val="20"/>
          <w:szCs w:val="20"/>
          <w:color w:val="auto"/>
        </w:rPr>
      </w:pPr>
    </w:p>
    <w:p>
      <w:pPr>
        <w:ind w:left="1000" w:hanging="30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appoint the Corporation as the sole manager of TWM LLC. See Note 8 – Stockholders’ Equity.</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00" w:right="159" w:firstLine="108"/>
        <w:spacing w:after="0" w:line="263" w:lineRule="auto"/>
        <w:rPr>
          <w:sz w:val="20"/>
          <w:szCs w:val="20"/>
          <w:color w:val="auto"/>
        </w:rPr>
      </w:pPr>
      <w:r>
        <w:rPr>
          <w:rFonts w:ascii="Arial" w:cs="Arial" w:eastAsia="Arial" w:hAnsi="Arial"/>
          <w:sz w:val="18"/>
          <w:szCs w:val="18"/>
          <w:color w:val="auto"/>
        </w:rPr>
        <w:t>The Corporation’s certificate of incorporation was amended and restated to, among other things, provide for Class A common stock, Class B common stock, Class C common stock and Class D common stock. See Note 8 – Stockholders’ Equity.</w:t>
      </w:r>
    </w:p>
    <w:p>
      <w:pPr>
        <w:spacing w:after="0" w:line="184" w:lineRule="exact"/>
        <w:rPr>
          <w:sz w:val="20"/>
          <w:szCs w:val="20"/>
          <w:color w:val="auto"/>
        </w:rPr>
      </w:pPr>
    </w:p>
    <w:p>
      <w:pPr>
        <w:ind w:left="700" w:right="59" w:hanging="332"/>
        <w:spacing w:after="0" w:line="293"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Corporation issued 20,000,000 shares of Class C common stock and 105,289,005 shares of Class D common stock to the Original LLC Owners that received LLC Interests on a one-to-one basis with the number of LLC Interests they owned immediately following the amendment and restatement of the TWM LLC Agreement for nominal consideration (and the Corporation subsequently cancelled 9,993,731 shares of such Class C common stock and 36,006,269 shares of such Class D common stock in connection with the Corporation’s purchase of LLC Interests from certain of the Bank Stockholders using the net proceeds of the IPO).</w:t>
      </w:r>
    </w:p>
    <w:p>
      <w:pPr>
        <w:spacing w:after="0" w:line="164" w:lineRule="exact"/>
        <w:rPr>
          <w:rFonts w:ascii="Arial" w:cs="Arial" w:eastAsia="Arial" w:hAnsi="Arial"/>
          <w:sz w:val="16"/>
          <w:szCs w:val="16"/>
          <w:color w:val="auto"/>
        </w:rPr>
      </w:pPr>
    </w:p>
    <w:p>
      <w:pPr>
        <w:ind w:left="700" w:right="139" w:hanging="332"/>
        <w:spacing w:after="0" w:line="263"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 result of the Refinitiv Contribution (described above), the Corporation received 96,933,192 LLC Interests and the Refinitiv Direct Owner received 96,933,192 shares of Class B common stock. See Note 8 – Stockholders’ Equity.</w:t>
      </w:r>
    </w:p>
    <w:p>
      <w:pPr>
        <w:spacing w:after="0" w:line="184" w:lineRule="exact"/>
        <w:rPr>
          <w:sz w:val="20"/>
          <w:szCs w:val="20"/>
          <w:color w:val="auto"/>
        </w:rPr>
      </w:pPr>
    </w:p>
    <w:p>
      <w:pPr>
        <w:ind w:left="700" w:right="159" w:firstLine="108"/>
        <w:spacing w:after="0" w:line="259" w:lineRule="auto"/>
        <w:rPr>
          <w:sz w:val="20"/>
          <w:szCs w:val="20"/>
          <w:color w:val="auto"/>
        </w:rPr>
      </w:pPr>
      <w:r>
        <w:rPr>
          <w:rFonts w:ascii="Arial" w:cs="Arial" w:eastAsia="Arial" w:hAnsi="Arial"/>
          <w:sz w:val="18"/>
          <w:szCs w:val="18"/>
          <w:color w:val="auto"/>
        </w:rPr>
        <w:t>The Corporation’s board of directors adopted a new omnibus equity incentive plan, (the “Omnibus Equity Plan”), under which equity awards may be made in respect of shares of the Corporation’s Class A common stock. It also assumed sponsorship of an option plan and PRSU plan formerly sponsored by TWM LLC. See Note 10 – Stock-Based Compensation Plans.</w:t>
      </w:r>
    </w:p>
    <w:p>
      <w:pPr>
        <w:spacing w:after="0" w:line="187" w:lineRule="exact"/>
        <w:rPr>
          <w:sz w:val="20"/>
          <w:szCs w:val="20"/>
          <w:color w:val="auto"/>
        </w:rPr>
      </w:pPr>
    </w:p>
    <w:p>
      <w:pPr>
        <w:ind w:left="700" w:right="79" w:firstLine="108"/>
        <w:spacing w:after="0" w:line="277" w:lineRule="auto"/>
        <w:rPr>
          <w:sz w:val="20"/>
          <w:szCs w:val="20"/>
          <w:color w:val="auto"/>
        </w:rPr>
      </w:pPr>
      <w:r>
        <w:rPr>
          <w:rFonts w:ascii="Arial" w:cs="Arial" w:eastAsia="Arial" w:hAnsi="Arial"/>
          <w:sz w:val="18"/>
          <w:szCs w:val="18"/>
          <w:color w:val="auto"/>
        </w:rPr>
        <w:t>The Corporation entered into a tax receivable agreement (the “Tax Receivable Agreement”) with TWM LLC and the Continuing LLC Owners. See Note 7 – Tax Receivable Agreement.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LSEG Transaction</w:t>
      </w:r>
    </w:p>
    <w:p>
      <w:pPr>
        <w:spacing w:after="0" w:line="225" w:lineRule="exact"/>
        <w:rPr>
          <w:sz w:val="20"/>
          <w:szCs w:val="20"/>
          <w:color w:val="auto"/>
        </w:rPr>
      </w:pPr>
    </w:p>
    <w:p>
      <w:pPr>
        <w:ind w:left="40" w:right="139"/>
        <w:spacing w:after="0" w:line="257" w:lineRule="auto"/>
        <w:rPr>
          <w:sz w:val="20"/>
          <w:szCs w:val="20"/>
          <w:color w:val="auto"/>
        </w:rPr>
      </w:pPr>
      <w:r>
        <w:rPr>
          <w:rFonts w:ascii="Arial" w:cs="Arial" w:eastAsia="Arial" w:hAnsi="Arial"/>
          <w:sz w:val="18"/>
          <w:szCs w:val="18"/>
          <w:color w:val="auto"/>
        </w:rPr>
        <w:t>On August 1, 2019, London Stock Exchange Group plc announced that it has agreed to definitive terms with a consortium including certain investment funds affiliated with Blackstone as well as TR to acquire the Refinitiv business in an all share transaction (the “LSEG Transaction”). The LSEG Transaction is subject to customary regulatory approvals and closing conditions, and is expected to close during the second half of 2020. There can be no assurance that the LSEG transaction will be consummated on the expected timing or at all.</w:t>
      </w:r>
    </w:p>
    <w:p>
      <w:pPr>
        <w:spacing w:after="0" w:line="197" w:lineRule="exact"/>
        <w:rPr>
          <w:sz w:val="20"/>
          <w:szCs w:val="20"/>
          <w:color w:val="auto"/>
        </w:rPr>
      </w:pPr>
    </w:p>
    <w:p>
      <w:pPr>
        <w:ind w:left="620" w:hanging="576"/>
        <w:spacing w:after="0"/>
        <w:tabs>
          <w:tab w:leader="none" w:pos="6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is a summary of significant accounting policies: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Accounting</w:t>
      </w:r>
    </w:p>
    <w:p>
      <w:pPr>
        <w:spacing w:after="0" w:line="229" w:lineRule="exact"/>
        <w:rPr>
          <w:sz w:val="20"/>
          <w:szCs w:val="20"/>
          <w:color w:val="auto"/>
        </w:rPr>
      </w:pPr>
    </w:p>
    <w:p>
      <w:pPr>
        <w:ind w:left="40" w:right="199"/>
        <w:spacing w:after="0" w:line="279" w:lineRule="auto"/>
        <w:rPr>
          <w:sz w:val="20"/>
          <w:szCs w:val="20"/>
          <w:color w:val="auto"/>
        </w:rPr>
      </w:pPr>
      <w:r>
        <w:rPr>
          <w:rFonts w:ascii="Arial" w:cs="Arial" w:eastAsia="Arial" w:hAnsi="Arial"/>
          <w:sz w:val="17"/>
          <w:szCs w:val="17"/>
          <w:color w:val="auto"/>
        </w:rPr>
        <w:t>The consolidated financial statements have been presented in conformity with accounting principles generally accepted in the United States of America. All adjustments, which are, in the opinion of management, necessary to a fair statement of the results for the interim periods presented, are normal and recurring in nature. Operating results for interim periods are not necessarily indicative of the results that may be expected for the full year.</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40" w:right="139"/>
        <w:spacing w:after="0" w:line="275"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 and the difference may be material to the consolidated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29" w:lineRule="exact"/>
        <w:rPr>
          <w:sz w:val="20"/>
          <w:szCs w:val="20"/>
          <w:color w:val="auto"/>
        </w:rPr>
      </w:pPr>
    </w:p>
    <w:p>
      <w:pPr>
        <w:ind w:left="40" w:right="779"/>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intercompany transactions and balances have been eliminated in consolidation.</w:t>
      </w:r>
    </w:p>
    <w:p>
      <w:pPr>
        <w:spacing w:after="0" w:line="170" w:lineRule="exact"/>
        <w:rPr>
          <w:sz w:val="20"/>
          <w:szCs w:val="20"/>
          <w:color w:val="auto"/>
        </w:rPr>
      </w:pPr>
    </w:p>
    <w:p>
      <w:pPr>
        <w:ind w:left="40" w:right="99"/>
        <w:spacing w:after="0" w:line="269" w:lineRule="auto"/>
        <w:rPr>
          <w:sz w:val="20"/>
          <w:szCs w:val="20"/>
          <w:color w:val="auto"/>
        </w:rPr>
      </w:pPr>
      <w:r>
        <w:rPr>
          <w:rFonts w:ascii="Arial" w:cs="Arial" w:eastAsia="Arial" w:hAnsi="Arial"/>
          <w:sz w:val="17"/>
          <w:szCs w:val="17"/>
          <w:color w:val="auto"/>
        </w:rPr>
        <w:t>As discussed in Note 1—Organization, as a result of the Reorganization Transactions, Tradeweb Markets Inc. consolidates TWM LLC and TWM LLC is considered to be the predecessor to Tradeweb Markets Inc. for financial reporting purposes. As a result, the consolidated financial statements for periods prior to the Reorganization Transactions have been adjusted to combine the previously separate entities for presentation purposes. However, Tradeweb Markets Inc. had no business transactions or activities and no substantial assets or liabilities prior to the Reorganization Transactions. As such, for periods prior to the completion of the Reorganization Transactions, the consolidated financial statements represent the historical financial condition and results of operations of TWM LLC and its subsidiaries. For periods after the completion of the Reorganization Transactions, the consolidated financial statements represent the financial condition and results of operations of the Company and report a non-controlling interest related to the LLC Interests held by the Continuing LLC Owners.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Pushdown Accounting</w:t>
      </w:r>
    </w:p>
    <w:p>
      <w:pPr>
        <w:spacing w:after="0" w:line="229" w:lineRule="exact"/>
        <w:rPr>
          <w:sz w:val="20"/>
          <w:szCs w:val="20"/>
          <w:color w:val="auto"/>
        </w:rPr>
      </w:pPr>
    </w:p>
    <w:p>
      <w:pPr>
        <w:ind w:left="40" w:right="139"/>
        <w:spacing w:after="0" w:line="269" w:lineRule="auto"/>
        <w:rPr>
          <w:sz w:val="20"/>
          <w:szCs w:val="20"/>
          <w:color w:val="auto"/>
        </w:rPr>
      </w:pPr>
      <w:r>
        <w:rPr>
          <w:rFonts w:ascii="Arial" w:cs="Arial" w:eastAsia="Arial" w:hAnsi="Arial"/>
          <w:sz w:val="17"/>
          <w:szCs w:val="17"/>
          <w:color w:val="auto"/>
        </w:rPr>
        <w:t xml:space="preserve">A majority interest of Refinitiv (formerly the Thomson Reuters Financial &amp; Risk Business) was acquired by BCP on October 1, 2018 (the “Refinitiv Transaction”) from Thomson Reuters Corporation (“TR”). The Refinitiv Transaction was accounted for by Refinitiv in accordance with the acquisition method of accounting pursuant to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Under pushdown accounting, the excess of the fair value of the Company above the fair value accounting basis of the net assets and liabilities of the Company is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our long-lived and indefinite-lived intangible assets, including software development costs.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40" w:right="279"/>
        <w:spacing w:after="0" w:line="277" w:lineRule="auto"/>
        <w:rPr>
          <w:sz w:val="20"/>
          <w:szCs w:val="20"/>
          <w:color w:val="auto"/>
        </w:rPr>
      </w:pPr>
      <w:r>
        <w:rPr>
          <w:rFonts w:ascii="Arial" w:cs="Arial" w:eastAsia="Arial" w:hAnsi="Arial"/>
          <w:sz w:val="18"/>
          <w:szCs w:val="18"/>
          <w:color w:val="auto"/>
        </w:rPr>
        <w:t>Cash and cash equivalents consists of cash and highly liquid investments (such as short-term money market instruments) with original maturities of less than three months.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Allowance for Credit Losses</w:t>
      </w:r>
    </w:p>
    <w:p>
      <w:pPr>
        <w:spacing w:after="0" w:line="229" w:lineRule="exact"/>
        <w:rPr>
          <w:sz w:val="20"/>
          <w:szCs w:val="20"/>
          <w:color w:val="auto"/>
        </w:rPr>
      </w:pPr>
    </w:p>
    <w:p>
      <w:pPr>
        <w:ind w:left="40" w:right="159"/>
        <w:spacing w:after="0" w:line="291" w:lineRule="auto"/>
        <w:rPr>
          <w:sz w:val="20"/>
          <w:szCs w:val="20"/>
          <w:color w:val="auto"/>
        </w:rPr>
      </w:pPr>
      <w:r>
        <w:rPr>
          <w:rFonts w:ascii="Arial" w:cs="Arial" w:eastAsia="Arial" w:hAnsi="Arial"/>
          <w:sz w:val="16"/>
          <w:szCs w:val="16"/>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our counterparties is also performed. Account balances aged greater than 360 days are reserved to the allowance for credit losses. Once determined uncollectable, aged balances are written off as credit loss expense, which is included in general and administrative expenses on the consolidated statements of income. See Note 13 – Credit Risk for additional information.</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Receivable from and Payable to Brokers and Dealers and Clearing Organizations</w:t>
      </w:r>
    </w:p>
    <w:p>
      <w:pPr>
        <w:spacing w:after="0" w:line="229" w:lineRule="exact"/>
        <w:rPr>
          <w:sz w:val="20"/>
          <w:szCs w:val="20"/>
          <w:color w:val="auto"/>
        </w:rPr>
      </w:pPr>
    </w:p>
    <w:p>
      <w:pPr>
        <w:ind w:left="40" w:right="119"/>
        <w:spacing w:after="0" w:line="263" w:lineRule="auto"/>
        <w:rPr>
          <w:sz w:val="20"/>
          <w:szCs w:val="20"/>
          <w:color w:val="auto"/>
        </w:rPr>
      </w:pPr>
      <w:r>
        <w:rPr>
          <w:rFonts w:ascii="Arial" w:cs="Arial" w:eastAsia="Arial" w:hAnsi="Arial"/>
          <w:sz w:val="18"/>
          <w:szCs w:val="18"/>
          <w:color w:val="auto"/>
        </w:rPr>
        <w:t>Receivable from and payable to brokers and dealers and clearing organizations consists of proceeds from transactions which failed to settle due to the inability of a transaction party to deliver or receive the transacted security. These securities transactions are generally collateralized by those securities.</w:t>
      </w:r>
    </w:p>
    <w:p>
      <w:pPr>
        <w:spacing w:after="0" w:line="184"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At times, transactions executed on the Company’s wholesale platform fail to settle due to the inability of a transaction party to deliver or receive the transacted security. Until the failed transaction settles, a receivable from (and a matching payable to) brokers and dealers and clearing organizations is recognized for the proceeds from the unsettled transaction.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Deposits with Clearing Organizations</w:t>
      </w:r>
    </w:p>
    <w:p>
      <w:pPr>
        <w:spacing w:after="0" w:line="229" w:lineRule="exact"/>
        <w:rPr>
          <w:sz w:val="20"/>
          <w:szCs w:val="20"/>
          <w:color w:val="auto"/>
        </w:rPr>
      </w:pPr>
    </w:p>
    <w:p>
      <w:pPr>
        <w:ind w:left="40" w:right="399"/>
        <w:spacing w:after="0" w:line="277" w:lineRule="auto"/>
        <w:rPr>
          <w:sz w:val="20"/>
          <w:szCs w:val="20"/>
          <w:color w:val="auto"/>
        </w:rPr>
      </w:pPr>
      <w:r>
        <w:rPr>
          <w:rFonts w:ascii="Arial" w:cs="Arial" w:eastAsia="Arial" w:hAnsi="Arial"/>
          <w:sz w:val="18"/>
          <w:szCs w:val="18"/>
          <w:color w:val="auto"/>
        </w:rPr>
        <w:t>Deposits with clearing organizations are comprised of cash deposits. Due to the short-term nature of these deposits, the recorded value has been determined to approximate fair value.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Furniture, Equipment, Purchased Software and Leasehold Improvements</w:t>
      </w:r>
    </w:p>
    <w:p>
      <w:pPr>
        <w:spacing w:after="0" w:line="229" w:lineRule="exact"/>
        <w:rPr>
          <w:sz w:val="20"/>
          <w:szCs w:val="20"/>
          <w:color w:val="auto"/>
        </w:rPr>
      </w:pPr>
    </w:p>
    <w:p>
      <w:pPr>
        <w:ind w:left="40" w:right="79"/>
        <w:spacing w:after="0" w:line="301" w:lineRule="auto"/>
        <w:rPr>
          <w:sz w:val="20"/>
          <w:szCs w:val="20"/>
          <w:color w:val="auto"/>
        </w:rPr>
      </w:pPr>
      <w:r>
        <w:rPr>
          <w:rFonts w:ascii="Arial" w:cs="Arial" w:eastAsia="Arial" w:hAnsi="Arial"/>
          <w:sz w:val="16"/>
          <w:szCs w:val="16"/>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57" w:lineRule="exact"/>
        <w:rPr>
          <w:sz w:val="20"/>
          <w:szCs w:val="20"/>
          <w:color w:val="auto"/>
        </w:rPr>
      </w:pPr>
    </w:p>
    <w:p>
      <w:pPr>
        <w:ind w:left="40" w:right="159"/>
        <w:spacing w:after="0" w:line="263" w:lineRule="auto"/>
        <w:rPr>
          <w:sz w:val="20"/>
          <w:szCs w:val="20"/>
          <w:color w:val="auto"/>
        </w:rPr>
      </w:pPr>
      <w:r>
        <w:rPr>
          <w:rFonts w:ascii="Arial" w:cs="Arial" w:eastAsia="Arial" w:hAnsi="Arial"/>
          <w:sz w:val="18"/>
          <w:szCs w:val="18"/>
          <w:color w:val="auto"/>
        </w:rPr>
        <w:t xml:space="preserve">Furniture, equipment, purchased software and leasehold improvements are tested for impairment whenever events or changes in circumstances suggest that an asset’s carrying value may not be fully recoverable in accordance with ASC 360, </w:t>
      </w:r>
      <w:r>
        <w:rPr>
          <w:rFonts w:ascii="Arial" w:cs="Arial" w:eastAsia="Arial" w:hAnsi="Arial"/>
          <w:sz w:val="18"/>
          <w:szCs w:val="18"/>
          <w:i w:val="1"/>
          <w:iCs w:val="1"/>
          <w:color w:val="auto"/>
        </w:rPr>
        <w:t>Property, Plant and Equipment.</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Software Development Costs</w:t>
      </w:r>
    </w:p>
    <w:p>
      <w:pPr>
        <w:spacing w:after="0" w:line="229" w:lineRule="exact"/>
        <w:rPr>
          <w:sz w:val="20"/>
          <w:szCs w:val="20"/>
          <w:color w:val="auto"/>
        </w:rPr>
      </w:pPr>
    </w:p>
    <w:p>
      <w:pPr>
        <w:ind w:left="40" w:right="119"/>
        <w:spacing w:after="0" w:line="270" w:lineRule="auto"/>
        <w:rPr>
          <w:sz w:val="20"/>
          <w:szCs w:val="20"/>
          <w:color w:val="auto"/>
        </w:rPr>
      </w:pPr>
      <w:r>
        <w:rPr>
          <w:rFonts w:ascii="Arial" w:cs="Arial" w:eastAsia="Arial" w:hAnsi="Arial"/>
          <w:sz w:val="17"/>
          <w:szCs w:val="17"/>
          <w:color w:val="auto"/>
        </w:rPr>
        <w:t xml:space="preserve">The Company capitalizes costs associated with the development of internal use software at the point at which the conceptual formulation, design and testing of possible software project alternatives have been completed, in accordance with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The Company capitalizes employee compensation and related benefits and third party consulting costs incurred during the application development stage which directly contribute to such development. Such costs are amortized on a straight-line basis over three years. Costs capitalized as part of the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40" w:right="139"/>
        <w:spacing w:after="0" w:line="271" w:lineRule="auto"/>
        <w:rPr>
          <w:sz w:val="20"/>
          <w:szCs w:val="20"/>
          <w:color w:val="auto"/>
        </w:rPr>
      </w:pPr>
      <w:r>
        <w:rPr>
          <w:rFonts w:ascii="Arial" w:cs="Arial" w:eastAsia="Arial" w:hAnsi="Arial"/>
          <w:sz w:val="17"/>
          <w:szCs w:val="17"/>
          <w:color w:val="auto"/>
        </w:rPr>
        <w:t>Goodwill is the excess of the fair value of the Company above the fair value accounting basis of the net assets and liabilities of the Company under pushdown accounting. Goodwill is also the cost of acquired companies in excess of the fair value of identifiable net assets at the acquisition date. Goodwill is not amortized, but in accordance with ASC 350, goodwill is tested for impairment annually and between annual tests whenever events or changes in circumstances indicate that the carrying amount may not be fully recoverable. Goodwill is tested at the reporting unit level, which is defined as an operating segment or one level below the operating segment. An impairment loss is recognized if the estimated fair value of a reporting unit is less than its net book value. Such loss is calculated as the difference between the estimated fair value of goodwill and its carrying value.</w:t>
      </w:r>
    </w:p>
    <w:p>
      <w:pPr>
        <w:spacing w:after="0" w:line="178" w:lineRule="exact"/>
        <w:rPr>
          <w:sz w:val="20"/>
          <w:szCs w:val="20"/>
          <w:color w:val="auto"/>
        </w:rPr>
      </w:pPr>
    </w:p>
    <w:p>
      <w:pPr>
        <w:ind w:left="40" w:right="339"/>
        <w:spacing w:after="0" w:line="259" w:lineRule="auto"/>
        <w:rPr>
          <w:sz w:val="20"/>
          <w:szCs w:val="20"/>
          <w:color w:val="auto"/>
        </w:rPr>
      </w:pPr>
      <w:r>
        <w:rPr>
          <w:rFonts w:ascii="Arial" w:cs="Arial" w:eastAsia="Arial" w:hAnsi="Arial"/>
          <w:sz w:val="18"/>
          <w:szCs w:val="18"/>
          <w:color w:val="auto"/>
        </w:rPr>
        <w:t>In 2019, the Company changed the annual date on which goodwill is tested for impairment from July 1</w:t>
      </w:r>
      <w:r>
        <w:rPr>
          <w:rFonts w:ascii="Arial" w:cs="Arial" w:eastAsia="Arial" w:hAnsi="Arial"/>
          <w:sz w:val="8"/>
          <w:szCs w:val="8"/>
          <w:color w:val="auto"/>
        </w:rPr>
        <w:t>st</w:t>
      </w:r>
      <w:r>
        <w:rPr>
          <w:rFonts w:ascii="Arial" w:cs="Arial" w:eastAsia="Arial" w:hAnsi="Arial"/>
          <w:sz w:val="18"/>
          <w:szCs w:val="18"/>
          <w:color w:val="auto"/>
        </w:rPr>
        <w:t xml:space="preserve"> to October 1</w:t>
      </w:r>
      <w:r>
        <w:rPr>
          <w:rFonts w:ascii="Arial" w:cs="Arial" w:eastAsia="Arial" w:hAnsi="Arial"/>
          <w:sz w:val="8"/>
          <w:szCs w:val="8"/>
          <w:color w:val="auto"/>
        </w:rPr>
        <w:t>st</w:t>
      </w:r>
      <w:r>
        <w:rPr>
          <w:rFonts w:ascii="Arial" w:cs="Arial" w:eastAsia="Arial" w:hAnsi="Arial"/>
          <w:sz w:val="18"/>
          <w:szCs w:val="18"/>
          <w:color w:val="auto"/>
        </w:rPr>
        <w:t xml:space="preserve"> to align with the annual impairment testing date of the Company’s Parent. This change did not accelerate, delay, avoid or cause an impairment charge, nor did this change result in adjustments to any previously issued financial statements. Goodwill was last assessed on October 1, 2019.</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left="40" w:right="59"/>
        <w:spacing w:after="0" w:line="287" w:lineRule="auto"/>
        <w:rPr>
          <w:sz w:val="20"/>
          <w:szCs w:val="20"/>
          <w:color w:val="auto"/>
        </w:rPr>
      </w:pPr>
      <w:r>
        <w:rPr>
          <w:rFonts w:ascii="Arial" w:cs="Arial" w:eastAsia="Arial" w:hAnsi="Arial"/>
          <w:sz w:val="16"/>
          <w:szCs w:val="16"/>
          <w:color w:val="auto"/>
        </w:rPr>
        <w:t>Intangible assets with a finite life are amortized over the estimated lives, ranging from seven to sixteen years, in accordance with ASC 350. Intangible assets subject to amortization are tested for impairment whenever events or changes in circumstances suggest that an asset's or asset group's carrying value may not be fully recoverable in accordance with ASC</w:t>
      </w:r>
    </w:p>
    <w:p>
      <w:pPr>
        <w:spacing w:after="0" w:line="2" w:lineRule="exact"/>
        <w:rPr>
          <w:sz w:val="20"/>
          <w:szCs w:val="20"/>
          <w:color w:val="auto"/>
        </w:rPr>
      </w:pPr>
    </w:p>
    <w:p>
      <w:pPr>
        <w:ind w:left="40" w:right="599" w:firstLine="4"/>
        <w:spacing w:after="0" w:line="255" w:lineRule="auto"/>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Deferred IPO and Follow-On Offering Costs</w:t>
      </w:r>
    </w:p>
    <w:p>
      <w:pPr>
        <w:spacing w:after="0" w:line="229" w:lineRule="exact"/>
        <w:rPr>
          <w:sz w:val="20"/>
          <w:szCs w:val="20"/>
          <w:color w:val="auto"/>
        </w:rPr>
      </w:pPr>
    </w:p>
    <w:p>
      <w:pPr>
        <w:ind w:left="40" w:right="159"/>
        <w:spacing w:after="0" w:line="254" w:lineRule="auto"/>
        <w:rPr>
          <w:sz w:val="20"/>
          <w:szCs w:val="20"/>
          <w:color w:val="auto"/>
        </w:rPr>
      </w:pPr>
      <w:r>
        <w:rPr>
          <w:rFonts w:ascii="Arial" w:cs="Arial" w:eastAsia="Arial" w:hAnsi="Arial"/>
          <w:sz w:val="18"/>
          <w:szCs w:val="18"/>
          <w:color w:val="auto"/>
        </w:rPr>
        <w:t xml:space="preserve">The Company began incurring costs in connection with the filing of a Registration Statement on Form S-1 for an IPO in 2018 and Registration Statements on Form S-1 for follow-on offerings in 2019 and the first quarter of 2020. IPO and follow-on offering costs consist of legal, accounting, and other costs directly related to the Company’s efforts to raise capital. In accordance with ASC 505-10-25, </w:t>
      </w:r>
      <w:r>
        <w:rPr>
          <w:rFonts w:ascii="Arial" w:cs="Arial" w:eastAsia="Arial" w:hAnsi="Arial"/>
          <w:sz w:val="18"/>
          <w:szCs w:val="18"/>
          <w:i w:val="1"/>
          <w:iCs w:val="1"/>
          <w:color w:val="auto"/>
        </w:rPr>
        <w:t>Equity</w:t>
      </w:r>
      <w:r>
        <w:rPr>
          <w:rFonts w:ascii="Arial" w:cs="Arial" w:eastAsia="Arial" w:hAnsi="Arial"/>
          <w:sz w:val="18"/>
          <w:szCs w:val="18"/>
          <w:color w:val="auto"/>
        </w:rPr>
        <w:t>, these costs are recognized in additional paid-in capital within the consolidated statements of financial condition when the offering is effective. At March 31, 2020, $15.9 million of deferred costs related to the IPO and $3.0 million of deferred costs related to the follow-on offerings were recognized within additional paid-in capital on the consolidated statements of financial condition. See Note 8 – Stockholders’ Equity and Note 18 – Subsequent Events.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Translation of Foreign Currency</w:t>
      </w:r>
    </w:p>
    <w:p>
      <w:pPr>
        <w:spacing w:after="0" w:line="229" w:lineRule="exact"/>
        <w:rPr>
          <w:sz w:val="20"/>
          <w:szCs w:val="20"/>
          <w:color w:val="auto"/>
        </w:rPr>
      </w:pPr>
    </w:p>
    <w:p>
      <w:pPr>
        <w:ind w:left="40" w:right="299"/>
        <w:spacing w:after="0" w:line="255" w:lineRule="auto"/>
        <w:rPr>
          <w:sz w:val="20"/>
          <w:szCs w:val="20"/>
          <w:color w:val="auto"/>
        </w:rPr>
      </w:pPr>
      <w:r>
        <w:rPr>
          <w:rFonts w:ascii="Arial" w:cs="Arial" w:eastAsia="Arial" w:hAnsi="Arial"/>
          <w:sz w:val="18"/>
          <w:szCs w:val="18"/>
          <w:color w:val="auto"/>
        </w:rPr>
        <w:t>Revenues and expenses denominated in foreign currencies are translated at the rate of exchange prevailing at the transaction date. Assets and liabilities denominated in foreign currencies are translated at the rate prevailing at the consolidated statements of financial condition date. Foreign currency re-measurement gains or losses on transactions in nonfunctional currencies are recognized in the consolidated statements of income. Gains or losses on translation in the financial statements of a non-U.S. operation, when the functional currency is other than the U.S. dollar, are included as a component of comprehensive income.</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ind w:left="40" w:right="79"/>
        <w:spacing w:after="0" w:line="271" w:lineRule="auto"/>
        <w:rPr>
          <w:sz w:val="20"/>
          <w:szCs w:val="20"/>
          <w:color w:val="auto"/>
        </w:rPr>
      </w:pPr>
      <w:r>
        <w:rPr>
          <w:rFonts w:ascii="Arial" w:cs="Arial" w:eastAsia="Arial" w:hAnsi="Arial"/>
          <w:sz w:val="17"/>
          <w:szCs w:val="17"/>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78" w:lineRule="exact"/>
        <w:rPr>
          <w:sz w:val="20"/>
          <w:szCs w:val="20"/>
          <w:color w:val="auto"/>
        </w:rPr>
      </w:pPr>
    </w:p>
    <w:p>
      <w:pPr>
        <w:ind w:left="40" w:right="179"/>
        <w:spacing w:after="0" w:line="296" w:lineRule="auto"/>
        <w:rPr>
          <w:sz w:val="20"/>
          <w:szCs w:val="20"/>
          <w:color w:val="auto"/>
        </w:rPr>
      </w:pPr>
      <w:r>
        <w:rPr>
          <w:rFonts w:ascii="Arial" w:cs="Arial" w:eastAsia="Arial" w:hAnsi="Arial"/>
          <w:sz w:val="16"/>
          <w:szCs w:val="16"/>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Based on the weight of the positive and negative evidence considered, management believes that it is more likely than not that the Company will be able to realize its deferred tax assets in the future, therefore, no valuation allowance is necessary.</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Company records uncertain tax positions in accordance with ASC 740 on the basis of a two-step process whereby</w:t>
      </w:r>
    </w:p>
    <w:p>
      <w:pPr>
        <w:spacing w:after="0" w:line="46" w:lineRule="exact"/>
        <w:rPr>
          <w:sz w:val="20"/>
          <w:szCs w:val="20"/>
          <w:color w:val="auto"/>
        </w:rPr>
      </w:pPr>
    </w:p>
    <w:p>
      <w:pPr>
        <w:ind w:left="40" w:right="139" w:firstLine="4"/>
        <w:spacing w:after="0" w:line="253"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percent likely to be realized upon ultimate settlement with the related tax authority.</w:t>
      </w:r>
    </w:p>
    <w:p>
      <w:pPr>
        <w:spacing w:after="0" w:line="193" w:lineRule="exact"/>
        <w:rPr>
          <w:sz w:val="20"/>
          <w:szCs w:val="20"/>
          <w:color w:val="auto"/>
        </w:rPr>
      </w:pPr>
    </w:p>
    <w:p>
      <w:pPr>
        <w:ind w:left="40" w:right="179"/>
        <w:spacing w:after="0" w:line="263" w:lineRule="auto"/>
        <w:rPr>
          <w:sz w:val="20"/>
          <w:szCs w:val="20"/>
          <w:color w:val="auto"/>
        </w:rPr>
      </w:pPr>
      <w:r>
        <w:rPr>
          <w:rFonts w:ascii="Arial" w:cs="Arial" w:eastAsia="Arial" w:hAnsi="Arial"/>
          <w:sz w:val="18"/>
          <w:szCs w:val="18"/>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pacing w:after="0" w:line="184" w:lineRule="exact"/>
        <w:rPr>
          <w:sz w:val="20"/>
          <w:szCs w:val="20"/>
          <w:color w:val="auto"/>
        </w:rPr>
      </w:pPr>
    </w:p>
    <w:p>
      <w:pPr>
        <w:ind w:left="40" w:right="319"/>
        <w:spacing w:after="0" w:line="308" w:lineRule="auto"/>
        <w:rPr>
          <w:sz w:val="20"/>
          <w:szCs w:val="20"/>
          <w:color w:val="auto"/>
        </w:rPr>
      </w:pPr>
      <w:r>
        <w:rPr>
          <w:rFonts w:ascii="Arial" w:cs="Arial" w:eastAsia="Arial" w:hAnsi="Arial"/>
          <w:sz w:val="17"/>
          <w:szCs w:val="17"/>
          <w:color w:val="auto"/>
        </w:rPr>
        <w:t>The Company has elected to treat taxes due on future U.S. inclusions in taxable income under the global intangible low-taxed income (“GILTI”) provision of the Tax Cuts and Jobs Act as a current period expense when incurred.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 xml:space="preserve">The Company accounts for stock-based compensation in accordance with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ASC 718 focuses primarily on accounting for a transaction in which an entity obtains employee services in exchange for stock-based payments. Under ASC 718, the stock-based payments received by the employees of the Company are accounted for either as equity awards or as liability awards.</w:t>
      </w:r>
    </w:p>
    <w:p>
      <w:pPr>
        <w:spacing w:after="0" w:line="187" w:lineRule="exact"/>
        <w:rPr>
          <w:sz w:val="20"/>
          <w:szCs w:val="20"/>
          <w:color w:val="auto"/>
        </w:rPr>
      </w:pPr>
    </w:p>
    <w:p>
      <w:pPr>
        <w:ind w:left="40" w:right="159"/>
        <w:spacing w:after="0" w:line="286" w:lineRule="auto"/>
        <w:rPr>
          <w:sz w:val="20"/>
          <w:szCs w:val="20"/>
          <w:color w:val="auto"/>
        </w:rPr>
      </w:pPr>
      <w:r>
        <w:rPr>
          <w:rFonts w:ascii="Arial" w:cs="Arial" w:eastAsia="Arial" w:hAnsi="Arial"/>
          <w:sz w:val="17"/>
          <w:szCs w:val="17"/>
          <w:color w:val="auto"/>
        </w:rPr>
        <w:t>As an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w:t>
      </w:r>
    </w:p>
    <w:p>
      <w:pPr>
        <w:spacing w:after="0" w:line="165" w:lineRule="exact"/>
        <w:rPr>
          <w:sz w:val="20"/>
          <w:szCs w:val="20"/>
          <w:color w:val="auto"/>
        </w:rPr>
      </w:pPr>
    </w:p>
    <w:p>
      <w:pPr>
        <w:ind w:left="40" w:right="119"/>
        <w:spacing w:after="0" w:line="279" w:lineRule="auto"/>
        <w:rPr>
          <w:sz w:val="20"/>
          <w:szCs w:val="20"/>
          <w:color w:val="auto"/>
        </w:rPr>
      </w:pPr>
      <w:r>
        <w:rPr>
          <w:rFonts w:ascii="Arial" w:cs="Arial" w:eastAsia="Arial" w:hAnsi="Arial"/>
          <w:sz w:val="17"/>
          <w:szCs w:val="17"/>
          <w:color w:val="auto"/>
        </w:rPr>
        <w:t>As a liability award, the cost of employee services received in exchange for an award of equity instruments is generally measured based on the grant-date fair value of the award. The fair value of that award is remeasured subsequently at each reporting date through the settlement in accordance with ASC 505. Changes in the equity instrument's fair value during the requisite service period are recognized as compensation cost over that period.</w:t>
      </w:r>
    </w:p>
    <w:p>
      <w:pPr>
        <w:spacing w:after="0" w:line="171" w:lineRule="exact"/>
        <w:rPr>
          <w:sz w:val="20"/>
          <w:szCs w:val="20"/>
          <w:color w:val="auto"/>
        </w:rPr>
      </w:pPr>
    </w:p>
    <w:p>
      <w:pPr>
        <w:ind w:left="40" w:right="599"/>
        <w:spacing w:after="0" w:line="308" w:lineRule="auto"/>
        <w:rPr>
          <w:sz w:val="20"/>
          <w:szCs w:val="20"/>
          <w:color w:val="auto"/>
        </w:rPr>
      </w:pPr>
      <w:r>
        <w:rPr>
          <w:rFonts w:ascii="Arial" w:cs="Arial" w:eastAsia="Arial" w:hAnsi="Arial"/>
          <w:sz w:val="17"/>
          <w:szCs w:val="17"/>
          <w:color w:val="auto"/>
        </w:rPr>
        <w:t>For periods following the Reorganization Transactions and the IPO, the fair value of new equity instrument grants is determined based on the price of the Company’s Class A common stock on the grant date.</w:t>
      </w:r>
    </w:p>
    <w:p>
      <w:pPr>
        <w:spacing w:after="0" w:line="146" w:lineRule="exact"/>
        <w:rPr>
          <w:sz w:val="20"/>
          <w:szCs w:val="20"/>
          <w:color w:val="auto"/>
        </w:rPr>
      </w:pPr>
    </w:p>
    <w:p>
      <w:pPr>
        <w:ind w:left="40" w:right="139"/>
        <w:spacing w:after="0" w:line="271" w:lineRule="auto"/>
        <w:rPr>
          <w:sz w:val="20"/>
          <w:szCs w:val="20"/>
          <w:color w:val="auto"/>
        </w:rPr>
      </w:pPr>
      <w:r>
        <w:rPr>
          <w:rFonts w:ascii="Arial" w:cs="Arial" w:eastAsia="Arial" w:hAnsi="Arial"/>
          <w:sz w:val="17"/>
          <w:szCs w:val="17"/>
          <w:color w:val="auto"/>
        </w:rPr>
        <w:t>Under ASC 718, the grant-date fair value of stock-based awards that do not require future service (i.e., vested awards) are expensed immediately. The grant-date fair value of stock-based awards that require future service, and are graded-vesting awards, are amortized over the relevant service period on a straight-line basis, with each tranche separately measured. The grant-date fair value of stock-based awards that require both future service and the achievement of Company performance-based conditions, are amortized over the relevant service period for the performance-based condition. If in a reporting period it is determined that the achievement of a performance target for a performance-based tranche is not probable, then no expense is recognized for that tranche and any expenses already recognized relating to that tranche in prior reporting periods are reversed in the current reporting period.</w:t>
      </w:r>
    </w:p>
    <w:p>
      <w:pPr>
        <w:spacing w:after="0" w:line="178" w:lineRule="exact"/>
        <w:rPr>
          <w:sz w:val="20"/>
          <w:szCs w:val="20"/>
          <w:color w:val="auto"/>
        </w:rPr>
      </w:pPr>
    </w:p>
    <w:p>
      <w:pPr>
        <w:ind w:left="40" w:right="79"/>
        <w:spacing w:after="0" w:line="291" w:lineRule="auto"/>
        <w:rPr>
          <w:sz w:val="20"/>
          <w:szCs w:val="20"/>
          <w:color w:val="auto"/>
        </w:rPr>
      </w:pPr>
      <w:r>
        <w:rPr>
          <w:rFonts w:ascii="Arial" w:cs="Arial" w:eastAsia="Arial" w:hAnsi="Arial"/>
          <w:sz w:val="16"/>
          <w:szCs w:val="16"/>
          <w:color w:val="auto"/>
        </w:rPr>
        <w:t>Prior to the IPO, the Company awarded options to management and other employees (collectively, the “Special Option Award”) under the Amended and Restated Tradeweb Markets Inc. Option Plan (the “Option Plan”). In accounting for the options issued under the Option Plan, compensation expense is measured and recognized for all awards based on their estimated fair values measured as of the grant date. Costs related to these options are recognized as an expense in the consolidated statements of income over the requisite service period, with an offsetting increase to additional paid-in capital. The non-cash stock-based compensation expense associated with the Special Option Award began being expensed in the second quarter of 2019 and will continue to be expensed over the following three years.</w:t>
      </w:r>
    </w:p>
    <w:p>
      <w:pPr>
        <w:spacing w:after="0" w:line="166" w:lineRule="exact"/>
        <w:rPr>
          <w:sz w:val="20"/>
          <w:szCs w:val="20"/>
          <w:color w:val="auto"/>
        </w:rPr>
      </w:pPr>
    </w:p>
    <w:p>
      <w:pPr>
        <w:ind w:left="40" w:right="179"/>
        <w:spacing w:after="0" w:line="263" w:lineRule="auto"/>
        <w:rPr>
          <w:sz w:val="20"/>
          <w:szCs w:val="20"/>
          <w:color w:val="auto"/>
        </w:rPr>
      </w:pPr>
      <w:r>
        <w:rPr>
          <w:rFonts w:ascii="Arial" w:cs="Arial" w:eastAsia="Arial" w:hAnsi="Arial"/>
          <w:sz w:val="18"/>
          <w:szCs w:val="18"/>
          <w:color w:val="auto"/>
        </w:rPr>
        <w:t>Determining the appropriate fair value model and calculating the fair value of the stock-based awards requires the input of highly subjective assumptions, including the expected life of the stock-based awards and the stock price volatility. The Company uses the Black-Scholes pricing model to value some of its stock-based awards.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left="40" w:right="239"/>
        <w:spacing w:after="0" w:line="255" w:lineRule="auto"/>
        <w:rPr>
          <w:sz w:val="20"/>
          <w:szCs w:val="20"/>
          <w:color w:val="auto"/>
        </w:rPr>
      </w:pPr>
      <w:r>
        <w:rPr>
          <w:rFonts w:ascii="Arial" w:cs="Arial" w:eastAsia="Arial" w:hAnsi="Arial"/>
          <w:sz w:val="18"/>
          <w:szCs w:val="18"/>
          <w:color w:val="auto"/>
        </w:rPr>
        <w:t>Basic earnings per share is computed by dividing the net income attributable to the Company's shares by the weighted-average number of the Company's shares outstanding during the period. For purposes of computing diluted earnings per share, the weighted-average number of the Company’s shares reflects the dilutive effect that could occur if securities that qualify as participating securities were converted into or exchanged or exercised for TWM LLC’s shares, in the pre-IPO period, and the Corporation’s Class A or Class B common stock, in the post-IPO period, using the treasury stock method, as applicable.</w:t>
      </w:r>
    </w:p>
    <w:p>
      <w:pPr>
        <w:spacing w:after="0" w:line="192"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color w:val="auto"/>
        </w:rPr>
        <w:t>Shares of Class C and Class D common stock do not have economic rights in Tradeweb Markets Inc. and, therefore, are not participating securities for purposes of the computation of earnings per share.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ind w:left="40" w:right="139"/>
        <w:spacing w:after="0" w:line="301"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157" w:lineRule="exact"/>
        <w:rPr>
          <w:sz w:val="20"/>
          <w:szCs w:val="20"/>
          <w:color w:val="auto"/>
        </w:rPr>
      </w:pPr>
    </w:p>
    <w:p>
      <w:pPr>
        <w:ind w:left="40" w:right="79"/>
        <w:spacing w:after="0" w:line="259" w:lineRule="auto"/>
        <w:rPr>
          <w:sz w:val="20"/>
          <w:szCs w:val="20"/>
          <w:color w:val="auto"/>
        </w:rPr>
      </w:pPr>
      <w:r>
        <w:rPr>
          <w:rFonts w:ascii="Arial" w:cs="Arial" w:eastAsia="Arial" w:hAnsi="Arial"/>
          <w:sz w:val="18"/>
          <w:szCs w:val="18"/>
          <w:color w:val="auto"/>
        </w:rPr>
        <w:t xml:space="preserve">The fair value hierarchy under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Fair Value Measurement</w:t>
      </w:r>
    </w:p>
    <w:p>
      <w:pPr>
        <w:spacing w:after="0" w:line="229" w:lineRule="exact"/>
        <w:rPr>
          <w:sz w:val="20"/>
          <w:szCs w:val="20"/>
          <w:color w:val="auto"/>
        </w:rPr>
      </w:pPr>
    </w:p>
    <w:p>
      <w:pPr>
        <w:ind w:left="40" w:right="239"/>
        <w:spacing w:after="0" w:line="277"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w:t>
      </w:r>
    </w:p>
    <w:p>
      <w:pPr>
        <w:spacing w:after="0" w:line="170" w:lineRule="exact"/>
        <w:rPr>
          <w:sz w:val="20"/>
          <w:szCs w:val="20"/>
          <w:color w:val="auto"/>
        </w:rPr>
      </w:pPr>
    </w:p>
    <w:p>
      <w:pPr>
        <w:ind w:left="700" w:right="439" w:hanging="332"/>
        <w:spacing w:after="0" w:line="277" w:lineRule="auto"/>
        <w:tabs>
          <w:tab w:leader="none" w:pos="700" w:val="left"/>
        </w:tabs>
        <w:numPr>
          <w:ilvl w:val="0"/>
          <w:numId w:val="16"/>
        </w:numPr>
        <w:rPr>
          <w:rFonts w:ascii="Arial" w:cs="Arial" w:eastAsia="Arial" w:hAnsi="Arial"/>
          <w:sz w:val="18"/>
          <w:szCs w:val="18"/>
          <w:b w:val="1"/>
          <w:bCs w:val="1"/>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Unadjusted quoted prices in active markets that are accessible at the measurement date for identical, unrestricted assets or liabilities;</w:t>
      </w:r>
    </w:p>
    <w:p>
      <w:pPr>
        <w:spacing w:after="0" w:line="170" w:lineRule="exact"/>
        <w:rPr>
          <w:rFonts w:ascii="Arial" w:cs="Arial" w:eastAsia="Arial" w:hAnsi="Arial"/>
          <w:sz w:val="18"/>
          <w:szCs w:val="18"/>
          <w:b w:val="1"/>
          <w:bCs w:val="1"/>
          <w:color w:val="auto"/>
        </w:rPr>
      </w:pPr>
    </w:p>
    <w:p>
      <w:pPr>
        <w:ind w:left="700" w:right="619" w:hanging="332"/>
        <w:spacing w:after="0" w:line="277" w:lineRule="auto"/>
        <w:tabs>
          <w:tab w:leader="none" w:pos="700" w:val="left"/>
        </w:tabs>
        <w:numPr>
          <w:ilvl w:val="0"/>
          <w:numId w:val="16"/>
        </w:numPr>
        <w:rPr>
          <w:rFonts w:ascii="Arial" w:cs="Arial" w:eastAsia="Arial" w:hAnsi="Arial"/>
          <w:sz w:val="18"/>
          <w:szCs w:val="18"/>
          <w:b w:val="1"/>
          <w:bCs w:val="1"/>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Quoted prices in markets that are not considered to be active or financial instruments for which all significant inputs are observable, either directly or indirectly;</w:t>
      </w:r>
    </w:p>
    <w:p>
      <w:pPr>
        <w:spacing w:after="0" w:line="170" w:lineRule="exact"/>
        <w:rPr>
          <w:rFonts w:ascii="Arial" w:cs="Arial" w:eastAsia="Arial" w:hAnsi="Arial"/>
          <w:sz w:val="18"/>
          <w:szCs w:val="18"/>
          <w:b w:val="1"/>
          <w:bCs w:val="1"/>
          <w:color w:val="auto"/>
        </w:rPr>
      </w:pPr>
    </w:p>
    <w:p>
      <w:pPr>
        <w:ind w:left="700" w:right="679" w:hanging="332"/>
        <w:spacing w:after="0" w:line="277" w:lineRule="auto"/>
        <w:tabs>
          <w:tab w:leader="none" w:pos="700" w:val="left"/>
        </w:tabs>
        <w:numPr>
          <w:ilvl w:val="0"/>
          <w:numId w:val="16"/>
        </w:numPr>
        <w:rPr>
          <w:rFonts w:ascii="Arial" w:cs="Arial" w:eastAsia="Arial" w:hAnsi="Arial"/>
          <w:sz w:val="18"/>
          <w:szCs w:val="18"/>
          <w:b w:val="1"/>
          <w:bCs w:val="1"/>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Prices or valuations that require inputs that are both significant to the fair value measurement and unobservable.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 – Adopted</w:t>
      </w:r>
    </w:p>
    <w:p>
      <w:pPr>
        <w:spacing w:after="0" w:line="229" w:lineRule="exact"/>
        <w:rPr>
          <w:sz w:val="20"/>
          <w:szCs w:val="20"/>
          <w:color w:val="auto"/>
        </w:rPr>
      </w:pPr>
    </w:p>
    <w:p>
      <w:pPr>
        <w:ind w:left="40" w:right="99"/>
        <w:spacing w:after="0" w:line="219" w:lineRule="exact"/>
        <w:rPr>
          <w:sz w:val="20"/>
          <w:szCs w:val="20"/>
          <w:color w:val="auto"/>
        </w:rPr>
      </w:pPr>
      <w:r>
        <w:rPr>
          <w:rFonts w:ascii="Arial" w:cs="Arial" w:eastAsia="Arial" w:hAnsi="Arial"/>
          <w:sz w:val="17"/>
          <w:szCs w:val="17"/>
          <w:color w:val="auto"/>
        </w:rPr>
        <w:t>In June 2016, the Financial Accounting Standards Board (“FASB”) issued ASU 2016</w:t>
      </w:r>
      <w:r>
        <w:rPr>
          <w:rFonts w:ascii="MS PGothic" w:cs="MS PGothic" w:eastAsia="MS PGothic" w:hAnsi="MS PGothic"/>
          <w:sz w:val="17"/>
          <w:szCs w:val="17"/>
          <w:color w:val="auto"/>
        </w:rPr>
        <w:t>‑</w:t>
      </w:r>
      <w:r>
        <w:rPr>
          <w:rFonts w:ascii="Arial" w:cs="Arial" w:eastAsia="Arial" w:hAnsi="Arial"/>
          <w:sz w:val="17"/>
          <w:szCs w:val="17"/>
          <w:color w:val="auto"/>
        </w:rPr>
        <w:t xml:space="preserve">13, </w:t>
      </w:r>
      <w:r>
        <w:rPr>
          <w:rFonts w:ascii="Arial" w:cs="Arial" w:eastAsia="Arial" w:hAnsi="Arial"/>
          <w:sz w:val="17"/>
          <w:szCs w:val="17"/>
          <w:i w:val="1"/>
          <w:iCs w:val="1"/>
          <w:color w:val="auto"/>
        </w:rPr>
        <w:t>Financial Instruments – Credit</w:t>
      </w:r>
      <w:r>
        <w:rPr>
          <w:rFonts w:ascii="Arial" w:cs="Arial" w:eastAsia="Arial" w:hAnsi="Arial"/>
          <w:sz w:val="17"/>
          <w:szCs w:val="17"/>
          <w:color w:val="auto"/>
        </w:rPr>
        <w:t xml:space="preserve"> </w:t>
      </w:r>
      <w:r>
        <w:rPr>
          <w:rFonts w:ascii="Arial" w:cs="Arial" w:eastAsia="Arial" w:hAnsi="Arial"/>
          <w:sz w:val="17"/>
          <w:szCs w:val="17"/>
          <w:i w:val="1"/>
          <w:iCs w:val="1"/>
          <w:color w:val="auto"/>
        </w:rPr>
        <w:t>Losses</w:t>
      </w:r>
      <w:r>
        <w:rPr>
          <w:rFonts w:ascii="Arial" w:cs="Arial" w:eastAsia="Arial" w:hAnsi="Arial"/>
          <w:sz w:val="17"/>
          <w:szCs w:val="17"/>
          <w:color w:val="auto"/>
        </w:rPr>
        <w:t>. The ASU provides new guidance for estimating credit losses on certain types of financial instruments by</w:t>
      </w:r>
      <w:r>
        <w:rPr>
          <w:rFonts w:ascii="Arial" w:cs="Arial" w:eastAsia="Arial" w:hAnsi="Arial"/>
          <w:sz w:val="17"/>
          <w:szCs w:val="17"/>
          <w:i w:val="1"/>
          <w:iCs w:val="1"/>
          <w:color w:val="auto"/>
        </w:rPr>
        <w:t xml:space="preserve"> </w:t>
      </w:r>
      <w:r>
        <w:rPr>
          <w:rFonts w:ascii="Arial" w:cs="Arial" w:eastAsia="Arial" w:hAnsi="Arial"/>
          <w:sz w:val="17"/>
          <w:szCs w:val="17"/>
          <w:color w:val="auto"/>
        </w:rPr>
        <w:t>introducing an approach based on expected losses. ASU 2016-13 was adopted on January 1, 2020 using the modified retrospective method of adoption. The adoption of this ASU did not have a material impact on the Company’s consolidated financial statements. See to Note 13 – Credit Risk for additional information.</w:t>
      </w:r>
    </w:p>
    <w:p>
      <w:pPr>
        <w:spacing w:after="0" w:line="205" w:lineRule="exact"/>
        <w:rPr>
          <w:sz w:val="20"/>
          <w:szCs w:val="20"/>
          <w:color w:val="auto"/>
        </w:rPr>
      </w:pPr>
    </w:p>
    <w:p>
      <w:pPr>
        <w:ind w:left="40" w:right="259"/>
        <w:spacing w:after="0" w:line="219" w:lineRule="exact"/>
        <w:rPr>
          <w:sz w:val="20"/>
          <w:szCs w:val="20"/>
          <w:color w:val="auto"/>
        </w:rPr>
      </w:pPr>
      <w:r>
        <w:rPr>
          <w:rFonts w:ascii="Arial" w:cs="Arial" w:eastAsia="Arial" w:hAnsi="Arial"/>
          <w:sz w:val="17"/>
          <w:szCs w:val="17"/>
          <w:color w:val="auto"/>
        </w:rPr>
        <w:t>In January 2017, the FASB issued ASU 2017</w:t>
      </w:r>
      <w:r>
        <w:rPr>
          <w:rFonts w:ascii="MS PGothic" w:cs="MS PGothic" w:eastAsia="MS PGothic" w:hAnsi="MS PGothic"/>
          <w:sz w:val="17"/>
          <w:szCs w:val="17"/>
          <w:color w:val="auto"/>
        </w:rPr>
        <w:t>‑</w:t>
      </w:r>
      <w:r>
        <w:rPr>
          <w:rFonts w:ascii="Arial" w:cs="Arial" w:eastAsia="Arial" w:hAnsi="Arial"/>
          <w:sz w:val="17"/>
          <w:szCs w:val="17"/>
          <w:color w:val="auto"/>
        </w:rPr>
        <w:t xml:space="preserve">04,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The ASU simplifies the quantitative goodwill impairment test by eliminating the second step of the test. Under this ASU, impairment will be measured by comparing the estimated fair value of the reporting unit with its carrying value. The new guidance does not amend the optional qualitative assessment of goodwill impairment. ASU 2017-04 was adopted on January 1, 2020. The adoption of this ASU did not impact the Company’s consolidated financial statements.</w:t>
      </w:r>
    </w:p>
    <w:p>
      <w:pPr>
        <w:spacing w:after="0" w:line="205" w:lineRule="exact"/>
        <w:rPr>
          <w:sz w:val="20"/>
          <w:szCs w:val="20"/>
          <w:color w:val="auto"/>
        </w:rPr>
      </w:pPr>
    </w:p>
    <w:p>
      <w:pPr>
        <w:ind w:left="40" w:right="59"/>
        <w:spacing w:after="0" w:line="273"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Taxes. </w:t>
      </w:r>
      <w:r>
        <w:rPr>
          <w:rFonts w:ascii="Arial" w:cs="Arial" w:eastAsia="Arial" w:hAnsi="Arial"/>
          <w:sz w:val="17"/>
          <w:szCs w:val="17"/>
          <w:color w:val="auto"/>
        </w:rPr>
        <w:t>The amendments in this ASU simplify the accounting for income taxes by removing certain exceptions for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intraperiod allocations and interim calculations and include additional guidance in order to reduce complexity in accounting for income taxes. ASU 2019-12 is effective for annual periods beginning after December 15, 2020, with early adoption permitted. ASU 2019-12 was early adopted on January 1, 2020. The adoption of this ASU did not have a material impact on the Company’s consolidated financial statements.</w:t>
      </w:r>
    </w:p>
    <w:p>
      <w:pPr>
        <w:spacing w:after="0" w:line="178" w:lineRule="exact"/>
        <w:rPr>
          <w:sz w:val="20"/>
          <w:szCs w:val="20"/>
          <w:color w:val="auto"/>
        </w:rPr>
      </w:pPr>
    </w:p>
    <w:p>
      <w:pPr>
        <w:jc w:val="both"/>
        <w:ind w:left="40" w:right="219"/>
        <w:spacing w:after="0" w:line="31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lessees to recognize a right-of-use asset and a lease liability for all leases with an initial term in excess of twelve months. The asset reflects the present value of unpaid lease payments coupled with initial direct costs, prepaid lease payments and lease incentives. The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amount of the lease liability is calculated as the present value of unpaid lease payments. ASU 2016-02 was adopted on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January 1, 2019 using the modified retrospective method of adoption. Upon adoption, the Company:</w:t>
      </w:r>
    </w:p>
    <w:p>
      <w:pPr>
        <w:spacing w:after="0" w:line="211" w:lineRule="exact"/>
        <w:rPr>
          <w:sz w:val="20"/>
          <w:szCs w:val="20"/>
          <w:color w:val="auto"/>
        </w:rPr>
      </w:pPr>
    </w:p>
    <w:p>
      <w:pPr>
        <w:ind w:left="700" w:hanging="332"/>
        <w:spacing w:after="0"/>
        <w:tabs>
          <w:tab w:leader="none" w:pos="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Recorded right-of-use assets of $31.8 million,</w:t>
      </w:r>
    </w:p>
    <w:p>
      <w:pPr>
        <w:spacing w:after="0" w:line="23" w:lineRule="exact"/>
        <w:rPr>
          <w:rFonts w:ascii="Arial" w:cs="Arial" w:eastAsia="Arial" w:hAnsi="Arial"/>
          <w:sz w:val="18"/>
          <w:szCs w:val="18"/>
          <w:color w:val="auto"/>
        </w:rPr>
      </w:pPr>
    </w:p>
    <w:p>
      <w:pPr>
        <w:ind w:left="700" w:hanging="332"/>
        <w:spacing w:after="0"/>
        <w:tabs>
          <w:tab w:leader="none" w:pos="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Recorded a lease liability of $39.6 million,</w:t>
      </w:r>
    </w:p>
    <w:p>
      <w:pPr>
        <w:spacing w:after="0" w:line="9" w:lineRule="exact"/>
        <w:rPr>
          <w:rFonts w:ascii="Arial" w:cs="Arial" w:eastAsia="Arial" w:hAnsi="Arial"/>
          <w:sz w:val="18"/>
          <w:szCs w:val="18"/>
          <w:color w:val="auto"/>
        </w:rPr>
      </w:pPr>
    </w:p>
    <w:p>
      <w:pPr>
        <w:ind w:left="700" w:hanging="332"/>
        <w:spacing w:after="0"/>
        <w:tabs>
          <w:tab w:leader="none" w:pos="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Eliminated deferred rent of $4.9 million,</w:t>
      </w:r>
    </w:p>
    <w:p>
      <w:pPr>
        <w:spacing w:after="0" w:line="9" w:lineRule="exact"/>
        <w:rPr>
          <w:rFonts w:ascii="Arial" w:cs="Arial" w:eastAsia="Arial" w:hAnsi="Arial"/>
          <w:sz w:val="18"/>
          <w:szCs w:val="18"/>
          <w:color w:val="auto"/>
        </w:rPr>
      </w:pPr>
    </w:p>
    <w:p>
      <w:pPr>
        <w:ind w:left="700" w:hanging="332"/>
        <w:spacing w:after="0"/>
        <w:tabs>
          <w:tab w:leader="none" w:pos="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Eliminated leasehold interests of $2.9 million, and</w:t>
      </w:r>
    </w:p>
    <w:p>
      <w:pPr>
        <w:spacing w:after="0" w:line="9" w:lineRule="exact"/>
        <w:rPr>
          <w:rFonts w:ascii="Arial" w:cs="Arial" w:eastAsia="Arial" w:hAnsi="Arial"/>
          <w:sz w:val="18"/>
          <w:szCs w:val="18"/>
          <w:color w:val="auto"/>
        </w:rPr>
      </w:pPr>
    </w:p>
    <w:p>
      <w:pPr>
        <w:ind w:left="700" w:hanging="332"/>
        <w:spacing w:after="0"/>
        <w:tabs>
          <w:tab w:leader="none" w:pos="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Elected to take the optional package of practical expedients, which allows for no reassessment of</w:t>
      </w:r>
    </w:p>
    <w:p>
      <w:pPr>
        <w:spacing w:after="0" w:line="9" w:lineRule="exact"/>
        <w:rPr>
          <w:rFonts w:ascii="Arial" w:cs="Arial" w:eastAsia="Arial" w:hAnsi="Arial"/>
          <w:sz w:val="18"/>
          <w:szCs w:val="18"/>
          <w:color w:val="auto"/>
        </w:rPr>
      </w:pPr>
    </w:p>
    <w:p>
      <w:pPr>
        <w:ind w:left="1340" w:hanging="419"/>
        <w:spacing w:after="0"/>
        <w:tabs>
          <w:tab w:leader="none" w:pos="13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whether any expired or existing contracts are or contain leases,</w:t>
      </w:r>
    </w:p>
    <w:p>
      <w:pPr>
        <w:spacing w:after="0" w:line="9" w:lineRule="exact"/>
        <w:rPr>
          <w:rFonts w:ascii="Arial" w:cs="Arial" w:eastAsia="Arial" w:hAnsi="Arial"/>
          <w:sz w:val="18"/>
          <w:szCs w:val="18"/>
          <w:color w:val="auto"/>
        </w:rPr>
      </w:pPr>
    </w:p>
    <w:p>
      <w:pPr>
        <w:ind w:left="1340" w:hanging="469"/>
        <w:spacing w:after="0"/>
        <w:tabs>
          <w:tab w:leader="none" w:pos="13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lease classification for any expired or existing leases, and</w:t>
      </w:r>
    </w:p>
    <w:p>
      <w:pPr>
        <w:spacing w:after="0" w:line="9" w:lineRule="exact"/>
        <w:rPr>
          <w:rFonts w:ascii="Arial" w:cs="Arial" w:eastAsia="Arial" w:hAnsi="Arial"/>
          <w:sz w:val="18"/>
          <w:szCs w:val="18"/>
          <w:color w:val="auto"/>
        </w:rPr>
      </w:pPr>
    </w:p>
    <w:p>
      <w:pPr>
        <w:ind w:left="1340" w:hanging="519"/>
        <w:spacing w:after="0"/>
        <w:tabs>
          <w:tab w:leader="none" w:pos="13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initial direct costs for any existing leases.</w:t>
      </w:r>
    </w:p>
    <w:p>
      <w:pPr>
        <w:spacing w:after="0" w:line="220" w:lineRule="exact"/>
        <w:rPr>
          <w:rFonts w:ascii="Arial" w:cs="Arial" w:eastAsia="Arial" w:hAnsi="Arial"/>
          <w:sz w:val="18"/>
          <w:szCs w:val="18"/>
          <w:color w:val="auto"/>
        </w:rPr>
      </w:pPr>
    </w:p>
    <w:p>
      <w:pPr>
        <w:ind w:left="620" w:hanging="576"/>
        <w:spacing w:after="0"/>
        <w:tabs>
          <w:tab w:leader="none" w:pos="6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ind w:left="40" w:right="179"/>
        <w:spacing w:after="0" w:line="257" w:lineRule="auto"/>
        <w:rPr>
          <w:sz w:val="20"/>
          <w:szCs w:val="20"/>
          <w:color w:val="auto"/>
        </w:rPr>
      </w:pPr>
      <w:r>
        <w:rPr>
          <w:rFonts w:ascii="Arial" w:cs="Arial" w:eastAsia="Arial" w:hAnsi="Arial"/>
          <w:sz w:val="18"/>
          <w:szCs w:val="18"/>
          <w:color w:val="auto"/>
        </w:rPr>
        <w:t>Cash has been segregated in a special reserve bank account for the benefit of brokers and dealers under SEC Rule 15c3-3. The Company computes the proprietary accounts of other broker-dealers (“PAB”) reserve, which requires the Company to maintain minimum segregated cash in the amount of total credits per the reserve computation. As of March 31, 2020 and December 31, 2019, cash in the amount of $1.0 million has been segregated in the PAB reserve account exceeding the requirements pursuant to SEC Rule 15c3-3.</w:t>
      </w:r>
    </w:p>
    <w:p>
      <w:pPr>
        <w:spacing w:after="0" w:line="184" w:lineRule="exact"/>
        <w:rPr>
          <w:sz w:val="20"/>
          <w:szCs w:val="20"/>
          <w:color w:val="auto"/>
        </w:rPr>
      </w:pPr>
    </w:p>
    <w:p>
      <w:pPr>
        <w:ind w:left="620" w:hanging="576"/>
        <w:spacing w:after="0"/>
        <w:tabs>
          <w:tab w:leader="none" w:pos="6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carrying amount of goodwill at March 31, 2020 and December 31, 2019 was $2.7 billion.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left="40" w:right="399"/>
        <w:spacing w:after="0" w:line="277" w:lineRule="auto"/>
        <w:rPr>
          <w:sz w:val="20"/>
          <w:szCs w:val="20"/>
          <w:color w:val="auto"/>
        </w:rPr>
      </w:pPr>
      <w:r>
        <w:rPr>
          <w:rFonts w:ascii="Arial" w:cs="Arial" w:eastAsia="Arial" w:hAnsi="Arial"/>
          <w:sz w:val="18"/>
          <w:szCs w:val="18"/>
          <w:color w:val="auto"/>
        </w:rPr>
        <w:t>Intangible assets with an indefinite useful life consisted of the following at March 31, 2020 and December 31, 2019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Amount</w:t>
            </w: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168,800</w:t>
            </w:r>
          </w:p>
        </w:tc>
      </w:tr>
      <w:tr>
        <w:trPr>
          <w:trHeight w:val="216"/>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Tradename</w:t>
            </w: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154,300</w:t>
            </w:r>
          </w:p>
        </w:tc>
      </w:tr>
      <w:tr>
        <w:trPr>
          <w:trHeight w:val="217"/>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323,100</w:t>
            </w:r>
          </w:p>
        </w:tc>
      </w:tr>
    </w:tbl>
    <w:p>
      <w:pPr>
        <w:spacing w:after="0" w:line="202"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Intangible assets that are subject to amortization consisted of the following at March 31, 2020 and December 31, 2019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0"/>
                <w:szCs w:val="10"/>
                <w:color w:val="auto"/>
              </w:rPr>
            </w:pPr>
          </w:p>
        </w:tc>
        <w:tc>
          <w:tcPr>
            <w:tcW w:w="10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8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Net Carrying</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Accumulated</w:t>
            </w:r>
          </w:p>
        </w:tc>
        <w:tc>
          <w:tcPr>
            <w:tcW w:w="8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71"/>
        </w:trPr>
        <w:tc>
          <w:tcPr>
            <w:tcW w:w="19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720" w:type="dxa"/>
            <w:vAlign w:val="bottom"/>
          </w:tcPr>
          <w:p>
            <w:pPr>
              <w:jc w:val="right"/>
              <w:ind w:right="95"/>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720" w:type="dxa"/>
            <w:vAlign w:val="bottom"/>
          </w:tcPr>
          <w:p>
            <w:pPr>
              <w:jc w:val="right"/>
              <w:ind w:right="95"/>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1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 Years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928,200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(116,025)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812,175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928,200</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(96,687)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831,513</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Content and data</w:t>
            </w:r>
          </w:p>
        </w:tc>
        <w:tc>
          <w:tcPr>
            <w:tcW w:w="840" w:type="dxa"/>
            <w:vAlign w:val="bottom"/>
          </w:tcPr>
          <w:p>
            <w:pPr>
              <w:jc w:val="center"/>
              <w:spacing w:after="0"/>
              <w:rPr>
                <w:sz w:val="20"/>
                <w:szCs w:val="20"/>
                <w:color w:val="auto"/>
              </w:rPr>
            </w:pPr>
            <w:r>
              <w:rPr>
                <w:rFonts w:ascii="Arial" w:cs="Arial" w:eastAsia="Arial" w:hAnsi="Arial"/>
                <w:sz w:val="18"/>
                <w:szCs w:val="18"/>
                <w:color w:val="auto"/>
                <w:w w:val="83"/>
              </w:rPr>
              <w:t>7 Years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(33,086)</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121,314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154,400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(27,572)</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126,828</w:t>
            </w:r>
          </w:p>
        </w:tc>
        <w:tc>
          <w:tcPr>
            <w:tcW w:w="0" w:type="dxa"/>
            <w:vAlign w:val="bottom"/>
          </w:tcPr>
          <w:p>
            <w:pPr>
              <w:spacing w:after="0"/>
              <w:rPr>
                <w:sz w:val="1"/>
                <w:szCs w:val="1"/>
                <w:color w:val="auto"/>
              </w:rPr>
            </w:pPr>
          </w:p>
        </w:tc>
      </w:tr>
      <w:tr>
        <w:trPr>
          <w:trHeight w:val="217"/>
        </w:trPr>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1,082,600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(149,111)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933,489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1,082,600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(124,259)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958,341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Amortization expense for definite-lived intangible assets was $24.9 million for each of the three months ended March 31, 2020 and 2019.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20" w:hanging="576"/>
        <w:spacing w:after="0"/>
        <w:tabs>
          <w:tab w:leader="none" w:pos="6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left="40" w:right="159"/>
        <w:spacing w:after="0" w:line="257" w:lineRule="auto"/>
        <w:rPr>
          <w:sz w:val="20"/>
          <w:szCs w:val="20"/>
          <w:color w:val="auto"/>
        </w:rPr>
      </w:pPr>
      <w:r>
        <w:rPr>
          <w:rFonts w:ascii="Arial" w:cs="Arial" w:eastAsia="Arial" w:hAnsi="Arial"/>
          <w:sz w:val="18"/>
          <w:szCs w:val="18"/>
          <w:color w:val="auto"/>
        </w:rPr>
        <w:t>The Company earns transaction fees from transactions executed on the Company’s trading platforms through various fee plans. Transaction fees are generated both on a variable and fixed price basis and vary by geographic region, product type and trade size. For variable transaction fees, the Company charges clients fees based on the mix of products traded and the volume of transactions executed. Transaction fee revenue is recorded at a point in time when the trade occurs and is generally billed monthly.</w:t>
      </w:r>
    </w:p>
    <w:p>
      <w:pPr>
        <w:spacing w:after="0" w:line="188" w:lineRule="exact"/>
        <w:rPr>
          <w:sz w:val="20"/>
          <w:szCs w:val="20"/>
          <w:color w:val="auto"/>
        </w:rPr>
      </w:pPr>
    </w:p>
    <w:p>
      <w:pPr>
        <w:ind w:left="40" w:right="239"/>
        <w:spacing w:after="0" w:line="273" w:lineRule="auto"/>
        <w:rPr>
          <w:sz w:val="20"/>
          <w:szCs w:val="20"/>
          <w:color w:val="auto"/>
        </w:rPr>
      </w:pPr>
      <w:r>
        <w:rPr>
          <w:rFonts w:ascii="Arial" w:cs="Arial" w:eastAsia="Arial" w:hAnsi="Arial"/>
          <w:sz w:val="17"/>
          <w:szCs w:val="17"/>
          <w:color w:val="auto"/>
        </w:rPr>
        <w:t>The Company earns subscription fees from granting access to institutional investors to the Company's electronic marketplaces. Subscription fees are recognized into income in the period that access is provided on a monthly basis. Also included in subscription fees are viewer fees earned monthly from institutional investors accessing fixed income market data. The frequency of subscription fee billings varies from monthly to annually, depending on contract terms. Fees received by the Company which are not yet earned are included in deferred revenue on the consolidated statements of financial condition until the revenue recognition criteria has been met.</w:t>
      </w:r>
    </w:p>
    <w:p>
      <w:pPr>
        <w:spacing w:after="0" w:line="178" w:lineRule="exact"/>
        <w:rPr>
          <w:sz w:val="20"/>
          <w:szCs w:val="20"/>
          <w:color w:val="auto"/>
        </w:rPr>
      </w:pPr>
    </w:p>
    <w:p>
      <w:pPr>
        <w:ind w:left="40" w:right="79"/>
        <w:spacing w:after="0" w:line="257" w:lineRule="auto"/>
        <w:rPr>
          <w:sz w:val="20"/>
          <w:szCs w:val="20"/>
          <w:color w:val="auto"/>
        </w:rPr>
      </w:pPr>
      <w:r>
        <w:rPr>
          <w:rFonts w:ascii="Arial" w:cs="Arial" w:eastAsia="Arial" w:hAnsi="Arial"/>
          <w:sz w:val="18"/>
          <w:szCs w:val="18"/>
          <w:color w:val="auto"/>
        </w:rPr>
        <w:t>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Securities transactions and related commission income for brokerage transactions are recognized and recorded on a trade-date basis. Commission revenue is collected by the Company when the trade settles or is billed monthly.</w:t>
      </w:r>
    </w:p>
    <w:p>
      <w:pPr>
        <w:spacing w:after="0" w:line="188" w:lineRule="exact"/>
        <w:rPr>
          <w:sz w:val="20"/>
          <w:szCs w:val="20"/>
          <w:color w:val="auto"/>
        </w:rPr>
      </w:pPr>
    </w:p>
    <w:p>
      <w:pPr>
        <w:ind w:left="40" w:right="139"/>
        <w:spacing w:after="0" w:line="279" w:lineRule="auto"/>
        <w:rPr>
          <w:sz w:val="20"/>
          <w:szCs w:val="20"/>
          <w:color w:val="auto"/>
        </w:rPr>
      </w:pPr>
      <w:r>
        <w:rPr>
          <w:rFonts w:ascii="Arial" w:cs="Arial" w:eastAsia="Arial" w:hAnsi="Arial"/>
          <w:sz w:val="17"/>
          <w:szCs w:val="17"/>
          <w:color w:val="auto"/>
        </w:rPr>
        <w:t>The Company earns fees from Refinitiv relating to the sale of market data to Refinitiv, which redistributes that data. Included in these fees, which are billed quarterly, are real-time market data fees which are recognized in the period that the data is provided, generally on a monthly basis, and historical data sets which are recognized when the historical data set is provided to Refinitiv. Significant judgements used in accounting for this contract include:</w:t>
      </w:r>
    </w:p>
    <w:p>
      <w:pPr>
        <w:spacing w:after="0" w:line="171" w:lineRule="exact"/>
        <w:rPr>
          <w:sz w:val="20"/>
          <w:szCs w:val="20"/>
          <w:color w:val="auto"/>
        </w:rPr>
      </w:pPr>
    </w:p>
    <w:p>
      <w:pPr>
        <w:ind w:left="700" w:hanging="332"/>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provision of real-time market data feeds and annual historical data sets are distinct performance obligations.</w:t>
      </w:r>
    </w:p>
    <w:p>
      <w:pPr>
        <w:spacing w:after="0" w:line="248" w:lineRule="exact"/>
        <w:rPr>
          <w:rFonts w:ascii="Arial" w:cs="Arial" w:eastAsia="Arial" w:hAnsi="Arial"/>
          <w:sz w:val="16"/>
          <w:szCs w:val="16"/>
          <w:color w:val="auto"/>
        </w:rPr>
      </w:pPr>
    </w:p>
    <w:p>
      <w:pPr>
        <w:ind w:left="700" w:right="479" w:hanging="332"/>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70" w:lineRule="exact"/>
        <w:rPr>
          <w:rFonts w:ascii="Arial" w:cs="Arial" w:eastAsia="Arial" w:hAnsi="Arial"/>
          <w:sz w:val="18"/>
          <w:szCs w:val="18"/>
          <w:color w:val="auto"/>
        </w:rPr>
      </w:pPr>
    </w:p>
    <w:p>
      <w:pPr>
        <w:ind w:left="700" w:right="79" w:hanging="332"/>
        <w:spacing w:after="0" w:line="263"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Determining the transaction price for the performance obligations by using a market assessment analysis. Inputs in this analysis include a consultant study which determined the overall value of the Company's market data and pricing information for historical data sets provided by other companies.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spacing w:after="0" w:line="263" w:lineRule="auto"/>
        <w:rPr>
          <w:sz w:val="20"/>
          <w:szCs w:val="20"/>
          <w:color w:val="auto"/>
        </w:rPr>
      </w:pPr>
      <w:r>
        <w:rPr>
          <w:rFonts w:ascii="Arial" w:cs="Arial" w:eastAsia="Arial" w:hAnsi="Arial"/>
          <w:sz w:val="18"/>
          <w:szCs w:val="18"/>
          <w:color w:val="auto"/>
        </w:rPr>
        <w:t>Some revenues earned by the Company have fixed fee components, such as monthly minimums or fixed monthly fees, and variable components, such as transaction based fees. The breakdown of revenues between fixed and variable revenues, in thousands, for the three months ended March 31, 2020 and 2019 is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740" w:type="dxa"/>
            <w:vAlign w:val="bottom"/>
            <w:gridSpan w:val="4"/>
          </w:tcPr>
          <w:p>
            <w:pPr>
              <w:jc w:val="center"/>
              <w:ind w:right="73"/>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6"/>
              </w:rPr>
              <w:t>March 31, 2020</w:t>
            </w:r>
          </w:p>
        </w:tc>
        <w:tc>
          <w:tcPr>
            <w:tcW w:w="160" w:type="dxa"/>
            <w:vAlign w:val="bottom"/>
          </w:tcPr>
          <w:p>
            <w:pPr>
              <w:spacing w:after="0"/>
              <w:rPr>
                <w:sz w:val="14"/>
                <w:szCs w:val="14"/>
                <w:color w:val="auto"/>
              </w:rPr>
            </w:pPr>
          </w:p>
        </w:tc>
        <w:tc>
          <w:tcPr>
            <w:tcW w:w="174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6"/>
              </w:rPr>
              <w:t>March 31, 2019</w:t>
            </w:r>
          </w:p>
        </w:tc>
        <w:tc>
          <w:tcPr>
            <w:tcW w:w="0" w:type="dxa"/>
            <w:vAlign w:val="bottom"/>
          </w:tcPr>
          <w:p>
            <w:pPr>
              <w:spacing w:after="0"/>
              <w:rPr>
                <w:sz w:val="1"/>
                <w:szCs w:val="1"/>
                <w:color w:val="auto"/>
              </w:rPr>
            </w:pPr>
          </w:p>
        </w:tc>
      </w:tr>
      <w:tr>
        <w:trPr>
          <w:trHeight w:val="119"/>
        </w:trPr>
        <w:tc>
          <w:tcPr>
            <w:tcW w:w="4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gridSpan w:val="4"/>
          </w:tcPr>
          <w:p>
            <w:pPr>
              <w:jc w:val="center"/>
              <w:ind w:right="53"/>
              <w:spacing w:after="0" w:line="119" w:lineRule="exact"/>
              <w:rPr>
                <w:sz w:val="20"/>
                <w:szCs w:val="20"/>
                <w:color w:val="auto"/>
              </w:rPr>
            </w:pPr>
            <w:r>
              <w:rPr>
                <w:rFonts w:ascii="Arial" w:cs="Arial" w:eastAsia="Arial" w:hAnsi="Arial"/>
                <w:sz w:val="13"/>
                <w:szCs w:val="13"/>
                <w:b w:val="1"/>
                <w:bCs w:val="1"/>
                <w:color w:val="auto"/>
                <w:w w:val="98"/>
              </w:rPr>
              <w:t>(in thousands)</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gridSpan w:val="4"/>
          </w:tcPr>
          <w:p>
            <w:pPr>
              <w:jc w:val="center"/>
              <w:ind w:right="53"/>
              <w:spacing w:after="0" w:line="119" w:lineRule="exact"/>
              <w:rPr>
                <w:sz w:val="20"/>
                <w:szCs w:val="20"/>
                <w:color w:val="auto"/>
              </w:rPr>
            </w:pPr>
            <w:r>
              <w:rPr>
                <w:rFonts w:ascii="Arial" w:cs="Arial" w:eastAsia="Arial" w:hAnsi="Arial"/>
                <w:sz w:val="13"/>
                <w:szCs w:val="13"/>
                <w:b w:val="1"/>
                <w:bCs w:val="1"/>
                <w:color w:val="auto"/>
                <w:w w:val="98"/>
              </w:rPr>
              <w:t>(in thousands)</w:t>
            </w:r>
          </w:p>
        </w:tc>
        <w:tc>
          <w:tcPr>
            <w:tcW w:w="0" w:type="dxa"/>
            <w:vAlign w:val="bottom"/>
          </w:tcPr>
          <w:p>
            <w:pPr>
              <w:spacing w:after="0"/>
              <w:rPr>
                <w:sz w:val="1"/>
                <w:szCs w:val="1"/>
                <w:color w:val="auto"/>
              </w:rPr>
            </w:pPr>
          </w:p>
        </w:tc>
      </w:tr>
      <w:tr>
        <w:trPr>
          <w:trHeight w:val="171"/>
        </w:trPr>
        <w:tc>
          <w:tcPr>
            <w:tcW w:w="452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19"/>
              <w:spacing w:after="0"/>
              <w:rPr>
                <w:sz w:val="20"/>
                <w:szCs w:val="20"/>
                <w:color w:val="auto"/>
              </w:rPr>
            </w:pPr>
            <w:r>
              <w:rPr>
                <w:rFonts w:ascii="Arial" w:cs="Arial" w:eastAsia="Arial" w:hAnsi="Arial"/>
                <w:sz w:val="14"/>
                <w:szCs w:val="14"/>
                <w:b w:val="1"/>
                <w:bCs w:val="1"/>
                <w:color w:val="auto"/>
              </w:rPr>
              <w:t>Variable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Fixed</w:t>
            </w:r>
          </w:p>
        </w:tc>
        <w:tc>
          <w:tcPr>
            <w:tcW w:w="16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Variable</w:t>
            </w:r>
          </w:p>
        </w:tc>
        <w:tc>
          <w:tcPr>
            <w:tcW w:w="18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203"/>
        </w:trPr>
        <w:tc>
          <w:tcPr>
            <w:tcW w:w="45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Transaction fees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115,337</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23,725</w:t>
            </w: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Subscription Fees including Refinitiv market data fees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48,646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47,606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Commissions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9,887</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17"/>
        </w:trPr>
        <w:tc>
          <w:tcPr>
            <w:tcW w:w="4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Gross revenue</w:t>
            </w: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148,353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103,983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Company records deferred revenue when cash payments are received or due in advance of services to be performed.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recognized revenue and remaining balance is shown below (in thousands):</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6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balance -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23,990</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New billings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29,273</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(26,994)</w:t>
            </w:r>
          </w:p>
        </w:tc>
      </w:tr>
      <w:tr>
        <w:trPr>
          <w:trHeight w:val="217"/>
        </w:trPr>
        <w:tc>
          <w:tcPr>
            <w:tcW w:w="6320" w:type="dxa"/>
            <w:vAlign w:val="bottom"/>
          </w:tcPr>
          <w:p>
            <w:pPr>
              <w:spacing w:after="0"/>
              <w:rPr>
                <w:sz w:val="20"/>
                <w:szCs w:val="20"/>
                <w:color w:val="auto"/>
              </w:rPr>
            </w:pPr>
            <w:r>
              <w:rPr>
                <w:rFonts w:ascii="Arial" w:cs="Arial" w:eastAsia="Arial" w:hAnsi="Arial"/>
                <w:sz w:val="18"/>
                <w:szCs w:val="18"/>
                <w:color w:val="auto"/>
              </w:rPr>
              <w:t>Deferred revenue balance - March 31,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26,269</w:t>
            </w:r>
          </w:p>
        </w:tc>
      </w:tr>
    </w:tbl>
    <w:p>
      <w:pPr>
        <w:spacing w:after="0" w:line="211" w:lineRule="exact"/>
        <w:rPr>
          <w:sz w:val="20"/>
          <w:szCs w:val="20"/>
          <w:color w:val="auto"/>
        </w:rPr>
      </w:pPr>
    </w:p>
    <w:p>
      <w:pPr>
        <w:ind w:left="620" w:hanging="576"/>
        <w:spacing w:after="0"/>
        <w:tabs>
          <w:tab w:leader="none" w:pos="6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40" w:right="259"/>
        <w:spacing w:after="0" w:line="342" w:lineRule="auto"/>
        <w:rPr>
          <w:sz w:val="20"/>
          <w:szCs w:val="20"/>
          <w:color w:val="auto"/>
        </w:rPr>
      </w:pPr>
      <w:r>
        <w:rPr>
          <w:rFonts w:ascii="Arial" w:cs="Arial" w:eastAsia="Arial" w:hAnsi="Arial"/>
          <w:sz w:val="16"/>
          <w:szCs w:val="16"/>
          <w:color w:val="auto"/>
        </w:rPr>
        <w:t>The Company’s provision for income taxes includes U.S. federal, state, local and foreign taxes. The Company’s effective tax rate for the three months ended March 31, 2020 and 2019 was approximately 20.2% and 10.1%, respectively.</w:t>
      </w:r>
    </w:p>
    <w:p>
      <w:pPr>
        <w:spacing w:after="0" w:line="124" w:lineRule="exact"/>
        <w:rPr>
          <w:sz w:val="20"/>
          <w:szCs w:val="20"/>
          <w:color w:val="auto"/>
        </w:rPr>
      </w:pPr>
    </w:p>
    <w:p>
      <w:pPr>
        <w:ind w:left="40" w:right="59"/>
        <w:spacing w:after="0" w:line="273" w:lineRule="auto"/>
        <w:rPr>
          <w:sz w:val="20"/>
          <w:szCs w:val="20"/>
          <w:color w:val="auto"/>
        </w:rPr>
      </w:pPr>
      <w:r>
        <w:rPr>
          <w:rFonts w:ascii="Arial" w:cs="Arial" w:eastAsia="Arial" w:hAnsi="Arial"/>
          <w:sz w:val="17"/>
          <w:szCs w:val="17"/>
          <w:color w:val="auto"/>
        </w:rPr>
        <w:t>The effective tax rate for the three months ended March 31, 2020 differed from the U.S. federal statutory rate of 21.0% primarily due to the effect of non-controlling interests partially offset by state, local and foreign taxes. The effective tax rate for the three months ended March 31, 2019 differed from the U.S. federal statutory rate of 21.0% primarily due to the fact that, prior to the Reorganization Transactions, income taxes consisted only of business taxes incurred by TWM LLC and certain subsidiaries for business conducted in certain state, local and foreign jurisdictions as well as federal, state and local taxes for certain subsidiaries that are taxed as corporations for U.S. tax purposes.</w:t>
      </w:r>
    </w:p>
    <w:p>
      <w:pPr>
        <w:spacing w:after="0" w:line="178" w:lineRule="exact"/>
        <w:rPr>
          <w:sz w:val="20"/>
          <w:szCs w:val="20"/>
          <w:color w:val="auto"/>
        </w:rPr>
      </w:pPr>
    </w:p>
    <w:p>
      <w:pPr>
        <w:ind w:left="40" w:right="99"/>
        <w:spacing w:after="0" w:line="255" w:lineRule="auto"/>
        <w:rPr>
          <w:sz w:val="20"/>
          <w:szCs w:val="20"/>
          <w:color w:val="auto"/>
        </w:rPr>
      </w:pPr>
      <w:r>
        <w:rPr>
          <w:rFonts w:ascii="Arial" w:cs="Arial" w:eastAsia="Arial" w:hAnsi="Arial"/>
          <w:sz w:val="18"/>
          <w:szCs w:val="18"/>
          <w:color w:val="auto"/>
        </w:rPr>
        <w:t>As a result of the Reorganization Transactions, 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will increase over time as the Continuing LLC Owners redeem or exchange their LLC Interests for shares of Class A common stock or Class B common stock, as applicable, or the Corporation purchases LLC Interests from the Continuing LLC Owners.</w:t>
      </w:r>
    </w:p>
    <w:p>
      <w:pPr>
        <w:spacing w:after="0" w:line="192"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color w:val="auto"/>
        </w:rPr>
        <w:t>The Company's consolidated effective tax rate will vary from period to period depending on redemptions, exchanges or purchases of LLC Interests as described above, changes in the geographic mix of its earnings and changes in tax legislation and tax rates.</w:t>
      </w:r>
    </w:p>
    <w:p>
      <w:pPr>
        <w:spacing w:after="0" w:line="184" w:lineRule="exact"/>
        <w:rPr>
          <w:sz w:val="20"/>
          <w:szCs w:val="20"/>
          <w:color w:val="auto"/>
        </w:rPr>
      </w:pPr>
    </w:p>
    <w:p>
      <w:pPr>
        <w:jc w:val="both"/>
        <w:ind w:left="40" w:right="159"/>
        <w:spacing w:after="0" w:line="311" w:lineRule="auto"/>
        <w:rPr>
          <w:sz w:val="20"/>
          <w:szCs w:val="20"/>
          <w:color w:val="auto"/>
        </w:rPr>
      </w:pPr>
      <w:r>
        <w:rPr>
          <w:rFonts w:ascii="Arial" w:cs="Arial" w:eastAsia="Arial" w:hAnsi="Arial"/>
          <w:sz w:val="16"/>
          <w:szCs w:val="16"/>
          <w:color w:val="auto"/>
        </w:rPr>
        <w:t>The Company expects to obtain an increase in its share of the tax basis of the assets of TWM LLC when LLC Interests are redeemed or exchanged by the Continuing LLC Owners and in connection with certain other qualifying transactions. This increase in tax basis may have the effect of reducing the amounts that the Corporation would otherwise pay in the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93" w:lineRule="auto"/>
        <w:rPr>
          <w:sz w:val="20"/>
          <w:szCs w:val="20"/>
          <w:color w:val="auto"/>
        </w:rPr>
      </w:pPr>
      <w:r>
        <w:rPr>
          <w:rFonts w:ascii="Arial" w:cs="Arial" w:eastAsia="Arial" w:hAnsi="Arial"/>
          <w:sz w:val="16"/>
          <w:szCs w:val="16"/>
          <w:color w:val="auto"/>
        </w:rPr>
        <w:t>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we may become entitled. The Corporation expects to benefit from the remaining 50% of tax benefits, if any, that the Corporation may actually realize. See Note 7 – Tax Receivable Agreement. The tax benefit has been recognized in deferred tax asset on the March 31, 2020 consolidated statement of financial condition.</w:t>
      </w:r>
    </w:p>
    <w:p>
      <w:pPr>
        <w:spacing w:after="0" w:line="164" w:lineRule="exact"/>
        <w:rPr>
          <w:sz w:val="20"/>
          <w:szCs w:val="20"/>
          <w:color w:val="auto"/>
        </w:rPr>
      </w:pPr>
    </w:p>
    <w:p>
      <w:pPr>
        <w:ind w:left="40" w:right="139"/>
        <w:spacing w:after="0" w:line="293" w:lineRule="auto"/>
        <w:rPr>
          <w:sz w:val="20"/>
          <w:szCs w:val="20"/>
          <w:color w:val="auto"/>
        </w:rPr>
      </w:pPr>
      <w:r>
        <w:rPr>
          <w:rFonts w:ascii="Arial" w:cs="Arial" w:eastAsia="Arial" w:hAnsi="Arial"/>
          <w:sz w:val="16"/>
          <w:szCs w:val="16"/>
          <w:color w:val="auto"/>
        </w:rPr>
        <w:t>As a result of the Refinitiv Contribution, the Company assumed the tax liabilities of the contributed entity. The contributed entity is under audit by the State of New Jersey for the tax years 2012 – 2015 and is appealing a tax assessment from an audit by the State of New Jersey for the tax years 2008 – 2011. At March 31, 2020, the tax liability related to the Refinitiv Contribution is $2.7 million and is included within accounts payable, accrued expenses and other liabilities on the consolidated statement of financial condition. The Company is indemnified by Refinitiv for tax liabilities that were assumed by the Company as a result of the Refinitiv Contribution. See Note 11 – Related Party Transactions.</w:t>
      </w:r>
    </w:p>
    <w:p>
      <w:pPr>
        <w:spacing w:after="0" w:line="160" w:lineRule="exact"/>
        <w:rPr>
          <w:sz w:val="20"/>
          <w:szCs w:val="20"/>
          <w:color w:val="auto"/>
        </w:rPr>
      </w:pPr>
    </w:p>
    <w:p>
      <w:pPr>
        <w:ind w:left="620" w:hanging="576"/>
        <w:spacing w:after="0"/>
        <w:tabs>
          <w:tab w:leader="none" w:pos="6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ind w:left="40" w:right="159"/>
        <w:spacing w:after="0" w:line="269" w:lineRule="auto"/>
        <w:rPr>
          <w:sz w:val="20"/>
          <w:szCs w:val="20"/>
          <w:color w:val="auto"/>
        </w:rPr>
      </w:pPr>
      <w:r>
        <w:rPr>
          <w:rFonts w:ascii="Arial" w:cs="Arial" w:eastAsia="Arial" w:hAnsi="Arial"/>
          <w:sz w:val="17"/>
          <w:szCs w:val="17"/>
          <w:color w:val="auto"/>
        </w:rPr>
        <w:t>In connection with the Reorganization Transactions, the Corporation entered into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the October 2019 follow-on offering and any future offering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made annually based on the actual tax savings realized by the Corporation in its previous tax year.</w:t>
      </w:r>
    </w:p>
    <w:p>
      <w:pPr>
        <w:spacing w:after="0" w:line="185" w:lineRule="exact"/>
        <w:rPr>
          <w:sz w:val="20"/>
          <w:szCs w:val="20"/>
          <w:color w:val="auto"/>
        </w:rPr>
      </w:pPr>
    </w:p>
    <w:p>
      <w:pPr>
        <w:ind w:left="40" w:right="59"/>
        <w:spacing w:after="0" w:line="273" w:lineRule="auto"/>
        <w:rPr>
          <w:sz w:val="20"/>
          <w:szCs w:val="20"/>
          <w:color w:val="auto"/>
        </w:rPr>
      </w:pPr>
      <w:r>
        <w:rPr>
          <w:rFonts w:ascii="Arial" w:cs="Arial" w:eastAsia="Arial" w:hAnsi="Arial"/>
          <w:sz w:val="17"/>
          <w:szCs w:val="17"/>
          <w:color w:val="auto"/>
        </w:rPr>
        <w:t>As of December 31, 2019, the liability was $240.8 million, primarily due to the purchase of LLC Interests by the Corporation using the net proceeds of the IPO and October 2019 follow-on offering as well as additional exchanges of LLC Interests by Continuing LLC Owners. During the first quarter of 2020, the liability increased to $252.0 million, primarily due to additional exchanges of LLC Interests by Continuing LLC Owners. Substantially all payments due under the tax receivable agreement are payable over the fifteen years following the purchase of LLC Interests from Continuing LLC Owners or redemption or exchanges by Continuing LLC Owners of LLC Interests.</w:t>
      </w:r>
    </w:p>
    <w:p>
      <w:pPr>
        <w:spacing w:after="0" w:line="178" w:lineRule="exact"/>
        <w:rPr>
          <w:sz w:val="20"/>
          <w:szCs w:val="20"/>
          <w:color w:val="auto"/>
        </w:rPr>
      </w:pPr>
    </w:p>
    <w:p>
      <w:pPr>
        <w:ind w:left="40" w:right="199"/>
        <w:spacing w:after="0" w:line="272" w:lineRule="auto"/>
        <w:rPr>
          <w:sz w:val="20"/>
          <w:szCs w:val="20"/>
          <w:color w:val="auto"/>
        </w:rPr>
      </w:pPr>
      <w:r>
        <w:rPr>
          <w:rFonts w:ascii="Arial" w:cs="Arial" w:eastAsia="Arial" w:hAnsi="Arial"/>
          <w:sz w:val="17"/>
          <w:szCs w:val="17"/>
          <w:color w:val="auto"/>
        </w:rPr>
        <w:t>The Corporation accounts for the income tax effects resulting from taxable redemptions or exchanges of LLC Interests by the Continuing LLC Owners for shares of Class A common stock or Class B common stock or cash, as the case may be, and purchases by the Corporation of LLC Interests from the Continuing LLC Owners by recognizing an increase in deferred tax assets, based on enacted tax rates at the date of each redemption or exchange,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77"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color w:val="auto"/>
        </w:rPr>
        <w:t>The impact of any changes in the projected obligations under the Tax Receivable Agreement as a result of changes in the geographic mix of the Company’s earnings, changes in tax legislation and tax rates or other factors that may impact the Corporation’s tax savings will be reflected in income before taxes on the consolidated statement of income in the period in which the change occurs.</w:t>
      </w:r>
    </w:p>
    <w:p>
      <w:pPr>
        <w:spacing w:after="0" w:line="196" w:lineRule="exact"/>
        <w:rPr>
          <w:sz w:val="20"/>
          <w:szCs w:val="20"/>
          <w:color w:val="auto"/>
        </w:rPr>
      </w:pPr>
    </w:p>
    <w:p>
      <w:pPr>
        <w:ind w:left="620" w:hanging="576"/>
        <w:spacing w:after="0"/>
        <w:tabs>
          <w:tab w:leader="none" w:pos="6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Initial Public Offering and Reorganization Transactions</w:t>
      </w:r>
    </w:p>
    <w:p>
      <w:pPr>
        <w:spacing w:after="0" w:line="229" w:lineRule="exact"/>
        <w:rPr>
          <w:sz w:val="20"/>
          <w:szCs w:val="20"/>
          <w:color w:val="auto"/>
        </w:rPr>
      </w:pPr>
    </w:p>
    <w:p>
      <w:pPr>
        <w:ind w:left="40" w:right="239"/>
        <w:spacing w:after="0" w:line="342" w:lineRule="auto"/>
        <w:rPr>
          <w:sz w:val="20"/>
          <w:szCs w:val="20"/>
          <w:color w:val="auto"/>
        </w:rPr>
      </w:pPr>
      <w:r>
        <w:rPr>
          <w:rFonts w:ascii="Arial" w:cs="Arial" w:eastAsia="Arial" w:hAnsi="Arial"/>
          <w:sz w:val="16"/>
          <w:szCs w:val="16"/>
          <w:color w:val="auto"/>
        </w:rPr>
        <w:t>As described in Note 1 – Organization, in April 2019, the Corporation completed its IPO of 46,000,000 shares of Class A common stock at a public offering price of $27.00, which included 6,000,000 shares of Class A common stock issued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spacing w:after="0" w:line="275" w:lineRule="auto"/>
        <w:rPr>
          <w:sz w:val="20"/>
          <w:szCs w:val="20"/>
          <w:color w:val="auto"/>
        </w:rPr>
      </w:pPr>
      <w:r>
        <w:rPr>
          <w:rFonts w:ascii="Arial" w:cs="Arial" w:eastAsia="Arial" w:hAnsi="Arial"/>
          <w:sz w:val="17"/>
          <w:szCs w:val="17"/>
          <w:color w:val="auto"/>
        </w:rPr>
        <w:t>pursuant to the underwriters’ option to purchase additional shares of Class A common stock. The Corporation received $1.2 billion in net proceeds, after deducting underwriting discounts and commissions but before deducting offering expenses, which were used to purchase LLC Interests from certain of the Bank Stockholders (and the corresponding shares of common stock were cancelled as described below), at a purchase price per interest equal to the public offering price of $27.00, less the underwriting discounts and commissions payable thereon.</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connection with the IPO, the Reorganization Transactions described below were completed.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Amendment and Restatement of Certificate of Incorporation</w:t>
      </w:r>
    </w:p>
    <w:p>
      <w:pPr>
        <w:spacing w:after="0" w:line="225" w:lineRule="exact"/>
        <w:rPr>
          <w:sz w:val="20"/>
          <w:szCs w:val="20"/>
          <w:color w:val="auto"/>
        </w:rPr>
      </w:pPr>
    </w:p>
    <w:p>
      <w:pPr>
        <w:ind w:left="40" w:right="139"/>
        <w:spacing w:after="0" w:line="296" w:lineRule="auto"/>
        <w:rPr>
          <w:sz w:val="20"/>
          <w:szCs w:val="20"/>
          <w:color w:val="auto"/>
        </w:rPr>
      </w:pPr>
      <w:r>
        <w:rPr>
          <w:rFonts w:ascii="Arial" w:cs="Arial" w:eastAsia="Arial" w:hAnsi="Arial"/>
          <w:sz w:val="16"/>
          <w:szCs w:val="16"/>
          <w:color w:val="auto"/>
        </w:rPr>
        <w:t>On April 3, 2019, the certificate of incorporation of Tradeweb Markets Inc. was amended and restated to, among other things, provide for the authorization of (i) 250,000,000 shares of preferred stock with a par value of $0.00001 per share (ii) 1,000,000,000 shares of Class A common stock with a par value of $0.00001 per share; (iii) 450,000,000 shares of Class B common stock with a par value of $0.00001 per share; (iv) 350,000,000 shares of Class C common stock with a par value of $0.00001 per share; and (v) 300,000,000 shares of Class D common stock with a par value of $0.00001 per share.</w:t>
      </w:r>
    </w:p>
    <w:p>
      <w:pPr>
        <w:spacing w:after="0" w:line="161" w:lineRule="exact"/>
        <w:rPr>
          <w:sz w:val="20"/>
          <w:szCs w:val="20"/>
          <w:color w:val="auto"/>
        </w:rPr>
      </w:pPr>
    </w:p>
    <w:p>
      <w:pPr>
        <w:ind w:left="40" w:right="219"/>
        <w:spacing w:after="0" w:line="255" w:lineRule="auto"/>
        <w:rPr>
          <w:sz w:val="20"/>
          <w:szCs w:val="20"/>
          <w:color w:val="auto"/>
        </w:rPr>
      </w:pPr>
      <w:r>
        <w:rPr>
          <w:rFonts w:ascii="Arial" w:cs="Arial" w:eastAsia="Arial" w:hAnsi="Arial"/>
          <w:sz w:val="18"/>
          <w:szCs w:val="18"/>
          <w:color w:val="auto"/>
        </w:rPr>
        <w:t>Each share of Class A common stock and Class C common stock entitles its holder to one vote on all matters presented to the Corporation’s stockholders generally. Each share of Class B common stock and Class D common stock entitles its holder to ten votes on all matters presented to the Corporation’s stockholders generally. The holders of Class C common stock and Class D common stock have no economic interests in the Corporation (where “economic interests” means the right to receive any dividends or distributions, whether cash or stock, in connection with common stock). These attributes are summarized in the following table:</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0" w:type="dxa"/>
            <w:vAlign w:val="bottom"/>
          </w:tcPr>
          <w:p>
            <w:pPr>
              <w:ind w:left="1640"/>
              <w:spacing w:after="0"/>
              <w:rPr>
                <w:sz w:val="20"/>
                <w:szCs w:val="20"/>
                <w:color w:val="auto"/>
              </w:rPr>
            </w:pPr>
            <w:r>
              <w:rPr>
                <w:rFonts w:ascii="Arial" w:cs="Arial" w:eastAsia="Arial" w:hAnsi="Arial"/>
                <w:sz w:val="14"/>
                <w:szCs w:val="14"/>
                <w:b w:val="1"/>
                <w:bCs w:val="1"/>
                <w:color w:val="auto"/>
              </w:rPr>
              <w:t>Class of</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7"/>
              </w:rPr>
              <w:t>Par</w:t>
            </w:r>
          </w:p>
        </w:tc>
        <w:tc>
          <w:tcPr>
            <w:tcW w:w="14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Votes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Economic</w:t>
            </w:r>
          </w:p>
        </w:tc>
        <w:tc>
          <w:tcPr>
            <w:tcW w:w="0" w:type="dxa"/>
            <w:vAlign w:val="bottom"/>
          </w:tcPr>
          <w:p>
            <w:pPr>
              <w:spacing w:after="0"/>
              <w:rPr>
                <w:sz w:val="1"/>
                <w:szCs w:val="1"/>
                <w:color w:val="auto"/>
              </w:rPr>
            </w:pPr>
          </w:p>
        </w:tc>
      </w:tr>
      <w:tr>
        <w:trPr>
          <w:trHeight w:val="171"/>
        </w:trPr>
        <w:tc>
          <w:tcPr>
            <w:tcW w:w="3800" w:type="dxa"/>
            <w:vAlign w:val="bottom"/>
          </w:tcPr>
          <w:p>
            <w:pPr>
              <w:ind w:left="1420"/>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0"/>
              </w:rPr>
              <w:t>Value</w:t>
            </w:r>
          </w:p>
        </w:tc>
        <w:tc>
          <w:tcPr>
            <w:tcW w:w="1440" w:type="dxa"/>
            <w:vAlign w:val="bottom"/>
            <w:gridSpan w:val="2"/>
            <w:vMerge w:val="continue"/>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209"/>
        </w:trPr>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0.00001</w:t>
            </w:r>
          </w:p>
        </w:tc>
        <w:tc>
          <w:tcPr>
            <w:tcW w:w="4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4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Class B common stock</w:t>
            </w: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0.00001</w:t>
            </w:r>
          </w:p>
        </w:tc>
        <w:tc>
          <w:tcPr>
            <w:tcW w:w="4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4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Class C common stock</w:t>
            </w:r>
          </w:p>
        </w:tc>
        <w:tc>
          <w:tcPr>
            <w:tcW w:w="7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0.00001</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Class D common stock</w:t>
            </w: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0.00001</w:t>
            </w:r>
          </w:p>
        </w:tc>
        <w:tc>
          <w:tcPr>
            <w:tcW w:w="4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4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239"/>
        <w:spacing w:after="0" w:line="263" w:lineRule="auto"/>
        <w:rPr>
          <w:sz w:val="20"/>
          <w:szCs w:val="20"/>
          <w:color w:val="auto"/>
        </w:rPr>
      </w:pPr>
      <w:r>
        <w:rPr>
          <w:rFonts w:ascii="Arial" w:cs="Arial" w:eastAsia="Arial" w:hAnsi="Arial"/>
          <w:sz w:val="18"/>
          <w:szCs w:val="18"/>
          <w:color w:val="auto"/>
        </w:rPr>
        <w:t>Holders of outstanding shares of Class A common stock, Class B common stock, Class C common stock and Class D common stock will vote together as a single class on all matters presented to the Corporation’s stockholders for their vote or approval, except as otherwise required by applicable law.</w:t>
      </w:r>
    </w:p>
    <w:p>
      <w:pPr>
        <w:spacing w:after="0" w:line="184" w:lineRule="exact"/>
        <w:rPr>
          <w:sz w:val="20"/>
          <w:szCs w:val="20"/>
          <w:color w:val="auto"/>
        </w:rPr>
      </w:pPr>
    </w:p>
    <w:p>
      <w:pPr>
        <w:ind w:left="40" w:right="59"/>
        <w:spacing w:after="0" w:line="288" w:lineRule="auto"/>
        <w:rPr>
          <w:sz w:val="20"/>
          <w:szCs w:val="20"/>
          <w:color w:val="auto"/>
        </w:rPr>
      </w:pPr>
      <w:r>
        <w:rPr>
          <w:rFonts w:ascii="Arial" w:cs="Arial" w:eastAsia="Arial" w:hAnsi="Arial"/>
          <w:sz w:val="16"/>
          <w:szCs w:val="16"/>
          <w:color w:val="auto"/>
        </w:rPr>
        <w:t>Holders of Class B common stock may from time to time exchange all or a portion of their shares of Class B common stock for newly issued shares of Class A common stock on a one-for-one basis (in which case their shares of Class B common stock will be cancelled on a one-for-one basis upon any such issuance). Continuing LLC Owners that hold shares of Class D common stock may from time to time exchange all or a portion of their shares of Class D common stock for newly issued shares of Class C common stock on a one-for-one basis (in which case their shares of Class D common stock will be cancelled on a one-for-one basis upon such issuance).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168" w:lineRule="exact"/>
        <w:rPr>
          <w:sz w:val="20"/>
          <w:szCs w:val="20"/>
          <w:color w:val="auto"/>
        </w:rPr>
      </w:pPr>
    </w:p>
    <w:p>
      <w:pPr>
        <w:ind w:left="40" w:right="59"/>
        <w:spacing w:after="0" w:line="271" w:lineRule="auto"/>
        <w:rPr>
          <w:sz w:val="20"/>
          <w:szCs w:val="20"/>
          <w:color w:val="auto"/>
        </w:rPr>
      </w:pPr>
      <w:r>
        <w:rPr>
          <w:rFonts w:ascii="Arial" w:cs="Arial" w:eastAsia="Arial" w:hAnsi="Arial"/>
          <w:sz w:val="17"/>
          <w:szCs w:val="17"/>
          <w:color w:val="auto"/>
        </w:rPr>
        <w:t>Each share of Class B common stock will automatically convert into one share of Class A common stock and each share of Class D common stock will automatically convert into one share of Class C common stock (i) immediately prior to any sale or other transfer of such share by a holder or its permitted transferees to a non-permitted transferee or (ii) once the Refinitiv Owners and their affiliates together no longer beneficially own a number of shares of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below (in which case their shares of Class C common stock will be cancelled on a one-for-one basis upon such issuance).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40" w:right="439"/>
        <w:spacing w:after="0" w:line="286" w:lineRule="auto"/>
        <w:rPr>
          <w:sz w:val="20"/>
          <w:szCs w:val="20"/>
          <w:color w:val="auto"/>
        </w:rPr>
      </w:pPr>
      <w:r>
        <w:rPr>
          <w:rFonts w:ascii="Arial" w:cs="Arial" w:eastAsia="Arial" w:hAnsi="Arial"/>
          <w:sz w:val="17"/>
          <w:szCs w:val="17"/>
          <w:color w:val="auto"/>
        </w:rPr>
        <w:t>In addition, the Corporation’s board of directors adopted the Omnibus Equity Plan, under which equity awards may be made in respect of shares of Class A common stock. It also assumed sponsorship of the Option Plan and a PRSU plan formerly sponsored by TWM LLC. See Note 10 – Stock-Based Compensation Plans.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Recapitalization of Tradeweb Markets LLC</w:t>
      </w:r>
    </w:p>
    <w:p>
      <w:pPr>
        <w:spacing w:after="0" w:line="225" w:lineRule="exact"/>
        <w:rPr>
          <w:sz w:val="20"/>
          <w:szCs w:val="20"/>
          <w:color w:val="auto"/>
        </w:rPr>
      </w:pPr>
    </w:p>
    <w:p>
      <w:pPr>
        <w:jc w:val="both"/>
        <w:ind w:left="40" w:right="279"/>
        <w:spacing w:after="0" w:line="263" w:lineRule="auto"/>
        <w:rPr>
          <w:sz w:val="20"/>
          <w:szCs w:val="20"/>
          <w:color w:val="auto"/>
        </w:rPr>
      </w:pPr>
      <w:r>
        <w:rPr>
          <w:rFonts w:ascii="Arial" w:cs="Arial" w:eastAsia="Arial" w:hAnsi="Arial"/>
          <w:sz w:val="18"/>
          <w:szCs w:val="18"/>
          <w:color w:val="auto"/>
        </w:rPr>
        <w:t>On April 4, 2019, the TWM LLC Agreement was amended and restated to, among other things, (i) provide for the LLC Interests, (ii) exchange all of the then existing membership interests in TWM LLC for LLC Interests and (iii) appoint the Corporation as the sole manager of TWM LLC.</w:t>
      </w:r>
    </w:p>
    <w:p>
      <w:pPr>
        <w:spacing w:after="0" w:line="184"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color w:val="auto"/>
        </w:rPr>
        <w:t>All of the shares of TWM LLC outstanding prior to the Reorganization Transactions were exchanged for 222,222,197 LLC Interests. TWM LLC’s outstanding shares prior to the Reorganization Transactions consisted of the following classes of shares: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20" w:type="dxa"/>
            <w:vAlign w:val="bottom"/>
            <w:tcBorders>
              <w:bottom w:val="single" w:sz="8" w:color="CCEEFF"/>
            </w:tcBorders>
          </w:tcPr>
          <w:p>
            <w:pPr>
              <w:spacing w:after="0"/>
              <w:rPr>
                <w:sz w:val="14"/>
                <w:szCs w:val="14"/>
                <w:color w:val="auto"/>
              </w:rPr>
            </w:pPr>
          </w:p>
        </w:tc>
        <w:tc>
          <w:tcPr>
            <w:tcW w:w="656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Shares</w:t>
            </w:r>
          </w:p>
        </w:tc>
      </w:tr>
      <w:tr>
        <w:trPr>
          <w:trHeight w:val="209"/>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Class A</w:t>
            </w:r>
          </w:p>
        </w:tc>
        <w:tc>
          <w:tcPr>
            <w:tcW w:w="65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146,333</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Class C</w:t>
            </w:r>
          </w:p>
        </w:tc>
        <w:tc>
          <w:tcPr>
            <w:tcW w:w="65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P (A)</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Class P (C)</w:t>
            </w:r>
          </w:p>
        </w:tc>
        <w:tc>
          <w:tcPr>
            <w:tcW w:w="1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89"/>
              </w:rPr>
              <w:t>Class P-1</w:t>
            </w:r>
          </w:p>
        </w:tc>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w w:val="89"/>
              </w:rPr>
              <w:t>Class P-1</w:t>
            </w:r>
          </w:p>
        </w:tc>
        <w:tc>
          <w:tcPr>
            <w:tcW w:w="6560" w:type="dxa"/>
            <w:vAlign w:val="bottom"/>
          </w:tcPr>
          <w:p>
            <w:pPr>
              <w:ind w:left="20"/>
              <w:spacing w:after="0"/>
              <w:rPr>
                <w:sz w:val="20"/>
                <w:szCs w:val="20"/>
                <w:color w:val="auto"/>
              </w:rPr>
            </w:pPr>
            <w:r>
              <w:rPr>
                <w:rFonts w:ascii="Arial" w:cs="Arial" w:eastAsia="Arial" w:hAnsi="Arial"/>
                <w:sz w:val="18"/>
                <w:szCs w:val="18"/>
                <w:color w:val="auto"/>
              </w:rPr>
              <w:t>(C)</w:t>
            </w:r>
          </w:p>
        </w:tc>
        <w:tc>
          <w:tcPr>
            <w:tcW w:w="1640" w:type="dxa"/>
            <w:vAlign w:val="bottom"/>
          </w:tcPr>
          <w:p>
            <w:pPr>
              <w:jc w:val="right"/>
              <w:spacing w:after="0"/>
              <w:rPr>
                <w:sz w:val="20"/>
                <w:szCs w:val="20"/>
                <w:color w:val="auto"/>
              </w:rPr>
            </w:pPr>
            <w:r>
              <w:rPr>
                <w:rFonts w:ascii="Arial" w:cs="Arial" w:eastAsia="Arial" w:hAnsi="Arial"/>
                <w:sz w:val="18"/>
                <w:szCs w:val="18"/>
                <w:color w:val="auto"/>
              </w:rPr>
              <w:t>232</w:t>
            </w:r>
          </w:p>
        </w:tc>
      </w:tr>
    </w:tbl>
    <w:p>
      <w:pPr>
        <w:spacing w:after="0" w:line="187" w:lineRule="exact"/>
        <w:rPr>
          <w:sz w:val="20"/>
          <w:szCs w:val="20"/>
          <w:color w:val="auto"/>
        </w:rPr>
      </w:pPr>
    </w:p>
    <w:p>
      <w:pPr>
        <w:ind w:left="40" w:right="199"/>
        <w:spacing w:after="0" w:line="257" w:lineRule="auto"/>
        <w:rPr>
          <w:sz w:val="20"/>
          <w:szCs w:val="20"/>
          <w:color w:val="auto"/>
        </w:rPr>
      </w:pPr>
      <w:r>
        <w:rPr>
          <w:rFonts w:ascii="Arial" w:cs="Arial" w:eastAsia="Arial" w:hAnsi="Arial"/>
          <w:sz w:val="18"/>
          <w:szCs w:val="18"/>
          <w:color w:val="auto"/>
        </w:rPr>
        <w:t>The TWM LLC Agreement requires that TWM LLC at all times maintain (i) a one-to-one ratio between the number of shares of Class A common stock and Class B common stock issued by the Corporation and the number of LLC Interests owned by the Corporation and (ii) a one-to-one ratio between the number of shares of Class C common stock and Class D common stock issued by the Corporation and the number of LLC Interests owned by the holders of such Class C common stock and Class D common stock.</w:t>
      </w:r>
    </w:p>
    <w:p>
      <w:pPr>
        <w:spacing w:after="0" w:line="188" w:lineRule="exact"/>
        <w:rPr>
          <w:sz w:val="20"/>
          <w:szCs w:val="20"/>
          <w:color w:val="auto"/>
        </w:rPr>
      </w:pPr>
    </w:p>
    <w:p>
      <w:pPr>
        <w:ind w:left="40" w:right="139"/>
        <w:spacing w:after="0" w:line="288" w:lineRule="auto"/>
        <w:rPr>
          <w:sz w:val="20"/>
          <w:szCs w:val="20"/>
          <w:color w:val="auto"/>
        </w:rPr>
      </w:pPr>
      <w:r>
        <w:rPr>
          <w:rFonts w:ascii="Arial" w:cs="Arial" w:eastAsia="Arial" w:hAnsi="Arial"/>
          <w:sz w:val="16"/>
          <w:szCs w:val="16"/>
          <w:color w:val="auto"/>
        </w:rPr>
        <w:t>LLC Interests held by Continuing LLC Owners are redeemable in accordance with the TWM LLC Agreement, at the election of such holders, for newly issued shares of Class A common stock or Class B common stock, as the case may be, on a one-for-one basis (and such holders’ shares of Class C common stock or Class D common stock, as the case may be, will be cancelled on a one-for-one basis upon any such issuance). In the event of such election by a Continuing LLC Owner, the Corporation may, at its option, effect a direct exchange of Class A common stock or Class B common stock for such LLC Interests of such Continuing LLC Owner in lieu of such redemption. In addition, the Corporation’s board of directors may, at its option, instead of the foregoing redemptions or exchanges of LLC Interests, cause the Corporation to make a cash payment equal to the volume weighted average market price of one share of Class A common stock for each LLC Interest redeemed or exchanged (subject to customary adjustments, including for stock splits, stock dividends and reclassifications) in accordance with the terms of the TWM LLC Agreement.</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Issuance and Cancellation of Common Stock</w:t>
      </w:r>
    </w:p>
    <w:p>
      <w:pPr>
        <w:spacing w:after="0" w:line="225" w:lineRule="exact"/>
        <w:rPr>
          <w:sz w:val="20"/>
          <w:szCs w:val="20"/>
          <w:color w:val="auto"/>
        </w:rPr>
      </w:pPr>
    </w:p>
    <w:p>
      <w:pPr>
        <w:ind w:left="700" w:right="419" w:hanging="332"/>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a result of the Refinitiv Contribution, the Corporation received 96,933,192 LLC Interests and the Refinitiv Direct Owner received 96,933,192 shares of Class B common stock.</w:t>
      </w:r>
    </w:p>
    <w:p>
      <w:pPr>
        <w:spacing w:after="0" w:line="170" w:lineRule="exact"/>
        <w:rPr>
          <w:rFonts w:ascii="Arial" w:cs="Arial" w:eastAsia="Arial" w:hAnsi="Arial"/>
          <w:sz w:val="18"/>
          <w:szCs w:val="18"/>
          <w:color w:val="auto"/>
        </w:rPr>
      </w:pPr>
    </w:p>
    <w:p>
      <w:pPr>
        <w:ind w:left="700" w:right="179" w:hanging="332"/>
        <w:spacing w:after="0" w:line="293" w:lineRule="auto"/>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Corporation issued 20,000,000 shares of Class C common stock and 105,289,005 shares of Class D common stock to the Original LLC Owners that received LLC Interests on a one-to-one basis with the number of LLC Interests they owned immediately following the amendment and restatement of the TWM LLC Agreement for nominal consideration (the Corporation subsequently cancelled 9,993,731 shares of such Class C common stock and 36,006,269 shares of such Class D common stock in connection with the Corporation’s purchase of LLC Interests from certain of the Bank Stockholders using the net proceeds of the IPO).</w:t>
      </w:r>
    </w:p>
    <w:p>
      <w:pPr>
        <w:spacing w:after="0" w:line="164" w:lineRule="exact"/>
        <w:rPr>
          <w:sz w:val="20"/>
          <w:szCs w:val="20"/>
          <w:color w:val="auto"/>
        </w:rPr>
      </w:pPr>
    </w:p>
    <w:p>
      <w:pPr>
        <w:ind w:left="40" w:right="619"/>
        <w:spacing w:after="0" w:line="342" w:lineRule="auto"/>
        <w:rPr>
          <w:sz w:val="20"/>
          <w:szCs w:val="20"/>
          <w:color w:val="auto"/>
        </w:rPr>
      </w:pPr>
      <w:r>
        <w:rPr>
          <w:rFonts w:ascii="Arial" w:cs="Arial" w:eastAsia="Arial" w:hAnsi="Arial"/>
          <w:sz w:val="16"/>
          <w:szCs w:val="16"/>
          <w:color w:val="auto"/>
        </w:rPr>
        <w:t>Following the completion of the Reorganization Transactions, including the IPO and the application of the proceeds therefrom as described above, (i) the investors in the IPO collectively owned 46,000,000 shares of Class A common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69" w:lineRule="auto"/>
        <w:rPr>
          <w:sz w:val="20"/>
          <w:szCs w:val="20"/>
          <w:color w:val="auto"/>
        </w:rPr>
      </w:pPr>
      <w:r>
        <w:rPr>
          <w:rFonts w:ascii="Arial" w:cs="Arial" w:eastAsia="Arial" w:hAnsi="Arial"/>
          <w:sz w:val="17"/>
          <w:szCs w:val="17"/>
          <w:color w:val="auto"/>
        </w:rPr>
        <w:t>stock, representing 2.7% of the combined voting power of all of the Corporation’s common stock and, through the Corporation’s ownership of LLC Interests, 20.7% of the economic interest in TWM LLC; (ii) the Refinitiv Direct Owner owned 96,933,192 shares of Class B common stock, representing 56.4% of the combined voting power of all of the Corporation’s common stock and, through the Corporation’s ownership of LLC Interests, 43.6% of the economic interest in TWM LLC; (iii) the Refinitiv LLC Owner owned 22,988,329 shares of Class D common stock, representing 13.4% of the combined voting power of all of the Corporation’s common stock, and 22,988,329 LLC Interests, representing 10.3% of the economic interest in TWM LLC, (iv) the Continuing LLC Owners (other than the Refinitiv LLC Owner) collectively owned 10,006,269 shares of Class C common stock and 46,294,407 shares of Class D common stock, representing 27.5% of the combined voting power of all of the Corporation’s common stock, and 56,300,676 LLC Interests, representing 25.3% of the economic interest in TWM LLC; and (v) the Corporation owned 142,933,192 LLC Interests, representing 64.3% of the economic interest in TWM LLC.</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October 2019 Follow-On Offering</w:t>
      </w:r>
    </w:p>
    <w:p>
      <w:pPr>
        <w:spacing w:after="0" w:line="229"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In the fourth quarter of 2019, Tradeweb Markets Inc. completed an underwritten follow-on offering of 19,881,059 shares of Class A Common stock at a public offering price of $42.00 per share, which included 2,593,181 shares of Class A common stock issued pursuant to the underwriters’ option to purchase additional shares of Class A common stock. Tradeweb Markets Inc. received net proceeds of $810.0 million, after deducting underwriting discounts and commissions but before deducting estimated offering expenses, which were used to purchase (i) 19,835,666 issued and outstanding LLC Interests from certain of the Bank Stockholders and certain of our executive officers (and the corresponding shares of Class C common stock and/or Class D common stock held by such holders were cancelled) and (ii) 45,393 issued and outstanding shares of Class A common stock from certain of our executive officers (which shares of Class A common stock were cancelled), at a purchase price per interest and share equal to the public offering price of $42.00, less the underwriting discounts and commissions payable thereon.</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Redemptions and Exchanges of LLC Interests</w:t>
      </w:r>
    </w:p>
    <w:p>
      <w:pPr>
        <w:spacing w:after="0" w:line="229" w:lineRule="exact"/>
        <w:rPr>
          <w:sz w:val="20"/>
          <w:szCs w:val="20"/>
          <w:color w:val="auto"/>
        </w:rPr>
      </w:pPr>
    </w:p>
    <w:p>
      <w:pPr>
        <w:ind w:left="40" w:right="159"/>
        <w:spacing w:after="0" w:line="254" w:lineRule="auto"/>
        <w:rPr>
          <w:sz w:val="20"/>
          <w:szCs w:val="20"/>
          <w:color w:val="auto"/>
        </w:rPr>
      </w:pPr>
      <w:r>
        <w:rPr>
          <w:rFonts w:ascii="Arial" w:cs="Arial" w:eastAsia="Arial" w:hAnsi="Arial"/>
          <w:sz w:val="18"/>
          <w:szCs w:val="18"/>
          <w:color w:val="auto"/>
        </w:rPr>
        <w:t>In addition to the IPO and the October 2019 follow-on offering transactions described above, during the three months ended March 31, 2020, certain Continuing LLC Owners exercised their redemption rights under the TWM LLC Agreement, pursuant to which 1,920,941 LLC Interests were exchanged for 1,920,941 newly-issued shares of Class A common stock. Simultaneously, and in connection with these exchanges, 939,000 shares of Class C common stock and 981,941 shares of Class D common stock were surrendered by these Continuing LLC Owners and cancelled. Additionally, in connection with these exchanges, Tradeweb Markets Inc. received 1,920,941 LLC Interests, increasing its total ownership interest in TWM LLC.</w:t>
      </w:r>
    </w:p>
    <w:p>
      <w:pPr>
        <w:spacing w:after="0" w:line="195" w:lineRule="exact"/>
        <w:rPr>
          <w:sz w:val="20"/>
          <w:szCs w:val="20"/>
          <w:color w:val="auto"/>
        </w:rPr>
      </w:pPr>
    </w:p>
    <w:p>
      <w:pPr>
        <w:ind w:left="40" w:right="459"/>
        <w:spacing w:after="0" w:line="277" w:lineRule="auto"/>
        <w:rPr>
          <w:sz w:val="20"/>
          <w:szCs w:val="20"/>
          <w:color w:val="auto"/>
        </w:rPr>
      </w:pPr>
      <w:r>
        <w:rPr>
          <w:rFonts w:ascii="Arial" w:cs="Arial" w:eastAsia="Arial" w:hAnsi="Arial"/>
          <w:sz w:val="18"/>
          <w:szCs w:val="18"/>
          <w:color w:val="auto"/>
        </w:rPr>
        <w:t>As a result of the Reorganization Transactions, the IPO, the October 2019 follow-on offering and other exchanges and equity activity, as of March 31, 2020:</w:t>
      </w:r>
    </w:p>
    <w:p>
      <w:pPr>
        <w:spacing w:after="0" w:line="170" w:lineRule="exact"/>
        <w:rPr>
          <w:sz w:val="20"/>
          <w:szCs w:val="20"/>
          <w:color w:val="auto"/>
        </w:rPr>
      </w:pPr>
    </w:p>
    <w:p>
      <w:pPr>
        <w:ind w:left="700" w:right="319" w:hanging="332"/>
        <w:spacing w:after="0" w:line="286" w:lineRule="auto"/>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public investors collectively owned 70,670,440 shares of our Class A common stock, representing 4.6% of the combined voting power of Tradeweb Markets Inc.’s issued and outstanding common stock and indirectly, through Tradeweb Markets Inc., owned 31.4% of the economic interest in TWM LLC;</w:t>
      </w:r>
    </w:p>
    <w:p>
      <w:pPr>
        <w:spacing w:after="0" w:line="165" w:lineRule="exact"/>
        <w:rPr>
          <w:rFonts w:ascii="Arial" w:cs="Arial" w:eastAsia="Arial" w:hAnsi="Arial"/>
          <w:sz w:val="17"/>
          <w:szCs w:val="17"/>
          <w:color w:val="auto"/>
        </w:rPr>
      </w:pPr>
    </w:p>
    <w:p>
      <w:pPr>
        <w:ind w:left="700" w:right="179" w:hanging="332"/>
        <w:spacing w:after="0" w:line="259"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Refinitiv collectively owned 96,933,192 shares of our Class B common stock and 22,988,329 shares of our Class D common stock, representing 77.6% of the combined voting power of Tradeweb Markets Inc.’s issued and outstanding common stock and directly and indirectly, through Tradeweb Markets Inc., owned 53.3% of the economic interest in TWM LLC; and</w:t>
      </w:r>
    </w:p>
    <w:p>
      <w:pPr>
        <w:spacing w:after="0" w:line="213" w:lineRule="exact"/>
        <w:rPr>
          <w:rFonts w:ascii="Arial" w:cs="Arial" w:eastAsia="Arial" w:hAnsi="Arial"/>
          <w:sz w:val="18"/>
          <w:szCs w:val="18"/>
          <w:color w:val="auto"/>
        </w:rPr>
      </w:pPr>
    </w:p>
    <w:p>
      <w:pPr>
        <w:ind w:left="700" w:right="219" w:hanging="332"/>
        <w:spacing w:after="0" w:line="279" w:lineRule="auto"/>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Bank Stockholders that continue to own LLC Interests collectively owned 7,389,983 shares of our Class C common stock and 26,730,623 shares of our Class D common stock, representing 17.8% of the combined voting power of Tradeweb Markets Inc.’s issued and outstanding common stock and directly and indirectly, through Tradeweb Markets Inc., owned 15.2% of the economic interest in TWM LLC.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20" w:hanging="576"/>
        <w:spacing w:after="0"/>
        <w:tabs>
          <w:tab w:leader="none" w:pos="6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ind w:left="40" w:right="99"/>
        <w:spacing w:after="0" w:line="254" w:lineRule="auto"/>
        <w:rPr>
          <w:sz w:val="20"/>
          <w:szCs w:val="20"/>
          <w:color w:val="auto"/>
        </w:rPr>
      </w:pPr>
      <w:r>
        <w:rPr>
          <w:rFonts w:ascii="Arial" w:cs="Arial" w:eastAsia="Arial" w:hAnsi="Arial"/>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consolidated financial statements. The non-controlling interests balance reported on the consolidated statements of financial condition represents the economic interests of TWM LLC held by the holders of LLC Interests other than Tradeweb Markets Inc. Income or loss is attributed to the non-controlling interests based on the relative ownership percentages of LLC Interests held during the period by Tradeweb Markets Inc. and the other holders of LLC Interests.</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the ownership interest in Tradeweb Markets LLC:</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96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w w:val="96"/>
              </w:rPr>
              <w:t>March 31, 2020</w:t>
            </w:r>
          </w:p>
        </w:tc>
        <w:tc>
          <w:tcPr>
            <w:tcW w:w="940" w:type="dxa"/>
            <w:vAlign w:val="bottom"/>
            <w:tcBorders>
              <w:bottom w:val="single" w:sz="8" w:color="auto"/>
            </w:tcBorders>
          </w:tcPr>
          <w:p>
            <w:pPr>
              <w:spacing w:after="0"/>
              <w:rPr>
                <w:sz w:val="14"/>
                <w:szCs w:val="14"/>
                <w:color w:val="auto"/>
              </w:rPr>
            </w:pPr>
          </w:p>
        </w:tc>
      </w:tr>
      <w:tr>
        <w:trPr>
          <w:trHeight w:val="119"/>
        </w:trPr>
        <w:tc>
          <w:tcPr>
            <w:tcW w:w="6020" w:type="dxa"/>
            <w:vAlign w:val="bottom"/>
          </w:tcPr>
          <w:p>
            <w:pPr>
              <w:spacing w:after="0"/>
              <w:rPr>
                <w:sz w:val="10"/>
                <w:szCs w:val="10"/>
                <w:color w:val="auto"/>
              </w:rPr>
            </w:pPr>
          </w:p>
        </w:tc>
        <w:tc>
          <w:tcPr>
            <w:tcW w:w="196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rPr>
              <w:t>LLC</w:t>
            </w:r>
          </w:p>
        </w:tc>
        <w:tc>
          <w:tcPr>
            <w:tcW w:w="940" w:type="dxa"/>
            <w:vAlign w:val="bottom"/>
          </w:tcPr>
          <w:p>
            <w:pPr>
              <w:jc w:val="right"/>
              <w:ind w:right="158"/>
              <w:spacing w:after="0" w:line="119" w:lineRule="exact"/>
              <w:rPr>
                <w:sz w:val="20"/>
                <w:szCs w:val="20"/>
                <w:color w:val="auto"/>
              </w:rPr>
            </w:pPr>
            <w:r>
              <w:rPr>
                <w:rFonts w:ascii="Arial" w:cs="Arial" w:eastAsia="Arial" w:hAnsi="Arial"/>
                <w:sz w:val="13"/>
                <w:szCs w:val="13"/>
                <w:b w:val="1"/>
                <w:bCs w:val="1"/>
                <w:color w:val="auto"/>
              </w:rPr>
              <w:t>Ownership</w:t>
            </w:r>
          </w:p>
        </w:tc>
      </w:tr>
      <w:tr>
        <w:trPr>
          <w:trHeight w:val="171"/>
        </w:trPr>
        <w:tc>
          <w:tcPr>
            <w:tcW w:w="6020" w:type="dxa"/>
            <w:vAlign w:val="bottom"/>
          </w:tcPr>
          <w:p>
            <w:pPr>
              <w:spacing w:after="0"/>
              <w:rPr>
                <w:sz w:val="14"/>
                <w:szCs w:val="14"/>
                <w:color w:val="auto"/>
              </w:rPr>
            </w:pPr>
          </w:p>
        </w:tc>
        <w:tc>
          <w:tcPr>
            <w:tcW w:w="19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Interests</w:t>
            </w:r>
          </w:p>
        </w:tc>
        <w:tc>
          <w:tcPr>
            <w:tcW w:w="940" w:type="dxa"/>
            <w:vAlign w:val="bottom"/>
          </w:tcPr>
          <w:p>
            <w:pPr>
              <w:jc w:val="right"/>
              <w:ind w:right="418"/>
              <w:spacing w:after="0"/>
              <w:rPr>
                <w:sz w:val="20"/>
                <w:szCs w:val="20"/>
                <w:color w:val="auto"/>
              </w:rPr>
            </w:pPr>
            <w:r>
              <w:rPr>
                <w:rFonts w:ascii="Arial" w:cs="Arial" w:eastAsia="Arial" w:hAnsi="Arial"/>
                <w:sz w:val="14"/>
                <w:szCs w:val="14"/>
                <w:b w:val="1"/>
                <w:bCs w:val="1"/>
                <w:color w:val="auto"/>
              </w:rPr>
              <w:t>%</w:t>
            </w: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LLC Interests held by Tradeweb Markets Inc.</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167,603,632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16"/>
        </w:trPr>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Number of LLC Interests held by non-controlling interests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57,261,214</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217"/>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LLC Interests outstanding</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224,864,846</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left="40" w:right="119"/>
        <w:spacing w:after="0" w:line="259" w:lineRule="auto"/>
        <w:rPr>
          <w:sz w:val="20"/>
          <w:szCs w:val="20"/>
          <w:color w:val="auto"/>
        </w:rPr>
      </w:pPr>
      <w:r>
        <w:rPr>
          <w:rFonts w:ascii="Arial" w:cs="Arial" w:eastAsia="Arial" w:hAnsi="Arial"/>
          <w:sz w:val="18"/>
          <w:szCs w:val="18"/>
          <w:color w:val="auto"/>
        </w:rPr>
        <w:t>LLC Interests held by the Continuing LLC Owners are redeemable in accordance with the TWM LLC Agreement at the election of the members for shares of Class A common stock or Class B common stock, on a one-for-one basis or, at the Company's option, a cash payment in accordance with the terms of the TWM LLC Agreement. See Note 8 – Stockholders’ Equity.</w:t>
      </w:r>
    </w:p>
    <w:p>
      <w:pPr>
        <w:spacing w:after="0" w:line="187"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The following table summarizes the impact on equity due to changes in the Corporation’s ownership interest in Tradeweb Markets LLC (in thousands):</w:t>
      </w:r>
    </w:p>
    <w:p>
      <w:pPr>
        <w:sectPr>
          <w:pgSz w:w="11900" w:h="16838" w:orient="portrait"/>
          <w:cols w:equalWidth="0" w:num="1">
            <w:col w:w="9019"/>
          </w:cols>
          <w:pgMar w:left="1440" w:top="125" w:right="1440" w:bottom="1440" w:gutter="0" w:footer="0" w:header="0"/>
        </w:sect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Income Attributable to Tradeweb Markets Inc. and Transfers (to) from the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13970</wp:posOffset>
            </wp:positionV>
            <wp:extent cx="565785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46050"/>
                    </a:xfrm>
                    <a:prstGeom prst="rect">
                      <a:avLst/>
                    </a:prstGeom>
                    <a:noFill/>
                  </pic:spPr>
                </pic:pic>
              </a:graphicData>
            </a:graphic>
          </wp:anchor>
        </w:drawing>
      </w:r>
    </w:p>
    <w:p>
      <w:pPr>
        <w:spacing w:after="0" w:line="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attributable to Tradeweb Markets Inc.</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Transfers (to) from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260" w:right="1475"/>
        <w:spacing w:after="0" w:line="250" w:lineRule="auto"/>
        <w:rPr>
          <w:sz w:val="20"/>
          <w:szCs w:val="20"/>
          <w:color w:val="auto"/>
        </w:rPr>
      </w:pPr>
      <w:r>
        <w:rPr>
          <w:rFonts w:ascii="Arial" w:cs="Arial" w:eastAsia="Arial" w:hAnsi="Arial"/>
          <w:sz w:val="18"/>
          <w:szCs w:val="18"/>
          <w:color w:val="auto"/>
        </w:rPr>
        <w:t>Change in non-controlling interests as a result of ownership changes Net transfers (to) from non-controlling interests</w:t>
      </w:r>
    </w:p>
    <w:p>
      <w:pPr>
        <w:spacing w:after="0" w:line="1" w:lineRule="exact"/>
        <w:rPr>
          <w:sz w:val="20"/>
          <w:szCs w:val="20"/>
          <w:color w:val="auto"/>
        </w:rPr>
      </w:pPr>
    </w:p>
    <w:p>
      <w:pPr>
        <w:ind w:left="40" w:right="15"/>
        <w:spacing w:after="0" w:line="276" w:lineRule="auto"/>
        <w:rPr>
          <w:sz w:val="20"/>
          <w:szCs w:val="20"/>
          <w:color w:val="auto"/>
        </w:rPr>
      </w:pPr>
      <w:r>
        <w:rPr>
          <w:rFonts w:ascii="Arial" w:cs="Arial" w:eastAsia="Arial" w:hAnsi="Arial"/>
          <w:sz w:val="18"/>
          <w:szCs w:val="18"/>
          <w:color w:val="auto"/>
        </w:rPr>
        <w:t>Change from net income attributable to Tradeweb Markets Inc. and transfers (to) from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-293370</wp:posOffset>
            </wp:positionV>
            <wp:extent cx="5657850" cy="282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82575"/>
                    </a:xfrm>
                    <a:prstGeom prst="rect">
                      <a:avLst/>
                    </a:prstGeom>
                    <a:noFill/>
                  </pic:spPr>
                </pic:pic>
              </a:graphicData>
            </a:graphic>
          </wp:anchor>
        </w:drawing>
      </w:r>
    </w:p>
    <w:p>
      <w:pPr>
        <w:spacing w:after="0" w:line="269" w:lineRule="exact"/>
        <w:rPr>
          <w:sz w:val="20"/>
          <w:szCs w:val="20"/>
          <w:color w:val="auto"/>
        </w:rPr>
      </w:pPr>
    </w:p>
    <w:p>
      <w:pPr>
        <w:ind w:left="720" w:hanging="676"/>
        <w:spacing w:after="0"/>
        <w:tabs>
          <w:tab w:leader="none" w:pos="7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74"/>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right="74"/>
        <w:spacing w:after="0"/>
        <w:rPr>
          <w:sz w:val="20"/>
          <w:szCs w:val="20"/>
          <w:color w:val="auto"/>
        </w:rPr>
      </w:pPr>
      <w:r>
        <w:rPr>
          <w:rFonts w:ascii="Arial" w:cs="Arial" w:eastAsia="Arial" w:hAnsi="Arial"/>
          <w:sz w:val="14"/>
          <w:szCs w:val="14"/>
          <w:b w:val="1"/>
          <w:bCs w:val="1"/>
          <w:color w:val="auto"/>
        </w:rPr>
        <w:t>March 31, 2020</w:t>
      </w:r>
    </w:p>
    <w:p>
      <w:pPr>
        <w:spacing w:after="0" w:line="9" w:lineRule="exact"/>
        <w:rPr>
          <w:sz w:val="20"/>
          <w:szCs w:val="20"/>
          <w:color w:val="auto"/>
        </w:rPr>
      </w:pPr>
    </w:p>
    <w:p>
      <w:pPr>
        <w:ind w:left="1025" w:hanging="1025"/>
        <w:spacing w:after="0"/>
        <w:tabs>
          <w:tab w:leader="none" w:pos="1025" w:val="left"/>
        </w:tabs>
        <w:numPr>
          <w:ilvl w:val="0"/>
          <w:numId w:val="29"/>
        </w:numPr>
        <w:rPr>
          <w:rFonts w:ascii="Arial" w:cs="Arial" w:eastAsia="Arial" w:hAnsi="Arial"/>
          <w:sz w:val="16"/>
          <w:szCs w:val="16"/>
          <w:color w:val="auto"/>
        </w:rPr>
      </w:pPr>
      <w:r>
        <w:rPr>
          <w:rFonts w:ascii="Arial" w:cs="Arial" w:eastAsia="Arial" w:hAnsi="Arial"/>
          <w:sz w:val="16"/>
          <w:szCs w:val="16"/>
          <w:color w:val="auto"/>
        </w:rPr>
        <w:t>43,928</w:t>
      </w:r>
    </w:p>
    <w:p>
      <w:pPr>
        <w:spacing w:after="0" w:line="232"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45,443</w:t>
      </w:r>
    </w:p>
    <w:p>
      <w:pPr>
        <w:spacing w:after="0" w:line="4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45,443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10033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14" w:lineRule="exact"/>
        <w:rPr>
          <w:sz w:val="20"/>
          <w:szCs w:val="20"/>
          <w:color w:val="auto"/>
        </w:rPr>
      </w:pPr>
    </w:p>
    <w:p>
      <w:pPr>
        <w:ind w:left="1025" w:hanging="1025"/>
        <w:spacing w:after="0"/>
        <w:tabs>
          <w:tab w:leader="none" w:pos="1025" w:val="left"/>
        </w:tabs>
        <w:numPr>
          <w:ilvl w:val="0"/>
          <w:numId w:val="30"/>
        </w:numPr>
        <w:rPr>
          <w:rFonts w:ascii="Arial" w:cs="Arial" w:eastAsia="Arial" w:hAnsi="Arial"/>
          <w:sz w:val="16"/>
          <w:szCs w:val="16"/>
          <w:color w:val="auto"/>
        </w:rPr>
      </w:pPr>
      <w:r>
        <w:rPr>
          <w:rFonts w:ascii="Arial" w:cs="Arial" w:eastAsia="Arial" w:hAnsi="Arial"/>
          <w:sz w:val="16"/>
          <w:szCs w:val="16"/>
          <w:color w:val="auto"/>
        </w:rPr>
        <w:t>89,371</w:t>
      </w:r>
    </w:p>
    <w:p>
      <w:pPr>
        <w:spacing w:after="0" w:line="785" w:lineRule="exact"/>
        <w:rPr>
          <w:sz w:val="20"/>
          <w:szCs w:val="20"/>
          <w:color w:val="auto"/>
        </w:rPr>
      </w:pPr>
    </w:p>
    <w:p>
      <w:pPr>
        <w:sectPr>
          <w:pgSz w:w="11900" w:h="16838" w:orient="portrait"/>
          <w:cols w:equalWidth="0" w:num="2">
            <w:col w:w="6655" w:space="720"/>
            <w:col w:w="1645"/>
          </w:cols>
          <w:pgMar w:left="1440" w:top="125" w:right="1440" w:bottom="1440" w:gutter="0" w:footer="0" w:header="0"/>
          <w:type w:val="continuous"/>
        </w:sectPr>
      </w:pPr>
    </w:p>
    <w:p>
      <w:pPr>
        <w:spacing w:after="0" w:line="29" w:lineRule="exact"/>
        <w:rPr>
          <w:sz w:val="20"/>
          <w:szCs w:val="20"/>
          <w:color w:val="auto"/>
        </w:rPr>
      </w:pPr>
    </w:p>
    <w:p>
      <w:pPr>
        <w:ind w:left="40" w:right="119"/>
        <w:spacing w:after="0" w:line="275" w:lineRule="auto"/>
        <w:rPr>
          <w:sz w:val="20"/>
          <w:szCs w:val="20"/>
          <w:color w:val="auto"/>
        </w:rPr>
      </w:pPr>
      <w:r>
        <w:rPr>
          <w:rFonts w:ascii="Arial" w:cs="Arial" w:eastAsia="Arial" w:hAnsi="Arial"/>
          <w:sz w:val="17"/>
          <w:szCs w:val="17"/>
          <w:color w:val="auto"/>
        </w:rPr>
        <w:t>Under the Omnibus Equity Plan, the Company is authorized to issue up to 8,841,864 new shares of Class A common stock to employees, officers and non-employee directors. Under this plan, the Company may grant awards in respect of shares of Class A common stock, including performance-based restricted share units (“PRSUs”), stock options, restricted stock units (“RSUs”) and dividend equivalent rights. The awards may have performance-based and time-based vesting conditions. Stock options have a maximum contractual term of 10 years.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PRSUs (Equity-Settled)</w:t>
      </w:r>
    </w:p>
    <w:p>
      <w:pPr>
        <w:spacing w:after="0" w:line="225" w:lineRule="exact"/>
        <w:rPr>
          <w:sz w:val="20"/>
          <w:szCs w:val="20"/>
          <w:color w:val="auto"/>
        </w:rPr>
      </w:pPr>
    </w:p>
    <w:p>
      <w:pPr>
        <w:ind w:left="40" w:right="179"/>
        <w:spacing w:after="0" w:line="296" w:lineRule="auto"/>
        <w:rPr>
          <w:sz w:val="20"/>
          <w:szCs w:val="20"/>
          <w:color w:val="auto"/>
        </w:rPr>
      </w:pPr>
      <w:r>
        <w:rPr>
          <w:rFonts w:ascii="Arial" w:cs="Arial" w:eastAsia="Arial" w:hAnsi="Arial"/>
          <w:sz w:val="16"/>
          <w:szCs w:val="16"/>
          <w:color w:val="auto"/>
        </w:rPr>
        <w:t>Equity-settled PRSUs are promises to issue shares of Class A common stock at the end of a three-year cliff vesting period. The fair value of the equity-settled PRSUs is calculated on the grant date using the stock price of the Class A common stock. The number of shares a participant will receive upon vesting is determined in part based on a performance modifier, which is adjusted in accordance with the financial performance of the Company in the grant year. The performance modifier may vary between 0% (minimum) and 200% (maximum) of the target (100%) award amount.</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information for equity-settled PRSUs of the Company:</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PRSUs (Equity-Settled)</w:t>
            </w:r>
          </w:p>
        </w:tc>
        <w:tc>
          <w:tcPr>
            <w:tcW w:w="22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71"/>
        </w:trPr>
        <w:tc>
          <w:tcPr>
            <w:tcW w:w="56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PRSUs (equity-settled) granted</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Weighted-average grant-date fair value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38.87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31,563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PRSUs (equity-settled) compensation expense (in thousands)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Income tax expense (benefit) (in thousands)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(5,492)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Unrecognized compensation expense (in thousands)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rPr>
              <w:t>Weighted-average recognition period for unrecognized compensation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expense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2.14 years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PRSUs (Cash-Settled)</w:t>
      </w:r>
    </w:p>
    <w:p>
      <w:pPr>
        <w:spacing w:after="0" w:line="225" w:lineRule="exact"/>
        <w:rPr>
          <w:sz w:val="20"/>
          <w:szCs w:val="20"/>
          <w:color w:val="auto"/>
        </w:rPr>
      </w:pPr>
    </w:p>
    <w:p>
      <w:pPr>
        <w:ind w:left="40" w:right="59"/>
        <w:spacing w:after="0" w:line="275" w:lineRule="auto"/>
        <w:rPr>
          <w:sz w:val="20"/>
          <w:szCs w:val="20"/>
          <w:color w:val="auto"/>
        </w:rPr>
      </w:pPr>
      <w:r>
        <w:rPr>
          <w:rFonts w:ascii="Arial" w:cs="Arial" w:eastAsia="Arial" w:hAnsi="Arial"/>
          <w:sz w:val="17"/>
          <w:szCs w:val="17"/>
          <w:color w:val="auto"/>
        </w:rPr>
        <w:t>The Company previously granted cash-settled PRSUs, some of which are still outstanding and are accounted for as liability awards. The Company measures the cost of employee services received in exchange for the award based on the fair value of the Company and the value of accumulated dividend rights associated with each award. The fair value of that award is remeasured subsequently at each reporting date through to settlement. Changes in the award's fair value during the requisite service period is recognized as compensation cost over that period.</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information for cash-settled PRSUs: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PRSUs (Cash-Settled)</w:t>
            </w:r>
          </w:p>
        </w:tc>
        <w:tc>
          <w:tcPr>
            <w:tcW w:w="240" w:type="dxa"/>
            <w:vAlign w:val="bottom"/>
          </w:tcPr>
          <w:p>
            <w:pPr>
              <w:spacing w:after="0"/>
              <w:rPr>
                <w:sz w:val="14"/>
                <w:szCs w:val="14"/>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2020</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March 31, 2019</w:t>
            </w:r>
          </w:p>
        </w:tc>
        <w:tc>
          <w:tcPr>
            <w:tcW w:w="0" w:type="dxa"/>
            <w:vAlign w:val="bottom"/>
          </w:tcPr>
          <w:p>
            <w:pPr>
              <w:spacing w:after="0"/>
              <w:rPr>
                <w:sz w:val="1"/>
                <w:szCs w:val="1"/>
                <w:color w:val="auto"/>
              </w:rPr>
            </w:pPr>
          </w:p>
        </w:tc>
      </w:tr>
      <w:tr>
        <w:trPr>
          <w:trHeight w:val="209"/>
        </w:trPr>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PRSUs (cash-settled) granted</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Weighted-average grant-date fair value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PRSUs (cash-settled) compensation expense (in thousands)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Income tax expense (benefit) (in thousands)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Unrecognized compensation expense (in thousands)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w w:val="90"/>
              </w:rPr>
              <w:t>Weighted-average recognition period for unrecognized compensation expense</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ind w:left="420"/>
              <w:spacing w:after="0"/>
              <w:rPr>
                <w:sz w:val="20"/>
                <w:szCs w:val="20"/>
                <w:color w:val="auto"/>
              </w:rPr>
            </w:pPr>
            <w:r>
              <w:rPr>
                <w:rFonts w:ascii="Arial" w:cs="Arial" w:eastAsia="Arial" w:hAnsi="Arial"/>
                <w:sz w:val="18"/>
                <w:szCs w:val="18"/>
                <w:color w:val="auto"/>
              </w:rPr>
              <w:t>0.75 years</w:t>
            </w:r>
          </w:p>
        </w:tc>
        <w:tc>
          <w:tcPr>
            <w:tcW w:w="1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ind w:left="40" w:right="99"/>
        <w:spacing w:after="0" w:line="287" w:lineRule="auto"/>
        <w:rPr>
          <w:sz w:val="20"/>
          <w:szCs w:val="20"/>
          <w:color w:val="auto"/>
        </w:rPr>
      </w:pPr>
      <w:r>
        <w:rPr>
          <w:rFonts w:ascii="Arial" w:cs="Arial" w:eastAsia="Arial" w:hAnsi="Arial"/>
          <w:sz w:val="16"/>
          <w:szCs w:val="16"/>
          <w:color w:val="auto"/>
        </w:rPr>
        <w:t>Prior to the IPO, the Company awarded options to management and other employees under the Option Plan. Each option award vests one half based solely on the passage of time and one half only if the Company achieves certain performance targets. The time vesting portion of the options has a four-year graded vesting schedule, with accelerated vesting for time-based options granted prior to the IPO with vesting dates of January 1, 2021 and 2022 upon the completion of the IPO. In the post-IPO period, the Company awarded options under the Option Plan with a four year-graded vesting schedule. One half of these awards vest solely based on the passage of time, without accelerated vesting, and one half vest only if the Company achieves certain performance targets. The Company may elect to net-settle exercised options by reducing the shares of Class A common stock to be issued upon such exercise by the number of shares of Class A common stock having a fair market value on the date of exercise equal to the aggregate option price. The Company can also elect, upon exercise, to reduce the shares to be issued by the number of shares having a fair market value on the date of exercise equal to employee payroll taxes. The Company may then pay these employee payroll taxes from the Company’s cash.</w:t>
      </w:r>
    </w:p>
    <w:p>
      <w:pPr>
        <w:spacing w:after="0" w:line="172" w:lineRule="exact"/>
        <w:rPr>
          <w:sz w:val="20"/>
          <w:szCs w:val="20"/>
          <w:color w:val="auto"/>
        </w:rPr>
      </w:pPr>
    </w:p>
    <w:p>
      <w:pPr>
        <w:ind w:left="40" w:right="199"/>
        <w:spacing w:after="0" w:line="219" w:lineRule="exact"/>
        <w:rPr>
          <w:sz w:val="20"/>
          <w:szCs w:val="20"/>
          <w:color w:val="auto"/>
        </w:rPr>
      </w:pPr>
      <w:r>
        <w:rPr>
          <w:rFonts w:ascii="Arial" w:cs="Arial" w:eastAsia="Arial" w:hAnsi="Arial"/>
          <w:sz w:val="18"/>
          <w:szCs w:val="18"/>
          <w:color w:val="auto"/>
        </w:rPr>
        <w:t>In accounting for the options issued under the Option Plan, the Company measures and recognizes compensation expense for all awards based on their estimated fair values measured as of the grant date. These options are exercisable only any time following the closing of an initial public offering or during a 15</w:t>
      </w:r>
      <w:r>
        <w:rPr>
          <w:rFonts w:ascii="MS PGothic" w:cs="MS PGothic" w:eastAsia="MS PGothic" w:hAnsi="MS PGothic"/>
          <w:sz w:val="18"/>
          <w:szCs w:val="18"/>
          <w:color w:val="auto"/>
        </w:rPr>
        <w:t>‑</w:t>
      </w:r>
      <w:r>
        <w:rPr>
          <w:rFonts w:ascii="Arial" w:cs="Arial" w:eastAsia="Arial" w:hAnsi="Arial"/>
          <w:sz w:val="18"/>
          <w:szCs w:val="18"/>
          <w:color w:val="auto"/>
        </w:rPr>
        <w:t>day period following a change in control of the Company (and certain other sales of equity by the Company’s shareholders). As a result, expense recognition commenced upon the completion of the IPO in April 2019.</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information for options: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Options</w:t>
            </w:r>
          </w:p>
        </w:tc>
        <w:tc>
          <w:tcPr>
            <w:tcW w:w="15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Three Months Ended</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6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4"/>
                <w:szCs w:val="14"/>
                <w:color w:val="auto"/>
              </w:rPr>
            </w:pPr>
          </w:p>
        </w:tc>
        <w:tc>
          <w:tcPr>
            <w:tcW w:w="122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March 31, 2019</w:t>
            </w:r>
          </w:p>
        </w:tc>
        <w:tc>
          <w:tcPr>
            <w:tcW w:w="0" w:type="dxa"/>
            <w:vAlign w:val="bottom"/>
          </w:tcPr>
          <w:p>
            <w:pPr>
              <w:spacing w:after="0"/>
              <w:rPr>
                <w:sz w:val="1"/>
                <w:szCs w:val="1"/>
                <w:color w:val="auto"/>
              </w:rPr>
            </w:pPr>
          </w:p>
        </w:tc>
      </w:tr>
      <w:tr>
        <w:trPr>
          <w:trHeight w:val="209"/>
        </w:trPr>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Weighted-average grant-date 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4,132</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 compensation expense (in thousands)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Income tax expense (benefit) (in thousands)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(10,515)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Unrecognized compensation expense (in thousands)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w w:val="95"/>
              </w:rPr>
              <w:t>Weighted-average recognition period for unrecognized compensation expense</w:t>
            </w:r>
          </w:p>
        </w:tc>
        <w:tc>
          <w:tcPr>
            <w:tcW w:w="1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1.97 years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RSUs</w:t>
      </w:r>
    </w:p>
    <w:p>
      <w:pPr>
        <w:spacing w:after="0" w:line="225" w:lineRule="exact"/>
        <w:rPr>
          <w:sz w:val="20"/>
          <w:szCs w:val="20"/>
          <w:color w:val="auto"/>
        </w:rPr>
      </w:pPr>
    </w:p>
    <w:p>
      <w:pPr>
        <w:jc w:val="both"/>
        <w:ind w:left="40" w:right="239"/>
        <w:spacing w:after="0" w:line="257" w:lineRule="auto"/>
        <w:rPr>
          <w:sz w:val="20"/>
          <w:szCs w:val="20"/>
          <w:color w:val="auto"/>
        </w:rPr>
      </w:pPr>
      <w:r>
        <w:rPr>
          <w:rFonts w:ascii="Arial" w:cs="Arial" w:eastAsia="Arial" w:hAnsi="Arial"/>
          <w:sz w:val="18"/>
          <w:szCs w:val="18"/>
          <w:color w:val="auto"/>
        </w:rPr>
        <w:t>In 2020, the Company expanded its restricted stock unit (“RSU”) grants under the Omnibus Equity Plan to employees. Previously, RSU grants were limited to non-employee directors. RSUs are promises to issue shares of Class A common stock at the end of a vesting period. RSUs granted to employees vest one-third each year over a three-year period. RSUs granted to non-employee directors vest after one year. The fair value of the RSUs is calculated on the grant date using the stock price of the Class A common stock.</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information for RSUs: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RSUs</w:t>
            </w:r>
          </w:p>
        </w:tc>
        <w:tc>
          <w:tcPr>
            <w:tcW w:w="22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71"/>
        </w:trPr>
        <w:tc>
          <w:tcPr>
            <w:tcW w:w="56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RSUs granted</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Weighted-average grant-date fair value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38.87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RSUs compensation expense (in thousands)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Income tax expense (benefit) (in thousands)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Unrecognized compensation expense (in thousands)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rPr>
              <w:t>Weighted-average recognition period for unrecognized compensation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expense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2.96 years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700" w:hanging="656"/>
        <w:spacing w:after="0"/>
        <w:tabs>
          <w:tab w:leader="none" w:pos="7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40" w:right="99"/>
        <w:spacing w:after="0" w:line="273" w:lineRule="auto"/>
        <w:rPr>
          <w:sz w:val="20"/>
          <w:szCs w:val="20"/>
          <w:color w:val="auto"/>
        </w:rPr>
      </w:pPr>
      <w:r>
        <w:rPr>
          <w:rFonts w:ascii="Arial" w:cs="Arial" w:eastAsia="Arial" w:hAnsi="Arial"/>
          <w:sz w:val="17"/>
          <w:szCs w:val="17"/>
          <w:color w:val="auto"/>
        </w:rPr>
        <w:t>The Company enters into transactions with Refinitiv and its affiliates which are considered to be related party transactions. The Company also enters into transactions with the Bank Stockholders and their respective affiliates. Prior to the Reorganization Transactions, the Bank Stockholders were collectively considered to be related parties of the Company. As a result of the Reorganization Transactions, they are no longer considered to be related parties. As a result, the related party transactions listed below include transactions with affiliates of Refinitiv for all periods presented and only includes transactions with affiliates of the Bank Stockholders for pre-IPO periods.</w:t>
      </w:r>
    </w:p>
    <w:p>
      <w:pPr>
        <w:spacing w:after="0" w:line="178" w:lineRule="exact"/>
        <w:rPr>
          <w:sz w:val="20"/>
          <w:szCs w:val="20"/>
          <w:color w:val="auto"/>
        </w:rPr>
      </w:pPr>
    </w:p>
    <w:p>
      <w:pPr>
        <w:ind w:left="40" w:right="239"/>
        <w:spacing w:after="0" w:line="277" w:lineRule="auto"/>
        <w:rPr>
          <w:sz w:val="20"/>
          <w:szCs w:val="20"/>
          <w:color w:val="auto"/>
        </w:rPr>
      </w:pPr>
      <w:r>
        <w:rPr>
          <w:rFonts w:ascii="Arial" w:cs="Arial" w:eastAsia="Arial" w:hAnsi="Arial"/>
          <w:sz w:val="18"/>
          <w:szCs w:val="18"/>
          <w:color w:val="auto"/>
        </w:rPr>
        <w:t>At March 31, 2020 and December 31, 2019, the following balances with such affiliates were included in the consolidated statements of financial condition in the following line items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4"/>
                <w:szCs w:val="14"/>
                <w:color w:val="auto"/>
              </w:rPr>
            </w:pPr>
          </w:p>
        </w:tc>
        <w:tc>
          <w:tcPr>
            <w:tcW w:w="138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December 31, 2019</w:t>
            </w: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Receivable from affiliates</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2,525</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Deferred revenue</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4,733</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Payable to affiliates</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864"/>
        </w:trPr>
        <w:tc>
          <w:tcPr>
            <w:tcW w:w="3120" w:type="dxa"/>
            <w:vAlign w:val="bottom"/>
          </w:tcPr>
          <w:p>
            <w:pPr>
              <w:spacing w:after="0"/>
              <w:rPr>
                <w:sz w:val="24"/>
                <w:szCs w:val="24"/>
                <w:color w:val="auto"/>
              </w:rPr>
            </w:pPr>
          </w:p>
        </w:tc>
        <w:tc>
          <w:tcPr>
            <w:tcW w:w="2540" w:type="dxa"/>
            <w:vAlign w:val="bottom"/>
          </w:tcPr>
          <w:p>
            <w:pPr>
              <w:jc w:val="right"/>
              <w:ind w:right="101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60"/>
        </w:trPr>
        <w:tc>
          <w:tcPr>
            <w:tcW w:w="3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31" w:name="page32"/>
    <w:bookmarkEnd w:id="3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19"/>
        <w:spacing w:after="0" w:line="277" w:lineRule="auto"/>
        <w:rPr>
          <w:sz w:val="20"/>
          <w:szCs w:val="20"/>
          <w:color w:val="auto"/>
        </w:rPr>
      </w:pPr>
      <w:r>
        <w:rPr>
          <w:rFonts w:ascii="Arial" w:cs="Arial" w:eastAsia="Arial" w:hAnsi="Arial"/>
          <w:sz w:val="18"/>
          <w:szCs w:val="18"/>
          <w:color w:val="auto"/>
        </w:rPr>
        <w:t>The following balances with such affiliates were included in the consolidated statements of income in the following line items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420" w:type="dxa"/>
            <w:vAlign w:val="bottom"/>
          </w:tcPr>
          <w:p>
            <w:pPr>
              <w:jc w:val="right"/>
              <w:ind w:right="14"/>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March 31, 2020</w:t>
            </w:r>
          </w:p>
        </w:tc>
        <w:tc>
          <w:tcPr>
            <w:tcW w:w="100" w:type="dxa"/>
            <w:vAlign w:val="bottom"/>
          </w:tcPr>
          <w:p>
            <w:pPr>
              <w:spacing w:after="0"/>
              <w:rPr>
                <w:sz w:val="14"/>
                <w:szCs w:val="14"/>
                <w:color w:val="auto"/>
              </w:rPr>
            </w:pPr>
          </w:p>
        </w:tc>
        <w:tc>
          <w:tcPr>
            <w:tcW w:w="1420" w:type="dxa"/>
            <w:vAlign w:val="bottom"/>
          </w:tcPr>
          <w:p>
            <w:pPr>
              <w:jc w:val="right"/>
              <w:ind w:right="194"/>
              <w:spacing w:after="0"/>
              <w:rPr>
                <w:sz w:val="20"/>
                <w:szCs w:val="20"/>
                <w:color w:val="auto"/>
              </w:rPr>
            </w:pPr>
            <w:r>
              <w:rPr>
                <w:rFonts w:ascii="Arial" w:cs="Arial" w:eastAsia="Arial" w:hAnsi="Arial"/>
                <w:sz w:val="14"/>
                <w:szCs w:val="14"/>
                <w:b w:val="1"/>
                <w:bCs w:val="1"/>
                <w:color w:val="auto"/>
              </w:rPr>
              <w:t>March 31, 2019</w:t>
            </w:r>
          </w:p>
        </w:tc>
      </w:tr>
      <w:tr>
        <w:trPr>
          <w:trHeight w:val="156"/>
        </w:trPr>
        <w:tc>
          <w:tcPr>
            <w:tcW w:w="408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Revenue:</w:t>
            </w:r>
          </w:p>
        </w:tc>
        <w:tc>
          <w:tcPr>
            <w:tcW w:w="15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r>
      <w:tr>
        <w:trPr>
          <w:trHeight w:val="34"/>
        </w:trPr>
        <w:tc>
          <w:tcPr>
            <w:tcW w:w="680" w:type="dxa"/>
            <w:vAlign w:val="bottom"/>
            <w:tcBorders>
              <w:top w:val="single" w:sz="8" w:color="auto"/>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54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r>
      <w:tr>
        <w:trPr>
          <w:trHeight w:val="216"/>
        </w:trPr>
        <w:tc>
          <w:tcPr>
            <w:tcW w:w="4080" w:type="dxa"/>
            <w:vAlign w:val="bottom"/>
            <w:gridSpan w:val="4"/>
          </w:tcPr>
          <w:p>
            <w:pPr>
              <w:ind w:left="120"/>
              <w:spacing w:after="0"/>
              <w:rPr>
                <w:sz w:val="20"/>
                <w:szCs w:val="20"/>
                <w:color w:val="auto"/>
              </w:rPr>
            </w:pPr>
            <w:r>
              <w:rPr>
                <w:rFonts w:ascii="Arial" w:cs="Arial" w:eastAsia="Arial" w:hAnsi="Arial"/>
                <w:sz w:val="18"/>
                <w:szCs w:val="18"/>
                <w:color w:val="auto"/>
              </w:rPr>
              <w:t xml:space="preserve">Transaction fees </w:t>
            </w:r>
            <w:r>
              <w:rPr>
                <w:rFonts w:ascii="Arial" w:cs="Arial" w:eastAsia="Arial" w:hAnsi="Arial"/>
                <w:sz w:val="8"/>
                <w:szCs w:val="8"/>
                <w:color w:val="auto"/>
              </w:rPr>
              <w:t>(1)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59,643</w:t>
            </w:r>
          </w:p>
        </w:tc>
      </w:tr>
      <w:tr>
        <w:trPr>
          <w:trHeight w:val="216"/>
        </w:trPr>
        <w:tc>
          <w:tcPr>
            <w:tcW w:w="40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8"/>
                <w:szCs w:val="8"/>
                <w:color w:val="auto"/>
              </w:rPr>
              <w:t>(1)</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r>
      <w:tr>
        <w:trPr>
          <w:trHeight w:val="216"/>
        </w:trPr>
        <w:tc>
          <w:tcPr>
            <w:tcW w:w="4080" w:type="dxa"/>
            <w:vAlign w:val="bottom"/>
            <w:gridSpan w:val="4"/>
          </w:tcPr>
          <w:p>
            <w:pPr>
              <w:ind w:left="120"/>
              <w:spacing w:after="0"/>
              <w:rPr>
                <w:sz w:val="20"/>
                <w:szCs w:val="20"/>
                <w:color w:val="auto"/>
              </w:rPr>
            </w:pPr>
            <w:r>
              <w:rPr>
                <w:rFonts w:ascii="Arial" w:cs="Arial" w:eastAsia="Arial" w:hAnsi="Arial"/>
                <w:sz w:val="18"/>
                <w:szCs w:val="18"/>
                <w:color w:val="auto"/>
              </w:rPr>
              <w:t xml:space="preserve">Commissions </w:t>
            </w:r>
            <w:r>
              <w:rPr>
                <w:rFonts w:ascii="Arial" w:cs="Arial" w:eastAsia="Arial" w:hAnsi="Arial"/>
                <w:sz w:val="8"/>
                <w:szCs w:val="8"/>
                <w:color w:val="auto"/>
              </w:rPr>
              <w:t>(1)</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16,186</w:t>
            </w:r>
          </w:p>
        </w:tc>
      </w:tr>
      <w:tr>
        <w:trPr>
          <w:trHeight w:val="216"/>
        </w:trPr>
        <w:tc>
          <w:tcPr>
            <w:tcW w:w="40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 xml:space="preserve">Refinitiv market data fees </w:t>
            </w:r>
            <w:r>
              <w:rPr>
                <w:rFonts w:ascii="Arial" w:cs="Arial" w:eastAsia="Arial" w:hAnsi="Arial"/>
                <w:sz w:val="8"/>
                <w:szCs w:val="8"/>
                <w:color w:val="auto"/>
              </w:rPr>
              <w:t>(2)</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13,616</w:t>
            </w:r>
          </w:p>
        </w:tc>
      </w:tr>
      <w:tr>
        <w:trPr>
          <w:trHeight w:val="176"/>
        </w:trPr>
        <w:tc>
          <w:tcPr>
            <w:tcW w:w="4080" w:type="dxa"/>
            <w:vAlign w:val="bottom"/>
            <w:gridSpan w:val="4"/>
          </w:tcPr>
          <w:p>
            <w:pPr>
              <w:spacing w:after="0" w:line="176" w:lineRule="exact"/>
              <w:rPr>
                <w:sz w:val="20"/>
                <w:szCs w:val="20"/>
                <w:color w:val="auto"/>
              </w:rPr>
            </w:pPr>
            <w:r>
              <w:rPr>
                <w:rFonts w:ascii="Arial" w:cs="Arial" w:eastAsia="Arial" w:hAnsi="Arial"/>
                <w:sz w:val="18"/>
                <w:szCs w:val="18"/>
                <w:color w:val="auto"/>
              </w:rPr>
              <w:t>Operating Income:</w:t>
            </w:r>
            <w:r>
              <w:rPr>
                <w:rFonts w:ascii="Arial" w:cs="Arial" w:eastAsia="Arial" w:hAnsi="Arial"/>
                <w:sz w:val="8"/>
                <w:szCs w:val="8"/>
                <w:color w:val="auto"/>
              </w:rPr>
              <w:t>(3)</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1"/>
        </w:trPr>
        <w:tc>
          <w:tcPr>
            <w:tcW w:w="6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6"/>
        </w:trPr>
        <w:tc>
          <w:tcPr>
            <w:tcW w:w="40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76"/>
        </w:trPr>
        <w:tc>
          <w:tcPr>
            <w:tcW w:w="40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 xml:space="preserve">Shared Services Fees </w:t>
            </w:r>
            <w:r>
              <w:rPr>
                <w:rFonts w:ascii="Arial" w:cs="Arial" w:eastAsia="Arial" w:hAnsi="Arial"/>
                <w:sz w:val="8"/>
                <w:szCs w:val="8"/>
                <w:color w:val="auto"/>
              </w:rPr>
              <w:t>(4)</w:t>
            </w:r>
            <w:r>
              <w:rPr>
                <w:rFonts w:ascii="Arial" w:cs="Arial" w:eastAsia="Arial" w:hAnsi="Arial"/>
                <w:sz w:val="18"/>
                <w:szCs w:val="18"/>
                <w:color w:val="auto"/>
              </w:rPr>
              <w:t xml:space="preserve"> :</w:t>
            </w: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0"/>
        </w:trPr>
        <w:tc>
          <w:tcPr>
            <w:tcW w:w="68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080" w:type="dxa"/>
            <w:vAlign w:val="bottom"/>
            <w:gridSpan w:val="4"/>
          </w:tcPr>
          <w:p>
            <w:pPr>
              <w:ind w:left="120"/>
              <w:spacing w:after="0"/>
              <w:rPr>
                <w:sz w:val="20"/>
                <w:szCs w:val="20"/>
                <w:color w:val="auto"/>
              </w:rPr>
            </w:pPr>
            <w:r>
              <w:rPr>
                <w:rFonts w:ascii="Arial" w:cs="Arial" w:eastAsia="Arial" w:hAnsi="Arial"/>
                <w:sz w:val="18"/>
                <w:szCs w:val="18"/>
                <w:color w:val="auto"/>
              </w:rPr>
              <w:t>Technology and communications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16"/>
        </w:trPr>
        <w:tc>
          <w:tcPr>
            <w:tcW w:w="40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4080" w:type="dxa"/>
            <w:vAlign w:val="bottom"/>
            <w:gridSpan w:val="4"/>
          </w:tcPr>
          <w:p>
            <w:pPr>
              <w:ind w:left="120"/>
              <w:spacing w:after="0"/>
              <w:rPr>
                <w:sz w:val="20"/>
                <w:szCs w:val="20"/>
                <w:color w:val="auto"/>
              </w:rPr>
            </w:pPr>
            <w:r>
              <w:rPr>
                <w:rFonts w:ascii="Arial" w:cs="Arial" w:eastAsia="Arial" w:hAnsi="Arial"/>
                <w:sz w:val="18"/>
                <w:szCs w:val="18"/>
                <w:color w:val="auto"/>
              </w:rPr>
              <w:t>Occupancy</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155</w:t>
            </w:r>
          </w:p>
        </w:tc>
      </w:tr>
    </w:tbl>
    <w:p>
      <w:pPr>
        <w:spacing w:after="0" w:line="183" w:lineRule="exact"/>
        <w:rPr>
          <w:sz w:val="20"/>
          <w:szCs w:val="20"/>
          <w:color w:val="auto"/>
        </w:rPr>
      </w:pPr>
    </w:p>
    <w:p>
      <w:pPr>
        <w:ind w:left="700" w:hanging="332"/>
        <w:spacing w:after="0"/>
        <w:tabs>
          <w:tab w:leader="none" w:pos="7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For pre-IPO periods, represents fees and commissions from affiliates of the Bank Stockholders.</w:t>
      </w:r>
    </w:p>
    <w:p>
      <w:pPr>
        <w:spacing w:after="0" w:line="203" w:lineRule="exact"/>
        <w:rPr>
          <w:rFonts w:ascii="Arial" w:cs="Arial" w:eastAsia="Arial" w:hAnsi="Arial"/>
          <w:sz w:val="14"/>
          <w:szCs w:val="14"/>
          <w:color w:val="auto"/>
        </w:rPr>
      </w:pPr>
    </w:p>
    <w:p>
      <w:pPr>
        <w:ind w:left="700" w:right="459" w:hanging="332"/>
        <w:spacing w:after="0" w:line="290" w:lineRule="auto"/>
        <w:tabs>
          <w:tab w:leader="none" w:pos="7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Company maintains a market data license agreement with Refinitiv. Under the agreement, the Company delivers to Refinitiv certain market data feeds which Refinitiv redistributes to its customers. The Company earns license fees and royalties for these feeds.</w:t>
      </w:r>
    </w:p>
    <w:p>
      <w:pPr>
        <w:spacing w:after="0" w:line="151" w:lineRule="exact"/>
        <w:rPr>
          <w:rFonts w:ascii="Arial" w:cs="Arial" w:eastAsia="Arial" w:hAnsi="Arial"/>
          <w:sz w:val="13"/>
          <w:szCs w:val="13"/>
          <w:color w:val="auto"/>
        </w:rPr>
      </w:pPr>
    </w:p>
    <w:p>
      <w:pPr>
        <w:ind w:left="700" w:right="219" w:hanging="332"/>
        <w:spacing w:after="0" w:line="253" w:lineRule="auto"/>
        <w:tabs>
          <w:tab w:leader="none" w:pos="7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For pre-IPO periods, represents interest income from money market funds invested with and savings accounts deposited with affiliates of the Bank Stockholders.</w:t>
      </w:r>
    </w:p>
    <w:p>
      <w:pPr>
        <w:spacing w:after="0" w:line="173" w:lineRule="exact"/>
        <w:rPr>
          <w:rFonts w:ascii="Arial" w:cs="Arial" w:eastAsia="Arial" w:hAnsi="Arial"/>
          <w:sz w:val="14"/>
          <w:szCs w:val="14"/>
          <w:color w:val="auto"/>
        </w:rPr>
      </w:pPr>
    </w:p>
    <w:p>
      <w:pPr>
        <w:ind w:left="700" w:right="219" w:hanging="332"/>
        <w:spacing w:after="0" w:line="253" w:lineRule="auto"/>
        <w:tabs>
          <w:tab w:leader="none" w:pos="7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Company maintains a shared services agreement with Refinitiv. Under the terms of the agreement, Refinitiv provides the Company with certain real estate, payroll, benefits administration, insurance, content, financial reporting and tax support.</w:t>
      </w:r>
    </w:p>
    <w:p>
      <w:pPr>
        <w:spacing w:after="0" w:line="178"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The Company reimburses affiliates of Refinitiv for expenses paid on behalf of the Company for various services including salaries and bonuses, marketing, professional fees, communications, data costs and certain other administrative services. For the three months ended March 31, 2020 and 2019, the Company reimbursed such affiliates approximately $0.3 million and $1.0 million, respectively, for these expenses.</w:t>
      </w:r>
    </w:p>
    <w:p>
      <w:pPr>
        <w:spacing w:after="0" w:line="187" w:lineRule="exact"/>
        <w:rPr>
          <w:sz w:val="20"/>
          <w:szCs w:val="20"/>
          <w:color w:val="auto"/>
        </w:rPr>
      </w:pPr>
    </w:p>
    <w:p>
      <w:pPr>
        <w:jc w:val="both"/>
        <w:ind w:left="40" w:right="119"/>
        <w:spacing w:after="0" w:line="263" w:lineRule="auto"/>
        <w:rPr>
          <w:sz w:val="20"/>
          <w:szCs w:val="20"/>
          <w:color w:val="auto"/>
        </w:rPr>
      </w:pPr>
      <w:r>
        <w:rPr>
          <w:rFonts w:ascii="Arial" w:cs="Arial" w:eastAsia="Arial" w:hAnsi="Arial"/>
          <w:sz w:val="18"/>
          <w:szCs w:val="18"/>
          <w:color w:val="auto"/>
        </w:rPr>
        <w:t>The Company is indemnified by Refinitiv for any tax liabilities that existed in the entity contributed by Refinitiv as a result of the Refinitiv Contribution. At March 31, 2020, $2.7 million is included in other assets on the consolidated statement of financial condition related to this indemnification.</w:t>
      </w:r>
    </w:p>
    <w:p>
      <w:pPr>
        <w:spacing w:after="0" w:line="184" w:lineRule="exact"/>
        <w:rPr>
          <w:sz w:val="20"/>
          <w:szCs w:val="20"/>
          <w:color w:val="auto"/>
        </w:rPr>
      </w:pPr>
    </w:p>
    <w:p>
      <w:pPr>
        <w:ind w:left="40" w:right="59"/>
        <w:spacing w:after="0" w:line="257" w:lineRule="auto"/>
        <w:rPr>
          <w:sz w:val="20"/>
          <w:szCs w:val="20"/>
          <w:color w:val="auto"/>
        </w:rPr>
      </w:pPr>
      <w:r>
        <w:rPr>
          <w:rFonts w:ascii="Arial" w:cs="Arial" w:eastAsia="Arial" w:hAnsi="Arial"/>
          <w:sz w:val="18"/>
          <w:szCs w:val="18"/>
          <w:color w:val="auto"/>
        </w:rPr>
        <w:t>The Company engaged Blackstone Advisory Partners L.P., an affiliate of Blackstone, to provide certain financial consulting services in connection with the IPO and the October 2019 follow-on offering for a fee of $1.0 million and $0.5 million, respectively, which fee, with respect to the October 2019 follow-on offering, was reimbursed by the underwriters. $1.5 million is included in additional paid-in capital on the March 31, 2020 consolidated statement of financial condition related to these offering costs.</w:t>
      </w:r>
    </w:p>
    <w:p>
      <w:pPr>
        <w:spacing w:after="0" w:line="197" w:lineRule="exact"/>
        <w:rPr>
          <w:sz w:val="20"/>
          <w:szCs w:val="20"/>
          <w:color w:val="auto"/>
        </w:rPr>
      </w:pPr>
    </w:p>
    <w:p>
      <w:pPr>
        <w:ind w:left="720" w:hanging="676"/>
        <w:spacing w:after="0"/>
        <w:tabs>
          <w:tab w:leader="none" w:pos="7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left="40" w:right="279"/>
        <w:spacing w:after="0" w:line="263" w:lineRule="auto"/>
        <w:rPr>
          <w:sz w:val="20"/>
          <w:szCs w:val="20"/>
          <w:color w:val="auto"/>
        </w:rPr>
      </w:pPr>
      <w:r>
        <w:rPr>
          <w:rFonts w:ascii="Arial" w:cs="Arial" w:eastAsia="Arial" w:hAnsi="Arial"/>
          <w:sz w:val="18"/>
          <w:szCs w:val="18"/>
          <w:color w:val="auto"/>
        </w:rPr>
        <w:t>Certain financial instruments that are carried on the consolidated statements of financial condition are carried at amounts that approximate fair value. These instruments include receivables from/payables to brokers and dealers and clearing organizations, deposits with clearing organizations and accounts receivable.</w:t>
      </w:r>
    </w:p>
    <w:p>
      <w:pPr>
        <w:spacing w:after="0" w:line="184" w:lineRule="exact"/>
        <w:rPr>
          <w:sz w:val="20"/>
          <w:szCs w:val="20"/>
          <w:color w:val="auto"/>
        </w:rPr>
      </w:pPr>
    </w:p>
    <w:p>
      <w:pPr>
        <w:ind w:left="40" w:right="199"/>
        <w:spacing w:after="0" w:line="277"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market prices in active markets.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 has no instruments that are classified within level 2 or level 3 of the fair value hierarchy.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 w:name="page33"/>
    <w:bookmarkEnd w:id="3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fair value measurements are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Quoted Prices in</w:t>
            </w:r>
          </w:p>
        </w:tc>
        <w:tc>
          <w:tcPr>
            <w:tcW w:w="9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4"/>
                <w:szCs w:val="14"/>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Unobservable</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7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As of March 31, 2020</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700" w:type="dxa"/>
            <w:vAlign w:val="bottom"/>
            <w:tcBorders>
              <w:top w:val="single" w:sz="8" w:color="auto"/>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255,265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$ 255,265</w:t>
            </w: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255,265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$ 255,265</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3" w:lineRule="exact"/>
              <w:rPr>
                <w:sz w:val="20"/>
                <w:szCs w:val="20"/>
                <w:color w:val="auto"/>
              </w:rPr>
            </w:pPr>
            <w:r>
              <w:rPr>
                <w:rFonts w:ascii="Arial" w:cs="Arial" w:eastAsia="Arial" w:hAnsi="Arial"/>
                <w:sz w:val="18"/>
                <w:szCs w:val="18"/>
                <w:color w:val="auto"/>
              </w:rPr>
              <w:t>As of December 31, 2019</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219,158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$ 219,158</w:t>
            </w:r>
          </w:p>
        </w:tc>
        <w:tc>
          <w:tcPr>
            <w:tcW w:w="0" w:type="dxa"/>
            <w:vAlign w:val="bottom"/>
          </w:tcPr>
          <w:p>
            <w:pPr>
              <w:spacing w:after="0"/>
              <w:rPr>
                <w:sz w:val="1"/>
                <w:szCs w:val="1"/>
                <w:color w:val="auto"/>
              </w:rPr>
            </w:pPr>
          </w:p>
        </w:tc>
      </w:tr>
      <w:tr>
        <w:trPr>
          <w:trHeight w:val="217"/>
        </w:trPr>
        <w:tc>
          <w:tcPr>
            <w:tcW w:w="47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219,158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$ 219,158</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20" w:hanging="676"/>
        <w:spacing w:after="0"/>
        <w:tabs>
          <w:tab w:leader="none" w:pos="7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ind w:left="40" w:right="219"/>
        <w:spacing w:after="0" w:line="279" w:lineRule="auto"/>
        <w:rPr>
          <w:sz w:val="20"/>
          <w:szCs w:val="20"/>
          <w:color w:val="auto"/>
        </w:rPr>
      </w:pPr>
      <w:r>
        <w:rPr>
          <w:rFonts w:ascii="Arial" w:cs="Arial" w:eastAsia="Arial" w:hAnsi="Arial"/>
          <w:sz w:val="17"/>
          <w:szCs w:val="17"/>
          <w:color w:val="auto"/>
        </w:rPr>
        <w:t>In the normal course of business the Company, as agent, executes transactions with, and on behalf of, other brokers and dealers. If the agency transactions do not settle because of failure to perform by either counterparty, the Company may be obligated to discharge the obligation of the non-performing party and, as a result, may incur a loss if the market value of the security is different from the contract amount of the transaction.</w:t>
      </w:r>
    </w:p>
    <w:p>
      <w:pPr>
        <w:spacing w:after="0" w:line="171" w:lineRule="exact"/>
        <w:rPr>
          <w:sz w:val="20"/>
          <w:szCs w:val="20"/>
          <w:color w:val="auto"/>
        </w:rPr>
      </w:pPr>
    </w:p>
    <w:p>
      <w:pPr>
        <w:ind w:left="40" w:right="339"/>
        <w:spacing w:after="0" w:line="279" w:lineRule="auto"/>
        <w:rPr>
          <w:sz w:val="20"/>
          <w:szCs w:val="20"/>
          <w:color w:val="auto"/>
        </w:rPr>
      </w:pPr>
      <w:r>
        <w:rPr>
          <w:rFonts w:ascii="Arial" w:cs="Arial" w:eastAsia="Arial" w:hAnsi="Arial"/>
          <w:sz w:val="17"/>
          <w:szCs w:val="17"/>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71" w:lineRule="exact"/>
        <w:rPr>
          <w:sz w:val="20"/>
          <w:szCs w:val="20"/>
          <w:color w:val="auto"/>
        </w:rPr>
      </w:pPr>
    </w:p>
    <w:p>
      <w:pPr>
        <w:ind w:left="40" w:right="199"/>
        <w:spacing w:after="0" w:line="271" w:lineRule="auto"/>
        <w:rPr>
          <w:sz w:val="20"/>
          <w:szCs w:val="20"/>
          <w:color w:val="auto"/>
        </w:rPr>
      </w:pPr>
      <w:r>
        <w:rPr>
          <w:rFonts w:ascii="Arial" w:cs="Arial" w:eastAsia="Arial" w:hAnsi="Arial"/>
          <w:sz w:val="17"/>
          <w:szCs w:val="17"/>
          <w:color w:val="auto"/>
        </w:rPr>
        <w:t>From time to time, the Company enters into agreements to repurchase to facilitate the clearance of securities. Credit exposure related to these agreements to repurchase, including the risk related to a decline in market value of collateral (pledged or received), is managed by entering into agreements to repurchase with overnight or short-term maturity dates and only entering into repurchase transactions with netting members of the Fixed Income Clearing Corporation (“FICC”). The FICC requires dealer netting members to maintain a minimum of $25 million in equity capital and $10 million in excess net capital. The FICC operates a continuous net settlement system, whereby as trades are submitted and compared the FICC becomes the counterparty. The FICC also marks to market collateral on a daily basis, requiring member firms to pay or receive margin amounts as part of their daily funds settlement.</w:t>
      </w:r>
    </w:p>
    <w:p>
      <w:pPr>
        <w:spacing w:after="0" w:line="178" w:lineRule="exact"/>
        <w:rPr>
          <w:sz w:val="20"/>
          <w:szCs w:val="20"/>
          <w:color w:val="auto"/>
        </w:rPr>
      </w:pPr>
    </w:p>
    <w:p>
      <w:pPr>
        <w:ind w:left="40" w:right="59"/>
        <w:spacing w:after="0" w:line="263" w:lineRule="auto"/>
        <w:rPr>
          <w:sz w:val="20"/>
          <w:szCs w:val="20"/>
          <w:color w:val="auto"/>
        </w:rPr>
      </w:pPr>
      <w:r>
        <w:rPr>
          <w:rFonts w:ascii="Arial" w:cs="Arial" w:eastAsia="Arial" w:hAnsi="Arial"/>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Allowance for Credit Losses</w:t>
      </w:r>
    </w:p>
    <w:p>
      <w:pPr>
        <w:spacing w:after="0" w:line="225"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The Company may be exposed to credit risk regarding its receivables, which are primarily receivables from financial institutions, including investment managers and broker-dealers. At March 31, 2020, the Company maintained an allowance for credit losses of $0.2 million with regard to these receivables. At December 31, 2019, the allowance for doubtful accounts was $0.2 million.</w:t>
      </w:r>
    </w:p>
    <w:p>
      <w:pPr>
        <w:spacing w:after="0" w:line="187" w:lineRule="exact"/>
        <w:rPr>
          <w:sz w:val="20"/>
          <w:szCs w:val="20"/>
          <w:color w:val="auto"/>
        </w:rPr>
      </w:pPr>
    </w:p>
    <w:p>
      <w:pPr>
        <w:ind w:left="40" w:right="59"/>
        <w:spacing w:after="0" w:line="255" w:lineRule="auto"/>
        <w:rPr>
          <w:sz w:val="20"/>
          <w:szCs w:val="20"/>
          <w:color w:val="auto"/>
        </w:rPr>
      </w:pPr>
      <w:r>
        <w:rPr>
          <w:rFonts w:ascii="Arial" w:cs="Arial" w:eastAsia="Arial" w:hAnsi="Arial"/>
          <w:sz w:val="18"/>
          <w:szCs w:val="18"/>
          <w:color w:val="auto"/>
        </w:rPr>
        <w:t>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our counterparties is also performed. The Company has evaluated its loss assumptions as a result of the COVID-19 pandemic and determined the current estimate of expected credit losses remains reasonable due to continued strong collections and no deterioration in our accounts receivable aging.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3" w:name="page34"/>
    <w:bookmarkEnd w:id="3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 balances are pooled based on the following risk characteristics:</w:t>
      </w:r>
    </w:p>
    <w:p>
      <w:pPr>
        <w:ind w:left="700" w:hanging="332"/>
        <w:spacing w:after="0" w:line="232"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Geographic location</w:t>
      </w:r>
    </w:p>
    <w:p>
      <w:pPr>
        <w:ind w:left="700" w:hanging="332"/>
        <w:spacing w:after="0" w:line="219"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Transaction fee type (billing type)</w:t>
      </w:r>
    </w:p>
    <w:p>
      <w:pPr>
        <w:ind w:left="700" w:hanging="33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Legal entity</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Write-Offs</w:t>
      </w:r>
    </w:p>
    <w:p>
      <w:pPr>
        <w:spacing w:after="0" w:line="225" w:lineRule="exact"/>
        <w:rPr>
          <w:sz w:val="20"/>
          <w:szCs w:val="20"/>
          <w:color w:val="auto"/>
        </w:rPr>
      </w:pPr>
    </w:p>
    <w:p>
      <w:pPr>
        <w:ind w:left="40" w:right="479"/>
        <w:spacing w:after="0" w:line="279" w:lineRule="auto"/>
        <w:rPr>
          <w:sz w:val="20"/>
          <w:szCs w:val="20"/>
          <w:color w:val="auto"/>
        </w:rPr>
      </w:pPr>
      <w:r>
        <w:rPr>
          <w:rFonts w:ascii="Arial" w:cs="Arial" w:eastAsia="Arial" w:hAnsi="Arial"/>
          <w:sz w:val="17"/>
          <w:szCs w:val="17"/>
          <w:color w:val="auto"/>
        </w:rPr>
        <w:t>Account balances aged greater than 360 days are reserved to the allowance for credit losses. Once determined uncollectable, aged balances are written off as credit loss expense. This determination is based on careful analysis of individual receivables and aging schedules, which are disaggregated based on the risk characteristics described above. Based on current policy, this generally occurs when the receivable hits 360 days past due.</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presents the activity in the allowance for credit losses for accounts receivable for the period ended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31, 2020 (in thousands):</w:t>
      </w:r>
    </w:p>
    <w:p>
      <w:pPr>
        <w:sectPr>
          <w:pgSz w:w="11900" w:h="16838" w:orient="portrait"/>
          <w:cols w:equalWidth="0" w:num="1">
            <w:col w:w="9019"/>
          </w:cols>
          <w:pgMar w:left="1440" w:top="125" w:right="1440" w:bottom="1440" w:gutter="0" w:footer="0" w:header="0"/>
        </w:sect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Beginning balance, prior to adoption of ASC 326 -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-115570</wp:posOffset>
            </wp:positionV>
            <wp:extent cx="565785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460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Current-period provision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Write-offs charged against the allowance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Recoveries collected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Ending balance - March 31, 2020</w:t>
      </w:r>
    </w:p>
    <w:p>
      <w:pPr>
        <w:spacing w:after="0" w:line="302" w:lineRule="exact"/>
        <w:rPr>
          <w:sz w:val="20"/>
          <w:szCs w:val="20"/>
          <w:color w:val="auto"/>
        </w:rPr>
      </w:pPr>
    </w:p>
    <w:p>
      <w:pPr>
        <w:ind w:left="720" w:hanging="676"/>
        <w:spacing w:after="0"/>
        <w:tabs>
          <w:tab w:leader="none" w:pos="7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Amount</w:t>
            </w:r>
          </w:p>
        </w:tc>
      </w:tr>
      <w:tr>
        <w:trPr>
          <w:trHeight w:val="195"/>
        </w:trPr>
        <w:tc>
          <w:tcPr>
            <w:tcW w:w="20" w:type="dxa"/>
            <w:vAlign w:val="bottom"/>
          </w:tcPr>
          <w:p>
            <w:pPr>
              <w:spacing w:after="0"/>
              <w:rPr>
                <w:sz w:val="16"/>
                <w:szCs w:val="16"/>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line="195" w:lineRule="exact"/>
              <w:rPr>
                <w:sz w:val="20"/>
                <w:szCs w:val="20"/>
                <w:color w:val="auto"/>
              </w:rPr>
            </w:pPr>
            <w:r>
              <w:rPr>
                <w:rFonts w:ascii="Arial" w:cs="Arial" w:eastAsia="Arial" w:hAnsi="Arial"/>
                <w:sz w:val="18"/>
                <w:szCs w:val="18"/>
                <w:color w:val="auto"/>
              </w:rPr>
              <w:t>195</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17"/>
        </w:trPr>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bl>
    <w:p>
      <w:pPr>
        <w:spacing w:after="0" w:line="672" w:lineRule="exact"/>
        <w:rPr>
          <w:sz w:val="20"/>
          <w:szCs w:val="20"/>
          <w:color w:val="auto"/>
        </w:rPr>
      </w:pPr>
    </w:p>
    <w:p>
      <w:pPr>
        <w:sectPr>
          <w:pgSz w:w="11900" w:h="16838" w:orient="portrait"/>
          <w:cols w:equalWidth="0" w:num="2">
            <w:col w:w="6160" w:space="720"/>
            <w:col w:w="2139"/>
          </w:cols>
          <w:pgMar w:left="1440" w:top="125" w:right="1440" w:bottom="1440" w:gutter="0" w:footer="0" w:header="0"/>
          <w:type w:val="continuous"/>
        </w:sectPr>
      </w:pPr>
    </w:p>
    <w:p>
      <w:pPr>
        <w:spacing w:after="0" w:line="29" w:lineRule="exact"/>
        <w:rPr>
          <w:sz w:val="20"/>
          <w:szCs w:val="20"/>
          <w:color w:val="auto"/>
        </w:rPr>
      </w:pPr>
    </w:p>
    <w:p>
      <w:pPr>
        <w:ind w:left="40" w:right="179"/>
        <w:spacing w:after="0" w:line="275" w:lineRule="auto"/>
        <w:rPr>
          <w:sz w:val="20"/>
          <w:szCs w:val="20"/>
          <w:color w:val="auto"/>
        </w:rPr>
      </w:pPr>
      <w:r>
        <w:rPr>
          <w:rFonts w:ascii="Arial" w:cs="Arial" w:eastAsia="Arial" w:hAnsi="Arial"/>
          <w:sz w:val="17"/>
          <w:szCs w:val="17"/>
          <w:color w:val="auto"/>
        </w:rPr>
        <w:t>In the normal course of business, the Company enters into user agreements with its dealers which provide the dealers with indemnification from third parties in the event that the electronic marketplaces of the Company infringe upon the intellectual property or other proprietary right of a third party. The Company's exposure under these user agreements is unknown as this would involve estimating future claims against the Company which have not yet occurred. However, based on its experience, the Company expects the risk of a material loss to be remote.</w:t>
      </w:r>
    </w:p>
    <w:p>
      <w:pPr>
        <w:spacing w:after="0" w:line="176" w:lineRule="exact"/>
        <w:rPr>
          <w:sz w:val="20"/>
          <w:szCs w:val="20"/>
          <w:color w:val="auto"/>
        </w:rPr>
      </w:pPr>
    </w:p>
    <w:p>
      <w:pPr>
        <w:ind w:left="40" w:right="59"/>
        <w:spacing w:after="0" w:line="275" w:lineRule="auto"/>
        <w:rPr>
          <w:sz w:val="20"/>
          <w:szCs w:val="20"/>
          <w:color w:val="auto"/>
        </w:rPr>
      </w:pPr>
      <w:r>
        <w:rPr>
          <w:rFonts w:ascii="Arial" w:cs="Arial" w:eastAsia="Arial" w:hAnsi="Arial"/>
          <w:sz w:val="17"/>
          <w:szCs w:val="17"/>
          <w:color w:val="auto"/>
        </w:rPr>
        <w:t>The Company has been named as a defendant, along with other financial institutions, in antitrust class actions (consolidated into two actions) relating to trading practices in United States Treasury securities auctions. The Company has filed a motion to dismiss the actions, believes it has substantial defenses to the other plaintiff's claims and intends to defend itself vigorously. Additionally, the Company was dismissed from a class action relating to an interest rate swaps matter in 2017, but that matter continues against the remaining defendant financial institutions.</w:t>
      </w:r>
    </w:p>
    <w:p>
      <w:pPr>
        <w:spacing w:after="0" w:line="176" w:lineRule="exact"/>
        <w:rPr>
          <w:sz w:val="20"/>
          <w:szCs w:val="20"/>
          <w:color w:val="auto"/>
        </w:rPr>
      </w:pPr>
    </w:p>
    <w:p>
      <w:pPr>
        <w:ind w:left="40" w:right="59"/>
        <w:spacing w:after="0" w:line="255" w:lineRule="auto"/>
        <w:rPr>
          <w:sz w:val="20"/>
          <w:szCs w:val="20"/>
          <w:color w:val="auto"/>
        </w:rPr>
      </w:pPr>
      <w:r>
        <w:rPr>
          <w:rFonts w:ascii="Arial" w:cs="Arial" w:eastAsia="Arial" w:hAnsi="Arial"/>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 described above, and therefore does not have any contingency reserves established for any of these matters.</w:t>
      </w:r>
    </w:p>
    <w:p>
      <w:pPr>
        <w:spacing w:after="0" w:line="192" w:lineRule="exact"/>
        <w:rPr>
          <w:sz w:val="20"/>
          <w:szCs w:val="20"/>
          <w:color w:val="auto"/>
        </w:rPr>
      </w:pPr>
    </w:p>
    <w:p>
      <w:pPr>
        <w:ind w:left="40" w:right="79"/>
        <w:spacing w:after="0" w:line="253" w:lineRule="auto"/>
        <w:rPr>
          <w:sz w:val="20"/>
          <w:szCs w:val="20"/>
          <w:color w:val="auto"/>
        </w:rPr>
      </w:pPr>
      <w:r>
        <w:rPr>
          <w:rFonts w:ascii="Arial" w:cs="Arial" w:eastAsia="Arial" w:hAnsi="Arial"/>
          <w:sz w:val="18"/>
          <w:szCs w:val="18"/>
          <w:color w:val="auto"/>
        </w:rPr>
        <w:t>In 2015, IDC Financial Publishing, Inc. (“IDC”) filed a lawsuit in the United States District Court for the Eastern District of Wisconsin captioned IDC Financial Publishing Inc. v. BondDesk Group LLC, et al. Claims were asserted against the Company and against Fidelity Global Brokerage Group, Inc., Fidelity Brokerage Services, LLC, and National Financial Services, LLC (collectively, “Fidelity”) relating to the distribution of IDC’s financial strength ratings over the Company’s trading platform to Fidelity, its registered investment advisors and Fidelity’s correspondent banks. Following extensive pre-trial proceedings that resulted in certain of IDC’s claims being dismissed by the court in 2019, the parties entered into a settlement agreement in early 2020 in which all remaining claims and counterclaims in the lawsuit were settled without any material impact to the Company’s financial condition or results of operations, and the matter has been dismissed with prejudice.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4" w:name="page35"/>
    <w:bookmarkEnd w:id="3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Revolving Credit Facility</w:t>
      </w:r>
    </w:p>
    <w:p>
      <w:pPr>
        <w:spacing w:after="0" w:line="229" w:lineRule="exact"/>
        <w:rPr>
          <w:sz w:val="20"/>
          <w:szCs w:val="20"/>
          <w:color w:val="auto"/>
        </w:rPr>
      </w:pPr>
    </w:p>
    <w:p>
      <w:pPr>
        <w:ind w:left="40" w:right="119"/>
        <w:spacing w:after="0" w:line="259" w:lineRule="auto"/>
        <w:rPr>
          <w:sz w:val="20"/>
          <w:szCs w:val="20"/>
          <w:color w:val="auto"/>
        </w:rPr>
      </w:pPr>
      <w:r>
        <w:rPr>
          <w:rFonts w:ascii="Arial" w:cs="Arial" w:eastAsia="Arial" w:hAnsi="Arial"/>
          <w:sz w:val="18"/>
          <w:szCs w:val="18"/>
          <w:color w:val="auto"/>
        </w:rPr>
        <w:t>On April 8, 2019, the Company entered into a five year, $500 million senior secured revolving credit facility (“Credit Facility”) with a syndicate of banks. The Credit Facility provides additional borrowing capacity to be used to fund ongoing working capital needs, letters of credit and for general corporate purposes, including potential future acquisitions and expansions.</w:t>
      </w:r>
    </w:p>
    <w:p>
      <w:pPr>
        <w:spacing w:after="0" w:line="187"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On November 7, 2019, TWM LLC entered into an amendment to the Revolving Credit Facility among TWM LLC and the lenders party thereto, which revised the Revolving Credit Facility to permit the pending LSEG Transaction. The amendment did not otherwise impact the terms of the Revolving Credit Facility and did not impact the amount of borrowings available to TWM LLC under the Revolving Credit Facility.</w:t>
      </w:r>
    </w:p>
    <w:p>
      <w:pPr>
        <w:spacing w:after="0" w:line="187" w:lineRule="exact"/>
        <w:rPr>
          <w:sz w:val="20"/>
          <w:szCs w:val="20"/>
          <w:color w:val="auto"/>
        </w:rPr>
      </w:pPr>
    </w:p>
    <w:p>
      <w:pPr>
        <w:jc w:val="both"/>
        <w:ind w:left="40" w:right="119"/>
        <w:spacing w:after="0" w:line="287" w:lineRule="auto"/>
        <w:rPr>
          <w:sz w:val="20"/>
          <w:szCs w:val="20"/>
          <w:color w:val="auto"/>
        </w:rPr>
      </w:pPr>
      <w:r>
        <w:rPr>
          <w:rFonts w:ascii="Arial" w:cs="Arial" w:eastAsia="Arial" w:hAnsi="Arial"/>
          <w:sz w:val="16"/>
          <w:szCs w:val="16"/>
          <w:color w:val="auto"/>
        </w:rPr>
        <w:t>Under the terms of the credit agreement that governs the Credit Facility, borrowings under the Credit Facility bear interest at a rate equal to, at the Company’s option, either (a) a base rate equal to the greatest of (i) the administrative agent’s prime rate, (ii) the federal funds effective rate plus ½ of 1.0% and (iii) one month LIBOR plus 1.0%, in each case plus 0.75%, or</w:t>
      </w:r>
    </w:p>
    <w:p>
      <w:pPr>
        <w:spacing w:after="0" w:line="2" w:lineRule="exact"/>
        <w:rPr>
          <w:sz w:val="20"/>
          <w:szCs w:val="20"/>
          <w:color w:val="auto"/>
        </w:rPr>
      </w:pPr>
    </w:p>
    <w:p>
      <w:pPr>
        <w:ind w:left="40" w:right="179" w:firstLine="4"/>
        <w:spacing w:after="0" w:line="273" w:lineRule="auto"/>
        <w:tabs>
          <w:tab w:leader="none" w:pos="295" w:val="left"/>
        </w:tabs>
        <w:numPr>
          <w:ilvl w:val="0"/>
          <w:numId w:val="37"/>
        </w:numPr>
        <w:rPr>
          <w:rFonts w:ascii="Arial" w:cs="Arial" w:eastAsia="Arial" w:hAnsi="Arial"/>
          <w:sz w:val="17"/>
          <w:szCs w:val="17"/>
          <w:color w:val="auto"/>
        </w:rPr>
      </w:pPr>
      <w:r>
        <w:rPr>
          <w:rFonts w:ascii="Arial" w:cs="Arial" w:eastAsia="Arial" w:hAnsi="Arial"/>
          <w:sz w:val="17"/>
          <w:szCs w:val="17"/>
          <w:color w:val="auto"/>
        </w:rPr>
        <w:t>LIBOR plus 1.75%, subject to a 0.00% floor. The credit agreement also includes a commitment fee of 0.25% for available but unborrowed amounts and other administrative fees that are payable quarterly. The Credit Facility is available until April 2024, provided the Company is in compliance with all covenants. Financial covenant requirements include maintaining minimum ratios related to interest coverage and leverage.</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of March 31, 2020, there were no amounts outstanding under the Credit Facility.</w:t>
      </w:r>
    </w:p>
    <w:p>
      <w:pPr>
        <w:spacing w:after="0" w:line="235" w:lineRule="exact"/>
        <w:rPr>
          <w:sz w:val="20"/>
          <w:szCs w:val="20"/>
          <w:color w:val="auto"/>
        </w:rPr>
      </w:pPr>
    </w:p>
    <w:p>
      <w:pPr>
        <w:ind w:left="720" w:hanging="676"/>
        <w:spacing w:after="0"/>
        <w:tabs>
          <w:tab w:leader="none" w:pos="7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left="40" w:right="219"/>
        <w:spacing w:after="0" w:line="301" w:lineRule="auto"/>
        <w:rPr>
          <w:sz w:val="20"/>
          <w:szCs w:val="20"/>
          <w:color w:val="auto"/>
        </w:rPr>
      </w:pPr>
      <w:r>
        <w:rPr>
          <w:rFonts w:ascii="Arial" w:cs="Arial" w:eastAsia="Arial" w:hAnsi="Arial"/>
          <w:sz w:val="16"/>
          <w:szCs w:val="16"/>
          <w:color w:val="auto"/>
        </w:rPr>
        <w:t>In April 2019, the Company completed the Reorganization Transactions and the IPO, which, among other things, resulted in the Corporation becoming the successor of TWM LLC for financial reporting purposes. As a result, earnings per share information for the pre-IPO period is not comparable to earnings per share information for the post-IPO period. Thus, earnings per share information is being presented separately for the pre-IPO and post-IPO periods.</w:t>
      </w:r>
    </w:p>
    <w:p>
      <w:pPr>
        <w:spacing w:after="0" w:line="157"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color w:val="auto"/>
        </w:rPr>
        <w:t>The following table summarizes the basic and diluted earnings per share calculations for Tradeweb Markets Inc. (post-IPO period):</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EPS: Net income attributable to Tradeweb Markets Inc.</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right"/>
              <w:ind w:right="174"/>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71"/>
        </w:trPr>
        <w:tc>
          <w:tcPr>
            <w:tcW w:w="6620" w:type="dxa"/>
            <w:vAlign w:val="bottom"/>
            <w:gridSpan w:val="4"/>
            <w:vMerge w:val="continue"/>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20" w:type="dxa"/>
            <w:vAlign w:val="bottom"/>
            <w:tcBorders>
              <w:top w:val="single" w:sz="8" w:color="auto"/>
            </w:tcBorders>
          </w:tcPr>
          <w:p>
            <w:pPr>
              <w:ind w:left="1880"/>
              <w:spacing w:after="0" w:line="128" w:lineRule="exact"/>
              <w:rPr>
                <w:sz w:val="20"/>
                <w:szCs w:val="20"/>
                <w:color w:val="auto"/>
              </w:rPr>
            </w:pPr>
            <w:r>
              <w:rPr>
                <w:rFonts w:ascii="Arial" w:cs="Arial" w:eastAsia="Arial" w:hAnsi="Arial"/>
                <w:sz w:val="14"/>
                <w:szCs w:val="14"/>
                <w:b w:val="1"/>
                <w:bCs w:val="1"/>
                <w:color w:val="auto"/>
              </w:rPr>
              <w:t>(in thousands, except share and per share amounts)</w:t>
            </w:r>
          </w:p>
        </w:tc>
        <w:tc>
          <w:tcPr>
            <w:tcW w:w="4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620" w:type="dxa"/>
            <w:vAlign w:val="bottom"/>
            <w:gridSpan w:val="4"/>
          </w:tcPr>
          <w:p>
            <w:pPr>
              <w:spacing w:after="0" w:line="190" w:lineRule="exact"/>
              <w:rPr>
                <w:sz w:val="20"/>
                <w:szCs w:val="20"/>
                <w:color w:val="auto"/>
              </w:rPr>
            </w:pPr>
            <w:r>
              <w:rPr>
                <w:rFonts w:ascii="Arial" w:cs="Arial" w:eastAsia="Arial" w:hAnsi="Arial"/>
                <w:sz w:val="18"/>
                <w:szCs w:val="18"/>
                <w:color w:val="auto"/>
              </w:rPr>
              <w:t>Numerator:</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Tradeweb Markets Inc.</w:t>
            </w: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6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Denominator:</w:t>
            </w: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w w:val="97"/>
              </w:rPr>
              <w:t>Weighted average shares of Class A and Class B common stock outstanding - Basic</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166,234,749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Dilutive effect of equity-settled PRSUs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Dilutive effect of options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6,221,549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Dilutive effect of RSUs</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w w:val="96"/>
              </w:rPr>
              <w:t>Weighted average shares of Class A and Class B common stock outstanding - Diluted</w:t>
            </w:r>
          </w:p>
        </w:tc>
        <w:tc>
          <w:tcPr>
            <w:tcW w:w="4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174,517,244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Earnings per share - Basic</w:t>
            </w:r>
          </w:p>
        </w:tc>
        <w:tc>
          <w:tcPr>
            <w:tcW w:w="6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color w:val="auto"/>
        </w:rPr>
        <w:t>The following table summarizes the basic and diluted earnings per share calculations for Tradeweb Markets LLC (pre-IPO period):</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EPS: Net income attributable to Tradeweb Markets LLC</w:t>
            </w:r>
            <w:r>
              <w:rPr>
                <w:rFonts w:ascii="Arial" w:cs="Arial" w:eastAsia="Arial" w:hAnsi="Arial"/>
                <w:sz w:val="14"/>
                <w:szCs w:val="14"/>
                <w:b w:val="1"/>
                <w:bCs w:val="1"/>
                <w:color w:val="auto"/>
                <w:vertAlign w:val="superscript"/>
              </w:rPr>
              <w:t>(1)</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right"/>
              <w:ind w:right="195"/>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71"/>
        </w:trPr>
        <w:tc>
          <w:tcPr>
            <w:tcW w:w="656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right"/>
              <w:ind w:right="375"/>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560" w:type="dxa"/>
            <w:vAlign w:val="bottom"/>
            <w:tcBorders>
              <w:top w:val="single" w:sz="8" w:color="auto"/>
            </w:tcBorders>
            <w:shd w:val="clear" w:color="auto" w:fill="CCEEFF"/>
          </w:tcPr>
          <w:p>
            <w:pPr>
              <w:ind w:left="1900"/>
              <w:spacing w:after="0" w:line="142" w:lineRule="exact"/>
              <w:rPr>
                <w:sz w:val="20"/>
                <w:szCs w:val="20"/>
                <w:color w:val="auto"/>
              </w:rPr>
            </w:pPr>
            <w:r>
              <w:rPr>
                <w:rFonts w:ascii="Arial" w:cs="Arial" w:eastAsia="Arial" w:hAnsi="Arial"/>
                <w:sz w:val="14"/>
                <w:szCs w:val="14"/>
                <w:b w:val="1"/>
                <w:bCs w:val="1"/>
                <w:color w:val="auto"/>
              </w:rPr>
              <w:t>(in thousands, except share and per share amounts)</w:t>
            </w: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40" w:type="dxa"/>
            <w:vAlign w:val="bottom"/>
            <w:gridSpan w:val="3"/>
          </w:tcPr>
          <w:p>
            <w:pPr>
              <w:spacing w:after="0" w:line="176" w:lineRule="exact"/>
              <w:rPr>
                <w:sz w:val="20"/>
                <w:szCs w:val="20"/>
                <w:color w:val="auto"/>
              </w:rPr>
            </w:pPr>
            <w:r>
              <w:rPr>
                <w:rFonts w:ascii="Arial" w:cs="Arial" w:eastAsia="Arial" w:hAnsi="Arial"/>
                <w:sz w:val="18"/>
                <w:szCs w:val="18"/>
                <w:color w:val="auto"/>
              </w:rPr>
              <w:t>Numerator:</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Tradeweb Markets LLC</w:t>
            </w:r>
          </w:p>
        </w:tc>
        <w:tc>
          <w:tcPr>
            <w:tcW w:w="7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Denominator:</w:t>
            </w: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3"/>
          </w:tcPr>
          <w:p>
            <w:pPr>
              <w:spacing w:after="0"/>
              <w:rPr>
                <w:sz w:val="20"/>
                <w:szCs w:val="20"/>
                <w:color w:val="auto"/>
              </w:rPr>
            </w:pPr>
            <w:r>
              <w:rPr>
                <w:rFonts w:ascii="Arial" w:cs="Arial" w:eastAsia="Arial" w:hAnsi="Arial"/>
                <w:sz w:val="18"/>
                <w:szCs w:val="18"/>
                <w:color w:val="auto"/>
              </w:rPr>
              <w:t>Weighted average LLC Interests outstanding - Basic</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222,222,197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Dilutive effect of equity-settled PRSUs</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1,098,260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Weighted average LLC Interests outstanding - Diluted</w:t>
            </w: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223,320,457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540" w:type="dxa"/>
            <w:vAlign w:val="bottom"/>
            <w:gridSpan w:val="3"/>
          </w:tcPr>
          <w:p>
            <w:pPr>
              <w:spacing w:after="0"/>
              <w:rPr>
                <w:sz w:val="20"/>
                <w:szCs w:val="20"/>
                <w:color w:val="auto"/>
              </w:rPr>
            </w:pPr>
            <w:r>
              <w:rPr>
                <w:rFonts w:ascii="Arial" w:cs="Arial" w:eastAsia="Arial" w:hAnsi="Arial"/>
                <w:sz w:val="18"/>
                <w:szCs w:val="18"/>
                <w:color w:val="auto"/>
              </w:rPr>
              <w:t>Earnings per share - Basic</w:t>
            </w:r>
          </w:p>
        </w:tc>
        <w:tc>
          <w:tcPr>
            <w:tcW w:w="7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700" w:right="99" w:hanging="332"/>
        <w:spacing w:after="0" w:line="238" w:lineRule="auto"/>
        <w:tabs>
          <w:tab w:leader="none" w:pos="7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Earnings per share and weighted average shares outstanding for the pre-IPO period has been computed to give effect to the Reorganization Transactions, including the amendment and restatement of the TWM LLC Agreement to, among other things, (i) provide for LLC Interests and (ii) exchange all of the then existing membership interests in TWM LLC for LLC interests.</w:t>
      </w:r>
    </w:p>
    <w:p>
      <w:pPr>
        <w:spacing w:after="0" w:line="187"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color w:val="auto"/>
        </w:rPr>
        <w:t>For the three months ended March 31, 2020, there were approximately 378,124 weighted-average shares underlying options that were anti-dilutive. As a result, these shares, which are still outstanding, were excluded from the computation of diluted earnings per share.</w:t>
      </w:r>
    </w:p>
    <w:p>
      <w:pPr>
        <w:spacing w:after="0" w:line="184" w:lineRule="exact"/>
        <w:rPr>
          <w:sz w:val="20"/>
          <w:szCs w:val="20"/>
          <w:color w:val="auto"/>
        </w:rPr>
      </w:pPr>
    </w:p>
    <w:p>
      <w:pPr>
        <w:ind w:left="40" w:right="179"/>
        <w:spacing w:after="0" w:line="275" w:lineRule="auto"/>
        <w:rPr>
          <w:sz w:val="20"/>
          <w:szCs w:val="20"/>
          <w:color w:val="auto"/>
        </w:rPr>
      </w:pPr>
      <w:r>
        <w:rPr>
          <w:rFonts w:ascii="Arial" w:cs="Arial" w:eastAsia="Arial" w:hAnsi="Arial"/>
          <w:sz w:val="17"/>
          <w:szCs w:val="17"/>
          <w:color w:val="auto"/>
        </w:rPr>
        <w:t>LLC Interests held by the Continuing LLC Owners are redeemable in accordance with the TWM LLC Agreement, at the election of such holders, for shares of Class A or Class B common stock of Tradeweb Markets Inc. After evaluating the potential dilutive effect under the if-converted method, the 57,644,547 weighted-average LLC Interests for the assumed exchange of non-controlling interests were determined to be anti-dilutive and thus were excluded from the computation of diluted earnings per share for the post-IPO periods.</w:t>
      </w:r>
    </w:p>
    <w:p>
      <w:pPr>
        <w:spacing w:after="0" w:line="176"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color w:val="auto"/>
        </w:rPr>
        <w:t>Shares of Class C and Class D common stock do not have economic rights in Tradeweb Markets Inc. and, therefore, are not participating securities for purposes of the computation of earnings per share.</w:t>
      </w:r>
    </w:p>
    <w:p>
      <w:pPr>
        <w:spacing w:after="0" w:line="180" w:lineRule="exact"/>
        <w:rPr>
          <w:sz w:val="20"/>
          <w:szCs w:val="20"/>
          <w:color w:val="auto"/>
        </w:rPr>
      </w:pPr>
    </w:p>
    <w:p>
      <w:pPr>
        <w:ind w:left="720" w:hanging="676"/>
        <w:spacing w:after="0"/>
        <w:tabs>
          <w:tab w:leader="none" w:pos="7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Capital Requirements</w:t>
      </w:r>
    </w:p>
    <w:p>
      <w:pPr>
        <w:spacing w:after="0" w:line="229" w:lineRule="exact"/>
        <w:rPr>
          <w:sz w:val="20"/>
          <w:szCs w:val="20"/>
          <w:color w:val="auto"/>
        </w:rPr>
      </w:pPr>
    </w:p>
    <w:p>
      <w:pPr>
        <w:ind w:left="40" w:right="159"/>
        <w:spacing w:after="0" w:line="220" w:lineRule="exact"/>
        <w:rPr>
          <w:sz w:val="20"/>
          <w:szCs w:val="20"/>
          <w:color w:val="auto"/>
        </w:rPr>
      </w:pPr>
      <w:r>
        <w:rPr>
          <w:rFonts w:ascii="Arial" w:cs="Arial" w:eastAsia="Arial" w:hAnsi="Arial"/>
          <w:sz w:val="18"/>
          <w:szCs w:val="18"/>
          <w:color w:val="auto"/>
        </w:rPr>
        <w:t>TWL, DW and TWD are subject to the Uniform Net Capital Rule 15c3</w:t>
      </w:r>
      <w:r>
        <w:rPr>
          <w:rFonts w:ascii="MS PGothic" w:cs="MS PGothic" w:eastAsia="MS PGothic" w:hAnsi="MS PGothic"/>
          <w:sz w:val="18"/>
          <w:szCs w:val="18"/>
          <w:color w:val="auto"/>
        </w:rPr>
        <w:t>‑</w:t>
      </w:r>
      <w:r>
        <w:rPr>
          <w:rFonts w:ascii="Arial" w:cs="Arial" w:eastAsia="Arial" w:hAnsi="Arial"/>
          <w:sz w:val="18"/>
          <w:szCs w:val="18"/>
          <w:color w:val="auto"/>
        </w:rPr>
        <w:t>1 under the Securities Exchange Act of 1934. TEL is subject to certain financial resource requirements with the FCA in the UK, TWJ is subject to certain financial resource requirements with the FCA in Japan and TWEU is subject to certain finance resource requirements with the AFM in the Netherlands.</w:t>
      </w:r>
    </w:p>
    <w:p>
      <w:pPr>
        <w:spacing w:after="0" w:line="204"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color w:val="auto"/>
        </w:rPr>
        <w:t>At March 31, 2020 and December 31, 2019, the regulatory capital requirements and regulatory capital for TWL, DW, TWD, TEL, TWJ and TWEU are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 March 31, 2020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TWL</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DW</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TWD</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TEL</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TWJ</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TWEU</w:t>
            </w:r>
          </w:p>
        </w:tc>
      </w:tr>
      <w:tr>
        <w:trPr>
          <w:trHeight w:val="21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Regulatory Capital</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65,029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w:t>
            </w:r>
          </w:p>
        </w:tc>
      </w:tr>
      <w:tr>
        <w:trPr>
          <w:trHeight w:val="216"/>
        </w:trPr>
        <w:tc>
          <w:tcPr>
            <w:tcW w:w="2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Regulatory Capital Requirement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20,448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r>
      <w:tr>
        <w:trPr>
          <w:trHeight w:val="217"/>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Excess Regulatory Capital</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38,679</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54,466</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4"/>
              </w:rPr>
              <w:t>44,581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w:t>
            </w:r>
          </w:p>
        </w:tc>
      </w:tr>
      <w:tr>
        <w:trPr>
          <w:trHeight w:val="378"/>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 December 31, 2019</w:t>
            </w: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TWL</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DW</w:t>
            </w: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TWD</w:t>
            </w: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TEL</w:t>
            </w: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TWJ</w:t>
            </w: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TWEU</w:t>
            </w:r>
          </w:p>
        </w:tc>
      </w:tr>
      <w:tr>
        <w:trPr>
          <w:trHeight w:val="209"/>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Regulatory Capital</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49,611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w:t>
            </w:r>
          </w:p>
        </w:tc>
      </w:tr>
      <w:tr>
        <w:trPr>
          <w:trHeight w:val="216"/>
        </w:trPr>
        <w:tc>
          <w:tcPr>
            <w:tcW w:w="2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Regulatory Capital Requirement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21,856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r>
      <w:tr>
        <w:trPr>
          <w:trHeight w:val="216"/>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Excess Regulatory Capital</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39,921</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33,143</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4"/>
              </w:rPr>
              <w:t>27,755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w:t>
            </w:r>
          </w:p>
        </w:tc>
      </w:tr>
      <w:tr>
        <w:trPr>
          <w:trHeight w:val="864"/>
        </w:trPr>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60"/>
        </w:trPr>
        <w:tc>
          <w:tcPr>
            <w:tcW w:w="2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36" w:name="page37"/>
    <w:bookmarkEnd w:id="3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99"/>
        <w:spacing w:after="0" w:line="263" w:lineRule="auto"/>
        <w:rPr>
          <w:sz w:val="20"/>
          <w:szCs w:val="20"/>
          <w:color w:val="auto"/>
        </w:rPr>
      </w:pPr>
      <w:r>
        <w:rPr>
          <w:rFonts w:ascii="Arial" w:cs="Arial" w:eastAsia="Arial" w:hAnsi="Arial"/>
          <w:sz w:val="18"/>
          <w:szCs w:val="18"/>
          <w:color w:val="auto"/>
        </w:rPr>
        <w:t>As SEFs, TW SEF and DW SEF are required to maintain adequate financial resources and liquid financial assets in accordance with CFTC regulations. The required and maintained financial resources and liquid financial assets at March 31, 2020 and December 31, 2019 are as follows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ind w:left="140"/>
              <w:spacing w:after="0"/>
              <w:rPr>
                <w:sz w:val="20"/>
                <w:szCs w:val="20"/>
                <w:color w:val="auto"/>
              </w:rPr>
            </w:pPr>
            <w:r>
              <w:rPr>
                <w:rFonts w:ascii="Arial" w:cs="Arial" w:eastAsia="Arial" w:hAnsi="Arial"/>
                <w:sz w:val="14"/>
                <w:szCs w:val="14"/>
                <w:b w:val="1"/>
                <w:bCs w:val="1"/>
                <w:color w:val="auto"/>
              </w:rPr>
              <w:t>As of March 31, 2020</w:t>
            </w:r>
          </w:p>
        </w:tc>
        <w:tc>
          <w:tcPr>
            <w:tcW w:w="12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4"/>
                <w:szCs w:val="14"/>
                <w:b w:val="1"/>
                <w:bCs w:val="1"/>
                <w:color w:val="auto"/>
                <w:w w:val="99"/>
              </w:rPr>
              <w:t>As of December 31, 2019</w:t>
            </w:r>
          </w:p>
        </w:tc>
      </w:tr>
      <w:tr>
        <w:trPr>
          <w:trHeight w:val="142"/>
        </w:trPr>
        <w:tc>
          <w:tcPr>
            <w:tcW w:w="3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TW SEF</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9"/>
              </w:rPr>
              <w:t>DW SEF</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TW SEF</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9"/>
              </w:rPr>
              <w:t>DW SEF</w:t>
            </w: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Resources</w:t>
            </w:r>
          </w:p>
        </w:tc>
        <w:tc>
          <w:tcPr>
            <w:tcW w:w="1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13,707</w:t>
            </w:r>
          </w:p>
        </w:tc>
      </w:tr>
      <w:tr>
        <w:trPr>
          <w:trHeight w:val="216"/>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Required Financial Resources</w:t>
            </w:r>
          </w:p>
        </w:tc>
        <w:tc>
          <w:tcPr>
            <w:tcW w:w="1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5,505</w:t>
            </w:r>
          </w:p>
        </w:tc>
      </w:tr>
      <w:tr>
        <w:trPr>
          <w:trHeight w:val="217"/>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Excess Financial Resources</w:t>
            </w:r>
          </w:p>
        </w:tc>
        <w:tc>
          <w:tcPr>
            <w:tcW w:w="1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8,202</w:t>
            </w:r>
          </w:p>
        </w:tc>
      </w:tr>
      <w:tr>
        <w:trPr>
          <w:trHeight w:val="216"/>
        </w:trPr>
        <w:tc>
          <w:tcPr>
            <w:tcW w:w="3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Liquid Financial Assets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w:t>
            </w:r>
          </w:p>
        </w:tc>
      </w:tr>
      <w:tr>
        <w:trPr>
          <w:trHeight w:val="216"/>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Required Liquid Financial Assets</w:t>
            </w:r>
          </w:p>
        </w:tc>
        <w:tc>
          <w:tcPr>
            <w:tcW w:w="1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r>
      <w:tr>
        <w:trPr>
          <w:trHeight w:val="217"/>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Excess Liquid Financial Assets</w:t>
            </w:r>
          </w:p>
        </w:tc>
        <w:tc>
          <w:tcPr>
            <w:tcW w:w="1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w:t>
            </w:r>
          </w:p>
        </w:tc>
      </w:tr>
    </w:tbl>
    <w:p>
      <w:pPr>
        <w:spacing w:after="0" w:line="225" w:lineRule="exact"/>
        <w:rPr>
          <w:sz w:val="20"/>
          <w:szCs w:val="20"/>
          <w:color w:val="auto"/>
        </w:rPr>
      </w:pPr>
    </w:p>
    <w:p>
      <w:pPr>
        <w:ind w:left="720" w:hanging="676"/>
        <w:spacing w:after="0"/>
        <w:tabs>
          <w:tab w:leader="none" w:pos="7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and Geographic Information</w:t>
      </w:r>
    </w:p>
    <w:p>
      <w:pPr>
        <w:spacing w:after="0" w:line="229"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color w:val="auto"/>
        </w:rPr>
        <w:t>The Company operates electronic marketplaces for the trading of products across the rates, credit, equities and money markets asset classes and provides related pre-trade and post-trade services. The Company’s operations constitute a single business segment because of the integrated nature of these marketplaces and services. Information regarding revenue by client sector is as follows (in thousands):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ind w:right="34"/>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35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ind w:right="214"/>
              <w:spacing w:after="0"/>
              <w:rPr>
                <w:sz w:val="20"/>
                <w:szCs w:val="20"/>
                <w:color w:val="auto"/>
              </w:rPr>
            </w:pPr>
            <w:r>
              <w:rPr>
                <w:rFonts w:ascii="Arial" w:cs="Arial" w:eastAsia="Arial" w:hAnsi="Arial"/>
                <w:sz w:val="14"/>
                <w:szCs w:val="14"/>
                <w:b w:val="1"/>
                <w:bCs w:val="1"/>
                <w:color w:val="auto"/>
              </w:rPr>
              <w:t>March 31, 2019</w:t>
            </w:r>
          </w:p>
        </w:tc>
      </w:tr>
      <w:tr>
        <w:trPr>
          <w:trHeight w:val="209"/>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revenue:</w:t>
            </w:r>
          </w:p>
        </w:tc>
        <w:tc>
          <w:tcPr>
            <w:tcW w:w="2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16"/>
        </w:trPr>
        <w:tc>
          <w:tcPr>
            <w:tcW w:w="3560" w:type="dxa"/>
            <w:vAlign w:val="bottom"/>
          </w:tcPr>
          <w:p>
            <w:pPr>
              <w:ind w:left="120"/>
              <w:spacing w:after="0"/>
              <w:rPr>
                <w:sz w:val="20"/>
                <w:szCs w:val="20"/>
                <w:color w:val="auto"/>
              </w:rPr>
            </w:pPr>
            <w:r>
              <w:rPr>
                <w:rFonts w:ascii="Arial" w:cs="Arial" w:eastAsia="Arial" w:hAnsi="Arial"/>
                <w:sz w:val="18"/>
                <w:szCs w:val="18"/>
                <w:color w:val="auto"/>
              </w:rPr>
              <w:t>Institutional</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145,612</w:t>
            </w:r>
          </w:p>
        </w:tc>
        <w:tc>
          <w:tcPr>
            <w:tcW w:w="1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109,252</w:t>
            </w:r>
          </w:p>
        </w:tc>
      </w:tr>
      <w:tr>
        <w:trPr>
          <w:trHeight w:val="216"/>
        </w:trPr>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Wholesale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39,431</w:t>
            </w:r>
          </w:p>
        </w:tc>
      </w:tr>
      <w:tr>
        <w:trPr>
          <w:trHeight w:val="216"/>
        </w:trPr>
        <w:tc>
          <w:tcPr>
            <w:tcW w:w="3560" w:type="dxa"/>
            <w:vAlign w:val="bottom"/>
          </w:tcPr>
          <w:p>
            <w:pPr>
              <w:ind w:left="120"/>
              <w:spacing w:after="0"/>
              <w:rPr>
                <w:sz w:val="20"/>
                <w:szCs w:val="20"/>
                <w:color w:val="auto"/>
              </w:rPr>
            </w:pPr>
            <w:r>
              <w:rPr>
                <w:rFonts w:ascii="Arial" w:cs="Arial" w:eastAsia="Arial" w:hAnsi="Arial"/>
                <w:sz w:val="18"/>
                <w:szCs w:val="18"/>
                <w:color w:val="auto"/>
              </w:rPr>
              <w:t>Retail</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21,676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21,206</w:t>
            </w:r>
          </w:p>
        </w:tc>
      </w:tr>
      <w:tr>
        <w:trPr>
          <w:trHeight w:val="216"/>
        </w:trPr>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 Data</w:t>
            </w:r>
          </w:p>
        </w:tc>
        <w:tc>
          <w:tcPr>
            <w:tcW w:w="2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16,903</w:t>
            </w:r>
          </w:p>
        </w:tc>
      </w:tr>
      <w:tr>
        <w:trPr>
          <w:trHeight w:val="210"/>
        </w:trPr>
        <w:tc>
          <w:tcPr>
            <w:tcW w:w="3560" w:type="dxa"/>
            <w:vAlign w:val="bottom"/>
          </w:tcPr>
          <w:p>
            <w:pPr>
              <w:spacing w:after="0"/>
              <w:rPr>
                <w:sz w:val="20"/>
                <w:szCs w:val="20"/>
                <w:color w:val="auto"/>
              </w:rPr>
            </w:pPr>
            <w:r>
              <w:rPr>
                <w:rFonts w:ascii="Arial" w:cs="Arial" w:eastAsia="Arial" w:hAnsi="Arial"/>
                <w:sz w:val="18"/>
                <w:szCs w:val="18"/>
                <w:color w:val="auto"/>
              </w:rPr>
              <w:t>Total revenue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234,606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186,792</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156,991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140,515</w:t>
            </w:r>
          </w:p>
        </w:tc>
      </w:tr>
      <w:tr>
        <w:trPr>
          <w:trHeight w:val="217"/>
        </w:trPr>
        <w:tc>
          <w:tcPr>
            <w:tcW w:w="3560" w:type="dxa"/>
            <w:vAlign w:val="bottom"/>
          </w:tcPr>
          <w:p>
            <w:pPr>
              <w:spacing w:after="0"/>
              <w:rPr>
                <w:sz w:val="20"/>
                <w:szCs w:val="20"/>
                <w:color w:val="auto"/>
              </w:rPr>
            </w:pPr>
            <w:r>
              <w:rPr>
                <w:rFonts w:ascii="Arial" w:cs="Arial" w:eastAsia="Arial" w:hAnsi="Arial"/>
                <w:sz w:val="18"/>
                <w:szCs w:val="18"/>
                <w:color w:val="auto"/>
              </w:rPr>
              <w:t>Operating income</w:t>
            </w:r>
          </w:p>
        </w:tc>
        <w:tc>
          <w:tcPr>
            <w:tcW w:w="2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77,615</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46,277</w:t>
            </w:r>
          </w:p>
        </w:tc>
      </w:tr>
    </w:tbl>
    <w:p>
      <w:pPr>
        <w:spacing w:after="0" w:line="202"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The Company operates in the U.S. and internationally, primarily in the Europe and Asia regions. Revenues are attributed to geographic area based on the jurisdiction where the underlying transactions take place. The results by geographic region are not meaningful in understanding the Company's business. Long-lived assets are attributed to the geographic area based on the location of the particular subsidiary.</w:t>
      </w:r>
    </w:p>
    <w:p>
      <w:pPr>
        <w:spacing w:after="0" w:line="187" w:lineRule="exact"/>
        <w:rPr>
          <w:sz w:val="20"/>
          <w:szCs w:val="20"/>
          <w:color w:val="auto"/>
        </w:rPr>
      </w:pPr>
    </w:p>
    <w:p>
      <w:pPr>
        <w:ind w:left="40" w:right="239"/>
        <w:spacing w:after="0" w:line="277" w:lineRule="auto"/>
        <w:rPr>
          <w:sz w:val="20"/>
          <w:szCs w:val="20"/>
          <w:color w:val="auto"/>
        </w:rPr>
      </w:pPr>
      <w:r>
        <w:rPr>
          <w:rFonts w:ascii="Arial" w:cs="Arial" w:eastAsia="Arial" w:hAnsi="Arial"/>
          <w:sz w:val="18"/>
          <w:szCs w:val="18"/>
          <w:color w:val="auto"/>
        </w:rPr>
        <w:t>The following table provides a breakdown of revenue by geographic area for the three months ended March 31, 2020 and 2019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2980" w:type="dxa"/>
            <w:vAlign w:val="bottom"/>
            <w:tcBorders>
              <w:bottom w:val="single" w:sz="8" w:color="CCEEFF"/>
            </w:tcBorders>
          </w:tcPr>
          <w:p>
            <w:pPr>
              <w:spacing w:after="0"/>
              <w:rPr>
                <w:sz w:val="14"/>
                <w:szCs w:val="14"/>
                <w:color w:val="auto"/>
              </w:rPr>
            </w:pPr>
          </w:p>
        </w:tc>
        <w:tc>
          <w:tcPr>
            <w:tcW w:w="2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March 31, 2019</w:t>
            </w: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119,397</w:t>
            </w:r>
          </w:p>
        </w:tc>
      </w:tr>
      <w:tr>
        <w:trPr>
          <w:trHeight w:val="216"/>
        </w:trPr>
        <w:tc>
          <w:tcPr>
            <w:tcW w:w="2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International</w:t>
            </w:r>
          </w:p>
        </w:tc>
        <w:tc>
          <w:tcPr>
            <w:tcW w:w="2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89,350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67,395</w:t>
            </w:r>
          </w:p>
        </w:tc>
      </w:tr>
      <w:tr>
        <w:trPr>
          <w:trHeight w:val="230"/>
        </w:trPr>
        <w:tc>
          <w:tcPr>
            <w:tcW w:w="2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Gross Revenue</w:t>
            </w:r>
          </w:p>
        </w:tc>
        <w:tc>
          <w:tcPr>
            <w:tcW w:w="2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234,606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186,792</w:t>
            </w:r>
          </w:p>
        </w:tc>
      </w:tr>
      <w:tr>
        <w:trPr>
          <w:trHeight w:val="851"/>
        </w:trPr>
        <w:tc>
          <w:tcPr>
            <w:tcW w:w="2980" w:type="dxa"/>
            <w:vAlign w:val="bottom"/>
          </w:tcPr>
          <w:p>
            <w:pPr>
              <w:spacing w:after="0"/>
              <w:rPr>
                <w:sz w:val="24"/>
                <w:szCs w:val="24"/>
                <w:color w:val="auto"/>
              </w:rPr>
            </w:pPr>
          </w:p>
        </w:tc>
        <w:tc>
          <w:tcPr>
            <w:tcW w:w="2740" w:type="dxa"/>
            <w:vAlign w:val="bottom"/>
          </w:tcPr>
          <w:p>
            <w:pPr>
              <w:jc w:val="right"/>
              <w:ind w:right="107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560"/>
        </w:trPr>
        <w:tc>
          <w:tcPr>
            <w:tcW w:w="29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37" w:name="page38"/>
    <w:bookmarkEnd w:id="3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79"/>
        <w:spacing w:after="0" w:line="277" w:lineRule="auto"/>
        <w:rPr>
          <w:sz w:val="20"/>
          <w:szCs w:val="20"/>
          <w:color w:val="auto"/>
        </w:rPr>
      </w:pPr>
      <w:r>
        <w:rPr>
          <w:rFonts w:ascii="Arial" w:cs="Arial" w:eastAsia="Arial" w:hAnsi="Arial"/>
          <w:sz w:val="18"/>
          <w:szCs w:val="18"/>
          <w:color w:val="auto"/>
        </w:rPr>
        <w:t>The following table provides information on the attribution of long-lived assets by geographic area as of March 31, 2020 and December 31, 2019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400" w:type="dxa"/>
            <w:vAlign w:val="bottom"/>
            <w:tcBorders>
              <w:bottom w:val="single" w:sz="8" w:color="CCEEFF"/>
            </w:tcBorders>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r>
      <w:tr>
        <w:trPr>
          <w:trHeight w:val="20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3400" w:type="dxa"/>
            <w:vAlign w:val="bottom"/>
          </w:tcPr>
          <w:p>
            <w:pPr>
              <w:ind w:left="120"/>
              <w:spacing w:after="0"/>
              <w:rPr>
                <w:sz w:val="20"/>
                <w:szCs w:val="20"/>
                <w:color w:val="auto"/>
              </w:rPr>
            </w:pPr>
            <w:r>
              <w:rPr>
                <w:rFonts w:ascii="Arial" w:cs="Arial" w:eastAsia="Arial" w:hAnsi="Arial"/>
                <w:sz w:val="18"/>
                <w:szCs w:val="18"/>
                <w:color w:val="auto"/>
              </w:rPr>
              <w:t>U.S.</w:t>
            </w:r>
          </w:p>
        </w:tc>
        <w:tc>
          <w:tcPr>
            <w:tcW w:w="2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4,174,357</w:t>
            </w:r>
          </w:p>
        </w:tc>
        <w:tc>
          <w:tcPr>
            <w:tcW w:w="340" w:type="dxa"/>
            <w:vAlign w:val="bottom"/>
          </w:tcPr>
          <w:p>
            <w:pPr>
              <w:spacing w:after="0"/>
              <w:rPr>
                <w:sz w:val="18"/>
                <w:szCs w:val="18"/>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4,200,133</w:t>
            </w: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International</w:t>
            </w:r>
          </w:p>
        </w:tc>
        <w:tc>
          <w:tcPr>
            <w:tcW w:w="2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14,100</w:t>
            </w:r>
          </w:p>
        </w:tc>
      </w:tr>
      <w:tr>
        <w:trPr>
          <w:trHeight w:val="217"/>
        </w:trPr>
        <w:tc>
          <w:tcPr>
            <w:tcW w:w="3400" w:type="dxa"/>
            <w:vAlign w:val="bottom"/>
          </w:tcPr>
          <w:p>
            <w:pPr>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4,187,828</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4,214,233</w:t>
            </w:r>
          </w:p>
        </w:tc>
      </w:tr>
    </w:tbl>
    <w:p>
      <w:pPr>
        <w:spacing w:after="0" w:line="265" w:lineRule="exact"/>
        <w:rPr>
          <w:sz w:val="20"/>
          <w:szCs w:val="20"/>
          <w:color w:val="auto"/>
        </w:rPr>
      </w:pPr>
    </w:p>
    <w:p>
      <w:pPr>
        <w:ind w:left="720" w:hanging="676"/>
        <w:spacing w:after="0"/>
        <w:tabs>
          <w:tab w:leader="none" w:pos="7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40" w:right="199"/>
        <w:spacing w:after="0" w:line="263" w:lineRule="auto"/>
        <w:rPr>
          <w:sz w:val="20"/>
          <w:szCs w:val="20"/>
          <w:color w:val="auto"/>
        </w:rPr>
      </w:pPr>
      <w:r>
        <w:rPr>
          <w:rFonts w:ascii="Arial" w:cs="Arial" w:eastAsia="Arial" w:hAnsi="Arial"/>
          <w:sz w:val="18"/>
          <w:szCs w:val="18"/>
          <w:color w:val="auto"/>
        </w:rPr>
        <w:t>On May 6, 2020, the board of directors of Tradeweb Markets Inc. declared a cash dividend of $0.08 per share of Class A common stock and Class B common stock for the second quarter of 2020. This dividend will be payable on June 15, 2020 to stockholders of record as of June 1, 2020.</w:t>
      </w:r>
    </w:p>
    <w:p>
      <w:pPr>
        <w:spacing w:after="0" w:line="184" w:lineRule="exact"/>
        <w:rPr>
          <w:sz w:val="20"/>
          <w:szCs w:val="20"/>
          <w:color w:val="auto"/>
        </w:rPr>
      </w:pPr>
    </w:p>
    <w:p>
      <w:pPr>
        <w:ind w:left="40" w:right="219"/>
        <w:spacing w:after="0" w:line="308" w:lineRule="auto"/>
        <w:rPr>
          <w:sz w:val="20"/>
          <w:szCs w:val="20"/>
          <w:color w:val="auto"/>
        </w:rPr>
      </w:pPr>
      <w:r>
        <w:rPr>
          <w:rFonts w:ascii="Arial" w:cs="Arial" w:eastAsia="Arial" w:hAnsi="Arial"/>
          <w:sz w:val="17"/>
          <w:szCs w:val="17"/>
          <w:color w:val="auto"/>
        </w:rPr>
        <w:t>On May 5, 2020, Tradeweb Markets Inc., as the sole manager, approved a distribution by TWM LLC to its equityholders, including Tradeweb Markets Inc., in an aggregate amount of $18.1 million payable on June 11, 2020.</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April 2020 Follow-On Offering</w:t>
      </w:r>
    </w:p>
    <w:p>
      <w:pPr>
        <w:spacing w:after="0" w:line="225" w:lineRule="exact"/>
        <w:rPr>
          <w:sz w:val="20"/>
          <w:szCs w:val="20"/>
          <w:color w:val="auto"/>
        </w:rPr>
      </w:pPr>
    </w:p>
    <w:p>
      <w:pPr>
        <w:ind w:left="40" w:right="79"/>
        <w:spacing w:after="0" w:line="288" w:lineRule="auto"/>
        <w:rPr>
          <w:sz w:val="20"/>
          <w:szCs w:val="20"/>
          <w:color w:val="auto"/>
        </w:rPr>
      </w:pPr>
      <w:r>
        <w:rPr>
          <w:rFonts w:ascii="Arial" w:cs="Arial" w:eastAsia="Arial" w:hAnsi="Arial"/>
          <w:sz w:val="16"/>
          <w:szCs w:val="16"/>
          <w:color w:val="auto"/>
        </w:rPr>
        <w:t>On April 27, 2020, Tradeweb Markets Inc. completed its follow-on offering of 12,835,245 shares of Class A Common stock at a public offering price of $50.25 per share, which included 1,674,162 shares of Class A common stock issued pursuant to the underwriters’ option to purchase additional shares of Class A common stock. Tradeweb Markets Inc. received net proceeds of $626.3 million, after deducting underwriting discounts and commissions but before deducting estimated offering expenses, which were used to purchase (i) 12,238,827 issued and outstanding LLC Interests from certain of the Bank Stockholders (and the corresponding shares of common stock held by such holders were cancelled) and (ii) 596,418 issued and outstanding shares of Class A common stock from certain of our executive officers (and such shares of Class A common stock were cancelled), at a purchase price per interest and share equal to the public offering price of $50.25, less the underwriting discounts and commissions payable thereon. As of May 1, 2020, Tradeweb Markets Inc. owns 80.0% of TWM LLC and the Continuing LLC Owners own the remaining 20.0% of TWM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right="259"/>
        <w:spacing w:after="0" w:line="282" w:lineRule="auto"/>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166" w:lineRule="exact"/>
        <w:rPr>
          <w:sz w:val="20"/>
          <w:szCs w:val="20"/>
          <w:color w:val="auto"/>
        </w:rPr>
      </w:pPr>
    </w:p>
    <w:p>
      <w:pPr>
        <w:ind w:left="40" w:right="79" w:firstLine="324"/>
        <w:spacing w:after="0" w:line="218" w:lineRule="exact"/>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consolidated financial statements and related notes included elsewhere in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79" w:firstLine="324"/>
        <w:spacing w:after="0" w:line="270"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81" w:lineRule="exact"/>
        <w:rPr>
          <w:sz w:val="20"/>
          <w:szCs w:val="20"/>
          <w:color w:val="auto"/>
        </w:rPr>
      </w:pPr>
    </w:p>
    <w:p>
      <w:pPr>
        <w:ind w:left="40" w:right="199" w:firstLine="324"/>
        <w:spacing w:after="0" w:line="279" w:lineRule="auto"/>
        <w:rPr>
          <w:sz w:val="20"/>
          <w:szCs w:val="20"/>
          <w:color w:val="auto"/>
        </w:rPr>
      </w:pPr>
      <w:r>
        <w:rPr>
          <w:rFonts w:ascii="Arial" w:cs="Arial" w:eastAsia="Arial" w:hAnsi="Arial"/>
          <w:sz w:val="17"/>
          <w:szCs w:val="17"/>
          <w:color w:val="auto"/>
        </w:rPr>
        <w:t>Our institutional client sector serves institutional investors in over 40 markets across 25 currencies, and in over 65 countries around the globe.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71"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8"/>
          <w:szCs w:val="18"/>
          <w:color w:val="auto"/>
        </w:rPr>
        <w:t>In our wholesale client sector, we provide a broad range of electronic, voice and hybrid platforms to more than 300 dealers and financial institutions with more than 100 actively trading on our electronic or hybrid markets with our Dealerweb platform. This platform was launched in 2008 following the acquisition of inter-dealer broker Hilliard Farber &amp; Co., Inc. In 2011, we acquired the brokerage assets of Rafferty Capital Markets. Today, Dealerweb actively competes across a range of rates, credit, derivatives and equity markets.</w:t>
      </w:r>
    </w:p>
    <w:p>
      <w:pPr>
        <w:spacing w:after="0" w:line="188" w:lineRule="exact"/>
        <w:rPr>
          <w:sz w:val="20"/>
          <w:szCs w:val="20"/>
          <w:color w:val="auto"/>
        </w:rPr>
      </w:pPr>
    </w:p>
    <w:p>
      <w:pPr>
        <w:ind w:left="40" w:right="239" w:firstLine="324"/>
        <w:spacing w:after="0" w:line="257" w:lineRule="auto"/>
        <w:rPr>
          <w:sz w:val="20"/>
          <w:szCs w:val="20"/>
          <w:color w:val="auto"/>
        </w:rPr>
      </w:pPr>
      <w:r>
        <w:rPr>
          <w:rFonts w:ascii="Arial" w:cs="Arial" w:eastAsia="Arial" w:hAnsi="Arial"/>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188" w:lineRule="exact"/>
        <w:rPr>
          <w:sz w:val="20"/>
          <w:szCs w:val="20"/>
          <w:color w:val="auto"/>
        </w:rPr>
      </w:pPr>
    </w:p>
    <w:p>
      <w:pPr>
        <w:ind w:left="40" w:right="99" w:firstLine="324"/>
        <w:spacing w:after="0" w:line="271" w:lineRule="auto"/>
        <w:rPr>
          <w:sz w:val="20"/>
          <w:szCs w:val="20"/>
          <w:color w:val="auto"/>
        </w:rPr>
      </w:pPr>
      <w:r>
        <w:rPr>
          <w:rFonts w:ascii="Arial" w:cs="Arial" w:eastAsia="Arial" w:hAnsi="Arial"/>
          <w:sz w:val="17"/>
          <w:szCs w:val="17"/>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Trends and Other Factors Impacting Our Performance</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left="40" w:right="119" w:firstLine="324"/>
        <w:spacing w:after="0" w:line="259" w:lineRule="auto"/>
        <w:rPr>
          <w:sz w:val="20"/>
          <w:szCs w:val="20"/>
          <w:color w:val="auto"/>
        </w:rPr>
      </w:pPr>
      <w:r>
        <w:rPr>
          <w:rFonts w:ascii="Arial" w:cs="Arial" w:eastAsia="Arial" w:hAnsi="Arial"/>
          <w:sz w:val="18"/>
          <w:szCs w:val="18"/>
          <w:color w:val="auto"/>
        </w:rPr>
        <w:t>Since the onset of the COVID-19 pandemic, we have been focused on keeping our employees safe, helping our clients stay connected, and ensuring our markets operate efficiently through this period of unprecedented market volatility. We have implemented a series of measures to protect the health and safety of our employees, and by mid-March 2020, nearly all of our employees around the world were working remotely.</w:t>
      </w:r>
    </w:p>
    <w:p>
      <w:pPr>
        <w:spacing w:after="0" w:line="187" w:lineRule="exact"/>
        <w:rPr>
          <w:sz w:val="20"/>
          <w:szCs w:val="20"/>
          <w:color w:val="auto"/>
        </w:rPr>
      </w:pPr>
    </w:p>
    <w:p>
      <w:pPr>
        <w:ind w:left="40" w:right="239" w:firstLine="324"/>
        <w:spacing w:after="0" w:line="272" w:lineRule="auto"/>
        <w:rPr>
          <w:sz w:val="20"/>
          <w:szCs w:val="20"/>
          <w:color w:val="auto"/>
        </w:rPr>
      </w:pPr>
      <w:r>
        <w:rPr>
          <w:rFonts w:ascii="Arial" w:cs="Arial" w:eastAsia="Arial" w:hAnsi="Arial"/>
          <w:sz w:val="17"/>
          <w:szCs w:val="17"/>
          <w:color w:val="auto"/>
        </w:rPr>
        <w:t>In light of the unprecedented market volatility and significant economic disruption that has arisen in the wake of the pandemic, we have worked closely with our clients to provide flexible and secure access to our platforms, and to ensure that we would be a stable and resilient partner across multiple asset classes - so they can reliably manage their core cash and derivatives needs in the diverse markets we serve, even as their own businesses may face disruptions. Our employees and clients together have adapted to working remotely and we have helped our clients navigate the market volatility through multi-asset class and multi-protocol electronic offerings. We believe the strong volumes we experienced on our platforms in March 2020 are reflective of these factors.</w:t>
      </w:r>
    </w:p>
    <w:p>
      <w:pPr>
        <w:spacing w:after="0" w:line="177" w:lineRule="exact"/>
        <w:rPr>
          <w:sz w:val="20"/>
          <w:szCs w:val="20"/>
          <w:color w:val="auto"/>
        </w:rPr>
      </w:pPr>
    </w:p>
    <w:p>
      <w:pPr>
        <w:ind w:left="40" w:right="159" w:firstLine="324"/>
        <w:spacing w:after="0" w:line="293" w:lineRule="auto"/>
        <w:rPr>
          <w:sz w:val="20"/>
          <w:szCs w:val="20"/>
          <w:color w:val="auto"/>
        </w:rPr>
      </w:pPr>
      <w:r>
        <w:rPr>
          <w:rFonts w:ascii="Arial" w:cs="Arial" w:eastAsia="Arial" w:hAnsi="Arial"/>
          <w:sz w:val="16"/>
          <w:szCs w:val="16"/>
          <w:color w:val="auto"/>
        </w:rPr>
        <w:t>The global spread of the COVID-19 pandemic is complex and rapidly-evolving, with authorities around the world implementing numerous measures to try to contain the coronavirus, such as travel bans and restrictions, social distancing, quarantines, shelter in place, stay at home or lockdown orders and business limitations and shutdowns. While our expectation is to return to our offices when it is safe to do so, we remain confident that we can continue to maintain business continuity, serve our clients and provide efficient execution in a virtual environment as necessary. In addition, we believe that we have sufficient liquidity and flexibility to operate during any future disruptions caused by COVID-19.</w:t>
      </w:r>
    </w:p>
    <w:p>
      <w:pPr>
        <w:spacing w:after="0" w:line="164" w:lineRule="exact"/>
        <w:rPr>
          <w:sz w:val="20"/>
          <w:szCs w:val="20"/>
          <w:color w:val="auto"/>
        </w:rPr>
      </w:pPr>
    </w:p>
    <w:p>
      <w:pPr>
        <w:ind w:left="40" w:right="119" w:firstLine="324"/>
        <w:spacing w:after="0" w:line="269" w:lineRule="auto"/>
        <w:rPr>
          <w:sz w:val="20"/>
          <w:szCs w:val="20"/>
          <w:color w:val="auto"/>
        </w:rPr>
      </w:pPr>
      <w:r>
        <w:rPr>
          <w:rFonts w:ascii="Arial" w:cs="Arial" w:eastAsia="Arial" w:hAnsi="Arial"/>
          <w:sz w:val="17"/>
          <w:szCs w:val="17"/>
          <w:color w:val="auto"/>
        </w:rPr>
        <w:t>We currently expect any future disruptive impact of COVID-19 on our business to be temporary and are determined to continue to minimize such impact. Although we have implemented risk management and contingency plans and taken preventive measures and other precautions, our efforts to mitigate the effects of any disruptions may prove to be inadequate. Due to the uncertainty of the duration and severity of COVID-19, the speed with which this pandemic is developing, the uncertainty as to what governmental measures may yet be taken in response to the pandemic and the unpredictable effect on our business, our employees and our clients, we are not able to reasonably estimate the extent of any potential impact of COVID-19 on our financial condition or results of operations at this time, but the impact could potentially be material. Even after the COVID-19 outbreak has subsided, we may continue to experience impacts to our business as a result of the coronavirus’ global economic impact and any recession that has occurred or may occur in the future. Further, as the COVID-19 situation is unprecedented and continuously evolving, COVID-19 may also affect our operating and financial results in a manner that is not presently known to us or in a manner that we currently do not consider to present significant risks to our operations.</w:t>
      </w:r>
    </w:p>
    <w:p>
      <w:pPr>
        <w:spacing w:after="0" w:line="179" w:lineRule="exact"/>
        <w:rPr>
          <w:sz w:val="20"/>
          <w:szCs w:val="20"/>
          <w:color w:val="auto"/>
        </w:rPr>
      </w:pPr>
    </w:p>
    <w:p>
      <w:pPr>
        <w:ind w:left="40" w:right="119" w:firstLine="324"/>
        <w:spacing w:after="0" w:line="254" w:lineRule="auto"/>
        <w:rPr>
          <w:sz w:val="20"/>
          <w:szCs w:val="20"/>
          <w:color w:val="auto"/>
        </w:rPr>
      </w:pPr>
      <w:r>
        <w:rPr>
          <w:rFonts w:ascii="Arial" w:cs="Arial" w:eastAsia="Arial" w:hAnsi="Arial"/>
          <w:sz w:val="18"/>
          <w:szCs w:val="18"/>
          <w:color w:val="auto"/>
        </w:rPr>
        <w:t>As the COVID-19 pandemic continues, it may also have the effect of heightening many of the risks described in “Item 1A. Risk Factors” of our Annual Report on Form 10-K, as amended, for the year ended December 31, 2019, including, but not limited to, those relating to changes in economic, political, social and market conditions and the impact of these changes on trading volumes; consolidation and concentration in the financial services industry; our dependence on dealer clients; systems failures, interruptions, delays in services, cybersecurity incidents, unforeseen or catastrophic events and any resulting interruptions; our international operations; and our dependence on our senior management team and other qualified personnel.</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April 2020 Follow-On Offering</w:t>
      </w:r>
    </w:p>
    <w:p>
      <w:pPr>
        <w:spacing w:after="0" w:line="225" w:lineRule="exact"/>
        <w:rPr>
          <w:sz w:val="20"/>
          <w:szCs w:val="20"/>
          <w:color w:val="auto"/>
        </w:rPr>
      </w:pPr>
    </w:p>
    <w:p>
      <w:pPr>
        <w:ind w:left="40" w:right="79" w:firstLine="324"/>
        <w:spacing w:after="0" w:line="291" w:lineRule="auto"/>
        <w:rPr>
          <w:sz w:val="20"/>
          <w:szCs w:val="20"/>
          <w:color w:val="auto"/>
        </w:rPr>
      </w:pPr>
      <w:r>
        <w:rPr>
          <w:rFonts w:ascii="Arial" w:cs="Arial" w:eastAsia="Arial" w:hAnsi="Arial"/>
          <w:sz w:val="16"/>
          <w:szCs w:val="16"/>
          <w:color w:val="auto"/>
        </w:rPr>
        <w:t>On April 27, 2020, Tradeweb Markets Inc. completed its follow-on offering of 12,835,245 shares of Class A Common stock at a public offering price of $50.25 per share, which included 1,674,162 shares of Class A common stock issued pursuant to the underwriters’ option to purchase additional shares of Class A common stock. Tradeweb Markets Inc. received net proceeds of $626.3 million, after deducting underwriting discounts and commissions but before deducting estimated offering expenses, which were used to purchase (i) 12,238,827 issued and outstanding LLC Interests from certain of the Bank Stockholders (and the corresponding shares of common stock held by such holders were cancelled) and (ii) 596,418 issued and outstanding shares of Class A common stock from certain of our executive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19"/>
        <w:spacing w:after="0" w:line="259" w:lineRule="auto"/>
        <w:rPr>
          <w:sz w:val="20"/>
          <w:szCs w:val="20"/>
          <w:color w:val="auto"/>
        </w:rPr>
      </w:pPr>
      <w:r>
        <w:rPr>
          <w:rFonts w:ascii="Arial" w:cs="Arial" w:eastAsia="Arial" w:hAnsi="Arial"/>
          <w:sz w:val="18"/>
          <w:szCs w:val="18"/>
          <w:color w:val="auto"/>
        </w:rPr>
        <w:t>officers (and such shares of Class A common stock were cancelled), at a purchase price per interest and share equal to the public offering price of $50.25, less the underwriting discounts and commissions payable thereon. As of May 1, 2020, Tradeweb Markets Inc. owns 80.0% of TWM LLC and the Continuing LLC Owners own the remaining 20.0% of TWM LLC.</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225" w:lineRule="exact"/>
        <w:rPr>
          <w:sz w:val="20"/>
          <w:szCs w:val="20"/>
          <w:color w:val="auto"/>
        </w:rPr>
      </w:pPr>
    </w:p>
    <w:p>
      <w:pPr>
        <w:ind w:left="40" w:right="59" w:firstLine="324"/>
        <w:spacing w:after="0" w:line="273" w:lineRule="auto"/>
        <w:rPr>
          <w:sz w:val="20"/>
          <w:szCs w:val="20"/>
          <w:color w:val="auto"/>
        </w:rPr>
      </w:pPr>
      <w:r>
        <w:rPr>
          <w:rFonts w:ascii="Arial" w:cs="Arial" w:eastAsia="Arial" w:hAnsi="Arial"/>
          <w:sz w:val="17"/>
          <w:szCs w:val="17"/>
          <w:color w:val="auto"/>
        </w:rPr>
        <w:t>Our business is impacted by the overall market activity and, in particular, trading volumes and market volatility. Lower volatility is correlated to lower liquidity, which may result in lower trading volume for our clients and may negatively impact our operating performance. Factors that may impact market activity in 2020 include, among other things, economic, political and social conditions, legislative, regulatory or government policy changes and health concerns associated with the COVID-19 pandemic. As a result, our business is sensitive to slow trading environments and the continuity of conservative monetary policies of central banks internationally, which tend to lessen volatility.</w:t>
      </w:r>
    </w:p>
    <w:p>
      <w:pPr>
        <w:spacing w:after="0" w:line="178" w:lineRule="exact"/>
        <w:rPr>
          <w:sz w:val="20"/>
          <w:szCs w:val="20"/>
          <w:color w:val="auto"/>
        </w:rPr>
      </w:pPr>
    </w:p>
    <w:p>
      <w:pPr>
        <w:ind w:left="40" w:right="119" w:firstLine="324"/>
        <w:spacing w:after="0" w:line="259" w:lineRule="auto"/>
        <w:rPr>
          <w:sz w:val="20"/>
          <w:szCs w:val="20"/>
          <w:color w:val="auto"/>
        </w:rPr>
      </w:pPr>
      <w:r>
        <w:rPr>
          <w:rFonts w:ascii="Arial" w:cs="Arial" w:eastAsia="Arial" w:hAnsi="Arial"/>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225" w:lineRule="exact"/>
        <w:rPr>
          <w:sz w:val="20"/>
          <w:szCs w:val="20"/>
          <w:color w:val="auto"/>
        </w:rPr>
      </w:pPr>
    </w:p>
    <w:p>
      <w:pPr>
        <w:ind w:left="40" w:right="159" w:firstLine="324"/>
        <w:spacing w:after="0" w:line="285" w:lineRule="auto"/>
        <w:rPr>
          <w:sz w:val="20"/>
          <w:szCs w:val="20"/>
          <w:color w:val="auto"/>
        </w:rPr>
      </w:pPr>
      <w:r>
        <w:rPr>
          <w:rFonts w:ascii="Arial" w:cs="Arial" w:eastAsia="Arial" w:hAnsi="Arial"/>
          <w:sz w:val="16"/>
          <w:szCs w:val="16"/>
          <w:color w:val="auto"/>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resulting in enforcement of new laws and regulations that apply to our business. The current regulatory environment in the United States may be subject to future legislative changes driven by the current administration and could be further impacted by the results of the upcoming U.S. 2020 elections cycle. The impact of any reform efforts on us and our operations remains uncertain. In addition, as a result of the referendum in favor of the United Kingdom’s withdrawal from the European Union (“Brexit”) in June 2016, which withdrawal occurred on January 31, 2020, we have incurred additional costs to address the potential effects of Brexit, including costs associated with establishing a new regulated subsidiary in the Netherlands.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 For example, our 2018 revenue increased due in part to higher trading volumes as a result of, and the introduction of our new Approved Publication Arrangement (“APA”) service in connection with, the implementation of Markets in Financial Instruments Directive II (“MiFID II”) in January 2018.</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225" w:lineRule="exact"/>
        <w:rPr>
          <w:sz w:val="20"/>
          <w:szCs w:val="20"/>
          <w:color w:val="auto"/>
        </w:rPr>
      </w:pPr>
    </w:p>
    <w:p>
      <w:pPr>
        <w:ind w:left="40" w:right="219" w:firstLine="324"/>
        <w:spacing w:after="0" w:line="269" w:lineRule="auto"/>
        <w:rPr>
          <w:sz w:val="20"/>
          <w:szCs w:val="20"/>
          <w:color w:val="auto"/>
        </w:rPr>
      </w:pPr>
      <w:r>
        <w:rPr>
          <w:rFonts w:ascii="Arial" w:cs="Arial" w:eastAsia="Arial" w:hAnsi="Arial"/>
          <w:sz w:val="17"/>
          <w:szCs w:val="17"/>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Technology and Cybersecurity Environment</w:t>
      </w:r>
    </w:p>
    <w:p>
      <w:pPr>
        <w:spacing w:after="0" w:line="225"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by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 We experience cyber-threats and attempted security breaches. If these were successful, these cyber security incidents could impact revenue and operating income and increase costs. We therefore continue to make investments, which may result in increased costs, to strengthen our cybersecurity measures.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Foreign Currency Exchange Rate Environment</w:t>
      </w:r>
    </w:p>
    <w:p>
      <w:pPr>
        <w:spacing w:after="0" w:line="225" w:lineRule="exact"/>
        <w:rPr>
          <w:sz w:val="20"/>
          <w:szCs w:val="20"/>
          <w:color w:val="auto"/>
        </w:rPr>
      </w:pPr>
    </w:p>
    <w:p>
      <w:pPr>
        <w:ind w:left="40" w:right="99" w:firstLine="324"/>
        <w:spacing w:after="0" w:line="217" w:lineRule="exact"/>
        <w:rPr>
          <w:sz w:val="20"/>
          <w:szCs w:val="20"/>
          <w:color w:val="auto"/>
        </w:rPr>
      </w:pPr>
      <w:r>
        <w:rPr>
          <w:rFonts w:ascii="Arial" w:cs="Arial" w:eastAsia="Arial" w:hAnsi="Arial"/>
          <w:sz w:val="16"/>
          <w:szCs w:val="16"/>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Item 3, “Quantitative and Qualitative Disclosures About Market Risk— Foreign Currency and Derivative Risk” elsewhere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Taxation and Public Company Expenses</w:t>
      </w:r>
    </w:p>
    <w:p>
      <w:pPr>
        <w:spacing w:after="0" w:line="229" w:lineRule="exact"/>
        <w:rPr>
          <w:sz w:val="20"/>
          <w:szCs w:val="20"/>
          <w:color w:val="auto"/>
        </w:rPr>
      </w:pPr>
    </w:p>
    <w:p>
      <w:pPr>
        <w:ind w:left="40" w:right="59" w:firstLine="324"/>
        <w:spacing w:after="0" w:line="288" w:lineRule="auto"/>
        <w:rPr>
          <w:sz w:val="20"/>
          <w:szCs w:val="20"/>
          <w:color w:val="auto"/>
        </w:rPr>
      </w:pPr>
      <w:r>
        <w:rPr>
          <w:rFonts w:ascii="Arial" w:cs="Arial" w:eastAsia="Arial" w:hAnsi="Arial"/>
          <w:sz w:val="16"/>
          <w:szCs w:val="16"/>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will increase over time as the Continuing LLC Owners redeem or exchange their LLC Interests for shares of Class A common stock or Class B common stock, as applicable, or as we purchase LLC Interests from the Continuing LLC Owners. In addition to tax expenses, we also incur expenses related to our operations. Furthermore, in connection with the IPO, we entered into the Tax Receivable Agreement pursuant to which we will be required to make payments that we expect to be significant. We intend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68" w:lineRule="exact"/>
        <w:rPr>
          <w:sz w:val="20"/>
          <w:szCs w:val="20"/>
          <w:color w:val="auto"/>
        </w:rPr>
      </w:pPr>
    </w:p>
    <w:p>
      <w:pPr>
        <w:ind w:left="40" w:right="139" w:firstLine="324"/>
        <w:spacing w:after="0" w:line="293" w:lineRule="auto"/>
        <w:rPr>
          <w:sz w:val="20"/>
          <w:szCs w:val="20"/>
          <w:color w:val="auto"/>
        </w:rPr>
      </w:pPr>
      <w:r>
        <w:rPr>
          <w:rFonts w:ascii="Arial" w:cs="Arial" w:eastAsia="Arial" w:hAnsi="Arial"/>
          <w:sz w:val="16"/>
          <w:szCs w:val="16"/>
          <w:color w:val="auto"/>
        </w:rPr>
        <w:t>In addition, as a public company, we have started to implement additional procedures and processes for the purpose of addressing the standards and requirements applicable to public companies. In particular, we expect our accounting, legal and personnel-related expenses and directors’ and officers’ insurance costs to continue to increase as we establish more comprehensive compliance and governance functions, establish, maintain and review internal controls over financial reporting in accordance with the Sarbanes-Oxley Act and prepare and distribute periodic reports in accordance with SEC rules. Beginning in the second quarter of 2019, our financial statements reflect the impact of these expenses.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left="40" w:right="119" w:firstLine="324"/>
        <w:spacing w:after="0" w:line="263" w:lineRule="auto"/>
        <w:rPr>
          <w:sz w:val="20"/>
          <w:szCs w:val="20"/>
          <w:color w:val="auto"/>
        </w:rPr>
      </w:pPr>
      <w:r>
        <w:rPr>
          <w:rFonts w:ascii="Arial" w:cs="Arial" w:eastAsia="Arial" w:hAnsi="Arial"/>
          <w:sz w:val="18"/>
          <w:szCs w:val="18"/>
          <w:color w:val="auto"/>
        </w:rPr>
        <w:t>Our gross revenue is derived primarily from transaction fees, subscription fees, commissions and market data fees. We believe that gross revenue is the key driver of our operating performance and therefore is the revenue measure we utilize to assess our business on a period by period basis.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Transaction Fees</w:t>
      </w:r>
    </w:p>
    <w:p>
      <w:pPr>
        <w:spacing w:after="0" w:line="225" w:lineRule="exact"/>
        <w:rPr>
          <w:sz w:val="20"/>
          <w:szCs w:val="20"/>
          <w:color w:val="auto"/>
        </w:rPr>
      </w:pPr>
    </w:p>
    <w:p>
      <w:pPr>
        <w:ind w:left="40" w:right="59" w:firstLine="324"/>
        <w:spacing w:after="0" w:line="291" w:lineRule="auto"/>
        <w:rPr>
          <w:sz w:val="20"/>
          <w:szCs w:val="20"/>
          <w:color w:val="auto"/>
        </w:rPr>
      </w:pPr>
      <w:r>
        <w:rPr>
          <w:rFonts w:ascii="Arial" w:cs="Arial" w:eastAsia="Arial" w:hAnsi="Arial"/>
          <w:sz w:val="16"/>
          <w:szCs w:val="16"/>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variable or fixed transaction fees on a per transaction basis. For variable transaction fees, we charge clients fees based on the mix of products traded and the volume of transactions executed.</w:t>
      </w:r>
    </w:p>
    <w:p>
      <w:pPr>
        <w:spacing w:after="0" w:line="166" w:lineRule="exact"/>
        <w:rPr>
          <w:sz w:val="20"/>
          <w:szCs w:val="20"/>
          <w:color w:val="auto"/>
        </w:rPr>
      </w:pPr>
    </w:p>
    <w:p>
      <w:pPr>
        <w:ind w:left="40" w:right="59" w:firstLine="324"/>
        <w:spacing w:after="0" w:line="273" w:lineRule="auto"/>
        <w:rPr>
          <w:sz w:val="20"/>
          <w:szCs w:val="20"/>
          <w:color w:val="auto"/>
        </w:rPr>
      </w:pPr>
      <w:r>
        <w:rPr>
          <w:rFonts w:ascii="Arial" w:cs="Arial" w:eastAsia="Arial" w:hAnsi="Arial"/>
          <w:sz w:val="17"/>
          <w:szCs w:val="17"/>
          <w:color w:val="auto"/>
        </w:rPr>
        <w:t>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Subscription Fees</w:t>
      </w:r>
    </w:p>
    <w:p>
      <w:pPr>
        <w:spacing w:after="0" w:line="225"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For a limited number of products, we only charge subscription fees and no transaction fees. Subscription fees are generally generated on a fixed price basis.</w:t>
      </w:r>
    </w:p>
    <w:p>
      <w:pPr>
        <w:spacing w:after="0" w:line="184" w:lineRule="exact"/>
        <w:rPr>
          <w:sz w:val="20"/>
          <w:szCs w:val="20"/>
          <w:color w:val="auto"/>
        </w:rPr>
      </w:pPr>
    </w:p>
    <w:p>
      <w:pPr>
        <w:ind w:left="40" w:right="79" w:firstLine="324"/>
        <w:spacing w:after="0" w:line="296" w:lineRule="auto"/>
        <w:rPr>
          <w:sz w:val="20"/>
          <w:szCs w:val="20"/>
          <w:color w:val="auto"/>
        </w:rPr>
      </w:pPr>
      <w:r>
        <w:rPr>
          <w:rFonts w:ascii="Arial" w:cs="Arial" w:eastAsia="Arial" w:hAnsi="Arial"/>
          <w:sz w:val="16"/>
          <w:szCs w:val="16"/>
          <w:color w:val="auto"/>
        </w:rPr>
        <w:t>For purposes of our discussion of our results of operations, we include Refinitiv (formerly Thomson Reuters) market data fees in subscription fees. We earn fixed license fees from our market data license agreement with Refinitiv. We also earn royalties from Refinitiv for referrals of new Eikon (a Refinitiv data platform) customers based on customer conversion rates. Royalties may fluctuate from period to period depending on the numbers of customer conversions achieved by Refinitiv during the applicable royalty fee earning period, which is typically five years from the date of the initial referral.</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Commissions</w:t>
      </w:r>
    </w:p>
    <w:p>
      <w:pPr>
        <w:spacing w:after="0" w:line="225" w:lineRule="exact"/>
        <w:rPr>
          <w:sz w:val="20"/>
          <w:szCs w:val="20"/>
          <w:color w:val="auto"/>
        </w:rPr>
      </w:pPr>
    </w:p>
    <w:p>
      <w:pPr>
        <w:ind w:left="40" w:right="139" w:firstLine="324"/>
        <w:spacing w:after="0" w:line="301" w:lineRule="auto"/>
        <w:rPr>
          <w:sz w:val="20"/>
          <w:szCs w:val="20"/>
          <w:color w:val="auto"/>
        </w:rPr>
      </w:pPr>
      <w:r>
        <w:rPr>
          <w:rFonts w:ascii="Arial" w:cs="Arial" w:eastAsia="Arial" w:hAnsi="Arial"/>
          <w:sz w:val="16"/>
          <w:szCs w:val="16"/>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Employee Compensation and Benefits</w:t>
      </w:r>
    </w:p>
    <w:p>
      <w:pPr>
        <w:spacing w:after="0" w:line="225" w:lineRule="exact"/>
        <w:rPr>
          <w:sz w:val="20"/>
          <w:szCs w:val="20"/>
          <w:color w:val="auto"/>
        </w:rPr>
      </w:pPr>
    </w:p>
    <w:p>
      <w:pPr>
        <w:ind w:left="40" w:right="79" w:firstLine="324"/>
        <w:spacing w:after="0" w:line="296" w:lineRule="auto"/>
        <w:rPr>
          <w:sz w:val="20"/>
          <w:szCs w:val="20"/>
          <w:color w:val="auto"/>
        </w:rPr>
      </w:pPr>
      <w:r>
        <w:rPr>
          <w:rFonts w:ascii="Arial" w:cs="Arial" w:eastAsia="Arial" w:hAnsi="Arial"/>
          <w:sz w:val="16"/>
          <w:szCs w:val="16"/>
          <w:color w:val="auto"/>
        </w:rPr>
        <w:t>Employee compensation and benefits expense consists of wages, employee benefits, bonuses, commissions, stock-based compensation cost and related taxes. Factors that influence employee compensation and benefits expense include revenue and earnings growth, hiring new employees and trading activity which generates broker commissions. We expect employee compensation and benefits expense to increase as we hire additional employees and as our revenues and earnings grow. As a result, employee compensation and benefits can vary from period to period.</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left="40" w:right="419" w:firstLine="324"/>
        <w:spacing w:after="0" w:line="308" w:lineRule="auto"/>
        <w:rPr>
          <w:sz w:val="20"/>
          <w:szCs w:val="20"/>
          <w:color w:val="auto"/>
        </w:rPr>
      </w:pPr>
      <w:r>
        <w:rPr>
          <w:rFonts w:ascii="Arial" w:cs="Arial" w:eastAsia="Arial" w:hAnsi="Arial"/>
          <w:sz w:val="17"/>
          <w:szCs w:val="17"/>
          <w:color w:val="auto"/>
        </w:rPr>
        <w:t>Depreciation and amortization expense consists of costs relating to the depreciation and amortization of intangible assets, acquired and internally developed software, leasehold improvements, furniture and equipment.</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left="40" w:right="79" w:firstLine="324"/>
        <w:spacing w:after="0" w:line="259" w:lineRule="auto"/>
        <w:rPr>
          <w:sz w:val="20"/>
          <w:szCs w:val="20"/>
          <w:color w:val="auto"/>
        </w:rPr>
      </w:pPr>
      <w:r>
        <w:rPr>
          <w:rFonts w:ascii="Arial" w:cs="Arial" w:eastAsia="Arial" w:hAnsi="Arial"/>
          <w:sz w:val="18"/>
          <w:szCs w:val="18"/>
          <w:color w:val="auto"/>
        </w:rPr>
        <w:t>General and administrative expense consists of travel and entertainment, marketing, value-added taxes, state use taxes, foreign currency transaction gains and losses, charitable contributions, other administrative expenses and bad debt expense. We expect general and administrative expense to increase as we expand the number of our employees and product offerings and grow our operations.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Technology and Communications</w:t>
      </w:r>
    </w:p>
    <w:p>
      <w:pPr>
        <w:spacing w:after="0" w:line="225" w:lineRule="exact"/>
        <w:rPr>
          <w:sz w:val="20"/>
          <w:szCs w:val="20"/>
          <w:color w:val="auto"/>
        </w:rPr>
      </w:pPr>
    </w:p>
    <w:p>
      <w:pPr>
        <w:ind w:left="40" w:right="79" w:firstLine="324"/>
        <w:spacing w:after="0" w:line="259" w:lineRule="auto"/>
        <w:rPr>
          <w:sz w:val="20"/>
          <w:szCs w:val="20"/>
          <w:color w:val="auto"/>
        </w:rPr>
      </w:pPr>
      <w:r>
        <w:rPr>
          <w:rFonts w:ascii="Arial" w:cs="Arial" w:eastAsia="Arial" w:hAnsi="Arial"/>
          <w:sz w:val="18"/>
          <w:szCs w:val="18"/>
          <w:color w:val="auto"/>
        </w:rPr>
        <w:t>Technology and communications expense consists of costs relating to software and hardware maintenance, our internal network connections, data center costs, clearance costs and data feeds provided by third-party service providers, including Refinitiv pursuant to a shared services agreement. Factors that influence technology and communications expense include the growth of our client base and product offerings.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Professional Fees</w:t>
      </w:r>
    </w:p>
    <w:p>
      <w:pPr>
        <w:spacing w:after="0" w:line="225" w:lineRule="exact"/>
        <w:rPr>
          <w:sz w:val="20"/>
          <w:szCs w:val="20"/>
          <w:color w:val="auto"/>
        </w:rPr>
      </w:pPr>
    </w:p>
    <w:p>
      <w:pPr>
        <w:ind w:left="40" w:right="179" w:firstLine="324"/>
        <w:spacing w:after="0" w:line="279" w:lineRule="auto"/>
        <w:rPr>
          <w:sz w:val="20"/>
          <w:szCs w:val="20"/>
          <w:color w:val="auto"/>
        </w:rPr>
      </w:pPr>
      <w:r>
        <w:rPr>
          <w:rFonts w:ascii="Arial" w:cs="Arial" w:eastAsia="Arial" w:hAnsi="Arial"/>
          <w:sz w:val="17"/>
          <w:szCs w:val="17"/>
          <w:color w:val="auto"/>
        </w:rPr>
        <w:t>Professional fees consist primarily of accounting, tax and legal fees and fees paid to technology and software consultants to maintain our trading platforms and infrastructure. Accounting, tax and legal fees are expected to increase as a result of expanding public company and compliance requirements. Factors that influence technology and software consulting expense include the growth of our client base and product offerings.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Occupancy</w:t>
      </w:r>
    </w:p>
    <w:p>
      <w:pPr>
        <w:spacing w:after="0" w:line="225" w:lineRule="exact"/>
        <w:rPr>
          <w:sz w:val="20"/>
          <w:szCs w:val="20"/>
          <w:color w:val="auto"/>
        </w:rPr>
      </w:pPr>
    </w:p>
    <w:p>
      <w:pPr>
        <w:jc w:val="both"/>
        <w:ind w:left="40" w:right="159" w:firstLine="324"/>
        <w:spacing w:after="0" w:line="259" w:lineRule="auto"/>
        <w:rPr>
          <w:sz w:val="20"/>
          <w:szCs w:val="20"/>
          <w:color w:val="auto"/>
        </w:rPr>
      </w:pPr>
      <w:r>
        <w:rPr>
          <w:rFonts w:ascii="Arial" w:cs="Arial" w:eastAsia="Arial" w:hAnsi="Arial"/>
          <w:sz w:val="18"/>
          <w:szCs w:val="18"/>
          <w:color w:val="auto"/>
        </w:rPr>
        <w:t>Occupancy expense consists of operating lease rent and related costs for office space and data centers leased in North America, Europe and Asia. Fees incurred by us under a shared services agreement with Refinitiv for office space are also included in occupancy expense. We expect occupancy expense to increase as we expand the number of our employees and grow our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Interest Income (Expense)</w:t>
      </w:r>
    </w:p>
    <w:p>
      <w:pPr>
        <w:spacing w:after="0" w:line="225" w:lineRule="exact"/>
        <w:rPr>
          <w:sz w:val="20"/>
          <w:szCs w:val="20"/>
          <w:color w:val="auto"/>
        </w:rPr>
      </w:pPr>
    </w:p>
    <w:p>
      <w:pPr>
        <w:ind w:left="40" w:right="339" w:firstLine="324"/>
        <w:spacing w:after="0" w:line="286" w:lineRule="auto"/>
        <w:rPr>
          <w:sz w:val="20"/>
          <w:szCs w:val="20"/>
          <w:color w:val="auto"/>
        </w:rPr>
      </w:pPr>
      <w:r>
        <w:rPr>
          <w:rFonts w:ascii="Arial" w:cs="Arial" w:eastAsia="Arial" w:hAnsi="Arial"/>
          <w:sz w:val="17"/>
          <w:szCs w:val="17"/>
          <w:color w:val="auto"/>
        </w:rPr>
        <w:t>Interest income consists of interest earned from our cash deposited with large commercial banks and money market funds. Beginning with the second quarter of 2019, interest expense consists of commitment fees payable on, and, if applicable, interest payable on any borrowings outstanding under, the Revolving Credit Facility.</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40" w:right="99" w:firstLine="324"/>
        <w:spacing w:after="0" w:line="271" w:lineRule="auto"/>
        <w:rPr>
          <w:sz w:val="20"/>
          <w:szCs w:val="20"/>
          <w:color w:val="auto"/>
        </w:rPr>
      </w:pPr>
      <w:r>
        <w:rPr>
          <w:rFonts w:ascii="Arial" w:cs="Arial" w:eastAsia="Arial" w:hAnsi="Arial"/>
          <w:sz w:val="17"/>
          <w:szCs w:val="17"/>
          <w:color w:val="auto"/>
        </w:rPr>
        <w:t>Beginning with the second quarter of 2019, we became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25"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8"/>
          <w:szCs w:val="18"/>
          <w:color w:val="auto"/>
        </w:rPr>
        <w:t>We are the sole manager of TWM LLC. As a result of this control, and because we have a substantial financial interest in TWM LLC, we began consolidating the financial results of TWM LLC and reporting a non-controlling interest on our consolidated financial statements, representing the economic interests in TWM LLC held by the Continuing LLC Owners. Income or loss is attributed to the non-controlling interests based on the relative ownership percentages of LLC Interests held during the period by us and the Continuing LLC Owners.</w:t>
      </w:r>
    </w:p>
    <w:p>
      <w:pPr>
        <w:spacing w:after="0" w:line="188" w:lineRule="exact"/>
        <w:rPr>
          <w:sz w:val="20"/>
          <w:szCs w:val="20"/>
          <w:color w:val="auto"/>
        </w:rPr>
      </w:pPr>
    </w:p>
    <w:p>
      <w:pPr>
        <w:ind w:left="40" w:right="119" w:firstLine="324"/>
        <w:spacing w:after="0" w:line="269" w:lineRule="auto"/>
        <w:rPr>
          <w:sz w:val="20"/>
          <w:szCs w:val="20"/>
          <w:color w:val="auto"/>
        </w:rPr>
      </w:pPr>
      <w:r>
        <w:rPr>
          <w:rFonts w:ascii="Arial" w:cs="Arial" w:eastAsia="Arial" w:hAnsi="Arial"/>
          <w:sz w:val="17"/>
          <w:szCs w:val="17"/>
          <w:color w:val="auto"/>
        </w:rPr>
        <w:t>In connection with the Reorganization Transactions, the TWM LLC Agreement was amended and restated to, among other things, (i) provide for LLC Interests and (ii) exchange all of the then existing membership interests in TWM LLC for LLC Interests. LLC Interests held by the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Following the completion of the Reorganization Transactions and the IPO, we owned 64.3% of TWM LLC and the Continuing LLC Owners owned the remaining 35.7% of TWM LLC. As of March 31, 2020, we owned 74.5% of TWM LLC and the Continuing LLC Owners owned the remaining 25.5% of TWM LLC.</w:t>
      </w:r>
    </w:p>
    <w:p>
      <w:pPr>
        <w:spacing w:after="0" w:line="182" w:lineRule="exact"/>
        <w:rPr>
          <w:sz w:val="20"/>
          <w:szCs w:val="20"/>
          <w:color w:val="auto"/>
        </w:rPr>
      </w:pPr>
    </w:p>
    <w:p>
      <w:pPr>
        <w:ind w:left="40" w:right="219" w:firstLine="324"/>
        <w:spacing w:after="0" w:line="301" w:lineRule="auto"/>
        <w:rPr>
          <w:sz w:val="20"/>
          <w:szCs w:val="20"/>
          <w:color w:val="auto"/>
        </w:rPr>
      </w:pPr>
      <w:r>
        <w:rPr>
          <w:rFonts w:ascii="Arial" w:cs="Arial" w:eastAsia="Arial" w:hAnsi="Arial"/>
          <w:sz w:val="16"/>
          <w:szCs w:val="16"/>
          <w:color w:val="auto"/>
        </w:rPr>
        <w:t>The result of the foregoing is that, during the second quarter of 2019, we began reporting net income attributable to non-controlling interests. For the three months ended March 31, 2020, net income attributable to non-controlling interests totaled approximately $18.6 million, which represents the Continuing LLC Owners’ pro rata share of the net income of TWM LLC. For the three months ended March 31, 2019 (pre-IPO period), there were no non-controlling interests.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5" w:name="page46"/>
    <w:bookmarkEnd w:id="4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For the Three Months Ended March 31, 2020 and Three Months Ended March 31, 2019</w:t>
      </w:r>
    </w:p>
    <w:p>
      <w:pPr>
        <w:spacing w:after="0" w:line="225" w:lineRule="exact"/>
        <w:rPr>
          <w:sz w:val="20"/>
          <w:szCs w:val="20"/>
          <w:color w:val="auto"/>
        </w:rPr>
      </w:pPr>
    </w:p>
    <w:p>
      <w:pPr>
        <w:ind w:left="40" w:right="159" w:firstLine="324"/>
        <w:spacing w:after="0" w:line="277" w:lineRule="auto"/>
        <w:rPr>
          <w:sz w:val="20"/>
          <w:szCs w:val="20"/>
          <w:color w:val="auto"/>
        </w:rPr>
      </w:pPr>
      <w:r>
        <w:rPr>
          <w:rFonts w:ascii="Arial" w:cs="Arial" w:eastAsia="Arial" w:hAnsi="Arial"/>
          <w:sz w:val="18"/>
          <w:szCs w:val="18"/>
          <w:color w:val="auto"/>
        </w:rPr>
        <w:t>The following table sets forth a summary of our statements of income for the three months ended March 31, 2020 and 2019:</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Three</w:t>
            </w:r>
          </w:p>
        </w:tc>
        <w:tc>
          <w:tcPr>
            <w:tcW w:w="1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Three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Months</w:t>
            </w:r>
          </w:p>
        </w:tc>
        <w:tc>
          <w:tcPr>
            <w:tcW w:w="16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Months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1"/>
              </w:rPr>
              <w:t>$ Change</w:t>
            </w:r>
          </w:p>
        </w:tc>
        <w:tc>
          <w:tcPr>
            <w:tcW w:w="9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4"/>
          </w:tcPr>
          <w:p>
            <w:pPr>
              <w:jc w:val="right"/>
              <w:ind w:right="398"/>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revenue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186,792</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156,991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140,515</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16,476</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67.7 %</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Net interest income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90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78,314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47,135</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31,179</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66.1 %</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(15,829)</w:t>
            </w: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(4,783)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(11,046)</w:t>
            </w:r>
          </w:p>
        </w:tc>
        <w:tc>
          <w:tcPr>
            <w:tcW w:w="900" w:type="dxa"/>
            <w:vAlign w:val="bottom"/>
          </w:tcPr>
          <w:p>
            <w:pPr>
              <w:jc w:val="right"/>
              <w:spacing w:after="0"/>
              <w:rPr>
                <w:sz w:val="20"/>
                <w:szCs w:val="20"/>
                <w:color w:val="auto"/>
              </w:rPr>
            </w:pPr>
            <w:r>
              <w:rPr>
                <w:rFonts w:ascii="Arial" w:cs="Arial" w:eastAsia="Arial" w:hAnsi="Arial"/>
                <w:sz w:val="18"/>
                <w:szCs w:val="18"/>
                <w:color w:val="auto"/>
              </w:rPr>
              <w:t>230.9 %</w:t>
            </w:r>
          </w:p>
        </w:tc>
        <w:tc>
          <w:tcPr>
            <w:tcW w:w="0" w:type="dxa"/>
            <w:vAlign w:val="bottom"/>
          </w:tcPr>
          <w:p>
            <w:pPr>
              <w:spacing w:after="0"/>
              <w:rPr>
                <w:sz w:val="1"/>
                <w:szCs w:val="1"/>
                <w:color w:val="auto"/>
              </w:rPr>
            </w:pPr>
          </w:p>
        </w:tc>
      </w:tr>
      <w:tr>
        <w:trPr>
          <w:trHeight w:val="229"/>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62,485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47.5 %</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w w:val="98"/>
              </w:rPr>
              <w:t>Less: Net income attributable to non-controlling interests</w:t>
            </w:r>
          </w:p>
        </w:tc>
        <w:tc>
          <w:tcPr>
            <w:tcW w:w="3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18,557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Tradeweb Markets Inc.</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left="40" w:right="59" w:firstLine="324"/>
        <w:spacing w:after="0" w:line="275" w:lineRule="auto"/>
        <w:rPr>
          <w:sz w:val="20"/>
          <w:szCs w:val="20"/>
          <w:color w:val="auto"/>
        </w:rPr>
      </w:pPr>
      <w:r>
        <w:rPr>
          <w:rFonts w:ascii="Arial" w:cs="Arial" w:eastAsia="Arial" w:hAnsi="Arial"/>
          <w:sz w:val="17"/>
          <w:szCs w:val="17"/>
          <w:color w:val="auto"/>
        </w:rPr>
        <w:t>During the three months ended March 31, 2020 as compared to the three months ended March 31, 2019, our results benefited from higher client trading activity, which drove revenue increases in our rates, credit, equities and money markets asset classes and increased license fees in our market data business. Our expenses increased primarily due to higher employee compensation and benefits expense, including non-cash stock-based compensation expense related to options and payroll taxes associated with the exercise of stock options.</w:t>
      </w:r>
    </w:p>
    <w:p>
      <w:pPr>
        <w:spacing w:after="0" w:line="176" w:lineRule="exact"/>
        <w:rPr>
          <w:sz w:val="20"/>
          <w:szCs w:val="20"/>
          <w:color w:val="auto"/>
        </w:rPr>
      </w:pPr>
    </w:p>
    <w:p>
      <w:pPr>
        <w:jc w:val="both"/>
        <w:ind w:left="40" w:right="99" w:firstLine="324"/>
        <w:spacing w:after="0" w:line="311" w:lineRule="auto"/>
        <w:rPr>
          <w:sz w:val="20"/>
          <w:szCs w:val="20"/>
          <w:color w:val="auto"/>
        </w:rPr>
      </w:pPr>
      <w:r>
        <w:rPr>
          <w:rFonts w:ascii="Arial" w:cs="Arial" w:eastAsia="Arial" w:hAnsi="Arial"/>
          <w:sz w:val="16"/>
          <w:szCs w:val="16"/>
          <w:color w:val="auto"/>
        </w:rPr>
        <w:t>Gross revenue increased by $47.8 million or 25.6% to $234.6 million for the three months ended March 31, 2020 from $186.8 million for the three months ended March 31, 2019. The increase in gross revenue was mainly due to higher trading volumes resulting in a $38.2 million increase in transaction fees and an $8.3 million increase in commissions.</w:t>
      </w:r>
    </w:p>
    <w:p>
      <w:pPr>
        <w:spacing w:after="0" w:line="149" w:lineRule="exact"/>
        <w:rPr>
          <w:sz w:val="20"/>
          <w:szCs w:val="20"/>
          <w:color w:val="auto"/>
        </w:rPr>
      </w:pPr>
    </w:p>
    <w:p>
      <w:pPr>
        <w:ind w:left="40" w:right="59" w:firstLine="324"/>
        <w:spacing w:after="0" w:line="257" w:lineRule="auto"/>
        <w:rPr>
          <w:sz w:val="20"/>
          <w:szCs w:val="20"/>
          <w:color w:val="auto"/>
        </w:rPr>
      </w:pPr>
      <w:r>
        <w:rPr>
          <w:rFonts w:ascii="Arial" w:cs="Arial" w:eastAsia="Arial" w:hAnsi="Arial"/>
          <w:sz w:val="18"/>
          <w:szCs w:val="18"/>
          <w:color w:val="auto"/>
        </w:rPr>
        <w:t>Total expenses increased by $16.5 million or 11.7% to $157.0 million for the three months ended March 31, 2020 from $140.5 million for the three months ended March 31, 2019. Total expenses for the three months ended March 31, 2020 increased primarily due to higher employee compensation and benefits expense, specifically annual incentive compensation expenses tied to operating performance, non-cash stock-based compensation expense related to options and payroll taxes associated with the exercise of stock options.</w:t>
      </w:r>
    </w:p>
    <w:p>
      <w:pPr>
        <w:spacing w:after="0" w:line="188" w:lineRule="exact"/>
        <w:rPr>
          <w:sz w:val="20"/>
          <w:szCs w:val="20"/>
          <w:color w:val="auto"/>
        </w:rPr>
      </w:pPr>
    </w:p>
    <w:p>
      <w:pPr>
        <w:ind w:left="40" w:right="139" w:firstLine="324"/>
        <w:spacing w:after="0" w:line="269" w:lineRule="auto"/>
        <w:rPr>
          <w:sz w:val="20"/>
          <w:szCs w:val="20"/>
          <w:color w:val="auto"/>
        </w:rPr>
      </w:pPr>
      <w:r>
        <w:rPr>
          <w:rFonts w:ascii="Arial" w:cs="Arial" w:eastAsia="Arial" w:hAnsi="Arial"/>
          <w:sz w:val="17"/>
          <w:szCs w:val="17"/>
          <w:color w:val="auto"/>
        </w:rPr>
        <w:t>Income before taxes increased $31.2 million or 66.1% to $78.3 million for the three months ended March 31, 2020 from $47.1 million for the three months ended March 31, 2019. Net income increased $20.1 million or 47.5% to $62.5 million for the three months ended March 31, 2020 from $42.4 million for the three months ended March 31, 2019. Net income attributable to Tradeweb Markets Inc. for the three months ended March 31, 2020 was $18.6 million. Income before taxes, net income and net income attributable to Tradeweb Markets Inc. for the three months ended March 31, 2020 benefited from higher gross revenue of $47.8 million, partially offset by higher employee compensation and benefits expense of $13.2 million, including a $3.7 million increase in annual incentive compensation expenses tied to operating performance, and an increase of $3.5 million in non-cash stock-based compensation expense related to the Special Option Award and post-IPO options awarded in 2019 and payroll taxes associated with exercises of such options during the applicable period.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6" w:name="page47"/>
    <w:bookmarkEnd w:id="4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40" w:right="259" w:firstLine="324"/>
        <w:spacing w:after="0" w:line="258" w:lineRule="auto"/>
        <w:rPr>
          <w:sz w:val="20"/>
          <w:szCs w:val="20"/>
          <w:color w:val="auto"/>
        </w:rPr>
      </w:pPr>
      <w:r>
        <w:rPr>
          <w:rFonts w:ascii="Arial" w:cs="Arial" w:eastAsia="Arial" w:hAnsi="Arial"/>
          <w:sz w:val="18"/>
          <w:szCs w:val="18"/>
          <w:color w:val="auto"/>
        </w:rPr>
        <w:t>Our revenues for the three months ended March 31, 2020 and 2019, and the resulting dollar and percentage changes, were as follows:</w:t>
      </w:r>
    </w:p>
    <w:tbl>
      <w:tblPr>
        <w:tblLayout w:type="fixed"/>
        <w:tblInd w:w="40" w:type="dxa"/>
        <w:tblCellMar>
          <w:top w:w="0" w:type="dxa"/>
          <w:left w:w="0" w:type="dxa"/>
          <w:bottom w:w="0" w:type="dxa"/>
          <w:right w:w="0" w:type="dxa"/>
        </w:tblCellMar>
      </w:tblPr>
      <w:tr>
        <w:trPr>
          <w:trHeight w:val="141"/>
        </w:trPr>
        <w:tc>
          <w:tcPr>
            <w:tcW w:w="3320" w:type="dxa"/>
            <w:vAlign w:val="bottom"/>
          </w:tcPr>
          <w:p>
            <w:pPr>
              <w:spacing w:after="0"/>
              <w:rPr>
                <w:sz w:val="12"/>
                <w:szCs w:val="12"/>
                <w:color w:val="auto"/>
              </w:rPr>
            </w:pPr>
          </w:p>
        </w:tc>
        <w:tc>
          <w:tcPr>
            <w:tcW w:w="1900" w:type="dxa"/>
            <w:vAlign w:val="bottom"/>
            <w:gridSpan w:val="4"/>
          </w:tcPr>
          <w:p>
            <w:pPr>
              <w:jc w:val="right"/>
              <w:ind w:right="330"/>
              <w:spacing w:after="0" w:line="141" w:lineRule="exact"/>
              <w:rPr>
                <w:sz w:val="20"/>
                <w:szCs w:val="20"/>
                <w:color w:val="auto"/>
              </w:rPr>
            </w:pPr>
            <w:r>
              <w:rPr>
                <w:rFonts w:ascii="Arial" w:cs="Arial" w:eastAsia="Arial" w:hAnsi="Arial"/>
                <w:sz w:val="14"/>
                <w:szCs w:val="14"/>
                <w:b w:val="1"/>
                <w:bCs w:val="1"/>
                <w:color w:val="auto"/>
              </w:rPr>
              <w:t>Three Months Ended</w:t>
            </w:r>
          </w:p>
        </w:tc>
        <w:tc>
          <w:tcPr>
            <w:tcW w:w="1920" w:type="dxa"/>
            <w:vAlign w:val="bottom"/>
            <w:gridSpan w:val="4"/>
          </w:tcPr>
          <w:p>
            <w:pPr>
              <w:jc w:val="right"/>
              <w:ind w:right="330"/>
              <w:spacing w:after="0" w:line="141" w:lineRule="exact"/>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900" w:type="dxa"/>
            <w:vAlign w:val="bottom"/>
            <w:gridSpan w:val="4"/>
          </w:tcPr>
          <w:p>
            <w:pPr>
              <w:jc w:val="right"/>
              <w:ind w:right="510"/>
              <w:spacing w:after="0"/>
              <w:rPr>
                <w:sz w:val="20"/>
                <w:szCs w:val="20"/>
                <w:color w:val="auto"/>
              </w:rPr>
            </w:pPr>
            <w:r>
              <w:rPr>
                <w:rFonts w:ascii="Arial" w:cs="Arial" w:eastAsia="Arial" w:hAnsi="Arial"/>
                <w:sz w:val="14"/>
                <w:szCs w:val="14"/>
                <w:b w:val="1"/>
                <w:bCs w:val="1"/>
                <w:color w:val="auto"/>
              </w:rPr>
              <w:t>March 31, 2020</w:t>
            </w:r>
          </w:p>
        </w:tc>
        <w:tc>
          <w:tcPr>
            <w:tcW w:w="1920" w:type="dxa"/>
            <w:vAlign w:val="bottom"/>
            <w:gridSpan w:val="4"/>
          </w:tcPr>
          <w:p>
            <w:pPr>
              <w:jc w:val="right"/>
              <w:ind w:right="51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20" w:type="dxa"/>
            <w:vAlign w:val="bottom"/>
          </w:tcPr>
          <w:p>
            <w:pPr>
              <w:spacing w:after="0"/>
              <w:rPr>
                <w:sz w:val="11"/>
                <w:szCs w:val="11"/>
                <w:color w:val="auto"/>
              </w:rPr>
            </w:pPr>
          </w:p>
        </w:tc>
        <w:tc>
          <w:tcPr>
            <w:tcW w:w="800" w:type="dxa"/>
            <w:vAlign w:val="bottom"/>
            <w:tcBorders>
              <w:top w:val="single" w:sz="8" w:color="auto"/>
            </w:tcBorders>
            <w:vMerge w:val="restart"/>
          </w:tcPr>
          <w:p>
            <w:pPr>
              <w:jc w:val="right"/>
              <w:ind w:right="277"/>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7"/>
              </w:rPr>
              <w:t>% of Gross</w:t>
            </w:r>
          </w:p>
        </w:tc>
        <w:tc>
          <w:tcPr>
            <w:tcW w:w="240" w:type="dxa"/>
            <w:vAlign w:val="bottom"/>
          </w:tcPr>
          <w:p>
            <w:pPr>
              <w:spacing w:after="0"/>
              <w:rPr>
                <w:sz w:val="11"/>
                <w:szCs w:val="11"/>
                <w:color w:val="auto"/>
              </w:rPr>
            </w:pPr>
          </w:p>
        </w:tc>
        <w:tc>
          <w:tcPr>
            <w:tcW w:w="800" w:type="dxa"/>
            <w:vAlign w:val="bottom"/>
            <w:tcBorders>
              <w:top w:val="single" w:sz="8" w:color="auto"/>
            </w:tcBorders>
            <w:vMerge w:val="restart"/>
          </w:tcPr>
          <w:p>
            <w:pPr>
              <w:jc w:val="right"/>
              <w:ind w:right="277"/>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90"/>
              </w:rPr>
              <w:t>% of Gross</w:t>
            </w:r>
          </w:p>
        </w:tc>
        <w:tc>
          <w:tcPr>
            <w:tcW w:w="24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1"/>
                <w:szCs w:val="11"/>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3"/>
        </w:trPr>
        <w:tc>
          <w:tcPr>
            <w:tcW w:w="33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250"/>
              <w:spacing w:after="0"/>
              <w:rPr>
                <w:sz w:val="20"/>
                <w:szCs w:val="20"/>
                <w:color w:val="auto"/>
              </w:rPr>
            </w:pPr>
            <w:r>
              <w:rPr>
                <w:rFonts w:ascii="Arial" w:cs="Arial" w:eastAsia="Arial" w:hAnsi="Arial"/>
                <w:sz w:val="13"/>
                <w:szCs w:val="13"/>
                <w:b w:val="1"/>
                <w:bCs w:val="1"/>
                <w:color w:val="auto"/>
                <w:w w:val="99"/>
              </w:rPr>
              <w:t>Revenue</w:t>
            </w:r>
          </w:p>
        </w:tc>
        <w:tc>
          <w:tcPr>
            <w:tcW w:w="8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270"/>
              <w:spacing w:after="0"/>
              <w:rPr>
                <w:sz w:val="20"/>
                <w:szCs w:val="20"/>
                <w:color w:val="auto"/>
              </w:rPr>
            </w:pPr>
            <w:r>
              <w:rPr>
                <w:rFonts w:ascii="Arial" w:cs="Arial" w:eastAsia="Arial" w:hAnsi="Arial"/>
                <w:sz w:val="13"/>
                <w:szCs w:val="13"/>
                <w:b w:val="1"/>
                <w:bCs w:val="1"/>
                <w:color w:val="auto"/>
                <w:w w:val="99"/>
              </w:rPr>
              <w:t>Revenue</w:t>
            </w:r>
          </w:p>
        </w:tc>
        <w:tc>
          <w:tcPr>
            <w:tcW w:w="1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4"/>
          </w:tcPr>
          <w:p>
            <w:pPr>
              <w:ind w:left="2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Transaction fees</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$ 140,824</w:t>
            </w:r>
          </w:p>
        </w:tc>
        <w:tc>
          <w:tcPr>
            <w:tcW w:w="20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60.0 %</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$ 102,640</w:t>
            </w:r>
          </w:p>
        </w:tc>
        <w:tc>
          <w:tcPr>
            <w:tcW w:w="20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54.9 %</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38,184</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37.2 %</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Subscription fees</w:t>
            </w:r>
            <w:r>
              <w:rPr>
                <w:rFonts w:ascii="Arial" w:cs="Arial" w:eastAsia="Arial" w:hAnsi="Arial"/>
                <w:sz w:val="8"/>
                <w:szCs w:val="8"/>
                <w:color w:val="auto"/>
              </w:rPr>
              <w:t>(1)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20.9 %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25.7 %</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Commissions</w:t>
            </w:r>
          </w:p>
        </w:tc>
        <w:tc>
          <w:tcPr>
            <w:tcW w:w="800" w:type="dxa"/>
            <w:vAlign w:val="bottom"/>
          </w:tcPr>
          <w:p>
            <w:pPr>
              <w:jc w:val="right"/>
              <w:spacing w:after="0"/>
              <w:rPr>
                <w:sz w:val="20"/>
                <w:szCs w:val="20"/>
                <w:color w:val="auto"/>
              </w:rPr>
            </w:pPr>
            <w:r>
              <w:rPr>
                <w:rFonts w:ascii="Arial" w:cs="Arial" w:eastAsia="Arial" w:hAnsi="Arial"/>
                <w:sz w:val="18"/>
                <w:szCs w:val="18"/>
                <w:color w:val="auto"/>
              </w:rPr>
              <w:t>42,493</w:t>
            </w:r>
          </w:p>
        </w:tc>
        <w:tc>
          <w:tcPr>
            <w:tcW w:w="20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18.1 %</w:t>
            </w:r>
          </w:p>
        </w:tc>
        <w:tc>
          <w:tcPr>
            <w:tcW w:w="800" w:type="dxa"/>
            <w:vAlign w:val="bottom"/>
          </w:tcPr>
          <w:p>
            <w:pPr>
              <w:jc w:val="right"/>
              <w:spacing w:after="0"/>
              <w:rPr>
                <w:sz w:val="20"/>
                <w:szCs w:val="20"/>
                <w:color w:val="auto"/>
              </w:rPr>
            </w:pPr>
            <w:r>
              <w:rPr>
                <w:rFonts w:ascii="Arial" w:cs="Arial" w:eastAsia="Arial" w:hAnsi="Arial"/>
                <w:sz w:val="18"/>
                <w:szCs w:val="18"/>
                <w:color w:val="auto"/>
              </w:rPr>
              <w:t>34,197</w:t>
            </w:r>
          </w:p>
        </w:tc>
        <w:tc>
          <w:tcPr>
            <w:tcW w:w="20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18.3 %</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8,296</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24.3 %</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1.1 %</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17"/>
        </w:trPr>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revenue</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$ 234,606</w:t>
            </w:r>
          </w:p>
        </w:tc>
        <w:tc>
          <w:tcPr>
            <w:tcW w:w="20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$ 186,792</w:t>
            </w:r>
          </w:p>
        </w:tc>
        <w:tc>
          <w:tcPr>
            <w:tcW w:w="2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47,814</w:t>
            </w:r>
          </w:p>
        </w:tc>
        <w:tc>
          <w:tcPr>
            <w:tcW w:w="106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Components of gross revenue growth:</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Constant currency growth</w:t>
            </w:r>
            <w:r>
              <w:rPr>
                <w:rFonts w:ascii="Arial" w:cs="Arial" w:eastAsia="Arial" w:hAnsi="Arial"/>
                <w:sz w:val="8"/>
                <w:szCs w:val="8"/>
                <w:color w:val="auto"/>
              </w:rPr>
              <w:t>(2)</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impact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3320" w:type="dxa"/>
            <w:vAlign w:val="bottom"/>
          </w:tcPr>
          <w:p>
            <w:pPr>
              <w:ind w:left="220"/>
              <w:spacing w:after="0"/>
              <w:rPr>
                <w:sz w:val="20"/>
                <w:szCs w:val="20"/>
                <w:color w:val="auto"/>
              </w:rPr>
            </w:pPr>
            <w:r>
              <w:rPr>
                <w:rFonts w:ascii="Arial" w:cs="Arial" w:eastAsia="Arial" w:hAnsi="Arial"/>
                <w:sz w:val="18"/>
                <w:szCs w:val="18"/>
                <w:color w:val="auto"/>
              </w:rPr>
              <w:t>Total gross revenue growth</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360" w:right="299" w:hanging="316"/>
        <w:spacing w:after="0" w:line="253" w:lineRule="auto"/>
        <w:tabs>
          <w:tab w:leader="none" w:pos="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Subscription fees for the three months ended March 31, 2020 and 2019 include $14.6 million and $13.6 million, respectively, of Refinitiv market data fees.</w:t>
      </w:r>
    </w:p>
    <w:p>
      <w:pPr>
        <w:spacing w:after="0" w:line="173" w:lineRule="exact"/>
        <w:rPr>
          <w:rFonts w:ascii="Arial" w:cs="Arial" w:eastAsia="Arial" w:hAnsi="Arial"/>
          <w:sz w:val="14"/>
          <w:szCs w:val="14"/>
          <w:color w:val="auto"/>
        </w:rPr>
      </w:pPr>
    </w:p>
    <w:p>
      <w:pPr>
        <w:ind w:left="360" w:right="239" w:hanging="316"/>
        <w:spacing w:after="0" w:line="251" w:lineRule="auto"/>
        <w:tabs>
          <w:tab w:leader="none" w:pos="3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Constant currency growth, which is a non-GAAP financial measure, is defined as gross revenue growth excluding the effects of foreign currency fluctuations. Gross revenue excluding the effects of foreign currency fluctuations is calculated by translating the current period and prior period’s gross revenue using the average exchange rates for 2019. We use constant currency growth as a supplemental metric to evaluate our underlying gross revenue performance between periods by removing the impact of foreign currency fluctuations. We believe that providing constant currency growth provides a useful comparison of our gross revenue performance and trends between periods.</w:t>
      </w:r>
    </w:p>
    <w:p>
      <w:pPr>
        <w:spacing w:after="0" w:line="181" w:lineRule="exact"/>
        <w:rPr>
          <w:sz w:val="20"/>
          <w:szCs w:val="20"/>
          <w:color w:val="auto"/>
        </w:rPr>
      </w:pPr>
    </w:p>
    <w:p>
      <w:pPr>
        <w:ind w:left="40" w:right="259" w:firstLine="324"/>
        <w:spacing w:after="0" w:line="311" w:lineRule="auto"/>
        <w:rPr>
          <w:sz w:val="20"/>
          <w:szCs w:val="20"/>
          <w:color w:val="auto"/>
        </w:rPr>
      </w:pPr>
      <w:r>
        <w:rPr>
          <w:rFonts w:ascii="Arial" w:cs="Arial" w:eastAsia="Arial" w:hAnsi="Arial"/>
          <w:sz w:val="16"/>
          <w:szCs w:val="16"/>
          <w:u w:val="single" w:color="auto"/>
          <w:color w:val="auto"/>
        </w:rPr>
        <w:t>Transaction fees</w:t>
      </w:r>
      <w:r>
        <w:rPr>
          <w:rFonts w:ascii="Arial" w:cs="Arial" w:eastAsia="Arial" w:hAnsi="Arial"/>
          <w:sz w:val="16"/>
          <w:szCs w:val="16"/>
          <w:color w:val="auto"/>
        </w:rPr>
        <w:t>. Transaction fees increased by $38.2 million or 37.2% to $140.8 million for the three months ended March 31, 2020 from $102.6 million for the three months ended March 31, 2019 primarily due to increased trading volumes for U.S and European rates derivatives products, mortgages, credit derivatives, U.S. corporate bonds, and ETFs.</w:t>
      </w:r>
    </w:p>
    <w:p>
      <w:pPr>
        <w:spacing w:after="0" w:line="149" w:lineRule="exact"/>
        <w:rPr>
          <w:sz w:val="20"/>
          <w:szCs w:val="20"/>
          <w:color w:val="auto"/>
        </w:rPr>
      </w:pPr>
    </w:p>
    <w:p>
      <w:pPr>
        <w:ind w:left="40" w:right="279" w:firstLine="324"/>
        <w:spacing w:after="0" w:line="342" w:lineRule="auto"/>
        <w:rPr>
          <w:sz w:val="20"/>
          <w:szCs w:val="20"/>
          <w:color w:val="auto"/>
        </w:rPr>
      </w:pPr>
      <w:r>
        <w:rPr>
          <w:rFonts w:ascii="Arial" w:cs="Arial" w:eastAsia="Arial" w:hAnsi="Arial"/>
          <w:sz w:val="16"/>
          <w:szCs w:val="16"/>
          <w:u w:val="single" w:color="auto"/>
          <w:color w:val="auto"/>
        </w:rPr>
        <w:t>Subscription fees</w:t>
      </w:r>
      <w:r>
        <w:rPr>
          <w:rFonts w:ascii="Arial" w:cs="Arial" w:eastAsia="Arial" w:hAnsi="Arial"/>
          <w:sz w:val="16"/>
          <w:szCs w:val="16"/>
          <w:color w:val="auto"/>
        </w:rPr>
        <w:t>. Subscription fees increased by $1.1 million or 2.2% to $49.1 million for the three months ended March 31, 2020 from $48.1 million for the three months ended March 31, 2019 primarily due to higher market data fees.</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Commissions</w:t>
      </w:r>
      <w:r>
        <w:rPr>
          <w:rFonts w:ascii="Arial" w:cs="Arial" w:eastAsia="Arial" w:hAnsi="Arial"/>
          <w:sz w:val="18"/>
          <w:szCs w:val="18"/>
          <w:b w:val="1"/>
          <w:bCs w:val="1"/>
          <w:color w:val="auto"/>
        </w:rPr>
        <w:t>.</w:t>
      </w:r>
      <w:r>
        <w:rPr>
          <w:rFonts w:ascii="Arial" w:cs="Arial" w:eastAsia="Arial" w:hAnsi="Arial"/>
          <w:sz w:val="18"/>
          <w:szCs w:val="18"/>
          <w:color w:val="auto"/>
        </w:rPr>
        <w:t xml:space="preserve"> Commissions increased by $8.3 million or 24.3% to $42.5 million for the three months ended</w:t>
      </w:r>
    </w:p>
    <w:p>
      <w:pPr>
        <w:spacing w:after="0" w:line="27" w:lineRule="exact"/>
        <w:rPr>
          <w:sz w:val="20"/>
          <w:szCs w:val="20"/>
          <w:color w:val="auto"/>
        </w:rPr>
      </w:pPr>
    </w:p>
    <w:p>
      <w:pPr>
        <w:ind w:left="40" w:right="79"/>
        <w:spacing w:after="0" w:line="260" w:lineRule="auto"/>
        <w:rPr>
          <w:sz w:val="20"/>
          <w:szCs w:val="20"/>
          <w:color w:val="auto"/>
        </w:rPr>
      </w:pPr>
      <w:r>
        <w:rPr>
          <w:rFonts w:ascii="Arial" w:cs="Arial" w:eastAsia="Arial" w:hAnsi="Arial"/>
          <w:sz w:val="18"/>
          <w:szCs w:val="18"/>
          <w:color w:val="auto"/>
        </w:rPr>
        <w:t>March 31, 2020 from $34.2 million for the three months ended March 31, 2019 primarily due to higher trading volumes for corporate bonds, equity derivatives and U.S. government bonds.</w:t>
      </w:r>
    </w:p>
    <w:p>
      <w:pPr>
        <w:spacing w:after="0" w:line="185" w:lineRule="exact"/>
        <w:rPr>
          <w:sz w:val="20"/>
          <w:szCs w:val="20"/>
          <w:color w:val="auto"/>
        </w:rPr>
      </w:pPr>
    </w:p>
    <w:p>
      <w:pPr>
        <w:ind w:left="40" w:right="279" w:firstLine="324"/>
        <w:spacing w:after="0" w:line="263"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Other revenue increased by $0.3 million or 15.0% to $2.2 million for the three months ended March 31, 2020 from $1.9 million for the three months ended March 31, 2019 primarily as a result of revenue from our APA reporting service.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7" w:name="page48"/>
    <w:bookmarkEnd w:id="4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59" w:firstLine="324"/>
        <w:spacing w:after="0" w:line="277" w:lineRule="auto"/>
        <w:rPr>
          <w:sz w:val="20"/>
          <w:szCs w:val="20"/>
          <w:color w:val="auto"/>
        </w:rPr>
      </w:pPr>
      <w:r>
        <w:rPr>
          <w:rFonts w:ascii="Arial" w:cs="Arial" w:eastAsia="Arial" w:hAnsi="Arial"/>
          <w:sz w:val="18"/>
          <w:szCs w:val="18"/>
          <w:color w:val="auto"/>
        </w:rPr>
        <w:t>Our gross revenue by client sector for the three months ended March 31, 2020 and 2019, and the resulting dollar and percentage changes, were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March 31,</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4"/>
          </w:tcPr>
          <w:p>
            <w:pPr>
              <w:jc w:val="right"/>
              <w:ind w:right="197"/>
              <w:spacing w:after="0" w:line="142"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Institutional</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145,612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109,252</w:t>
            </w:r>
          </w:p>
        </w:tc>
        <w:tc>
          <w:tcPr>
            <w:tcW w:w="180" w:type="dxa"/>
            <w:vAlign w:val="bottom"/>
          </w:tcPr>
          <w:p>
            <w:pPr>
              <w:spacing w:after="0"/>
              <w:rPr>
                <w:sz w:val="18"/>
                <w:szCs w:val="18"/>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36,360</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Retail</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470</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Market Data</w:t>
            </w:r>
          </w:p>
        </w:tc>
        <w:tc>
          <w:tcPr>
            <w:tcW w:w="1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Total gross revenue</w:t>
            </w:r>
          </w:p>
        </w:tc>
        <w:tc>
          <w:tcPr>
            <w:tcW w:w="17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234,606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186,792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47,814</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19" w:firstLine="324"/>
        <w:spacing w:after="0" w:line="259" w:lineRule="auto"/>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xml:space="preserve"> Revenues from our Institutional client sector increased by $36.4 million or 33.3% to $145.6 million for the three months ended March 31, 2020 from $109.3 million for the three months ended March 31, 2019. The increase was derived primarily from increased volumes for U.S. &amp; European rates derivatives products, mortgages, credit derivatives, ETFs, and U.S. corporates.</w:t>
      </w:r>
    </w:p>
    <w:p>
      <w:pPr>
        <w:spacing w:after="0" w:line="187" w:lineRule="exact"/>
        <w:rPr>
          <w:sz w:val="20"/>
          <w:szCs w:val="20"/>
          <w:color w:val="auto"/>
        </w:rPr>
      </w:pPr>
    </w:p>
    <w:p>
      <w:pPr>
        <w:ind w:left="40" w:right="399" w:firstLine="324"/>
        <w:spacing w:after="0" w:line="259"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$9.3 million or 23.6% to $48.8 million for the three months ended March 31, 2020 from $39.4 million for the three months ended March 31, 2019. The increase was derived primarily from higher trading activity for U.S. and European corporate bonds, equity derivatives and U.S. government bonds.</w:t>
      </w:r>
    </w:p>
    <w:p>
      <w:pPr>
        <w:spacing w:after="0" w:line="187" w:lineRule="exact"/>
        <w:rPr>
          <w:sz w:val="20"/>
          <w:szCs w:val="20"/>
          <w:color w:val="auto"/>
        </w:rPr>
      </w:pPr>
    </w:p>
    <w:p>
      <w:pPr>
        <w:jc w:val="both"/>
        <w:ind w:left="40" w:right="159" w:firstLine="324"/>
        <w:spacing w:after="0" w:line="263"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increased by $0.5 million or 2.2% to $21.7 million for the three months ended March 31, 2020 from $21.2 million for the three months ended March 31, 2019. The increase was derived primarily from higher trading volumes for certificates of deposit.</w:t>
      </w:r>
    </w:p>
    <w:p>
      <w:pPr>
        <w:spacing w:after="0" w:line="184" w:lineRule="exact"/>
        <w:rPr>
          <w:sz w:val="20"/>
          <w:szCs w:val="20"/>
          <w:color w:val="auto"/>
        </w:rPr>
      </w:pPr>
    </w:p>
    <w:p>
      <w:pPr>
        <w:jc w:val="both"/>
        <w:ind w:left="40" w:right="139" w:firstLine="324"/>
        <w:spacing w:after="0" w:line="286" w:lineRule="auto"/>
        <w:rPr>
          <w:sz w:val="20"/>
          <w:szCs w:val="20"/>
          <w:color w:val="auto"/>
        </w:rPr>
      </w:pPr>
      <w:r>
        <w:rPr>
          <w:rFonts w:ascii="Arial" w:cs="Arial" w:eastAsia="Arial" w:hAnsi="Arial"/>
          <w:sz w:val="17"/>
          <w:szCs w:val="17"/>
          <w:u w:val="single" w:color="auto"/>
          <w:color w:val="auto"/>
        </w:rPr>
        <w:t>Market Data</w:t>
      </w:r>
      <w:r>
        <w:rPr>
          <w:rFonts w:ascii="Arial" w:cs="Arial" w:eastAsia="Arial" w:hAnsi="Arial"/>
          <w:sz w:val="17"/>
          <w:szCs w:val="17"/>
          <w:color w:val="auto"/>
        </w:rPr>
        <w:t>. Revenues from our Market Data client sector increased by $1.7 million or 9.8% to $18.6 million for the three months ended March 31, 2020 from $16.9 million for the three months ended March 31, 2019 primarily as a result of increased Refinitiv license fees due to an increase in the number of market data feeds provided to Refinitiv.</w:t>
      </w:r>
    </w:p>
    <w:p>
      <w:pPr>
        <w:spacing w:after="0" w:line="165" w:lineRule="exact"/>
        <w:rPr>
          <w:sz w:val="20"/>
          <w:szCs w:val="20"/>
          <w:color w:val="auto"/>
        </w:rPr>
      </w:pPr>
    </w:p>
    <w:p>
      <w:pPr>
        <w:ind w:left="40" w:right="699" w:firstLine="324"/>
        <w:spacing w:after="0" w:line="277" w:lineRule="auto"/>
        <w:rPr>
          <w:sz w:val="20"/>
          <w:szCs w:val="20"/>
          <w:color w:val="auto"/>
        </w:rPr>
      </w:pPr>
      <w:r>
        <w:rPr>
          <w:rFonts w:ascii="Arial" w:cs="Arial" w:eastAsia="Arial" w:hAnsi="Arial"/>
          <w:sz w:val="18"/>
          <w:szCs w:val="18"/>
          <w:color w:val="auto"/>
        </w:rPr>
        <w:t>Our gross revenue by asset class for the three months ended March 31, 2020 and 2019, and the resulting dollar and percentage changes, were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Three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Three Months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5"/>
              </w:rPr>
              <w:t>March 31,</w:t>
            </w: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2"/>
                <w:szCs w:val="12"/>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2019</w:t>
            </w:r>
          </w:p>
        </w:tc>
        <w:tc>
          <w:tcPr>
            <w:tcW w:w="4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gridSpan w:val="4"/>
          </w:tcPr>
          <w:p>
            <w:pPr>
              <w:jc w:val="right"/>
              <w:ind w:right="477"/>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Rates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126,039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104,090</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21,949</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Credit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14,543</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36.9 %</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Equities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11,798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7,636</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64.7 %</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Market Data</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16,903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1,659</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1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Total gross revenue</w:t>
            </w:r>
          </w:p>
        </w:tc>
        <w:tc>
          <w:tcPr>
            <w:tcW w:w="1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234,606</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186,792</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47,814</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r>
        <w:trPr>
          <w:trHeight w:val="864"/>
        </w:trPr>
        <w:tc>
          <w:tcPr>
            <w:tcW w:w="2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697"/>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8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48" w:name="page49"/>
    <w:bookmarkEnd w:id="4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59" w:firstLine="324"/>
        <w:spacing w:after="0" w:line="277" w:lineRule="auto"/>
        <w:rPr>
          <w:sz w:val="20"/>
          <w:szCs w:val="20"/>
          <w:color w:val="auto"/>
        </w:rPr>
      </w:pPr>
      <w:r>
        <w:rPr>
          <w:rFonts w:ascii="Arial" w:cs="Arial" w:eastAsia="Arial" w:hAnsi="Arial"/>
          <w:sz w:val="18"/>
          <w:szCs w:val="18"/>
          <w:color w:val="auto"/>
        </w:rPr>
        <w:t>Our variable and fixed revenues by asset class for the three months ended March 31, 2020 and 2019, and the resulting dollar and percentage changes, were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62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500" w:type="dxa"/>
            <w:vAlign w:val="bottom"/>
            <w:gridSpan w:val="4"/>
            <w:vMerge w:val="restart"/>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144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March 31, 2020</w:t>
            </w:r>
          </w:p>
        </w:tc>
        <w:tc>
          <w:tcPr>
            <w:tcW w:w="162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5"/>
              </w:rPr>
              <w:t>Variable</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Fixed</w:t>
            </w:r>
          </w:p>
        </w:tc>
        <w:tc>
          <w:tcPr>
            <w:tcW w:w="120" w:type="dxa"/>
            <w:vAlign w:val="bottom"/>
          </w:tcPr>
          <w:p>
            <w:pPr>
              <w:spacing w:after="0"/>
              <w:rPr>
                <w:sz w:val="12"/>
                <w:szCs w:val="12"/>
                <w:color w:val="auto"/>
              </w:rPr>
            </w:pPr>
          </w:p>
        </w:tc>
        <w:tc>
          <w:tcPr>
            <w:tcW w:w="94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Variable</w:t>
            </w:r>
          </w:p>
        </w:tc>
        <w:tc>
          <w:tcPr>
            <w:tcW w:w="68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Fixed</w:t>
            </w:r>
          </w:p>
        </w:tc>
        <w:tc>
          <w:tcPr>
            <w:tcW w:w="160" w:type="dxa"/>
            <w:vAlign w:val="bottom"/>
          </w:tcPr>
          <w:p>
            <w:pPr>
              <w:spacing w:after="0"/>
              <w:rPr>
                <w:sz w:val="12"/>
                <w:szCs w:val="12"/>
                <w:color w:val="auto"/>
              </w:rPr>
            </w:pPr>
          </w:p>
        </w:tc>
        <w:tc>
          <w:tcPr>
            <w:tcW w:w="86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Variable</w:t>
            </w: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8"/>
              </w:rPr>
              <w:t>Fixed</w:t>
            </w:r>
          </w:p>
        </w:tc>
        <w:tc>
          <w:tcPr>
            <w:tcW w:w="16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5"/>
              </w:rPr>
              <w:t>Variable</w:t>
            </w:r>
          </w:p>
        </w:tc>
        <w:tc>
          <w:tcPr>
            <w:tcW w:w="56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Fixed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Rates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75,541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$ 50,498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  53,650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8"/>
              </w:rPr>
              <w:t>$ 50,440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$ 21,891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40.8 %</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Credit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41.4 %</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Equities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10,152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6,948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688</w:t>
            </w:r>
          </w:p>
        </w:tc>
        <w:tc>
          <w:tcPr>
            <w:tcW w:w="1600" w:type="dxa"/>
            <w:vAlign w:val="bottom"/>
            <w:gridSpan w:val="5"/>
          </w:tcPr>
          <w:p>
            <w:pPr>
              <w:jc w:val="right"/>
              <w:ind w:right="20"/>
              <w:spacing w:after="0"/>
              <w:rPr>
                <w:sz w:val="20"/>
                <w:szCs w:val="20"/>
                <w:color w:val="auto"/>
              </w:rPr>
            </w:pPr>
            <w:r>
              <w:rPr>
                <w:rFonts w:ascii="Arial" w:cs="Arial" w:eastAsia="Arial" w:hAnsi="Arial"/>
                <w:sz w:val="18"/>
                <w:szCs w:val="18"/>
                <w:color w:val="auto"/>
              </w:rPr>
              <w:t>68.4 %  41.8 %</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Market Data</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18,562</w:t>
            </w: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16,903</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1,659</w:t>
            </w:r>
          </w:p>
        </w:tc>
        <w:tc>
          <w:tcPr>
            <w:tcW w:w="1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17"/>
        </w:trPr>
        <w:tc>
          <w:tcPr>
            <w:tcW w:w="2220" w:type="dxa"/>
            <w:vAlign w:val="bottom"/>
          </w:tcPr>
          <w:p>
            <w:pPr>
              <w:spacing w:after="0"/>
              <w:rPr>
                <w:sz w:val="20"/>
                <w:szCs w:val="20"/>
                <w:color w:val="auto"/>
              </w:rPr>
            </w:pPr>
            <w:r>
              <w:rPr>
                <w:rFonts w:ascii="Arial" w:cs="Arial" w:eastAsia="Arial" w:hAnsi="Arial"/>
                <w:sz w:val="18"/>
                <w:szCs w:val="18"/>
                <w:color w:val="auto"/>
              </w:rPr>
              <w:t>Gross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148,353</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$ 86,253</w:t>
            </w:r>
          </w:p>
        </w:tc>
        <w:tc>
          <w:tcPr>
            <w:tcW w:w="1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$ 103,983</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$ 82,809</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$ 44,370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3,444</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42.7 %</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99" w:firstLine="324"/>
        <w:spacing w:after="0" w:line="263"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$21.9 million or 21.1% to $126.0 million for the three months ended March 31, 2020 from $104.1 million for the three months ended March 31, 2019 primarily due to higher trading volumes for derivatives products, mortgages, and U.S. government bonds.</w:t>
      </w:r>
    </w:p>
    <w:p>
      <w:pPr>
        <w:spacing w:after="0" w:line="184"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$14.5 million or 36.9% to $54.0 million for the three months ended March 31, 2020 from $39.4 million for the three months ended March 31, 2019 primarily due to higher trading volumes for U.S. and European corporate bonds and credit derivatives products.</w:t>
      </w:r>
    </w:p>
    <w:p>
      <w:pPr>
        <w:spacing w:after="0" w:line="184" w:lineRule="exact"/>
        <w:rPr>
          <w:sz w:val="20"/>
          <w:szCs w:val="20"/>
          <w:color w:val="auto"/>
        </w:rPr>
      </w:pPr>
    </w:p>
    <w:p>
      <w:pPr>
        <w:jc w:val="both"/>
        <w:ind w:left="40" w:right="459" w:firstLine="324"/>
        <w:spacing w:after="0" w:line="263"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Revenues from our Equities asset class increased by $7.6 million or 64.7% to $19.4 million for the three months ended March 31, 2020 from $11.8 million for the three months ended March 31, 2019 primarily due to higher trading volumes for U.S. &amp; European ETFs and equity derivatives products.</w:t>
      </w:r>
    </w:p>
    <w:p>
      <w:pPr>
        <w:spacing w:after="0" w:line="184" w:lineRule="exact"/>
        <w:rPr>
          <w:sz w:val="20"/>
          <w:szCs w:val="20"/>
          <w:color w:val="auto"/>
        </w:rPr>
      </w:pPr>
    </w:p>
    <w:p>
      <w:pPr>
        <w:ind w:left="40" w:right="179" w:firstLine="324"/>
        <w:spacing w:after="0" w:line="263" w:lineRule="auto"/>
        <w:rPr>
          <w:sz w:val="20"/>
          <w:szCs w:val="20"/>
          <w:color w:val="auto"/>
        </w:rPr>
      </w:pPr>
      <w:r>
        <w:rPr>
          <w:rFonts w:ascii="Arial" w:cs="Arial" w:eastAsia="Arial" w:hAnsi="Arial"/>
          <w:sz w:val="18"/>
          <w:szCs w:val="18"/>
          <w:u w:val="single" w:color="auto"/>
          <w:color w:val="auto"/>
        </w:rPr>
        <w:t>Money Markets</w:t>
      </w:r>
      <w:r>
        <w:rPr>
          <w:rFonts w:ascii="Arial" w:cs="Arial" w:eastAsia="Arial" w:hAnsi="Arial"/>
          <w:sz w:val="18"/>
          <w:szCs w:val="18"/>
          <w:color w:val="auto"/>
        </w:rPr>
        <w:t>. Revenues from our Money Markets asset class increased by $1.6 million or 17.2% to $11.2 million for the three months ended March 31, 2020 from $9.6 million for the three months ended March 31, 2019 primarily due to increased volumes for repurchase agreements and certificates of deposit.</w:t>
      </w:r>
    </w:p>
    <w:p>
      <w:pPr>
        <w:spacing w:after="0" w:line="184" w:lineRule="exact"/>
        <w:rPr>
          <w:sz w:val="20"/>
          <w:szCs w:val="20"/>
          <w:color w:val="auto"/>
        </w:rPr>
      </w:pPr>
    </w:p>
    <w:p>
      <w:pPr>
        <w:jc w:val="both"/>
        <w:ind w:left="40" w:right="379" w:firstLine="324"/>
        <w:spacing w:after="0" w:line="286" w:lineRule="auto"/>
        <w:rPr>
          <w:sz w:val="20"/>
          <w:szCs w:val="20"/>
          <w:color w:val="auto"/>
        </w:rPr>
      </w:pPr>
      <w:r>
        <w:rPr>
          <w:rFonts w:ascii="Arial" w:cs="Arial" w:eastAsia="Arial" w:hAnsi="Arial"/>
          <w:sz w:val="17"/>
          <w:szCs w:val="17"/>
          <w:u w:val="single" w:color="auto"/>
          <w:color w:val="auto"/>
        </w:rPr>
        <w:t>Market Data</w:t>
      </w:r>
      <w:r>
        <w:rPr>
          <w:rFonts w:ascii="Arial" w:cs="Arial" w:eastAsia="Arial" w:hAnsi="Arial"/>
          <w:sz w:val="17"/>
          <w:szCs w:val="17"/>
          <w:color w:val="auto"/>
        </w:rPr>
        <w:t>. Revenues from Market Data increased by $1.7 million or 9.8% to $18.6 million for the three months ended March 31, 2020 from $16.9 million for the three months ended March 31, 2019 primarily as a result of increased Refinitiv license fees due to an increase in the number of market data feeds provided to Refinitiv.</w:t>
      </w:r>
    </w:p>
    <w:p>
      <w:pPr>
        <w:spacing w:after="0" w:line="165" w:lineRule="exact"/>
        <w:rPr>
          <w:sz w:val="20"/>
          <w:szCs w:val="20"/>
          <w:color w:val="auto"/>
        </w:rPr>
      </w:pPr>
    </w:p>
    <w:p>
      <w:pPr>
        <w:ind w:left="40" w:right="279" w:firstLine="324"/>
        <w:spacing w:after="0" w:line="342" w:lineRule="auto"/>
        <w:rPr>
          <w:sz w:val="20"/>
          <w:szCs w:val="20"/>
          <w:color w:val="auto"/>
        </w:rPr>
      </w:pPr>
      <w:r>
        <w:rPr>
          <w:rFonts w:ascii="Arial" w:cs="Arial" w:eastAsia="Arial" w:hAnsi="Arial"/>
          <w:sz w:val="16"/>
          <w:szCs w:val="16"/>
          <w:u w:val="single" w:color="auto"/>
          <w:color w:val="auto"/>
        </w:rPr>
        <w:t>Other Fees</w:t>
      </w:r>
      <w:r>
        <w:rPr>
          <w:rFonts w:ascii="Arial" w:cs="Arial" w:eastAsia="Arial" w:hAnsi="Arial"/>
          <w:sz w:val="16"/>
          <w:szCs w:val="16"/>
          <w:color w:val="auto"/>
        </w:rPr>
        <w:t>. Revenues from Other Fees increased by $0.4 million or 7.6% to $5.4 million for the three months ended March 31, 2020 from $5.0 million for the three months ended March 31, 2019 primarily due to higher retail fees.</w:t>
      </w:r>
    </w:p>
    <w:p>
      <w:pPr>
        <w:spacing w:after="0" w:line="124" w:lineRule="exact"/>
        <w:rPr>
          <w:sz w:val="20"/>
          <w:szCs w:val="20"/>
          <w:color w:val="auto"/>
        </w:rPr>
      </w:pPr>
    </w:p>
    <w:p>
      <w:pPr>
        <w:jc w:val="both"/>
        <w:ind w:left="40" w:right="239" w:firstLine="324"/>
        <w:spacing w:after="0" w:line="263" w:lineRule="auto"/>
        <w:rPr>
          <w:sz w:val="20"/>
          <w:szCs w:val="20"/>
          <w:color w:val="auto"/>
        </w:rPr>
      </w:pPr>
      <w:r>
        <w:rPr>
          <w:rFonts w:ascii="Arial" w:cs="Arial" w:eastAsia="Arial" w:hAnsi="Arial"/>
          <w:sz w:val="18"/>
          <w:szCs w:val="18"/>
          <w:color w:val="auto"/>
        </w:rPr>
        <w:t>A significant percentage of our revenues are tied directly to overall trading volumes in the rates, credit, equities and money markets asset classes. The average daily volumes and total volumes on our trading platforms by asset class for the three months ended March 31, 2020 and 2019 were as follows: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ADV</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tcPr>
          <w:p>
            <w:pPr>
              <w:jc w:val="right"/>
              <w:ind w:right="477"/>
              <w:spacing w:after="0" w:line="142" w:lineRule="exact"/>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2"/>
                <w:szCs w:val="12"/>
                <w:color w:val="auto"/>
              </w:rPr>
            </w:pPr>
          </w:p>
        </w:tc>
        <w:tc>
          <w:tcPr>
            <w:tcW w:w="1980" w:type="dxa"/>
            <w:vAlign w:val="bottom"/>
            <w:tcBorders>
              <w:bottom w:val="single" w:sz="8" w:color="auto"/>
            </w:tcBorders>
            <w:gridSpan w:val="3"/>
          </w:tcPr>
          <w:p>
            <w:pPr>
              <w:jc w:val="right"/>
              <w:ind w:right="413"/>
              <w:spacing w:after="0" w:line="142" w:lineRule="exact"/>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ADV</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Volume</w:t>
            </w:r>
          </w:p>
        </w:tc>
        <w:tc>
          <w:tcPr>
            <w:tcW w:w="160" w:type="dxa"/>
            <w:vAlign w:val="bottom"/>
          </w:tcPr>
          <w:p>
            <w:pPr>
              <w:spacing w:after="0"/>
              <w:rPr>
                <w:sz w:val="12"/>
                <w:szCs w:val="12"/>
                <w:color w:val="auto"/>
              </w:rPr>
            </w:pPr>
          </w:p>
        </w:tc>
        <w:tc>
          <w:tcPr>
            <w:tcW w:w="96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ADV</w:t>
            </w:r>
          </w:p>
        </w:tc>
        <w:tc>
          <w:tcPr>
            <w:tcW w:w="102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Volume</w:t>
            </w: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10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590,773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36,867,838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$ 429,226</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$ 26,357,344</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37.6 %</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Credit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32,997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2,070,811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16,386</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1,010,037</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101.4 %</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1,111,272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7,771</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479,937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129.0 %</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Money Markets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256,193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15,948,560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192,264</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11,771,636</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r>
        <w:trPr>
          <w:trHeight w:val="216"/>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897,756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55,998,481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$ 645,647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$ 39,618,954</w:t>
            </w:r>
          </w:p>
        </w:tc>
        <w:tc>
          <w:tcPr>
            <w:tcW w:w="104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39.0 %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19" w:firstLine="324"/>
        <w:spacing w:after="0" w:line="342" w:lineRule="auto"/>
        <w:rPr>
          <w:sz w:val="20"/>
          <w:szCs w:val="20"/>
          <w:color w:val="auto"/>
        </w:rPr>
      </w:pPr>
      <w:r>
        <w:rPr>
          <w:rFonts w:ascii="Arial" w:cs="Arial" w:eastAsia="Arial" w:hAnsi="Arial"/>
          <w:sz w:val="16"/>
          <w:szCs w:val="16"/>
          <w:color w:val="auto"/>
        </w:rPr>
        <w:t>We believe the increases in average daily volumes for our rates, credit, equities and money markets asset classes in the three months ended March 31, 2020 can be attributed to various factors, including further electronification of trading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spacing w:after="0" w:line="255" w:lineRule="auto"/>
        <w:rPr>
          <w:sz w:val="20"/>
          <w:szCs w:val="20"/>
          <w:color w:val="auto"/>
        </w:rPr>
      </w:pPr>
      <w:r>
        <w:rPr>
          <w:rFonts w:ascii="Arial" w:cs="Arial" w:eastAsia="Arial" w:hAnsi="Arial"/>
          <w:sz w:val="18"/>
          <w:szCs w:val="18"/>
          <w:color w:val="auto"/>
        </w:rPr>
        <w:t>activities across our asset classes, increase in market share, new products, new clients and increased volatility. Rates ADV increased mainly due to higher trading activity in long and short-tenor interest rate swaps and swaptions, mortgages and U.S. treasuries. Credit ADV increased mainly due to higher trading activity in credit derivatives, U.S. high-grade and high-yield credit and European Credit. Equities ADV increased mainly due to higher trading volumes in U.S. and European ETFs and derivatives. Money Markets ADV increased due to the continued growth of bilateral electronic trading in repurchase agreements.</w:t>
      </w:r>
    </w:p>
    <w:p>
      <w:pPr>
        <w:spacing w:after="0" w:line="192" w:lineRule="exact"/>
        <w:rPr>
          <w:sz w:val="20"/>
          <w:szCs w:val="20"/>
          <w:color w:val="auto"/>
        </w:rPr>
      </w:pPr>
    </w:p>
    <w:p>
      <w:pPr>
        <w:ind w:left="40" w:right="159" w:firstLine="324"/>
        <w:spacing w:after="0" w:line="270" w:lineRule="auto"/>
        <w:rPr>
          <w:sz w:val="20"/>
          <w:szCs w:val="20"/>
          <w:color w:val="auto"/>
        </w:rPr>
      </w:pPr>
      <w:r>
        <w:rPr>
          <w:rFonts w:ascii="Arial" w:cs="Arial" w:eastAsia="Arial" w:hAnsi="Arial"/>
          <w:sz w:val="17"/>
          <w:szCs w:val="17"/>
          <w:color w:val="auto"/>
        </w:rPr>
        <w:t>The average variable fees per million dollars of volume traded on our trading platforms by asset class for the three months ended March 31, 2020 and 2019 are summarized below. There are three potential drivers of quarterly fluctuations in our average variable fees per million: (1) volume discounts, (2) the mix of cash and derivatives products traded, and (3) the mix of protocols underpinning cash and derivatives products. Average variable fees per million should be reviewed in conjunction with our trading volumes and gross revenue by asset class. Since variable fees are sometimes subject to fee plans with tiered pricing based on product mix and volume, average variable fees per million for a specific asset class may not correlate with volumes or revenue growth. For example, average variable fees per million dollars of volume for our Credit asset class decreased 31.0% for the three months ended March 31, 2020 while gross revenue for our Credit asset class increased 36.9% over the same period.</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86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89"/>
              </w:rPr>
              <w:t>2019</w:t>
            </w:r>
          </w:p>
        </w:tc>
        <w:tc>
          <w:tcPr>
            <w:tcW w:w="3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Rates</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color w:val="auto"/>
              </w:rPr>
              <w:t>Rates - excluding short-tenor swaps (less than 1 year)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2.39</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2.09</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Credit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34.02</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Equities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15.39</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21.15</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Total Fees per Million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2.65</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2.62</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Total Fees per Million - excluding short-tenor swaps (less than 1</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year)</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39" w:firstLine="324"/>
        <w:spacing w:after="0" w:line="254" w:lineRule="auto"/>
        <w:rPr>
          <w:sz w:val="20"/>
          <w:szCs w:val="20"/>
          <w:color w:val="auto"/>
        </w:rPr>
      </w:pPr>
      <w:r>
        <w:rPr>
          <w:rFonts w:ascii="Arial" w:cs="Arial" w:eastAsia="Arial" w:hAnsi="Arial"/>
          <w:sz w:val="18"/>
          <w:szCs w:val="18"/>
          <w:color w:val="auto"/>
        </w:rPr>
        <w:t>Rates average variable fees per million increased due to growth of higher fee long-tenor swaps volumes, despite being partially offset by growth in lower fee per million short-tenor swaps volumes. Credit average variable fees per million decreased due to higher growth in credit derivatives volumes, products which have a lower variable fee capture as compared to cash credit products. Equities average variable fees per million decreased due to the growth of U.S. Equity Options, a product which has a lower variable fee capture as compared to other equity products. Money Markets average variable fees per million decreased due to a mix shift within repurchase agreements volumes from Wholesale to Institutional.</w:t>
      </w:r>
    </w:p>
    <w:p>
      <w:pPr>
        <w:spacing w:after="0" w:line="195" w:lineRule="exact"/>
        <w:rPr>
          <w:sz w:val="20"/>
          <w:szCs w:val="20"/>
          <w:color w:val="auto"/>
        </w:rPr>
      </w:pPr>
    </w:p>
    <w:p>
      <w:pPr>
        <w:ind w:left="40" w:right="219" w:firstLine="324"/>
        <w:spacing w:after="0" w:line="277" w:lineRule="auto"/>
        <w:rPr>
          <w:sz w:val="20"/>
          <w:szCs w:val="20"/>
          <w:color w:val="auto"/>
        </w:rPr>
      </w:pPr>
      <w:r>
        <w:rPr>
          <w:rFonts w:ascii="Arial" w:cs="Arial" w:eastAsia="Arial" w:hAnsi="Arial"/>
          <w:sz w:val="18"/>
          <w:szCs w:val="18"/>
          <w:color w:val="auto"/>
        </w:rPr>
        <w:t>Our gross revenue by geography (based on client location) for the three months ended March 31, 2020 and 2019, and the resulting dollar and percentage changes, were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Three Months</w:t>
            </w: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9"/>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4"/>
          </w:tcPr>
          <w:p>
            <w:pPr>
              <w:jc w:val="right"/>
              <w:ind w:right="219"/>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U.S.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145,256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119,397</w:t>
            </w:r>
          </w:p>
        </w:tc>
        <w:tc>
          <w:tcPr>
            <w:tcW w:w="200" w:type="dxa"/>
            <w:vAlign w:val="bottom"/>
          </w:tcPr>
          <w:p>
            <w:pPr>
              <w:spacing w:after="0"/>
              <w:rPr>
                <w:sz w:val="18"/>
                <w:szCs w:val="18"/>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40"/>
              <w:spacing w:after="0"/>
              <w:rPr>
                <w:sz w:val="20"/>
                <w:szCs w:val="20"/>
                <w:color w:val="auto"/>
              </w:rPr>
            </w:pPr>
            <w:r>
              <w:rPr>
                <w:rFonts w:ascii="Arial" w:cs="Arial" w:eastAsia="Arial" w:hAnsi="Arial"/>
                <w:sz w:val="18"/>
                <w:szCs w:val="18"/>
                <w:color w:val="auto"/>
                <w:w w:val="94"/>
              </w:rPr>
              <w:t>25,859</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89,350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4"/>
              </w:rPr>
              <w:t>21,955</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32.6 %</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Total gross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234,606</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186,792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47,814</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259" w:firstLine="324"/>
        <w:spacing w:after="0" w:line="259" w:lineRule="auto"/>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 xml:space="preserve"> Revenues from U.S. clients increased by $25.9 million or 21.7% to $145.3 million for the three months ended March 31, 2020 from $119.4 million for the three months ended March 31, 2019 primarily due to higher trading volumes for mortgages, U.S. corporate bonds, credit derivatives products, rates derivatives products, U.S. Government bonds, and ETFs.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firstLine="324"/>
        <w:spacing w:after="0" w:line="301" w:lineRule="auto"/>
        <w:rPr>
          <w:sz w:val="20"/>
          <w:szCs w:val="20"/>
          <w:color w:val="auto"/>
        </w:rPr>
      </w:pPr>
      <w:r>
        <w:rPr>
          <w:rFonts w:ascii="Arial" w:cs="Arial" w:eastAsia="Arial" w:hAnsi="Arial"/>
          <w:sz w:val="16"/>
          <w:szCs w:val="16"/>
          <w:u w:val="single" w:color="auto"/>
          <w:color w:val="auto"/>
        </w:rPr>
        <w:t>International.</w:t>
      </w:r>
      <w:r>
        <w:rPr>
          <w:rFonts w:ascii="Arial" w:cs="Arial" w:eastAsia="Arial" w:hAnsi="Arial"/>
          <w:sz w:val="16"/>
          <w:szCs w:val="16"/>
          <w:color w:val="auto"/>
        </w:rPr>
        <w:t xml:space="preserve"> Revenues from International clients increased by $22.0 million or 32.6% to $89.4 million for the three months ended March 31, 2020 from $67.4 million for the three months ended March 31, 2019 primarily due to increased trading volumes for rates derivatives and European ETFs. Compared to 2019 average rates, fluctuations in foreign currency rates for the three months ended March 31, 2020 decreased our International gross revenue by $0.7 million.</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expenses for the three months ended March 31, 2020 and 2019 were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Three</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Months</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March 31,</w:t>
            </w: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4"/>
          </w:tcPr>
          <w:p>
            <w:pPr>
              <w:jc w:val="right"/>
              <w:ind w:right="418"/>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3,673</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communications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(749)</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Occupancy</w:t>
            </w: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3,639</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7"/>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156,991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140,515</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16,476</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99" w:firstLine="324"/>
        <w:spacing w:after="0" w:line="293" w:lineRule="auto"/>
        <w:rPr>
          <w:sz w:val="20"/>
          <w:szCs w:val="20"/>
          <w:color w:val="auto"/>
        </w:rPr>
      </w:pPr>
      <w:r>
        <w:rPr>
          <w:rFonts w:ascii="Arial" w:cs="Arial" w:eastAsia="Arial" w:hAnsi="Arial"/>
          <w:sz w:val="16"/>
          <w:szCs w:val="16"/>
          <w:u w:val="single" w:color="auto"/>
          <w:color w:val="auto"/>
        </w:rPr>
        <w:t>Employee Compensation and Benefits</w:t>
      </w:r>
      <w:r>
        <w:rPr>
          <w:rFonts w:ascii="Arial" w:cs="Arial" w:eastAsia="Arial" w:hAnsi="Arial"/>
          <w:sz w:val="16"/>
          <w:szCs w:val="16"/>
          <w:color w:val="auto"/>
        </w:rPr>
        <w:t>. Employee compensation and benefits expense increased by $13.2 million or 17.1% to $90.5 million for the three months ended March 31, 2020 from $77.3 million for the three months ended March 31, 2019. The increase was primarily due to a $3.7 million increase in annual incentive compensation expenses tied to operating performance, a $3.5 million increase in non-cash stock-based compensation expense related to options and payroll taxes associated with the exercise of stock options, a $3.1 million increase in salaries and benefits, and an increase in commissions of $2.4 million due to higher revenues from our Wholesale client sector.</w:t>
      </w:r>
    </w:p>
    <w:p>
      <w:pPr>
        <w:spacing w:after="0" w:line="164" w:lineRule="exact"/>
        <w:rPr>
          <w:sz w:val="20"/>
          <w:szCs w:val="20"/>
          <w:color w:val="auto"/>
        </w:rPr>
      </w:pPr>
    </w:p>
    <w:p>
      <w:pPr>
        <w:jc w:val="both"/>
        <w:ind w:left="40" w:right="299" w:firstLine="324"/>
        <w:spacing w:after="0" w:line="286"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xml:space="preserve"> Depreciation and amortization expense increased by $3.7 million or 11.0% to $37.2 million for the three months ended March 31, 2020 from $33.5 million for the three months ended March 31, 2020. The increase was the result of additions to internally capitalized software and computer hardware.</w:t>
      </w:r>
    </w:p>
    <w:p>
      <w:pPr>
        <w:spacing w:after="0" w:line="165" w:lineRule="exact"/>
        <w:rPr>
          <w:sz w:val="20"/>
          <w:szCs w:val="20"/>
          <w:color w:val="auto"/>
        </w:rPr>
      </w:pPr>
    </w:p>
    <w:p>
      <w:pPr>
        <w:ind w:left="40" w:right="59" w:firstLine="324"/>
        <w:spacing w:after="0" w:line="259" w:lineRule="auto"/>
        <w:rPr>
          <w:sz w:val="20"/>
          <w:szCs w:val="20"/>
          <w:color w:val="auto"/>
        </w:rPr>
      </w:pPr>
      <w:r>
        <w:rPr>
          <w:rFonts w:ascii="Arial" w:cs="Arial" w:eastAsia="Arial" w:hAnsi="Arial"/>
          <w:sz w:val="18"/>
          <w:szCs w:val="18"/>
          <w:u w:val="single" w:color="auto"/>
          <w:color w:val="auto"/>
        </w:rPr>
        <w:t>Technology and Communications</w:t>
      </w:r>
      <w:r>
        <w:rPr>
          <w:rFonts w:ascii="Arial" w:cs="Arial" w:eastAsia="Arial" w:hAnsi="Arial"/>
          <w:sz w:val="18"/>
          <w:szCs w:val="18"/>
          <w:color w:val="auto"/>
        </w:rPr>
        <w:t>. Technology and communications expense increased by $0.3 million or 2.8% to $10.3 million for the three months ended March 31, 2020 from $10.0 million for the three months ended March 31, 2019. The increase was primarily due to increased clearance and data fees as a result of higher trading volumes, partially offset by lower maintenance and repairs expenses.</w:t>
      </w:r>
    </w:p>
    <w:p>
      <w:pPr>
        <w:spacing w:after="0" w:line="187" w:lineRule="exact"/>
        <w:rPr>
          <w:sz w:val="20"/>
          <w:szCs w:val="20"/>
          <w:color w:val="auto"/>
        </w:rPr>
      </w:pPr>
    </w:p>
    <w:p>
      <w:pPr>
        <w:ind w:left="40" w:right="239" w:firstLine="324"/>
        <w:spacing w:after="0" w:line="311" w:lineRule="auto"/>
        <w:rPr>
          <w:sz w:val="20"/>
          <w:szCs w:val="20"/>
          <w:color w:val="auto"/>
        </w:rPr>
      </w:pPr>
      <w:r>
        <w:rPr>
          <w:rFonts w:ascii="Arial" w:cs="Arial" w:eastAsia="Arial" w:hAnsi="Arial"/>
          <w:sz w:val="16"/>
          <w:szCs w:val="16"/>
          <w:u w:val="single" w:color="auto"/>
          <w:color w:val="auto"/>
        </w:rPr>
        <w:t>General and Administrative</w:t>
      </w:r>
      <w:r>
        <w:rPr>
          <w:rFonts w:ascii="Arial" w:cs="Arial" w:eastAsia="Arial" w:hAnsi="Arial"/>
          <w:sz w:val="16"/>
          <w:szCs w:val="16"/>
          <w:color w:val="auto"/>
        </w:rPr>
        <w:t>. General and administrative expense decreased by $0.7 million or (8.2)% to $8.3 million for the three months ended March 31, 2020 from $9.1 million for the three months ended March 31, 2019. The decrease was primarily a result of higher foreign exchange gains, partially offset by higher insurance and administrative expenses.</w:t>
      </w:r>
    </w:p>
    <w:p>
      <w:pPr>
        <w:spacing w:after="0" w:line="149" w:lineRule="exact"/>
        <w:rPr>
          <w:sz w:val="20"/>
          <w:szCs w:val="20"/>
          <w:color w:val="auto"/>
        </w:rPr>
      </w:pPr>
    </w:p>
    <w:p>
      <w:pPr>
        <w:jc w:val="both"/>
        <w:ind w:left="40" w:right="339" w:firstLine="324"/>
        <w:spacing w:after="0" w:line="263" w:lineRule="auto"/>
        <w:rPr>
          <w:sz w:val="20"/>
          <w:szCs w:val="20"/>
          <w:color w:val="auto"/>
        </w:rPr>
      </w:pPr>
      <w:r>
        <w:rPr>
          <w:rFonts w:ascii="Arial" w:cs="Arial" w:eastAsia="Arial" w:hAnsi="Arial"/>
          <w:sz w:val="18"/>
          <w:szCs w:val="18"/>
          <w:u w:val="single" w:color="auto"/>
          <w:color w:val="auto"/>
        </w:rPr>
        <w:t>Professional Fees</w:t>
      </w:r>
      <w:r>
        <w:rPr>
          <w:rFonts w:ascii="Arial" w:cs="Arial" w:eastAsia="Arial" w:hAnsi="Arial"/>
          <w:sz w:val="18"/>
          <w:szCs w:val="18"/>
          <w:color w:val="auto"/>
        </w:rPr>
        <w:t>. Professional fees decreased by $0.1 million or (0.9)% to $6.9 million for the three months ended March 31, 2020 from $7.0 million for the three months ended March 31, 2019. The decrease was primarily due to lower audit &amp; tax advisory fees.</w:t>
      </w:r>
    </w:p>
    <w:p>
      <w:pPr>
        <w:spacing w:after="0" w:line="184" w:lineRule="exact"/>
        <w:rPr>
          <w:sz w:val="20"/>
          <w:szCs w:val="20"/>
          <w:color w:val="auto"/>
        </w:rPr>
      </w:pPr>
    </w:p>
    <w:p>
      <w:pPr>
        <w:ind w:left="40" w:right="179" w:firstLine="324"/>
        <w:spacing w:after="0" w:line="263"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Occupancy expense increased by $0.1 million or 2.4% to $3.7 million for the three months ended March 31, 2020 from $3.6 million for the three months ended March 31. The increase was primarily a result of new office locations in Asia.</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1" w:name="page52"/>
    <w:bookmarkEnd w:id="5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Net Interest Income (Expense)</w:t>
      </w:r>
    </w:p>
    <w:p>
      <w:pPr>
        <w:spacing w:after="0" w:line="225" w:lineRule="exact"/>
        <w:rPr>
          <w:sz w:val="20"/>
          <w:szCs w:val="20"/>
          <w:color w:val="auto"/>
        </w:rPr>
      </w:pPr>
    </w:p>
    <w:p>
      <w:pPr>
        <w:ind w:left="40" w:right="379" w:firstLine="324"/>
        <w:spacing w:after="0" w:line="301" w:lineRule="auto"/>
        <w:rPr>
          <w:sz w:val="20"/>
          <w:szCs w:val="20"/>
          <w:color w:val="auto"/>
        </w:rPr>
      </w:pPr>
      <w:r>
        <w:rPr>
          <w:rFonts w:ascii="Arial" w:cs="Arial" w:eastAsia="Arial" w:hAnsi="Arial"/>
          <w:sz w:val="16"/>
          <w:szCs w:val="16"/>
          <w:color w:val="auto"/>
        </w:rPr>
        <w:t>Net interest income (expense) decreased by $0.2 million to net interest income of $0.7 million for the three months ended March 31, 2020 from net interest income of $0.9 million for the three months ended March 31, 2019 due to commitment fees related to the Revolving Credit Facility in the three months ended March 31, 2020. This increase was partially offset by higher interest income as a result of increased cash balances throughout the period.</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40" w:right="159" w:firstLine="324"/>
        <w:spacing w:after="0" w:line="287" w:lineRule="auto"/>
        <w:rPr>
          <w:sz w:val="20"/>
          <w:szCs w:val="20"/>
          <w:color w:val="auto"/>
        </w:rPr>
      </w:pPr>
      <w:r>
        <w:rPr>
          <w:rFonts w:ascii="Arial" w:cs="Arial" w:eastAsia="Arial" w:hAnsi="Arial"/>
          <w:sz w:val="16"/>
          <w:szCs w:val="16"/>
          <w:color w:val="auto"/>
        </w:rPr>
        <w:t>The provision for income taxes includes U.S. federal, state, local and foreign taxes. The effective tax rate for the three months ended March 31, 2020 was approximately 20.2%, compared with 10.1% for the three months ended March 31, 2019. The effective tax rate for the three months ended March 31, 2020 differed from the U.S. federal statutory rate of</w:t>
      </w:r>
    </w:p>
    <w:p>
      <w:pPr>
        <w:spacing w:after="0" w:line="2" w:lineRule="exact"/>
        <w:rPr>
          <w:sz w:val="20"/>
          <w:szCs w:val="20"/>
          <w:color w:val="auto"/>
        </w:rPr>
      </w:pPr>
    </w:p>
    <w:p>
      <w:pPr>
        <w:ind w:left="40" w:right="59"/>
        <w:spacing w:after="0" w:line="271" w:lineRule="auto"/>
        <w:rPr>
          <w:sz w:val="20"/>
          <w:szCs w:val="20"/>
          <w:color w:val="auto"/>
        </w:rPr>
      </w:pPr>
      <w:r>
        <w:rPr>
          <w:rFonts w:ascii="Arial" w:cs="Arial" w:eastAsia="Arial" w:hAnsi="Arial"/>
          <w:sz w:val="17"/>
          <w:szCs w:val="17"/>
          <w:color w:val="auto"/>
        </w:rPr>
        <w:t>21.0% primarily due to the effect of non-controlling interests partially offset by state, local and foreign taxes. The effective tax rate for the three months ended March 31, 2019 differed from the U.S. federal statutory rate of 21.0% primarily due to the fact that prior to the Reorganization Transactions, income taxes consisted only of business taxes incurred by TWM LLC and certain subsidiaries for business conducted in certain state, local and foreign jurisdictions as well as federal, state and local taxes for certain subsidiaries that are taxed as corporations for U.S. tax purposes.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40" w:right="379" w:firstLine="324"/>
        <w:spacing w:after="0" w:line="279" w:lineRule="auto"/>
        <w:rPr>
          <w:sz w:val="20"/>
          <w:szCs w:val="20"/>
          <w:color w:val="auto"/>
        </w:rPr>
      </w:pPr>
      <w:r>
        <w:rPr>
          <w:rFonts w:ascii="Arial" w:cs="Arial" w:eastAsia="Arial" w:hAnsi="Arial"/>
          <w:sz w:val="17"/>
          <w:szCs w:val="17"/>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flows from operations and availability under the Revolving Credit Facility and their sufficiency to fund our operating and investing activities.</w:t>
      </w:r>
    </w:p>
    <w:p>
      <w:pPr>
        <w:spacing w:after="0" w:line="171" w:lineRule="exact"/>
        <w:rPr>
          <w:sz w:val="20"/>
          <w:szCs w:val="20"/>
          <w:color w:val="auto"/>
        </w:rPr>
      </w:pPr>
    </w:p>
    <w:p>
      <w:pPr>
        <w:ind w:left="40" w:right="619" w:firstLine="324"/>
        <w:spacing w:after="0" w:line="277" w:lineRule="auto"/>
        <w:rPr>
          <w:sz w:val="20"/>
          <w:szCs w:val="20"/>
          <w:color w:val="auto"/>
        </w:rPr>
      </w:pPr>
      <w:r>
        <w:rPr>
          <w:rFonts w:ascii="Arial" w:cs="Arial" w:eastAsia="Arial" w:hAnsi="Arial"/>
          <w:sz w:val="18"/>
          <w:szCs w:val="18"/>
          <w:color w:val="auto"/>
        </w:rPr>
        <w:t>Historically, we have generated significant cash flows from operations and have funded our business operations through cash on hand and cash flows from operations.</w:t>
      </w:r>
    </w:p>
    <w:p>
      <w:pPr>
        <w:spacing w:after="0" w:line="170"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Our primary cash needs are for day to day operations, working capital requirements, capital expenditures, primarily for software and equipment, and our expected dividend payments. In addition, we are obligated to make payments under the Tax Receivable Agreement. Although the actual timing and amount of any payments that may be made under the Tax Receivable Agreement will vary, we expect that the payments that we will be required to make under the Tax Receivable Agreement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Total amounts due to the Continuing LLC Owners as of March 31, 2020 under the Tax Receivable Agreement were $252.0 million.</w:t>
      </w:r>
    </w:p>
    <w:p>
      <w:pPr>
        <w:spacing w:after="0" w:line="185" w:lineRule="exact"/>
        <w:rPr>
          <w:sz w:val="20"/>
          <w:szCs w:val="20"/>
          <w:color w:val="auto"/>
        </w:rPr>
      </w:pPr>
    </w:p>
    <w:p>
      <w:pPr>
        <w:jc w:val="both"/>
        <w:ind w:left="40" w:right="79" w:firstLine="324"/>
        <w:spacing w:after="0" w:line="311" w:lineRule="auto"/>
        <w:rPr>
          <w:sz w:val="20"/>
          <w:szCs w:val="20"/>
          <w:color w:val="auto"/>
        </w:rPr>
      </w:pPr>
      <w:r>
        <w:rPr>
          <w:rFonts w:ascii="Arial" w:cs="Arial" w:eastAsia="Arial" w:hAnsi="Arial"/>
          <w:sz w:val="16"/>
          <w:szCs w:val="16"/>
          <w:color w:val="auto"/>
        </w:rPr>
        <w:t>We expect to fund our liquidity requirements through cash and cash equivalents and cash flows from operations. While historically we have generated significant and adequate cash flows from operations, in the event of an unexpected event in the future or otherwise, we may fund our liquidity requirements through borrowings under the Revolving Credit Facility.</w:t>
      </w:r>
    </w:p>
    <w:p>
      <w:pPr>
        <w:spacing w:after="0" w:line="149"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7"/>
          <w:szCs w:val="17"/>
          <w:color w:val="auto"/>
        </w:rPr>
        <w:t>We believe that our projected cash position, cash flows from operations and, if necessary, borrowings under the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2" w:name="page53"/>
    <w:bookmarkEnd w:id="5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19"/>
        <w:spacing w:after="0" w:line="277" w:lineRule="auto"/>
        <w:rPr>
          <w:sz w:val="20"/>
          <w:szCs w:val="20"/>
          <w:color w:val="auto"/>
        </w:rPr>
      </w:pPr>
      <w:r>
        <w:rPr>
          <w:rFonts w:ascii="Arial" w:cs="Arial" w:eastAsia="Arial" w:hAnsi="Arial"/>
          <w:sz w:val="18"/>
          <w:szCs w:val="18"/>
          <w:color w:val="auto"/>
        </w:rPr>
        <w:t>equity or debt financing, or both, and there can be no assurance that we will be able to raise any such financing on terms acceptable to us or at all.</w:t>
      </w:r>
    </w:p>
    <w:p>
      <w:pPr>
        <w:spacing w:after="0" w:line="170" w:lineRule="exact"/>
        <w:rPr>
          <w:sz w:val="20"/>
          <w:szCs w:val="20"/>
          <w:color w:val="auto"/>
        </w:rPr>
      </w:pPr>
    </w:p>
    <w:p>
      <w:pPr>
        <w:ind w:left="40" w:right="119" w:firstLine="324"/>
        <w:spacing w:after="0" w:line="311" w:lineRule="auto"/>
        <w:rPr>
          <w:sz w:val="20"/>
          <w:szCs w:val="20"/>
          <w:color w:val="auto"/>
        </w:rPr>
      </w:pPr>
      <w:r>
        <w:rPr>
          <w:rFonts w:ascii="Arial" w:cs="Arial" w:eastAsia="Arial" w:hAnsi="Arial"/>
          <w:sz w:val="16"/>
          <w:szCs w:val="16"/>
          <w:color w:val="auto"/>
        </w:rPr>
        <w:t>As of March 31, 2020 and December 31, 2019, we had cash and cash equivalents of approximately $424.4 million and $460.7 million, respectively. All cash and cash equivalents were held in accounts with banks such that the funds are immediately available in money market funds or in fixed term deposits with a maximum maturity of three months.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Factors Influencing Our Liquidity and Capital Resources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Dividend Policy</w:t>
      </w:r>
    </w:p>
    <w:p>
      <w:pPr>
        <w:spacing w:after="0" w:line="225" w:lineRule="exact"/>
        <w:rPr>
          <w:sz w:val="20"/>
          <w:szCs w:val="20"/>
          <w:color w:val="auto"/>
        </w:rPr>
      </w:pPr>
    </w:p>
    <w:p>
      <w:pPr>
        <w:ind w:left="40" w:right="99" w:firstLine="324"/>
        <w:spacing w:after="0" w:line="257" w:lineRule="auto"/>
        <w:rPr>
          <w:sz w:val="20"/>
          <w:szCs w:val="20"/>
          <w:color w:val="auto"/>
        </w:rPr>
      </w:pPr>
      <w:r>
        <w:rPr>
          <w:rFonts w:ascii="Arial" w:cs="Arial" w:eastAsia="Arial" w:hAnsi="Arial"/>
          <w:sz w:val="18"/>
          <w:szCs w:val="18"/>
          <w:color w:val="auto"/>
        </w:rPr>
        <w:t>Subject to legally available funds, we intend to continue to pay quarterly cash dividends on our Class A common stock and Class B common stock equal to $0.08 per share. As discussed below, our ability to pay these quarterly cash dividends on our Class A common stock and Class B common stock will depend on distributions to us from TWM LLC. Dividends declared and paid to Class A and B common stockholders during the three months ended March 31, 2020 amounted to $13.4 million.</w:t>
      </w:r>
    </w:p>
    <w:p>
      <w:pPr>
        <w:spacing w:after="0" w:line="188" w:lineRule="exact"/>
        <w:rPr>
          <w:sz w:val="20"/>
          <w:szCs w:val="20"/>
          <w:color w:val="auto"/>
        </w:rPr>
      </w:pPr>
    </w:p>
    <w:p>
      <w:pPr>
        <w:ind w:left="40" w:right="119" w:firstLine="324"/>
        <w:spacing w:after="0" w:line="269" w:lineRule="auto"/>
        <w:rPr>
          <w:sz w:val="20"/>
          <w:szCs w:val="20"/>
          <w:color w:val="auto"/>
        </w:rPr>
      </w:pPr>
      <w:r>
        <w:rPr>
          <w:rFonts w:ascii="Arial" w:cs="Arial" w:eastAsia="Arial" w:hAnsi="Arial"/>
          <w:sz w:val="17"/>
          <w:szCs w:val="17"/>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r>
        <w:rPr>
          <w:rFonts w:ascii="Arial" w:cs="Arial" w:eastAsia="Arial" w:hAnsi="Arial"/>
          <w:sz w:val="17"/>
          <w:szCs w:val="17"/>
          <w:color w:val="FF0000"/>
        </w:rPr>
        <w:t>.</w:t>
      </w:r>
    </w:p>
    <w:p>
      <w:pPr>
        <w:spacing w:after="0" w:line="182" w:lineRule="exact"/>
        <w:rPr>
          <w:sz w:val="20"/>
          <w:szCs w:val="20"/>
          <w:color w:val="auto"/>
        </w:rPr>
      </w:pPr>
    </w:p>
    <w:p>
      <w:pPr>
        <w:ind w:left="40" w:right="99" w:firstLine="324"/>
        <w:spacing w:after="0" w:line="257" w:lineRule="auto"/>
        <w:rPr>
          <w:sz w:val="20"/>
          <w:szCs w:val="20"/>
          <w:color w:val="auto"/>
        </w:rPr>
      </w:pPr>
      <w:r>
        <w:rPr>
          <w:rFonts w:ascii="Arial" w:cs="Arial" w:eastAsia="Arial" w:hAnsi="Arial"/>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Cash Dividends</w:t>
      </w:r>
    </w:p>
    <w:p>
      <w:pPr>
        <w:spacing w:after="0" w:line="225" w:lineRule="exact"/>
        <w:rPr>
          <w:sz w:val="20"/>
          <w:szCs w:val="20"/>
          <w:color w:val="auto"/>
        </w:rPr>
      </w:pPr>
    </w:p>
    <w:p>
      <w:pPr>
        <w:ind w:left="40" w:right="259" w:firstLine="324"/>
        <w:spacing w:after="0" w:line="263" w:lineRule="auto"/>
        <w:rPr>
          <w:sz w:val="20"/>
          <w:szCs w:val="20"/>
          <w:color w:val="auto"/>
        </w:rPr>
      </w:pPr>
      <w:r>
        <w:rPr>
          <w:rFonts w:ascii="Arial" w:cs="Arial" w:eastAsia="Arial" w:hAnsi="Arial"/>
          <w:sz w:val="18"/>
          <w:szCs w:val="18"/>
          <w:color w:val="auto"/>
        </w:rPr>
        <w:t>On May 6, 2020, the board of directors declared a cash dividend of $0.08 per share of Class A common stock and Class B common stock for the second quarter of 2020. This dividend will be payable on June 15, 2020 to stockholders of record as of June 1, 2020.</w:t>
      </w:r>
    </w:p>
    <w:p>
      <w:pPr>
        <w:spacing w:after="0" w:line="184" w:lineRule="exact"/>
        <w:rPr>
          <w:sz w:val="20"/>
          <w:szCs w:val="20"/>
          <w:color w:val="auto"/>
        </w:rPr>
      </w:pPr>
    </w:p>
    <w:p>
      <w:pPr>
        <w:ind w:left="40" w:right="439" w:firstLine="324"/>
        <w:spacing w:after="0" w:line="277" w:lineRule="auto"/>
        <w:rPr>
          <w:sz w:val="20"/>
          <w:szCs w:val="20"/>
          <w:color w:val="auto"/>
        </w:rPr>
      </w:pPr>
      <w:r>
        <w:rPr>
          <w:rFonts w:ascii="Arial" w:cs="Arial" w:eastAsia="Arial" w:hAnsi="Arial"/>
          <w:sz w:val="18"/>
          <w:szCs w:val="18"/>
          <w:color w:val="auto"/>
        </w:rPr>
        <w:t>In March 2020, Tradeweb Markets Inc. paid quarterly cash dividends to the holders of Class A common stock and Class B common stock in an aggregate amount of $13.4 million.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Cash Distributions</w:t>
      </w:r>
    </w:p>
    <w:p>
      <w:pPr>
        <w:spacing w:after="0" w:line="225" w:lineRule="exact"/>
        <w:rPr>
          <w:sz w:val="20"/>
          <w:szCs w:val="20"/>
          <w:color w:val="auto"/>
        </w:rPr>
      </w:pPr>
    </w:p>
    <w:p>
      <w:pPr>
        <w:jc w:val="center"/>
        <w:ind w:left="40" w:right="619"/>
        <w:spacing w:after="0" w:line="342" w:lineRule="auto"/>
        <w:rPr>
          <w:sz w:val="20"/>
          <w:szCs w:val="20"/>
          <w:color w:val="auto"/>
        </w:rPr>
      </w:pPr>
      <w:r>
        <w:rPr>
          <w:rFonts w:ascii="Arial" w:cs="Arial" w:eastAsia="Arial" w:hAnsi="Arial"/>
          <w:sz w:val="16"/>
          <w:szCs w:val="16"/>
          <w:color w:val="auto"/>
        </w:rPr>
        <w:t>On May 5, 2020, Tradeweb Markets Inc., as the sole manager, approved a distribution by TWM LLC to its equityholders, including Tradeweb Markets Inc., in an aggregate amount of $18.1 million payable on June 11, 2020.</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Indebtedness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March 31, 2020 and December 31, 2019, we had no outstanding indebtedness.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3" w:name="page54"/>
    <w:bookmarkEnd w:id="5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19" w:firstLine="324"/>
        <w:spacing w:after="0" w:line="263" w:lineRule="auto"/>
        <w:rPr>
          <w:sz w:val="20"/>
          <w:szCs w:val="20"/>
          <w:color w:val="auto"/>
        </w:rPr>
      </w:pPr>
      <w:r>
        <w:rPr>
          <w:rFonts w:ascii="Arial" w:cs="Arial" w:eastAsia="Arial" w:hAnsi="Arial"/>
          <w:sz w:val="18"/>
          <w:szCs w:val="18"/>
          <w:color w:val="auto"/>
        </w:rPr>
        <w:t>On April 8, 2019, TWM LLC entered into the Revolving Credit Facility with a syndicate of banks. The Revolving Credit Facility provides borrowing capacity to be used to fund our ongoing working capital needs, letters of credit and for general corporate purposes, including potential future acquisitions and expansions.</w:t>
      </w:r>
    </w:p>
    <w:p>
      <w:pPr>
        <w:spacing w:after="0" w:line="184" w:lineRule="exact"/>
        <w:rPr>
          <w:sz w:val="20"/>
          <w:szCs w:val="20"/>
          <w:color w:val="auto"/>
        </w:rPr>
      </w:pPr>
    </w:p>
    <w:p>
      <w:pPr>
        <w:ind w:left="40" w:right="79" w:firstLine="324"/>
        <w:spacing w:after="0" w:line="259" w:lineRule="auto"/>
        <w:rPr>
          <w:sz w:val="20"/>
          <w:szCs w:val="20"/>
          <w:color w:val="auto"/>
        </w:rPr>
      </w:pPr>
      <w:r>
        <w:rPr>
          <w:rFonts w:ascii="Arial" w:cs="Arial" w:eastAsia="Arial" w:hAnsi="Arial"/>
          <w:sz w:val="18"/>
          <w:szCs w:val="18"/>
          <w:color w:val="auto"/>
        </w:rPr>
        <w:t>On November 7, 2019, TWM LLC entered into an amendment to the Revolving Credit Facility among TWM LLC and the lenders party thereto, which revised the Revolving Credit Facility to permit the pending LSEG Transaction. The amendment did not otherwise impact the terms of the Revolving Credit Facility and did not impact the amount of borrowings available to TWM LLC under the Revolving Credit Facility.</w:t>
      </w:r>
    </w:p>
    <w:p>
      <w:pPr>
        <w:spacing w:after="0" w:line="187" w:lineRule="exact"/>
        <w:rPr>
          <w:sz w:val="20"/>
          <w:szCs w:val="20"/>
          <w:color w:val="auto"/>
        </w:rPr>
      </w:pPr>
    </w:p>
    <w:p>
      <w:pPr>
        <w:ind w:left="40" w:right="119" w:firstLine="324"/>
        <w:spacing w:after="0" w:line="255" w:lineRule="auto"/>
        <w:rPr>
          <w:sz w:val="20"/>
          <w:szCs w:val="20"/>
          <w:color w:val="auto"/>
        </w:rPr>
      </w:pPr>
      <w:r>
        <w:rPr>
          <w:rFonts w:ascii="Arial" w:cs="Arial" w:eastAsia="Arial" w:hAnsi="Arial"/>
          <w:sz w:val="18"/>
          <w:szCs w:val="18"/>
          <w:color w:val="auto"/>
        </w:rPr>
        <w:t>TWM LLC is the borrower under the Revolving Credit Facility. The Revolving Credit Facility permits borrowings of up to $500.0 million by TWM LLC. Subject to the satisfaction of certain conditions, we will be able to increase the Revolving Credit Facility by $250.0 million with the consent of lenders participating in the increase. The Revolving Credit Facility provides for the issuance of up to $5.0 million of letters of credit as well as borrowings on same-day notice, referred to as swingline loans, in an amount of up to $30.0 million. The Revolving Credit Facility will mature on April 8, 2024.</w:t>
      </w:r>
    </w:p>
    <w:p>
      <w:pPr>
        <w:spacing w:after="0" w:line="192" w:lineRule="exact"/>
        <w:rPr>
          <w:sz w:val="20"/>
          <w:szCs w:val="20"/>
          <w:color w:val="auto"/>
        </w:rPr>
      </w:pPr>
    </w:p>
    <w:p>
      <w:pPr>
        <w:ind w:left="40" w:right="139" w:firstLine="324"/>
        <w:spacing w:after="0" w:line="277" w:lineRule="auto"/>
        <w:rPr>
          <w:sz w:val="20"/>
          <w:szCs w:val="20"/>
          <w:color w:val="auto"/>
        </w:rPr>
      </w:pPr>
      <w:r>
        <w:rPr>
          <w:rFonts w:ascii="Arial" w:cs="Arial" w:eastAsia="Arial" w:hAnsi="Arial"/>
          <w:sz w:val="18"/>
          <w:szCs w:val="18"/>
          <w:color w:val="auto"/>
        </w:rPr>
        <w:t>As of March 31, 2020, there were no amounts outstanding under the Revolving Credit Facility and we had availability of $500.0 million.</w:t>
      </w:r>
    </w:p>
    <w:p>
      <w:pPr>
        <w:spacing w:after="0" w:line="170" w:lineRule="exact"/>
        <w:rPr>
          <w:sz w:val="20"/>
          <w:szCs w:val="20"/>
          <w:color w:val="auto"/>
        </w:rPr>
      </w:pPr>
    </w:p>
    <w:p>
      <w:pPr>
        <w:ind w:left="40" w:right="59" w:firstLine="324"/>
        <w:spacing w:after="0" w:line="255" w:lineRule="auto"/>
        <w:rPr>
          <w:sz w:val="20"/>
          <w:szCs w:val="20"/>
          <w:color w:val="auto"/>
        </w:rPr>
      </w:pPr>
      <w:r>
        <w:rPr>
          <w:rFonts w:ascii="Arial" w:cs="Arial" w:eastAsia="Arial" w:hAnsi="Arial"/>
          <w:sz w:val="18"/>
          <w:szCs w:val="18"/>
          <w:color w:val="auto"/>
        </w:rPr>
        <w:t>Under the terms of the credit agreement that governs the Revolving Credit Facility, borrowings under the Revolving Credit Facility bear interest at a rate equal to, at our option, either (a) a base rate equal to the greatest of (i) the administrative agent’s prime rate, (ii) the federal funds effective rate plus ½ of 1.0% and (iii) one month LIBOR plus 1.0%, in each case plus 0.75%, or (b) LIBOR plus 1.75%, subject to a 0.00% floor. The credit agreement also requires that we pay a commitment fee of 0.25% for available but unborrowed amounts. We are also required to pay customary letter of credit fees and agency fees.</w:t>
      </w:r>
    </w:p>
    <w:p>
      <w:pPr>
        <w:spacing w:after="0" w:line="192" w:lineRule="exact"/>
        <w:rPr>
          <w:sz w:val="20"/>
          <w:szCs w:val="20"/>
          <w:color w:val="auto"/>
        </w:rPr>
      </w:pPr>
    </w:p>
    <w:p>
      <w:pPr>
        <w:ind w:left="40" w:right="819" w:firstLine="324"/>
        <w:spacing w:after="0" w:line="277" w:lineRule="auto"/>
        <w:rPr>
          <w:sz w:val="20"/>
          <w:szCs w:val="20"/>
          <w:color w:val="auto"/>
        </w:rPr>
      </w:pPr>
      <w:r>
        <w:rPr>
          <w:rFonts w:ascii="Arial" w:cs="Arial" w:eastAsia="Arial" w:hAnsi="Arial"/>
          <w:sz w:val="18"/>
          <w:szCs w:val="18"/>
          <w:color w:val="auto"/>
        </w:rPr>
        <w:t>We have the option to voluntarily repay outstanding loans at any time without premium or penalty other than customary “breakage” costs with respect to LIBOR loans.</w:t>
      </w:r>
    </w:p>
    <w:p>
      <w:pPr>
        <w:spacing w:after="0" w:line="170"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There will be no scheduled amortization under the Revolving Credit Facility. The principal amount outstanding will be due and payable in full at maturity.</w:t>
      </w:r>
    </w:p>
    <w:p>
      <w:pPr>
        <w:spacing w:after="0" w:line="170" w:lineRule="exact"/>
        <w:rPr>
          <w:sz w:val="20"/>
          <w:szCs w:val="20"/>
          <w:color w:val="auto"/>
        </w:rPr>
      </w:pPr>
    </w:p>
    <w:p>
      <w:pPr>
        <w:ind w:left="40" w:right="219" w:firstLine="324"/>
        <w:spacing w:after="0" w:line="259" w:lineRule="auto"/>
        <w:rPr>
          <w:sz w:val="20"/>
          <w:szCs w:val="20"/>
          <w:color w:val="auto"/>
        </w:rPr>
      </w:pPr>
      <w:r>
        <w:rPr>
          <w:rFonts w:ascii="Arial" w:cs="Arial" w:eastAsia="Arial" w:hAnsi="Arial"/>
          <w:sz w:val="18"/>
          <w:szCs w:val="18"/>
          <w:color w:val="auto"/>
        </w:rPr>
        <w:t>Obligations under the Revolving Credit Facility are guaranteed by our existing and future direct and indirect material wholly-owned domestic subsidiaries, subject to certain exceptions. The Revolving Credit Facility is secured by a first-priority security interest in substantially all of the assets of TWM LLC and the guarantors under the facility, subject to certain exceptions.</w:t>
      </w:r>
    </w:p>
    <w:p>
      <w:pPr>
        <w:spacing w:after="0" w:line="187" w:lineRule="exact"/>
        <w:rPr>
          <w:sz w:val="20"/>
          <w:szCs w:val="20"/>
          <w:color w:val="auto"/>
        </w:rPr>
      </w:pPr>
    </w:p>
    <w:p>
      <w:pPr>
        <w:jc w:val="both"/>
        <w:ind w:left="40" w:right="399" w:firstLine="324"/>
        <w:spacing w:after="0" w:line="342" w:lineRule="auto"/>
        <w:rPr>
          <w:sz w:val="20"/>
          <w:szCs w:val="20"/>
          <w:color w:val="auto"/>
        </w:rPr>
      </w:pPr>
      <w:r>
        <w:rPr>
          <w:rFonts w:ascii="Arial" w:cs="Arial" w:eastAsia="Arial" w:hAnsi="Arial"/>
          <w:sz w:val="16"/>
          <w:szCs w:val="16"/>
          <w:color w:val="auto"/>
        </w:rPr>
        <w:t>The credit agreement that governs the Revolving Credit Facility contains a number of covenants that, among other things and subject to certain exceptions, restrict the ability of TWM LLC and the ability of its restricted subsidiaries to:</w:t>
      </w:r>
    </w:p>
    <w:p>
      <w:pPr>
        <w:spacing w:after="0" w:line="124" w:lineRule="exact"/>
        <w:rPr>
          <w:sz w:val="20"/>
          <w:szCs w:val="20"/>
          <w:color w:val="auto"/>
        </w:rPr>
      </w:pPr>
    </w:p>
    <w:p>
      <w:pPr>
        <w:ind w:left="700" w:hanging="332"/>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306" w:lineRule="exact"/>
        <w:rPr>
          <w:sz w:val="20"/>
          <w:szCs w:val="20"/>
          <w:color w:val="auto"/>
        </w:rPr>
      </w:pPr>
    </w:p>
    <w:p>
      <w:pPr>
        <w:ind w:left="40" w:right="279" w:firstLine="324"/>
        <w:spacing w:after="0" w:line="301" w:lineRule="auto"/>
        <w:rPr>
          <w:sz w:val="20"/>
          <w:szCs w:val="20"/>
          <w:color w:val="auto"/>
        </w:rPr>
      </w:pPr>
      <w:r>
        <w:rPr>
          <w:rFonts w:ascii="Arial" w:cs="Arial" w:eastAsia="Arial" w:hAnsi="Arial"/>
          <w:sz w:val="16"/>
          <w:szCs w:val="16"/>
          <w:color w:val="auto"/>
        </w:rPr>
        <w:t>The Revolving Credit Facility contains a financial covenant requiring compliance with a (i) maximum total net leverage ratio tested on the last day of each fiscal quarter not to exceed 3.5 to 1.0 (increasing to 4.0 to 1.0 for the four-quarter period following a material acquisition and the fiscal quarter in which such material acquisition is consummated) and (ii) minimum cash interest coverage ratio tested on the last day of each fiscal quarter not less than 3.0 to 1.0.</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firstLine="324"/>
        <w:spacing w:after="0" w:line="273" w:lineRule="auto"/>
        <w:rPr>
          <w:sz w:val="20"/>
          <w:szCs w:val="20"/>
          <w:color w:val="auto"/>
        </w:rPr>
      </w:pPr>
      <w:r>
        <w:rPr>
          <w:rFonts w:ascii="Arial" w:cs="Arial" w:eastAsia="Arial" w:hAnsi="Arial"/>
          <w:sz w:val="17"/>
          <w:szCs w:val="17"/>
          <w:color w:val="auto"/>
        </w:rPr>
        <w:t>The credit agreement that governs the Revolving Credit Facility also contains certain affirmative covenants and events of default customary for facilities of this type, including relating to a change of control. See Item 5, “Other Information” elsewhere in this Quarterly Report on Form 10-Q. If an event of default occurs, the lenders under the Revolving Credit Facility will be entitled to take various actions, including the acceleration of amounts due under the Revolving Credit Facility and all actions permitted to be taken by secured creditors under applicable law. As of March 31, 2020, we were in compliance with all the covenants set forth in the Revolving Credit Facility.</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Certain of our U.S. subsidiaries are registered as broker-dealers, 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Financial Conduct Authority in the U.K., the Nederlandsche Bank in the Netherlands, the Japanese Financial Services Agency, the Japanese Securities Dealers Association and other foreign regulators, and must maintain financial resources, as defined in the applicable regulations, in excess of the applicable financial resources requirement. As of March 31, 2020 and December 31, 2019, each of our regulated subsidiaries had maintained sufficient net capital or financial resources to at least satisfy their minimum requirements which in aggregate were $49.8 million and $53.2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Fails to Deliver/Fails to Receive</w:t>
      </w:r>
    </w:p>
    <w:p>
      <w:pPr>
        <w:spacing w:after="0" w:line="225" w:lineRule="exact"/>
        <w:rPr>
          <w:sz w:val="20"/>
          <w:szCs w:val="20"/>
          <w:color w:val="auto"/>
        </w:rPr>
      </w:pPr>
    </w:p>
    <w:p>
      <w:pPr>
        <w:ind w:left="40" w:right="319" w:firstLine="324"/>
        <w:spacing w:after="0" w:line="275" w:lineRule="auto"/>
        <w:rPr>
          <w:sz w:val="20"/>
          <w:szCs w:val="20"/>
          <w:color w:val="auto"/>
        </w:rPr>
      </w:pPr>
      <w:r>
        <w:rPr>
          <w:rFonts w:ascii="Arial" w:cs="Arial" w:eastAsia="Arial" w:hAnsi="Arial"/>
          <w:sz w:val="17"/>
          <w:szCs w:val="17"/>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ind w:left="40" w:right="259" w:firstLine="324"/>
        <w:spacing w:after="0" w:line="291" w:lineRule="auto"/>
        <w:rPr>
          <w:sz w:val="20"/>
          <w:szCs w:val="20"/>
          <w:color w:val="auto"/>
        </w:rPr>
      </w:pPr>
      <w:r>
        <w:rPr>
          <w:rFonts w:ascii="Arial" w:cs="Arial" w:eastAsia="Arial" w:hAnsi="Arial"/>
          <w:sz w:val="16"/>
          <w:szCs w:val="16"/>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from affiliates. Current liabilities consist of securities sold under agreements to repurchase, payable to brokers and dealers and clearing organizations, accrued compensation, deferred revenue, accounts payable, accrued expenses and other liabilities, employee equity compensation payable, lease liability, payable to affiliates and tax receivable agreement liability. Changes in working capital, which impact our cash flows provided by operating activities, can vary depending on factors such as delays in the collection of receivables, changes in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5" w:name="page56"/>
    <w:bookmarkEnd w:id="5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spacing w:after="0" w:line="342" w:lineRule="auto"/>
        <w:rPr>
          <w:sz w:val="20"/>
          <w:szCs w:val="20"/>
          <w:color w:val="auto"/>
        </w:rPr>
      </w:pPr>
      <w:r>
        <w:rPr>
          <w:rFonts w:ascii="Arial" w:cs="Arial" w:eastAsia="Arial" w:hAnsi="Arial"/>
          <w:sz w:val="16"/>
          <w:szCs w:val="16"/>
          <w:color w:val="auto"/>
        </w:rPr>
        <w:t>our operating performance, changes in trading patterns, changes in client billing terms and other changes in the demand for our platforms and solutions. Our working capital as of March 31, 2020 and December 31, 2019 was as follows: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313"/>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92"/>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142"/>
        </w:trPr>
        <w:tc>
          <w:tcPr>
            <w:tcW w:w="5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20" w:type="dxa"/>
            <w:vAlign w:val="bottom"/>
            <w:gridSpan w:val="4"/>
          </w:tcPr>
          <w:p>
            <w:pPr>
              <w:jc w:val="right"/>
              <w:ind w:right="772"/>
              <w:spacing w:after="0" w:line="142" w:lineRule="exact"/>
              <w:rPr>
                <w:sz w:val="20"/>
                <w:szCs w:val="20"/>
                <w:color w:val="auto"/>
              </w:rPr>
            </w:pPr>
            <w:r>
              <w:rPr>
                <w:rFonts w:ascii="Arial" w:cs="Arial" w:eastAsia="Arial" w:hAnsi="Arial"/>
                <w:sz w:val="14"/>
                <w:szCs w:val="14"/>
                <w:b w:val="1"/>
                <w:bCs w:val="1"/>
                <w:color w:val="auto"/>
              </w:rPr>
              <w:t>(dollars in thousands)</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424,357</w:t>
            </w:r>
          </w:p>
        </w:tc>
        <w:tc>
          <w:tcPr>
            <w:tcW w:w="4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460,711</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Restricted cash</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brokers and dealers and clearing organizations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30,641</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Deposits with clearing organizations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11,307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9,724</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133,468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92,814</w:t>
            </w:r>
          </w:p>
        </w:tc>
      </w:tr>
      <w:tr>
        <w:trPr>
          <w:trHeight w:val="216"/>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Receivable from affiliates</w:t>
            </w:r>
          </w:p>
        </w:tc>
        <w:tc>
          <w:tcPr>
            <w:tcW w:w="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667,546</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597,415</w:t>
            </w:r>
          </w:p>
        </w:tc>
      </w:tr>
      <w:tr>
        <w:trPr>
          <w:trHeight w:val="209"/>
        </w:trPr>
        <w:tc>
          <w:tcPr>
            <w:tcW w:w="5220" w:type="dxa"/>
            <w:vAlign w:val="bottom"/>
          </w:tcPr>
          <w:p>
            <w:pPr>
              <w:spacing w:after="0"/>
              <w:rPr>
                <w:sz w:val="20"/>
                <w:szCs w:val="20"/>
                <w:color w:val="auto"/>
              </w:rPr>
            </w:pPr>
            <w:r>
              <w:rPr>
                <w:rFonts w:ascii="Arial" w:cs="Arial" w:eastAsia="Arial" w:hAnsi="Arial"/>
                <w:sz w:val="18"/>
                <w:szCs w:val="18"/>
                <w:color w:val="auto"/>
              </w:rPr>
              <w:t>Payable to brokers and dealers and clearing organizations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55,157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30,452</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119,415</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Deferred revenue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26,269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23,990</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32,834</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Employee equity compensation payable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1,048</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Payable to affiliates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1,506</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Tax receivable agreement liability</w:t>
            </w: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24,122</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6,949</w:t>
            </w:r>
          </w:p>
        </w:tc>
      </w:tr>
      <w:tr>
        <w:trPr>
          <w:trHeight w:val="210"/>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223,103</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224,710</w:t>
            </w:r>
          </w:p>
        </w:tc>
      </w:tr>
      <w:tr>
        <w:trPr>
          <w:trHeight w:val="217"/>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444,443</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372,705</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Current assets</w:t>
      </w:r>
    </w:p>
    <w:p>
      <w:pPr>
        <w:spacing w:after="0" w:line="225" w:lineRule="exact"/>
        <w:rPr>
          <w:sz w:val="20"/>
          <w:szCs w:val="20"/>
          <w:color w:val="auto"/>
        </w:rPr>
      </w:pPr>
    </w:p>
    <w:p>
      <w:pPr>
        <w:ind w:left="40" w:right="199" w:firstLine="324"/>
        <w:spacing w:after="0" w:line="257" w:lineRule="auto"/>
        <w:rPr>
          <w:sz w:val="20"/>
          <w:szCs w:val="20"/>
          <w:color w:val="auto"/>
        </w:rPr>
      </w:pPr>
      <w:r>
        <w:rPr>
          <w:rFonts w:ascii="Arial" w:cs="Arial" w:eastAsia="Arial" w:hAnsi="Arial"/>
          <w:sz w:val="18"/>
          <w:szCs w:val="18"/>
          <w:color w:val="auto"/>
        </w:rPr>
        <w:t>Current assets increased to $667.5 million as of March 31, 2020 from $597.4 million as of December 31, 2019 due to an increase in receivable from brokers and dealers and clearing organizations resulting from a higher number of fails to deliver as a result of increased unsettled wholesale platform transactions and an increase in accounts receivables due to increased revenues. These increases were partially offset by a decrease in cash and cash equivalents as a result of annual compensation payments.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Current liabilities</w:t>
      </w:r>
    </w:p>
    <w:p>
      <w:pPr>
        <w:spacing w:after="0" w:line="225" w:lineRule="exact"/>
        <w:rPr>
          <w:sz w:val="20"/>
          <w:szCs w:val="20"/>
          <w:color w:val="auto"/>
        </w:rPr>
      </w:pPr>
    </w:p>
    <w:p>
      <w:pPr>
        <w:ind w:left="40" w:right="119" w:firstLine="324"/>
        <w:spacing w:after="0" w:line="301" w:lineRule="auto"/>
        <w:rPr>
          <w:sz w:val="20"/>
          <w:szCs w:val="20"/>
          <w:color w:val="auto"/>
        </w:rPr>
      </w:pPr>
      <w:r>
        <w:rPr>
          <w:rFonts w:ascii="Arial" w:cs="Arial" w:eastAsia="Arial" w:hAnsi="Arial"/>
          <w:sz w:val="16"/>
          <w:szCs w:val="16"/>
          <w:color w:val="auto"/>
        </w:rPr>
        <w:t>Current liabilities decreased to $223.1 million as of March 31, 2020 from $224.7 million as of December 31, 2019 due to a decrease in accrued compensation as a result of annual payments, offset by an increase in payable to brokers and dealers and clearing organizations resulting from a higher number of fails to deliver as a result of increased unsettled wholesale platform transactions and an increase in the current portion of the tax receivable agreement liability.</w:t>
      </w:r>
    </w:p>
    <w:p>
      <w:pPr>
        <w:spacing w:after="0" w:line="157" w:lineRule="exact"/>
        <w:rPr>
          <w:sz w:val="20"/>
          <w:szCs w:val="20"/>
          <w:color w:val="auto"/>
        </w:rPr>
      </w:pPr>
    </w:p>
    <w:p>
      <w:pPr>
        <w:ind w:left="40" w:right="779" w:firstLine="324"/>
        <w:spacing w:after="0" w:line="277" w:lineRule="auto"/>
        <w:rPr>
          <w:sz w:val="20"/>
          <w:szCs w:val="20"/>
          <w:color w:val="auto"/>
        </w:rPr>
      </w:pPr>
      <w:r>
        <w:rPr>
          <w:rFonts w:ascii="Arial" w:cs="Arial" w:eastAsia="Arial" w:hAnsi="Arial"/>
          <w:sz w:val="18"/>
          <w:szCs w:val="18"/>
          <w:color w:val="auto"/>
        </w:rPr>
        <w:t>See “—Liquidity and Capital Resources—Factors Influencing Our Liquidity and Capital Resources—Capital Requirements.”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6" w:name="page57"/>
    <w:bookmarkEnd w:id="5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cash flows for the three months ended March 31, 2020 and 2019 were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60"/>
              <w:spacing w:after="0"/>
              <w:rPr>
                <w:sz w:val="20"/>
                <w:szCs w:val="20"/>
                <w:color w:val="auto"/>
              </w:rPr>
            </w:pPr>
            <w:r>
              <w:rPr>
                <w:rFonts w:ascii="Arial" w:cs="Arial" w:eastAsia="Arial" w:hAnsi="Arial"/>
                <w:sz w:val="14"/>
                <w:szCs w:val="14"/>
                <w:b w:val="1"/>
                <w:bCs w:val="1"/>
                <w:color w:val="auto"/>
                <w:w w:val="94"/>
              </w:rPr>
              <w:t>Three</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center"/>
              <w:ind w:right="259"/>
              <w:spacing w:after="0"/>
              <w:rPr>
                <w:sz w:val="20"/>
                <w:szCs w:val="20"/>
                <w:color w:val="auto"/>
              </w:rPr>
            </w:pPr>
            <w:r>
              <w:rPr>
                <w:rFonts w:ascii="Arial" w:cs="Arial" w:eastAsia="Arial" w:hAnsi="Arial"/>
                <w:sz w:val="14"/>
                <w:szCs w:val="14"/>
                <w:b w:val="1"/>
                <w:bCs w:val="1"/>
                <w:color w:val="auto"/>
                <w:w w:val="94"/>
              </w:rPr>
              <w:t>Three</w:t>
            </w:r>
          </w:p>
        </w:tc>
      </w:tr>
      <w:tr>
        <w:trPr>
          <w:trHeight w:val="148"/>
        </w:trPr>
        <w:tc>
          <w:tcPr>
            <w:tcW w:w="5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Months</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6"/>
              </w:rPr>
              <w:t>Months</w:t>
            </w:r>
          </w:p>
        </w:tc>
      </w:tr>
      <w:tr>
        <w:trPr>
          <w:trHeight w:val="148"/>
        </w:trPr>
        <w:tc>
          <w:tcPr>
            <w:tcW w:w="5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8"/>
        </w:trPr>
        <w:tc>
          <w:tcPr>
            <w:tcW w:w="5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ind w:right="279"/>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5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89"/>
              </w:rPr>
              <w:t>2019</w:t>
            </w:r>
          </w:p>
        </w:tc>
      </w:tr>
      <w:tr>
        <w:trPr>
          <w:trHeight w:val="142"/>
        </w:trPr>
        <w:tc>
          <w:tcPr>
            <w:tcW w:w="5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2"/>
                <w:szCs w:val="12"/>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operating activities</w:t>
            </w:r>
          </w:p>
        </w:tc>
        <w:tc>
          <w:tcPr>
            <w:tcW w:w="9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(21,758)</w:t>
            </w:r>
          </w:p>
        </w:tc>
        <w:tc>
          <w:tcPr>
            <w:tcW w:w="6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(21,079)</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cash flows used in investing activities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(8,361)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(8,283)</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financing activities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7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w:t>
            </w: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r>
      <w:tr>
        <w:trPr>
          <w:trHeight w:val="217"/>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7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(36,354)</w:t>
            </w: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(48,496)</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left="40" w:right="179" w:firstLine="324"/>
        <w:spacing w:after="0" w:line="259" w:lineRule="auto"/>
        <w:rPr>
          <w:sz w:val="20"/>
          <w:szCs w:val="20"/>
          <w:color w:val="auto"/>
        </w:rPr>
      </w:pPr>
      <w:r>
        <w:rPr>
          <w:rFonts w:ascii="Arial" w:cs="Arial" w:eastAsia="Arial" w:hAnsi="Arial"/>
          <w:sz w:val="18"/>
          <w:szCs w:val="18"/>
          <w:color w:val="auto"/>
        </w:rPr>
        <w:t>Operating activities consist primarily of net income adjusted for noncash items that include depreciation and amortization and stock-based compensation expense. Cash flows from operating activities can fluctuate significantly from period-to-period as working capital needs and the timing of payments for accrued compensation (primarily in the first quarter) and other items impact reported cash flows.</w:t>
      </w:r>
    </w:p>
    <w:p>
      <w:pPr>
        <w:spacing w:after="0" w:line="187" w:lineRule="exact"/>
        <w:rPr>
          <w:sz w:val="20"/>
          <w:szCs w:val="20"/>
          <w:color w:val="auto"/>
        </w:rPr>
      </w:pPr>
    </w:p>
    <w:p>
      <w:pPr>
        <w:ind w:left="40" w:right="259" w:firstLine="324"/>
        <w:spacing w:after="0" w:line="263" w:lineRule="auto"/>
        <w:rPr>
          <w:sz w:val="20"/>
          <w:szCs w:val="20"/>
          <w:color w:val="auto"/>
        </w:rPr>
      </w:pPr>
      <w:r>
        <w:rPr>
          <w:rFonts w:ascii="Arial" w:cs="Arial" w:eastAsia="Arial" w:hAnsi="Arial"/>
          <w:sz w:val="18"/>
          <w:szCs w:val="18"/>
          <w:color w:val="auto"/>
        </w:rPr>
        <w:t>Net cash used in operating activities for the three months ended March 31, 2020 was $21.8 million, an increase of 3.2% over 2019, and primarily driven by increased accounts receivable and increased receivable from/payable to brokers and dealers and clearing organizations, net.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left="40" w:right="819" w:firstLine="324"/>
        <w:spacing w:after="0" w:line="277" w:lineRule="auto"/>
        <w:rPr>
          <w:sz w:val="20"/>
          <w:szCs w:val="20"/>
          <w:color w:val="auto"/>
        </w:rPr>
      </w:pPr>
      <w:r>
        <w:rPr>
          <w:rFonts w:ascii="Arial" w:cs="Arial" w:eastAsia="Arial" w:hAnsi="Arial"/>
          <w:sz w:val="18"/>
          <w:szCs w:val="18"/>
          <w:color w:val="auto"/>
        </w:rPr>
        <w:t>Investing activities consist of software development costs, investments in technology hardware, purchases of equipment and other tangible assets, business acquisitions and investments.</w:t>
      </w:r>
    </w:p>
    <w:p>
      <w:pPr>
        <w:spacing w:after="0" w:line="170" w:lineRule="exact"/>
        <w:rPr>
          <w:sz w:val="20"/>
          <w:szCs w:val="20"/>
          <w:color w:val="auto"/>
        </w:rPr>
      </w:pPr>
    </w:p>
    <w:p>
      <w:pPr>
        <w:ind w:left="40" w:right="219" w:firstLine="324"/>
        <w:spacing w:after="0" w:line="275" w:lineRule="auto"/>
        <w:rPr>
          <w:sz w:val="20"/>
          <w:szCs w:val="20"/>
          <w:color w:val="auto"/>
        </w:rPr>
      </w:pPr>
      <w:r>
        <w:rPr>
          <w:rFonts w:ascii="Arial" w:cs="Arial" w:eastAsia="Arial" w:hAnsi="Arial"/>
          <w:sz w:val="17"/>
          <w:szCs w:val="17"/>
          <w:color w:val="auto"/>
        </w:rPr>
        <w:t>Net cash used in investing activities was $8.4 million for the three months ended March 31, 2020, which consisted of $7.1 million of capitalized software development costs and $1.3 million of purchases of furniture, equipment, purchased software and leasehold improvements. Net cash used in investing activities was $8.3 million for the three months ended March 31, 2019, which consisted of $6.8 million of capitalized software development costs and $1.5 million of purchases of furniture, equipment, purchased software and leasehold improvements.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40" w:right="199" w:firstLine="324"/>
        <w:spacing w:after="0" w:line="259" w:lineRule="auto"/>
        <w:rPr>
          <w:sz w:val="20"/>
          <w:szCs w:val="20"/>
          <w:color w:val="auto"/>
        </w:rPr>
      </w:pPr>
      <w:r>
        <w:rPr>
          <w:rFonts w:ascii="Arial" w:cs="Arial" w:eastAsia="Arial" w:hAnsi="Arial"/>
          <w:sz w:val="18"/>
          <w:szCs w:val="18"/>
          <w:color w:val="auto"/>
        </w:rPr>
        <w:t>Net cash used in financing activities for the three months ended March 31, 2020 was $2.3 million, which consisted of proceeds from stock-based compensation exercises, offset by payroll taxes paid for stock-based compensation exercises and dividends paid. Net cash used in financing activities for the three months ended March 31, 2019 was $20.0 million, which consisted of capital distributions to the Original LLC Owners.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ind w:left="40" w:right="519" w:firstLine="324"/>
        <w:spacing w:after="0" w:line="286" w:lineRule="auto"/>
        <w:rPr>
          <w:sz w:val="20"/>
          <w:szCs w:val="20"/>
          <w:color w:val="auto"/>
        </w:rPr>
      </w:pPr>
      <w:r>
        <w:rPr>
          <w:rFonts w:ascii="Arial" w:cs="Arial" w:eastAsia="Arial" w:hAnsi="Arial"/>
          <w:sz w:val="17"/>
          <w:szCs w:val="17"/>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7" w:name="page58"/>
    <w:bookmarkEnd w:id="5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19" w:firstLine="324"/>
        <w:spacing w:after="0" w:line="286" w:lineRule="auto"/>
        <w:rPr>
          <w:sz w:val="20"/>
          <w:szCs w:val="20"/>
          <w:color w:val="auto"/>
        </w:rPr>
      </w:pPr>
      <w:r>
        <w:rPr>
          <w:rFonts w:ascii="Arial" w:cs="Arial" w:eastAsia="Arial" w:hAnsi="Arial"/>
          <w:sz w:val="17"/>
          <w:szCs w:val="17"/>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165"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92" w:lineRule="exact"/>
        <w:rPr>
          <w:sz w:val="20"/>
          <w:szCs w:val="20"/>
          <w:color w:val="auto"/>
        </w:rPr>
      </w:pPr>
    </w:p>
    <w:p>
      <w:pPr>
        <w:ind w:left="40" w:right="139" w:firstLine="324"/>
        <w:spacing w:after="0" w:line="277"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three months ended March 31, 2020 and 2019:</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Three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center"/>
              <w:ind w:right="240"/>
              <w:spacing w:after="0"/>
              <w:rPr>
                <w:sz w:val="20"/>
                <w:szCs w:val="20"/>
                <w:color w:val="auto"/>
              </w:rPr>
            </w:pPr>
            <w:r>
              <w:rPr>
                <w:rFonts w:ascii="Arial" w:cs="Arial" w:eastAsia="Arial" w:hAnsi="Arial"/>
                <w:sz w:val="14"/>
                <w:szCs w:val="14"/>
                <w:b w:val="1"/>
                <w:bCs w:val="1"/>
                <w:color w:val="auto"/>
                <w:w w:val="94"/>
              </w:rPr>
              <w:t>Three</w:t>
            </w:r>
          </w:p>
        </w:tc>
      </w:tr>
      <w:tr>
        <w:trPr>
          <w:trHeight w:val="148"/>
        </w:trPr>
        <w:tc>
          <w:tcPr>
            <w:tcW w:w="5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Months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Months</w:t>
            </w:r>
          </w:p>
        </w:tc>
      </w:tr>
      <w:tr>
        <w:trPr>
          <w:trHeight w:val="148"/>
        </w:trPr>
        <w:tc>
          <w:tcPr>
            <w:tcW w:w="5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8"/>
        </w:trPr>
        <w:tc>
          <w:tcPr>
            <w:tcW w:w="5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5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6"/>
              </w:rPr>
              <w:t>2019</w:t>
            </w:r>
          </w:p>
        </w:tc>
      </w:tr>
      <w:tr>
        <w:trPr>
          <w:trHeight w:val="142"/>
        </w:trPr>
        <w:tc>
          <w:tcPr>
            <w:tcW w:w="5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7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9"/>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(21,079)</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Less: Capitalization of software development costs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(7,063)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(6,767)</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9"/>
              </w:rPr>
              <w:t>Less: Purchases of furniture, equipment and leasehold improvements</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r>
      <w:tr>
        <w:trPr>
          <w:trHeight w:val="217"/>
        </w:trPr>
        <w:tc>
          <w:tcPr>
            <w:tcW w:w="5500" w:type="dxa"/>
            <w:vAlign w:val="bottom"/>
          </w:tcPr>
          <w:p>
            <w:pPr>
              <w:spacing w:after="0"/>
              <w:rPr>
                <w:sz w:val="20"/>
                <w:szCs w:val="20"/>
                <w:color w:val="auto"/>
              </w:rPr>
            </w:pPr>
            <w:r>
              <w:rPr>
                <w:rFonts w:ascii="Arial" w:cs="Arial" w:eastAsia="Arial" w:hAnsi="Arial"/>
                <w:sz w:val="18"/>
                <w:szCs w:val="18"/>
                <w:color w:val="auto"/>
              </w:rPr>
              <w:t>Free Cash Flow</w:t>
            </w:r>
          </w:p>
        </w:tc>
        <w:tc>
          <w:tcPr>
            <w:tcW w:w="54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(30,119)</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(29,362)</w:t>
            </w:r>
          </w:p>
        </w:tc>
      </w:tr>
    </w:tbl>
    <w:p>
      <w:pPr>
        <w:spacing w:after="0" w:line="202"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b w:val="1"/>
          <w:bCs w:val="1"/>
          <w:i w:val="1"/>
          <w:iCs w:val="1"/>
          <w:color w:val="auto"/>
        </w:rPr>
        <w:t>Adjusted EBITDA, Adjusted EBITDA margin, Adjusted EBIT, Adjusted EBIT margin, Adjusted Net Income and Adjusted Diluted EPS</w:t>
      </w:r>
    </w:p>
    <w:p>
      <w:pPr>
        <w:spacing w:after="0" w:line="170"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In addition to net income and net income attributable to Tradeweb Markets Inc., each presented in accordance with GAAP, we present Adjusted EBITDA, Adjusted EBITDA margin, Adjusted EBIT and Adjusted EBIT margin as measures of our operating performance and Adjusted Net Income and Adjusted Net Income per diluted share (“Adjusted Diluted EPS”) as measures of our profitability.</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Adjusted EBITDA, Adjusted EBITDA margin, Adjusted EBIT and Adjusted EBIT margin</w:t>
      </w:r>
    </w:p>
    <w:p>
      <w:pPr>
        <w:spacing w:after="0" w:line="225" w:lineRule="exact"/>
        <w:rPr>
          <w:sz w:val="20"/>
          <w:szCs w:val="20"/>
          <w:color w:val="auto"/>
        </w:rPr>
      </w:pPr>
    </w:p>
    <w:p>
      <w:pPr>
        <w:ind w:left="40" w:right="119" w:firstLine="324"/>
        <w:spacing w:after="0" w:line="284" w:lineRule="auto"/>
        <w:rPr>
          <w:sz w:val="20"/>
          <w:szCs w:val="20"/>
          <w:color w:val="auto"/>
        </w:rPr>
      </w:pPr>
      <w:r>
        <w:rPr>
          <w:rFonts w:ascii="Arial" w:cs="Arial" w:eastAsia="Arial" w:hAnsi="Arial"/>
          <w:sz w:val="16"/>
          <w:szCs w:val="16"/>
          <w:color w:val="auto"/>
        </w:rPr>
        <w:t>Adjusted EBITDA is defined as net income, net interest income, provision for income taxes and depreciation and amortization, adjusted for the impact of certain other items, including certain stock-based compensation expense and payroll taxes associated with certain option exercises, tax receivable agreement liability adjustments and gains and losses from outstanding foreign exchange forward contracts and the revaluation of foreign denominated cash. Adjusted EBIT is defined as net income, net interest income and provision for income taxes, adjusted for the impact of certain other items, including certain stock-based compensation expense and payroll taxes associated with certain option exercises, tax receivable agreement liability adjustments, acquisition and Refinitiv Transaction-related depreciation and amortization and gains and losses from outstanding foreign exchange forward contracts and the revaluation of foreign denominated cash. Adjusted EBITDA margin and Adjusted EBIT margin are defined as Adjusted EBITDA and Adjusted EBIT, respectively, divided by gross revenue for the applicable period. 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discussed below under “— Critical Accounting Policies and Estimates — Stock-Based Compensation,” as well as non-cash stock-based compensation expense associated with options awarded to management and other employees following the IPO during 2019 as well as payroll taxes associated with exercises of such options during the applicable period. We believe it is useful to exclude this stock-based compensation expense and associated payroll taxes because the amount of expense associated with the Special Option Award and the post-IPO option awards in 2019 may not directly correlate to the underlying performance of our business and will vary across periods. We do not expect to exclude any non-cash stock-based compensation expense associated with options that may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8" w:name="page59"/>
    <w:bookmarkEnd w:id="5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69" w:lineRule="auto"/>
        <w:rPr>
          <w:sz w:val="20"/>
          <w:szCs w:val="20"/>
          <w:color w:val="auto"/>
        </w:rPr>
      </w:pPr>
      <w:r>
        <w:rPr>
          <w:rFonts w:ascii="Arial" w:cs="Arial" w:eastAsia="Arial" w:hAnsi="Arial"/>
          <w:sz w:val="17"/>
          <w:szCs w:val="17"/>
          <w:color w:val="auto"/>
        </w:rPr>
        <w:t>be awarded to management and other employees during 2020.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consolidated statement of financial condition as a result of changes in the mix of earnings, tax legislation and tax rates in various jurisdictions, or other factors that may impact our tax savings, may not directly correlate to the underlying performance of our business and will vary across periods. With respect to Adjusted EBIT and Adjusted EBIT margin,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w:t>
      </w:r>
    </w:p>
    <w:p>
      <w:pPr>
        <w:spacing w:after="0" w:line="185" w:lineRule="exact"/>
        <w:rPr>
          <w:sz w:val="20"/>
          <w:szCs w:val="20"/>
          <w:color w:val="auto"/>
        </w:rPr>
      </w:pPr>
    </w:p>
    <w:p>
      <w:pPr>
        <w:ind w:left="40" w:right="159" w:firstLine="324"/>
        <w:spacing w:after="0" w:line="275" w:lineRule="auto"/>
        <w:rPr>
          <w:sz w:val="20"/>
          <w:szCs w:val="20"/>
          <w:color w:val="auto"/>
        </w:rPr>
      </w:pPr>
      <w:r>
        <w:rPr>
          <w:rFonts w:ascii="Arial" w:cs="Arial" w:eastAsia="Arial" w:hAnsi="Arial"/>
          <w:sz w:val="17"/>
          <w:szCs w:val="17"/>
          <w:color w:val="auto"/>
        </w:rPr>
        <w:t>Management and our board of directors use Adjusted EBITDA, Adjusted EBITDA margin, Adjusted EBIT and Adjusted EBIT margin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Adjusted Net Income and Adjusted Diluted EPS</w:t>
      </w:r>
    </w:p>
    <w:p>
      <w:pPr>
        <w:spacing w:after="0" w:line="225"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We present Adjusted Net Income and Adjusted Diluted EPS for Tradeweb Markets Inc. for post-IPO periods and Tradeweb Markets LLC for pre-IPO periods. As discussed below, because Adjusted Net Income and Adjusted Diluted EPS give effect to certain tax related adjustments to reflect an assumed effective tax rate for all periods presented and, for post-IPO periods, assumes all LLC Interests held by non-controlling interests are exchanged for shares of Class A or Class B common stock, we believe that Adjusted Net Income and Adjusted Diluted EPS for Tradeweb Markets Inc. and Tradeweb Markets LLC are comparable.</w:t>
      </w:r>
    </w:p>
    <w:p>
      <w:pPr>
        <w:spacing w:after="0" w:line="192" w:lineRule="exact"/>
        <w:rPr>
          <w:sz w:val="20"/>
          <w:szCs w:val="20"/>
          <w:color w:val="auto"/>
        </w:rPr>
      </w:pPr>
    </w:p>
    <w:p>
      <w:pPr>
        <w:ind w:left="40" w:right="79" w:firstLine="324"/>
        <w:spacing w:after="0" w:line="268" w:lineRule="auto"/>
        <w:rPr>
          <w:sz w:val="20"/>
          <w:szCs w:val="20"/>
          <w:color w:val="auto"/>
        </w:rPr>
      </w:pPr>
      <w:r>
        <w:rPr>
          <w:rFonts w:ascii="Arial" w:cs="Arial" w:eastAsia="Arial" w:hAnsi="Arial"/>
          <w:sz w:val="17"/>
          <w:szCs w:val="17"/>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(for post-IPO periods) and net income (for pre-IPO periods), each adjusted for certain stock-based compensation expense and payroll taxes associated with certain option exercises, tax receivable liability adjustments, acquisition and Refinitiv Transaction related depreciation and amortization and gains and losses from outstanding foreign exchange forward contracts and the revaluation of foreign denominated cash. Adjusted Net Income also gives effect to certain tax related adjustments to reflect an assumed effective tax rate and, for pre-IPO periods, assumes TWM LLC was subject to a corporate tax rate for the periods presented. Adjusted Diluted EPS is defined as Adjusted Net Income divided by the diluted weighted average number of shares of Class A common stock and Class B common stock outstanding for the applicable period, assuming the full exchange of all outstanding LLC Interests held by non-controlling interests for shares of Class A common stock or Class B common stock, for post-IPO periods, and the diluted weighted average number of shares of TWM LLC outstanding for the applicable period, for pre-IPO periods. The diluted weighted average number of shares outstanding for the pre-IPO periods and post-IPO periods give effect to potentially dilutive securities using the treasury stock method.</w:t>
      </w:r>
    </w:p>
    <w:p>
      <w:pPr>
        <w:spacing w:after="0" w:line="184" w:lineRule="exact"/>
        <w:rPr>
          <w:sz w:val="20"/>
          <w:szCs w:val="20"/>
          <w:color w:val="auto"/>
        </w:rPr>
      </w:pPr>
    </w:p>
    <w:p>
      <w:pPr>
        <w:ind w:left="40" w:right="99" w:firstLine="324"/>
        <w:spacing w:after="0" w:line="286"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We exclude stock-based compensation expense associated with the Special Option Award and the post-IPO option awards in 2019 and payroll taxes associated with exercises of such options, tax receivable liability adjustments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9" w:name="page60"/>
    <w:bookmarkEnd w:id="5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table set forth below presents a reconciliation of net income to Adjusted EBITDA, Adjusted EBITDA margin,</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Adjusted EBIT and Adjusted EBIT margin for the three months ended March 31, 2020 and 2019:</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right"/>
              <w:ind w:right="346"/>
              <w:spacing w:after="0"/>
              <w:rPr>
                <w:sz w:val="20"/>
                <w:szCs w:val="20"/>
                <w:color w:val="auto"/>
              </w:rPr>
            </w:pPr>
            <w:r>
              <w:rPr>
                <w:rFonts w:ascii="Arial" w:cs="Arial" w:eastAsia="Arial" w:hAnsi="Arial"/>
                <w:sz w:val="14"/>
                <w:szCs w:val="14"/>
                <w:b w:val="1"/>
                <w:bCs w:val="1"/>
                <w:color w:val="auto"/>
                <w:w w:val="98"/>
              </w:rPr>
              <w:t>Three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right"/>
              <w:ind w:right="386"/>
              <w:spacing w:after="0"/>
              <w:rPr>
                <w:sz w:val="20"/>
                <w:szCs w:val="20"/>
                <w:color w:val="auto"/>
              </w:rPr>
            </w:pPr>
            <w:r>
              <w:rPr>
                <w:rFonts w:ascii="Arial" w:cs="Arial" w:eastAsia="Arial" w:hAnsi="Arial"/>
                <w:sz w:val="14"/>
                <w:szCs w:val="14"/>
                <w:b w:val="1"/>
                <w:bCs w:val="1"/>
                <w:color w:val="auto"/>
                <w:w w:val="98"/>
              </w:rPr>
              <w:t>Three Months Ended</w:t>
            </w:r>
          </w:p>
        </w:tc>
      </w:tr>
      <w:tr>
        <w:trPr>
          <w:trHeight w:val="171"/>
        </w:trPr>
        <w:tc>
          <w:tcPr>
            <w:tcW w:w="4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526"/>
              <w:spacing w:after="0"/>
              <w:rPr>
                <w:sz w:val="20"/>
                <w:szCs w:val="20"/>
                <w:color w:val="auto"/>
              </w:rPr>
            </w:pPr>
            <w:r>
              <w:rPr>
                <w:rFonts w:ascii="Arial" w:cs="Arial" w:eastAsia="Arial" w:hAnsi="Arial"/>
                <w:sz w:val="14"/>
                <w:szCs w:val="14"/>
                <w:b w:val="1"/>
                <w:bCs w:val="1"/>
                <w:color w:val="auto"/>
              </w:rPr>
              <w:t>March 31, 2020</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ind w:right="566"/>
              <w:spacing w:after="0"/>
              <w:rPr>
                <w:sz w:val="20"/>
                <w:szCs w:val="20"/>
                <w:color w:val="auto"/>
              </w:rPr>
            </w:pPr>
            <w:r>
              <w:rPr>
                <w:rFonts w:ascii="Arial" w:cs="Arial" w:eastAsia="Arial" w:hAnsi="Arial"/>
                <w:sz w:val="14"/>
                <w:szCs w:val="14"/>
                <w:b w:val="1"/>
                <w:bCs w:val="1"/>
                <w:color w:val="auto"/>
              </w:rPr>
              <w:t>March 31, 2019</w:t>
            </w:r>
          </w:p>
        </w:tc>
      </w:tr>
      <w:tr>
        <w:trPr>
          <w:trHeight w:val="142"/>
        </w:trPr>
        <w:tc>
          <w:tcPr>
            <w:tcW w:w="4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80" w:type="dxa"/>
            <w:vAlign w:val="bottom"/>
            <w:gridSpan w:val="6"/>
          </w:tcPr>
          <w:p>
            <w:pPr>
              <w:jc w:val="right"/>
              <w:ind w:right="1486"/>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64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Net income</w:t>
            </w:r>
          </w:p>
        </w:tc>
        <w:tc>
          <w:tcPr>
            <w:tcW w:w="40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9"/>
                <w:szCs w:val="19"/>
                <w:color w:val="auto"/>
              </w:rPr>
              <w:t>$</w:t>
            </w:r>
          </w:p>
        </w:tc>
        <w:tc>
          <w:tcPr>
            <w:tcW w:w="162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62,485</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9"/>
                <w:szCs w:val="19"/>
                <w:color w:val="auto"/>
              </w:rPr>
              <w:t>$</w:t>
            </w:r>
          </w:p>
        </w:tc>
        <w:tc>
          <w:tcPr>
            <w:tcW w:w="160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42,352</w:t>
            </w:r>
          </w:p>
        </w:tc>
        <w:tc>
          <w:tcPr>
            <w:tcW w:w="26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line="216" w:lineRule="exact"/>
              <w:rPr>
                <w:sz w:val="20"/>
                <w:szCs w:val="20"/>
                <w:color w:val="auto"/>
              </w:rPr>
            </w:pPr>
            <w:r>
              <w:rPr>
                <w:rFonts w:ascii="Arial" w:cs="Arial" w:eastAsia="Arial" w:hAnsi="Arial"/>
                <w:sz w:val="19"/>
                <w:szCs w:val="19"/>
                <w:color w:val="auto"/>
              </w:rPr>
              <w:t>Net interest income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line="216" w:lineRule="exact"/>
              <w:rPr>
                <w:sz w:val="20"/>
                <w:szCs w:val="20"/>
                <w:color w:val="auto"/>
              </w:rPr>
            </w:pPr>
            <w:r>
              <w:rPr>
                <w:rFonts w:ascii="Arial" w:cs="Arial" w:eastAsia="Arial" w:hAnsi="Arial"/>
                <w:sz w:val="19"/>
                <w:szCs w:val="19"/>
                <w:color w:val="auto"/>
              </w:rPr>
              <w:t>(699)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line="216" w:lineRule="exact"/>
              <w:rPr>
                <w:sz w:val="20"/>
                <w:szCs w:val="20"/>
                <w:color w:val="auto"/>
              </w:rPr>
            </w:pPr>
            <w:r>
              <w:rPr>
                <w:rFonts w:ascii="Arial" w:cs="Arial" w:eastAsia="Arial" w:hAnsi="Arial"/>
                <w:sz w:val="19"/>
                <w:szCs w:val="19"/>
                <w:color w:val="auto"/>
              </w:rPr>
              <w:t>(858)</w:t>
            </w:r>
          </w:p>
        </w:tc>
        <w:tc>
          <w:tcPr>
            <w:tcW w:w="2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Depreciation and amortization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37,176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33,503</w:t>
            </w:r>
          </w:p>
        </w:tc>
        <w:tc>
          <w:tcPr>
            <w:tcW w:w="26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line="216" w:lineRule="exact"/>
              <w:rPr>
                <w:sz w:val="20"/>
                <w:szCs w:val="20"/>
                <w:color w:val="auto"/>
              </w:rPr>
            </w:pPr>
            <w:r>
              <w:rPr>
                <w:rFonts w:ascii="Arial" w:cs="Arial" w:eastAsia="Arial" w:hAnsi="Arial"/>
                <w:sz w:val="19"/>
                <w:szCs w:val="19"/>
                <w:color w:val="auto"/>
              </w:rPr>
              <w:t>Stock-based compensation expense</w:t>
            </w:r>
            <w:r>
              <w:rPr>
                <w:rFonts w:ascii="Arial" w:cs="Arial" w:eastAsia="Arial" w:hAnsi="Arial"/>
                <w:sz w:val="8"/>
                <w:szCs w:val="8"/>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line="216" w:lineRule="exact"/>
              <w:rPr>
                <w:sz w:val="20"/>
                <w:szCs w:val="20"/>
                <w:color w:val="auto"/>
              </w:rPr>
            </w:pPr>
            <w:r>
              <w:rPr>
                <w:rFonts w:ascii="Arial" w:cs="Arial" w:eastAsia="Arial" w:hAnsi="Arial"/>
                <w:sz w:val="19"/>
                <w:szCs w:val="19"/>
                <w:color w:val="auto"/>
              </w:rPr>
              <w:t>3,497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26"/>
              <w:spacing w:after="0" w:line="216" w:lineRule="exact"/>
              <w:rPr>
                <w:sz w:val="20"/>
                <w:szCs w:val="20"/>
                <w:color w:val="auto"/>
              </w:rPr>
            </w:pPr>
            <w:r>
              <w:rPr>
                <w:rFonts w:ascii="Arial" w:cs="Arial" w:eastAsia="Arial" w:hAnsi="Arial"/>
                <w:sz w:val="19"/>
                <w:szCs w:val="19"/>
                <w:color w:val="auto"/>
              </w:rPr>
              <w:t>—</w:t>
            </w:r>
          </w:p>
        </w:tc>
      </w:tr>
      <w:tr>
        <w:trPr>
          <w:trHeight w:val="216"/>
        </w:trPr>
        <w:tc>
          <w:tcPr>
            <w:tcW w:w="464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Provision for income taxes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15,829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4,783</w:t>
            </w:r>
          </w:p>
        </w:tc>
        <w:tc>
          <w:tcPr>
            <w:tcW w:w="26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line="216" w:lineRule="exact"/>
              <w:rPr>
                <w:sz w:val="20"/>
                <w:szCs w:val="20"/>
                <w:color w:val="auto"/>
              </w:rPr>
            </w:pPr>
            <w:r>
              <w:rPr>
                <w:rFonts w:ascii="Arial" w:cs="Arial" w:eastAsia="Arial" w:hAnsi="Arial"/>
                <w:sz w:val="19"/>
                <w:szCs w:val="19"/>
                <w:color w:val="auto"/>
              </w:rPr>
              <w:t>Unrealized foreign exchange (gains) / losses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line="216" w:lineRule="exact"/>
              <w:rPr>
                <w:sz w:val="20"/>
                <w:szCs w:val="20"/>
                <w:color w:val="auto"/>
              </w:rPr>
            </w:pPr>
            <w:r>
              <w:rPr>
                <w:rFonts w:ascii="Arial" w:cs="Arial" w:eastAsia="Arial" w:hAnsi="Arial"/>
                <w:sz w:val="19"/>
                <w:szCs w:val="19"/>
                <w:color w:val="auto"/>
              </w:rPr>
              <w:t>1,164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line="216" w:lineRule="exact"/>
              <w:rPr>
                <w:sz w:val="20"/>
                <w:szCs w:val="20"/>
                <w:color w:val="auto"/>
              </w:rPr>
            </w:pPr>
            <w:r>
              <w:rPr>
                <w:rFonts w:ascii="Arial" w:cs="Arial" w:eastAsia="Arial" w:hAnsi="Arial"/>
                <w:sz w:val="19"/>
                <w:szCs w:val="19"/>
                <w:color w:val="auto"/>
              </w:rPr>
              <w:t>(293)</w:t>
            </w:r>
          </w:p>
        </w:tc>
        <w:tc>
          <w:tcPr>
            <w:tcW w:w="2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Loss from revaluation of foreign denominated cash</w:t>
            </w:r>
            <w:r>
              <w:rPr>
                <w:rFonts w:ascii="Arial" w:cs="Arial" w:eastAsia="Arial" w:hAnsi="Arial"/>
                <w:sz w:val="8"/>
                <w:szCs w:val="8"/>
                <w:color w:val="auto"/>
              </w:rPr>
              <w:t>(2)</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9"/>
                <w:szCs w:val="19"/>
                <w:color w:val="auto"/>
              </w:rPr>
              <w:t>198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9"/>
                <w:szCs w:val="19"/>
                <w:color w:val="auto"/>
              </w:rPr>
              <w:t>860</w:t>
            </w:r>
          </w:p>
        </w:tc>
        <w:tc>
          <w:tcPr>
            <w:tcW w:w="260" w:type="dxa"/>
            <w:vAlign w:val="bottom"/>
            <w:shd w:val="clear" w:color="auto" w:fill="CCEEFF"/>
          </w:tcPr>
          <w:p>
            <w:pPr>
              <w:spacing w:after="0"/>
              <w:rPr>
                <w:sz w:val="18"/>
                <w:szCs w:val="18"/>
                <w:color w:val="auto"/>
              </w:rPr>
            </w:pPr>
          </w:p>
        </w:tc>
      </w:tr>
      <w:tr>
        <w:trPr>
          <w:trHeight w:val="217"/>
        </w:trPr>
        <w:tc>
          <w:tcPr>
            <w:tcW w:w="4640" w:type="dxa"/>
            <w:vAlign w:val="bottom"/>
            <w:tcBorders>
              <w:bottom w:val="single" w:sz="8" w:color="CCEEFF"/>
            </w:tcBorders>
          </w:tcPr>
          <w:p>
            <w:pPr>
              <w:spacing w:after="0" w:line="210" w:lineRule="exact"/>
              <w:rPr>
                <w:sz w:val="20"/>
                <w:szCs w:val="20"/>
                <w:color w:val="auto"/>
              </w:rPr>
            </w:pPr>
            <w:r>
              <w:rPr>
                <w:rFonts w:ascii="Arial" w:cs="Arial" w:eastAsia="Arial" w:hAnsi="Arial"/>
                <w:sz w:val="19"/>
                <w:szCs w:val="19"/>
                <w:color w:val="auto"/>
              </w:rPr>
              <w:t>Adjusted EBITDA</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w w:val="75"/>
              </w:rPr>
              <w:t>$</w:t>
            </w:r>
          </w:p>
        </w:tc>
        <w:tc>
          <w:tcPr>
            <w:tcW w:w="16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119,650</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w w:val="75"/>
              </w:rPr>
              <w:t>$</w:t>
            </w:r>
          </w:p>
        </w:tc>
        <w:tc>
          <w:tcPr>
            <w:tcW w:w="16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80,347</w:t>
            </w:r>
          </w:p>
        </w:tc>
        <w:tc>
          <w:tcPr>
            <w:tcW w:w="260" w:type="dxa"/>
            <w:vAlign w:val="bottom"/>
            <w:tcBorders>
              <w:bottom w:val="single" w:sz="8" w:color="CCEEFF"/>
            </w:tcBorders>
          </w:tcPr>
          <w:p>
            <w:pPr>
              <w:spacing w:after="0"/>
              <w:rPr>
                <w:sz w:val="18"/>
                <w:szCs w:val="18"/>
                <w:color w:val="auto"/>
              </w:rPr>
            </w:pPr>
          </w:p>
        </w:tc>
      </w:tr>
      <w:tr>
        <w:trPr>
          <w:trHeight w:val="216"/>
        </w:trPr>
        <w:tc>
          <w:tcPr>
            <w:tcW w:w="464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Less: Depreciation and amortization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(37,176)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(33,503)</w:t>
            </w:r>
          </w:p>
        </w:tc>
        <w:tc>
          <w:tcPr>
            <w:tcW w:w="260" w:type="dxa"/>
            <w:vAlign w:val="bottom"/>
            <w:shd w:val="clear" w:color="auto" w:fill="CCEEFF"/>
          </w:tcPr>
          <w:p>
            <w:pPr>
              <w:spacing w:after="0"/>
              <w:rPr>
                <w:sz w:val="18"/>
                <w:szCs w:val="18"/>
                <w:color w:val="auto"/>
              </w:rPr>
            </w:pPr>
          </w:p>
        </w:tc>
      </w:tr>
      <w:tr>
        <w:trPr>
          <w:trHeight w:val="216"/>
        </w:trPr>
        <w:tc>
          <w:tcPr>
            <w:tcW w:w="4640" w:type="dxa"/>
            <w:vAlign w:val="bottom"/>
            <w:tcBorders>
              <w:bottom w:val="single" w:sz="8" w:color="CCEEFF"/>
            </w:tcBorders>
          </w:tcPr>
          <w:p>
            <w:pPr>
              <w:spacing w:after="0" w:line="216" w:lineRule="exact"/>
              <w:rPr>
                <w:sz w:val="20"/>
                <w:szCs w:val="20"/>
                <w:color w:val="auto"/>
              </w:rPr>
            </w:pPr>
            <w:r>
              <w:rPr>
                <w:rFonts w:ascii="Arial" w:cs="Arial" w:eastAsia="Arial" w:hAnsi="Arial"/>
                <w:sz w:val="19"/>
                <w:szCs w:val="19"/>
                <w:color w:val="auto"/>
                <w:w w:val="98"/>
              </w:rPr>
              <w:t>Add: Acquisition and Refinitiv Transaction related D&amp;A</w:t>
            </w:r>
            <w:r>
              <w:rPr>
                <w:rFonts w:ascii="Arial" w:cs="Arial" w:eastAsia="Arial" w:hAnsi="Arial"/>
                <w:sz w:val="8"/>
                <w:szCs w:val="8"/>
                <w:color w:val="auto"/>
                <w:w w:val="98"/>
              </w:rPr>
              <w:t>(3)</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26,273</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23,209</w:t>
            </w:r>
          </w:p>
        </w:tc>
        <w:tc>
          <w:tcPr>
            <w:tcW w:w="260" w:type="dxa"/>
            <w:vAlign w:val="bottom"/>
            <w:tcBorders>
              <w:bottom w:val="single" w:sz="8" w:color="CCEEFF"/>
            </w:tcBorders>
          </w:tcPr>
          <w:p>
            <w:pPr>
              <w:spacing w:after="0"/>
              <w:rPr>
                <w:sz w:val="18"/>
                <w:szCs w:val="18"/>
                <w:color w:val="auto"/>
              </w:rPr>
            </w:pPr>
          </w:p>
        </w:tc>
      </w:tr>
      <w:tr>
        <w:trPr>
          <w:trHeight w:val="230"/>
        </w:trPr>
        <w:tc>
          <w:tcPr>
            <w:tcW w:w="4640" w:type="dxa"/>
            <w:vAlign w:val="bottom"/>
            <w:tcBorders>
              <w:bottom w:val="single" w:sz="8" w:color="CCEEFF"/>
            </w:tcBorders>
            <w:shd w:val="clear" w:color="auto" w:fill="CCEEFF"/>
          </w:tcPr>
          <w:p>
            <w:pPr>
              <w:spacing w:after="0" w:line="210" w:lineRule="exact"/>
              <w:rPr>
                <w:sz w:val="20"/>
                <w:szCs w:val="20"/>
                <w:color w:val="auto"/>
              </w:rPr>
            </w:pPr>
            <w:r>
              <w:rPr>
                <w:rFonts w:ascii="Arial" w:cs="Arial" w:eastAsia="Arial" w:hAnsi="Arial"/>
                <w:sz w:val="19"/>
                <w:szCs w:val="19"/>
                <w:color w:val="auto"/>
              </w:rPr>
              <w:t>Adjusted EBIT</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auto"/>
                <w:w w:val="75"/>
              </w:rPr>
              <w:t>$</w:t>
            </w:r>
          </w:p>
        </w:tc>
        <w:tc>
          <w:tcPr>
            <w:tcW w:w="162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auto"/>
              </w:rPr>
              <w:t>108,747</w:t>
            </w: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auto"/>
                <w:w w:val="75"/>
              </w:rPr>
              <w:t>$</w:t>
            </w:r>
          </w:p>
        </w:tc>
        <w:tc>
          <w:tcPr>
            <w:tcW w:w="160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auto"/>
              </w:rPr>
              <w:t>70,053</w:t>
            </w:r>
          </w:p>
        </w:tc>
        <w:tc>
          <w:tcPr>
            <w:tcW w:w="260" w:type="dxa"/>
            <w:vAlign w:val="bottom"/>
            <w:tcBorders>
              <w:bottom w:val="single" w:sz="8" w:color="CCEEFF"/>
            </w:tcBorders>
            <w:shd w:val="clear" w:color="auto" w:fill="CCEEFF"/>
          </w:tcPr>
          <w:p>
            <w:pPr>
              <w:spacing w:after="0"/>
              <w:rPr>
                <w:sz w:val="19"/>
                <w:szCs w:val="19"/>
                <w:color w:val="auto"/>
              </w:rPr>
            </w:pPr>
          </w:p>
        </w:tc>
      </w:tr>
      <w:tr>
        <w:trPr>
          <w:trHeight w:val="203"/>
        </w:trPr>
        <w:tc>
          <w:tcPr>
            <w:tcW w:w="4640" w:type="dxa"/>
            <w:vAlign w:val="bottom"/>
          </w:tcPr>
          <w:p>
            <w:pPr>
              <w:spacing w:after="0" w:line="203" w:lineRule="exact"/>
              <w:rPr>
                <w:sz w:val="20"/>
                <w:szCs w:val="20"/>
                <w:color w:val="auto"/>
              </w:rPr>
            </w:pPr>
            <w:r>
              <w:rPr>
                <w:rFonts w:ascii="Arial" w:cs="Arial" w:eastAsia="Arial" w:hAnsi="Arial"/>
                <w:sz w:val="19"/>
                <w:szCs w:val="19"/>
                <w:color w:val="auto"/>
              </w:rPr>
              <w:t>Adjusted EBITDA margin</w:t>
            </w:r>
            <w:r>
              <w:rPr>
                <w:rFonts w:ascii="Arial" w:cs="Arial" w:eastAsia="Arial" w:hAnsi="Arial"/>
                <w:sz w:val="8"/>
                <w:szCs w:val="8"/>
                <w:color w:val="auto"/>
              </w:rPr>
              <w:t>(4)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line="203" w:lineRule="exact"/>
              <w:rPr>
                <w:sz w:val="20"/>
                <w:szCs w:val="20"/>
                <w:color w:val="auto"/>
              </w:rPr>
            </w:pPr>
            <w:r>
              <w:rPr>
                <w:rFonts w:ascii="Arial" w:cs="Arial" w:eastAsia="Arial" w:hAnsi="Arial"/>
                <w:sz w:val="19"/>
                <w:szCs w:val="19"/>
                <w:color w:val="auto"/>
              </w:rPr>
              <w:t>51.0</w:t>
            </w:r>
          </w:p>
        </w:tc>
        <w:tc>
          <w:tcPr>
            <w:tcW w:w="200" w:type="dxa"/>
            <w:vAlign w:val="bottom"/>
          </w:tcPr>
          <w:p>
            <w:pPr>
              <w:jc w:val="right"/>
              <w:spacing w:after="0" w:line="203" w:lineRule="exact"/>
              <w:rPr>
                <w:sz w:val="20"/>
                <w:szCs w:val="20"/>
                <w:color w:val="auto"/>
              </w:rPr>
            </w:pPr>
            <w:r>
              <w:rPr>
                <w:rFonts w:ascii="Arial" w:cs="Arial" w:eastAsia="Arial" w:hAnsi="Arial"/>
                <w:sz w:val="19"/>
                <w:szCs w:val="19"/>
                <w:color w:val="auto"/>
                <w:w w:val="70"/>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line="203" w:lineRule="exact"/>
              <w:rPr>
                <w:sz w:val="20"/>
                <w:szCs w:val="20"/>
                <w:color w:val="auto"/>
              </w:rPr>
            </w:pPr>
            <w:r>
              <w:rPr>
                <w:rFonts w:ascii="Arial" w:cs="Arial" w:eastAsia="Arial" w:hAnsi="Arial"/>
                <w:sz w:val="19"/>
                <w:szCs w:val="19"/>
                <w:color w:val="auto"/>
              </w:rPr>
              <w:t>43.0</w:t>
            </w:r>
          </w:p>
        </w:tc>
        <w:tc>
          <w:tcPr>
            <w:tcW w:w="260" w:type="dxa"/>
            <w:vAlign w:val="bottom"/>
          </w:tcPr>
          <w:p>
            <w:pPr>
              <w:jc w:val="right"/>
              <w:ind w:right="6"/>
              <w:spacing w:after="0" w:line="203" w:lineRule="exact"/>
              <w:rPr>
                <w:sz w:val="20"/>
                <w:szCs w:val="20"/>
                <w:color w:val="auto"/>
              </w:rPr>
            </w:pPr>
            <w:r>
              <w:rPr>
                <w:rFonts w:ascii="Arial" w:cs="Arial" w:eastAsia="Arial" w:hAnsi="Arial"/>
                <w:sz w:val="19"/>
                <w:szCs w:val="19"/>
                <w:color w:val="auto"/>
                <w:w w:val="82"/>
              </w:rPr>
              <w:t>%</w:t>
            </w:r>
          </w:p>
        </w:tc>
      </w:tr>
      <w:tr>
        <w:trPr>
          <w:trHeight w:val="216"/>
        </w:trPr>
        <w:tc>
          <w:tcPr>
            <w:tcW w:w="464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Adjusted EBIT margin</w:t>
            </w:r>
            <w:r>
              <w:rPr>
                <w:rFonts w:ascii="Arial" w:cs="Arial" w:eastAsia="Arial" w:hAnsi="Arial"/>
                <w:sz w:val="8"/>
                <w:szCs w:val="8"/>
                <w:color w:val="auto"/>
              </w:rPr>
              <w:t>(4)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9"/>
                <w:szCs w:val="19"/>
                <w:color w:val="auto"/>
              </w:rPr>
              <w:t>46.4 %</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
              <w:spacing w:after="0" w:line="216" w:lineRule="exact"/>
              <w:rPr>
                <w:sz w:val="20"/>
                <w:szCs w:val="20"/>
                <w:color w:val="auto"/>
              </w:rPr>
            </w:pPr>
            <w:r>
              <w:rPr>
                <w:rFonts w:ascii="Arial" w:cs="Arial" w:eastAsia="Arial" w:hAnsi="Arial"/>
                <w:sz w:val="19"/>
                <w:szCs w:val="19"/>
                <w:color w:val="auto"/>
              </w:rPr>
              <w:t>37.5 %</w:t>
            </w:r>
          </w:p>
        </w:tc>
      </w:tr>
    </w:tbl>
    <w:p>
      <w:pPr>
        <w:spacing w:after="0" w:line="193" w:lineRule="exact"/>
        <w:rPr>
          <w:sz w:val="20"/>
          <w:szCs w:val="20"/>
          <w:color w:val="auto"/>
        </w:rPr>
      </w:pPr>
    </w:p>
    <w:p>
      <w:pPr>
        <w:ind w:left="700" w:right="519" w:hanging="332"/>
        <w:spacing w:after="0" w:line="224" w:lineRule="auto"/>
        <w:tabs>
          <w:tab w:leader="none" w:pos="700" w:val="left"/>
        </w:tabs>
        <w:numPr>
          <w:ilvl w:val="0"/>
          <w:numId w:val="45"/>
        </w:numPr>
        <w:rPr>
          <w:rFonts w:ascii="Arial" w:cs="Arial" w:eastAsia="Arial" w:hAnsi="Arial"/>
          <w:sz w:val="23"/>
          <w:szCs w:val="23"/>
          <w:color w:val="auto"/>
          <w:vertAlign w:val="superscript"/>
        </w:rPr>
      </w:pPr>
      <w:r>
        <w:rPr>
          <w:rFonts w:ascii="Arial" w:cs="Arial" w:eastAsia="Arial" w:hAnsi="Arial"/>
          <w:sz w:val="15"/>
          <w:szCs w:val="15"/>
          <w:color w:val="auto"/>
        </w:rPr>
        <w:t>Represents non-cash stock-based compensation expense associated with the Special Option Award and post-IPO options awarded in 2019 and payroll taxes associated with exercises of such options during the applicable period.</w:t>
      </w:r>
    </w:p>
    <w:p>
      <w:pPr>
        <w:spacing w:after="0" w:line="199" w:lineRule="exact"/>
        <w:rPr>
          <w:rFonts w:ascii="Arial" w:cs="Arial" w:eastAsia="Arial" w:hAnsi="Arial"/>
          <w:sz w:val="23"/>
          <w:szCs w:val="23"/>
          <w:color w:val="auto"/>
          <w:vertAlign w:val="superscript"/>
        </w:rPr>
      </w:pPr>
    </w:p>
    <w:p>
      <w:pPr>
        <w:ind w:left="700" w:right="359" w:hanging="332"/>
        <w:spacing w:after="0" w:line="208" w:lineRule="auto"/>
        <w:tabs>
          <w:tab w:leader="none" w:pos="700" w:val="left"/>
        </w:tabs>
        <w:numPr>
          <w:ilvl w:val="0"/>
          <w:numId w:val="45"/>
        </w:numPr>
        <w:rPr>
          <w:rFonts w:ascii="Arial" w:cs="Arial" w:eastAsia="Arial" w:hAnsi="Arial"/>
          <w:sz w:val="25"/>
          <w:szCs w:val="25"/>
          <w:color w:val="auto"/>
          <w:vertAlign w:val="superscript"/>
        </w:rPr>
      </w:pPr>
      <w:r>
        <w:rPr>
          <w:rFonts w:ascii="Arial" w:cs="Arial" w:eastAsia="Arial" w:hAnsi="Arial"/>
          <w:sz w:val="16"/>
          <w:szCs w:val="16"/>
          <w:color w:val="auto"/>
        </w:rPr>
        <w:t>Represents foreign exchange gain or loss from the revaluation of cash denominated in a different currency than the entity’s functional currency.</w:t>
      </w:r>
    </w:p>
    <w:p>
      <w:pPr>
        <w:spacing w:after="0" w:line="198" w:lineRule="exact"/>
        <w:rPr>
          <w:rFonts w:ascii="Arial" w:cs="Arial" w:eastAsia="Arial" w:hAnsi="Arial"/>
          <w:sz w:val="25"/>
          <w:szCs w:val="25"/>
          <w:color w:val="auto"/>
          <w:vertAlign w:val="superscript"/>
        </w:rPr>
      </w:pPr>
    </w:p>
    <w:p>
      <w:pPr>
        <w:ind w:left="700" w:right="179" w:hanging="332"/>
        <w:spacing w:after="0" w:line="223" w:lineRule="auto"/>
        <w:tabs>
          <w:tab w:leader="none" w:pos="700" w:val="left"/>
        </w:tabs>
        <w:numPr>
          <w:ilvl w:val="0"/>
          <w:numId w:val="45"/>
        </w:numPr>
        <w:rPr>
          <w:rFonts w:ascii="Arial" w:cs="Arial" w:eastAsia="Arial" w:hAnsi="Arial"/>
          <w:sz w:val="25"/>
          <w:szCs w:val="25"/>
          <w:color w:val="auto"/>
          <w:vertAlign w:val="superscript"/>
        </w:rPr>
      </w:pPr>
      <w:r>
        <w:rPr>
          <w:rFonts w:ascii="Arial" w:cs="Arial" w:eastAsia="Arial" w:hAnsi="Arial"/>
          <w:sz w:val="16"/>
          <w:szCs w:val="16"/>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200" w:lineRule="exact"/>
        <w:rPr>
          <w:rFonts w:ascii="Arial" w:cs="Arial" w:eastAsia="Arial" w:hAnsi="Arial"/>
          <w:sz w:val="25"/>
          <w:szCs w:val="25"/>
          <w:color w:val="auto"/>
          <w:vertAlign w:val="superscript"/>
        </w:rPr>
      </w:pPr>
    </w:p>
    <w:p>
      <w:pPr>
        <w:ind w:left="700" w:right="119" w:hanging="332"/>
        <w:spacing w:after="0" w:line="272" w:lineRule="auto"/>
        <w:tabs>
          <w:tab w:leader="none" w:pos="700" w:val="left"/>
        </w:tabs>
        <w:numPr>
          <w:ilvl w:val="0"/>
          <w:numId w:val="45"/>
        </w:numPr>
        <w:rPr>
          <w:rFonts w:ascii="Arial" w:cs="Arial" w:eastAsia="Arial" w:hAnsi="Arial"/>
          <w:sz w:val="23"/>
          <w:szCs w:val="23"/>
          <w:color w:val="auto"/>
          <w:vertAlign w:val="superscript"/>
        </w:rPr>
      </w:pPr>
      <w:r>
        <w:rPr>
          <w:rFonts w:ascii="Arial" w:cs="Arial" w:eastAsia="Arial" w:hAnsi="Arial"/>
          <w:sz w:val="15"/>
          <w:szCs w:val="15"/>
          <w:color w:val="auto"/>
        </w:rPr>
        <w:t>For the three months ended March 31, 2020 and 2019, Adjusted EBITDA margin increased compared to the prior year period by 799 basis points, or 678 basis points on a constant currency basis. For the three months ended March 31, 2020 and 2019, Adjusted EBIT margin increased compared to the prior year period by 885 basis points, or 767 basis points on a constant currency basis. The changes in Adjusted EBITDA margin and Adjusted EBIT margin on a constant currency basis, which are non-GAAP financial measures,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0" w:name="page61"/>
    <w:bookmarkEnd w:id="6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559"/>
        <w:spacing w:after="0" w:line="342" w:lineRule="auto"/>
        <w:rPr>
          <w:sz w:val="20"/>
          <w:szCs w:val="20"/>
          <w:color w:val="auto"/>
        </w:rPr>
      </w:pPr>
      <w:r>
        <w:rPr>
          <w:rFonts w:ascii="Arial" w:cs="Arial" w:eastAsia="Arial" w:hAnsi="Arial"/>
          <w:sz w:val="16"/>
          <w:szCs w:val="16"/>
          <w:color w:val="auto"/>
        </w:rPr>
        <w:t>The table below provides a reconciliation of net income attributable to Tradeweb Markets Inc. and net income, as applicable, to Adjusted Net Income and Adjusted Diluted EPS for the three months ended March 31, 2020 and 2019:</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ind w:right="129"/>
              <w:spacing w:after="0"/>
              <w:rPr>
                <w:sz w:val="20"/>
                <w:szCs w:val="20"/>
                <w:color w:val="auto"/>
              </w:rPr>
            </w:pPr>
            <w:r>
              <w:rPr>
                <w:rFonts w:ascii="Arial" w:cs="Arial" w:eastAsia="Arial" w:hAnsi="Arial"/>
                <w:sz w:val="14"/>
                <w:szCs w:val="14"/>
                <w:b w:val="1"/>
                <w:bCs w:val="1"/>
                <w:color w:val="auto"/>
                <w:w w:val="98"/>
              </w:rPr>
              <w:t>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ind w:right="128"/>
              <w:spacing w:after="0"/>
              <w:rPr>
                <w:sz w:val="20"/>
                <w:szCs w:val="20"/>
                <w:color w:val="auto"/>
              </w:rPr>
            </w:pPr>
            <w:r>
              <w:rPr>
                <w:rFonts w:ascii="Arial" w:cs="Arial" w:eastAsia="Arial" w:hAnsi="Arial"/>
                <w:sz w:val="14"/>
                <w:szCs w:val="14"/>
                <w:b w:val="1"/>
                <w:bCs w:val="1"/>
                <w:color w:val="auto"/>
                <w:w w:val="98"/>
              </w:rPr>
              <w:t>Three Months Ended</w:t>
            </w:r>
          </w:p>
        </w:tc>
        <w:tc>
          <w:tcPr>
            <w:tcW w:w="200" w:type="dxa"/>
            <w:vAlign w:val="bottom"/>
          </w:tcPr>
          <w:p>
            <w:pPr>
              <w:spacing w:after="0"/>
              <w:rPr>
                <w:sz w:val="14"/>
                <w:szCs w:val="14"/>
                <w:color w:val="auto"/>
              </w:rPr>
            </w:pPr>
          </w:p>
        </w:tc>
      </w:tr>
      <w:tr>
        <w:trPr>
          <w:trHeight w:val="171"/>
        </w:trPr>
        <w:tc>
          <w:tcPr>
            <w:tcW w:w="4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14"/>
                <w:szCs w:val="14"/>
                <w:color w:val="auto"/>
              </w:rPr>
            </w:pPr>
          </w:p>
        </w:tc>
      </w:tr>
      <w:tr>
        <w:trPr>
          <w:trHeight w:val="142"/>
        </w:trPr>
        <w:tc>
          <w:tcPr>
            <w:tcW w:w="4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0" w:type="dxa"/>
            <w:vAlign w:val="bottom"/>
            <w:gridSpan w:val="4"/>
          </w:tcPr>
          <w:p>
            <w:pPr>
              <w:jc w:val="right"/>
              <w:ind w:right="628"/>
              <w:spacing w:after="0" w:line="142" w:lineRule="exact"/>
              <w:rPr>
                <w:sz w:val="20"/>
                <w:szCs w:val="20"/>
                <w:color w:val="auto"/>
              </w:rPr>
            </w:pPr>
            <w:r>
              <w:rPr>
                <w:rFonts w:ascii="Arial" w:cs="Arial" w:eastAsia="Arial" w:hAnsi="Arial"/>
                <w:sz w:val="14"/>
                <w:szCs w:val="14"/>
                <w:color w:val="auto"/>
              </w:rPr>
              <w:t>(in thousands except per share amounts)</w:t>
            </w:r>
          </w:p>
        </w:tc>
        <w:tc>
          <w:tcPr>
            <w:tcW w:w="200" w:type="dxa"/>
            <w:vAlign w:val="bottom"/>
          </w:tcPr>
          <w:p>
            <w:pPr>
              <w:spacing w:after="0"/>
              <w:rPr>
                <w:sz w:val="12"/>
                <w:szCs w:val="12"/>
                <w:color w:val="auto"/>
              </w:rPr>
            </w:pPr>
          </w:p>
        </w:tc>
      </w:tr>
      <w:tr>
        <w:trPr>
          <w:trHeight w:val="236"/>
        </w:trPr>
        <w:tc>
          <w:tcPr>
            <w:tcW w:w="454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Earnings per diluted share</w:t>
            </w:r>
            <w:r>
              <w:rPr>
                <w:rFonts w:ascii="Arial" w:cs="Arial" w:eastAsia="Arial" w:hAnsi="Arial"/>
                <w:sz w:val="8"/>
                <w:szCs w:val="8"/>
                <w:color w:val="auto"/>
              </w:rPr>
              <w:t>(1)</w:t>
            </w:r>
          </w:p>
        </w:tc>
        <w:tc>
          <w:tcPr>
            <w:tcW w:w="58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9"/>
                <w:szCs w:val="19"/>
                <w:color w:val="auto"/>
              </w:rPr>
              <w:t>$</w:t>
            </w:r>
          </w:p>
        </w:tc>
        <w:tc>
          <w:tcPr>
            <w:tcW w:w="1600" w:type="dxa"/>
            <w:vAlign w:val="bottom"/>
            <w:tcBorders>
              <w:right w:val="single" w:sz="8" w:color="CCEEFF"/>
            </w:tcBorders>
            <w:shd w:val="clear" w:color="auto" w:fill="CCEEFF"/>
          </w:tcPr>
          <w:p>
            <w:pPr>
              <w:jc w:val="right"/>
              <w:spacing w:after="0" w:line="216" w:lineRule="exact"/>
              <w:rPr>
                <w:sz w:val="20"/>
                <w:szCs w:val="20"/>
                <w:color w:val="auto"/>
              </w:rPr>
            </w:pPr>
            <w:r>
              <w:rPr>
                <w:rFonts w:ascii="Arial" w:cs="Arial" w:eastAsia="Arial" w:hAnsi="Arial"/>
                <w:sz w:val="19"/>
                <w:szCs w:val="19"/>
                <w:color w:val="auto"/>
              </w:rPr>
              <w:t>0.25</w:t>
            </w:r>
          </w:p>
        </w:tc>
        <w:tc>
          <w:tcPr>
            <w:tcW w:w="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(a)</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60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0.19</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(b)</w:t>
            </w:r>
          </w:p>
        </w:tc>
      </w:tr>
      <w:tr>
        <w:trPr>
          <w:trHeight w:val="203"/>
        </w:trPr>
        <w:tc>
          <w:tcPr>
            <w:tcW w:w="4540" w:type="dxa"/>
            <w:vAlign w:val="bottom"/>
            <w:tcBorders>
              <w:top w:val="single" w:sz="8" w:color="CCEEFF"/>
            </w:tcBorders>
          </w:tcPr>
          <w:p>
            <w:pPr>
              <w:spacing w:after="0" w:line="203" w:lineRule="exact"/>
              <w:rPr>
                <w:sz w:val="20"/>
                <w:szCs w:val="20"/>
                <w:color w:val="auto"/>
              </w:rPr>
            </w:pPr>
            <w:r>
              <w:rPr>
                <w:rFonts w:ascii="Arial" w:cs="Arial" w:eastAsia="Arial" w:hAnsi="Arial"/>
                <w:sz w:val="19"/>
                <w:szCs w:val="19"/>
                <w:color w:val="auto"/>
              </w:rPr>
              <w:t xml:space="preserve">Net income attributable to Tradeweb Markets LLC </w:t>
            </w:r>
            <w:r>
              <w:rPr>
                <w:rFonts w:ascii="Arial" w:cs="Arial" w:eastAsia="Arial" w:hAnsi="Arial"/>
                <w:sz w:val="8"/>
                <w:szCs w:val="8"/>
                <w:color w:val="auto"/>
              </w:rPr>
              <w:t>(1)</w:t>
            </w:r>
          </w:p>
        </w:tc>
        <w:tc>
          <w:tcPr>
            <w:tcW w:w="4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9"/>
                <w:szCs w:val="19"/>
                <w:color w:val="auto"/>
                <w:w w:val="75"/>
              </w:rPr>
              <w:t>$</w:t>
            </w:r>
          </w:p>
        </w:tc>
        <w:tc>
          <w:tcPr>
            <w:tcW w:w="1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9"/>
                <w:szCs w:val="19"/>
                <w:color w:val="auto"/>
              </w:rPr>
              <w:t>—</w:t>
            </w: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9"/>
                <w:szCs w:val="19"/>
                <w:color w:val="auto"/>
              </w:rPr>
              <w:t>42,352</w:t>
            </w:r>
          </w:p>
        </w:tc>
        <w:tc>
          <w:tcPr>
            <w:tcW w:w="20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(b)</w:t>
            </w:r>
          </w:p>
        </w:tc>
      </w:tr>
      <w:tr>
        <w:trPr>
          <w:trHeight w:val="216"/>
        </w:trPr>
        <w:tc>
          <w:tcPr>
            <w:tcW w:w="454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Net income attributable to Tradeweb Markets Inc.</w:t>
            </w:r>
            <w:r>
              <w:rPr>
                <w:rFonts w:ascii="Arial" w:cs="Arial" w:eastAsia="Arial" w:hAnsi="Arial"/>
                <w:sz w:val="8"/>
                <w:szCs w:val="8"/>
                <w:color w:val="auto"/>
              </w:rPr>
              <w:t>(1)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Borders>
              <w:right w:val="single" w:sz="8" w:color="CCEEFF"/>
            </w:tcBorders>
            <w:shd w:val="clear" w:color="auto" w:fill="CCEEFF"/>
          </w:tcPr>
          <w:p>
            <w:pPr>
              <w:jc w:val="right"/>
              <w:spacing w:after="0" w:line="216" w:lineRule="exact"/>
              <w:rPr>
                <w:sz w:val="20"/>
                <w:szCs w:val="20"/>
                <w:color w:val="auto"/>
              </w:rPr>
            </w:pPr>
            <w:r>
              <w:rPr>
                <w:rFonts w:ascii="Arial" w:cs="Arial" w:eastAsia="Arial" w:hAnsi="Arial"/>
                <w:sz w:val="19"/>
                <w:szCs w:val="19"/>
                <w:color w:val="auto"/>
              </w:rPr>
              <w:t>43,928</w:t>
            </w:r>
          </w:p>
        </w:tc>
        <w:tc>
          <w:tcPr>
            <w:tcW w:w="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(a)</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8"/>
                <w:szCs w:val="18"/>
                <w:color w:val="auto"/>
              </w:rPr>
            </w:pPr>
          </w:p>
        </w:tc>
      </w:tr>
      <w:tr>
        <w:trPr>
          <w:trHeight w:val="216"/>
        </w:trPr>
        <w:tc>
          <w:tcPr>
            <w:tcW w:w="4540" w:type="dxa"/>
            <w:vAlign w:val="bottom"/>
            <w:tcBorders>
              <w:bottom w:val="single" w:sz="8" w:color="CCEEFF"/>
            </w:tcBorders>
          </w:tcPr>
          <w:p>
            <w:pPr>
              <w:spacing w:after="0" w:line="216" w:lineRule="exact"/>
              <w:rPr>
                <w:sz w:val="20"/>
                <w:szCs w:val="20"/>
                <w:color w:val="auto"/>
              </w:rPr>
            </w:pPr>
            <w:r>
              <w:rPr>
                <w:rFonts w:ascii="Arial" w:cs="Arial" w:eastAsia="Arial" w:hAnsi="Arial"/>
                <w:sz w:val="19"/>
                <w:szCs w:val="19"/>
                <w:color w:val="auto"/>
              </w:rPr>
              <w:t xml:space="preserve">Net income attributable to non-controlling interests </w:t>
            </w:r>
            <w:r>
              <w:rPr>
                <w:rFonts w:ascii="Arial" w:cs="Arial" w:eastAsia="Arial" w:hAnsi="Arial"/>
                <w:sz w:val="8"/>
                <w:szCs w:val="8"/>
                <w:color w:val="auto"/>
              </w:rPr>
              <w:t>(1)(2)</w:t>
            </w: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18,557</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w:t>
            </w:r>
          </w:p>
        </w:tc>
        <w:tc>
          <w:tcPr>
            <w:tcW w:w="200" w:type="dxa"/>
            <w:vAlign w:val="bottom"/>
            <w:tcBorders>
              <w:bottom w:val="single" w:sz="8" w:color="CCEEFF"/>
            </w:tcBorders>
          </w:tcPr>
          <w:p>
            <w:pPr>
              <w:spacing w:after="0"/>
              <w:rPr>
                <w:sz w:val="18"/>
                <w:szCs w:val="18"/>
                <w:color w:val="auto"/>
              </w:rPr>
            </w:pPr>
          </w:p>
        </w:tc>
      </w:tr>
      <w:tr>
        <w:trPr>
          <w:trHeight w:val="209"/>
        </w:trPr>
        <w:tc>
          <w:tcPr>
            <w:tcW w:w="4540" w:type="dxa"/>
            <w:vAlign w:val="bottom"/>
            <w:shd w:val="clear" w:color="auto" w:fill="CCEEFF"/>
          </w:tcPr>
          <w:p>
            <w:pPr>
              <w:spacing w:after="0" w:line="210" w:lineRule="exact"/>
              <w:rPr>
                <w:sz w:val="20"/>
                <w:szCs w:val="20"/>
                <w:color w:val="auto"/>
              </w:rPr>
            </w:pPr>
            <w:r>
              <w:rPr>
                <w:rFonts w:ascii="Arial" w:cs="Arial" w:eastAsia="Arial" w:hAnsi="Arial"/>
                <w:sz w:val="19"/>
                <w:szCs w:val="19"/>
                <w:color w:val="auto"/>
              </w:rPr>
              <w:t>Net income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Borders>
              <w:right w:val="single" w:sz="8" w:color="CCEEFF"/>
            </w:tcBorders>
            <w:shd w:val="clear" w:color="auto" w:fill="CCEEFF"/>
          </w:tcPr>
          <w:p>
            <w:pPr>
              <w:jc w:val="right"/>
              <w:spacing w:after="0" w:line="210" w:lineRule="exact"/>
              <w:rPr>
                <w:sz w:val="20"/>
                <w:szCs w:val="20"/>
                <w:color w:val="auto"/>
              </w:rPr>
            </w:pPr>
            <w:r>
              <w:rPr>
                <w:rFonts w:ascii="Arial" w:cs="Arial" w:eastAsia="Arial" w:hAnsi="Arial"/>
                <w:sz w:val="19"/>
                <w:szCs w:val="19"/>
                <w:color w:val="auto"/>
              </w:rPr>
              <w:t>62,485</w:t>
            </w:r>
          </w:p>
        </w:tc>
        <w:tc>
          <w:tcPr>
            <w:tcW w:w="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(a)</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line="210" w:lineRule="exact"/>
              <w:rPr>
                <w:sz w:val="20"/>
                <w:szCs w:val="20"/>
                <w:color w:val="auto"/>
              </w:rPr>
            </w:pPr>
            <w:r>
              <w:rPr>
                <w:rFonts w:ascii="Arial" w:cs="Arial" w:eastAsia="Arial" w:hAnsi="Arial"/>
                <w:sz w:val="19"/>
                <w:szCs w:val="19"/>
                <w:color w:val="auto"/>
              </w:rPr>
              <w:t>42,352</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(b)</w:t>
            </w:r>
          </w:p>
        </w:tc>
      </w:tr>
      <w:tr>
        <w:trPr>
          <w:trHeight w:val="216"/>
        </w:trPr>
        <w:tc>
          <w:tcPr>
            <w:tcW w:w="4540" w:type="dxa"/>
            <w:vAlign w:val="bottom"/>
          </w:tcPr>
          <w:p>
            <w:pPr>
              <w:spacing w:after="0" w:line="216" w:lineRule="exact"/>
              <w:rPr>
                <w:sz w:val="20"/>
                <w:szCs w:val="20"/>
                <w:color w:val="auto"/>
              </w:rPr>
            </w:pPr>
            <w:r>
              <w:rPr>
                <w:rFonts w:ascii="Arial" w:cs="Arial" w:eastAsia="Arial" w:hAnsi="Arial"/>
                <w:sz w:val="19"/>
                <w:szCs w:val="19"/>
                <w:color w:val="auto"/>
              </w:rPr>
              <w:t>Provision for income taxes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line="216" w:lineRule="exact"/>
              <w:rPr>
                <w:sz w:val="20"/>
                <w:szCs w:val="20"/>
                <w:color w:val="auto"/>
              </w:rPr>
            </w:pPr>
            <w:r>
              <w:rPr>
                <w:rFonts w:ascii="Arial" w:cs="Arial" w:eastAsia="Arial" w:hAnsi="Arial"/>
                <w:sz w:val="19"/>
                <w:szCs w:val="19"/>
                <w:color w:val="auto"/>
              </w:rPr>
              <w:t>15,829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line="216" w:lineRule="exact"/>
              <w:rPr>
                <w:sz w:val="20"/>
                <w:szCs w:val="20"/>
                <w:color w:val="auto"/>
              </w:rPr>
            </w:pPr>
            <w:r>
              <w:rPr>
                <w:rFonts w:ascii="Arial" w:cs="Arial" w:eastAsia="Arial" w:hAnsi="Arial"/>
                <w:sz w:val="19"/>
                <w:szCs w:val="19"/>
                <w:color w:val="auto"/>
              </w:rPr>
              <w:t>4,783</w:t>
            </w:r>
          </w:p>
        </w:tc>
        <w:tc>
          <w:tcPr>
            <w:tcW w:w="2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Acquisition and Refinitiv Transaction related D&amp;A</w:t>
            </w:r>
            <w:r>
              <w:rPr>
                <w:rFonts w:ascii="Arial" w:cs="Arial" w:eastAsia="Arial" w:hAnsi="Arial"/>
                <w:sz w:val="8"/>
                <w:szCs w:val="8"/>
                <w:color w:val="auto"/>
              </w:rPr>
              <w:t>(3)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Borders>
              <w:right w:val="single" w:sz="8" w:color="CCEEFF"/>
            </w:tcBorders>
            <w:shd w:val="clear" w:color="auto" w:fill="CCEEFF"/>
          </w:tcPr>
          <w:p>
            <w:pPr>
              <w:jc w:val="right"/>
              <w:spacing w:after="0" w:line="216" w:lineRule="exact"/>
              <w:rPr>
                <w:sz w:val="20"/>
                <w:szCs w:val="20"/>
                <w:color w:val="auto"/>
              </w:rPr>
            </w:pPr>
            <w:r>
              <w:rPr>
                <w:rFonts w:ascii="Arial" w:cs="Arial" w:eastAsia="Arial" w:hAnsi="Arial"/>
                <w:sz w:val="19"/>
                <w:szCs w:val="19"/>
                <w:color w:val="auto"/>
              </w:rPr>
              <w:t>26,273</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23,209</w:t>
            </w:r>
          </w:p>
        </w:tc>
        <w:tc>
          <w:tcPr>
            <w:tcW w:w="2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line="216" w:lineRule="exact"/>
              <w:rPr>
                <w:sz w:val="20"/>
                <w:szCs w:val="20"/>
                <w:color w:val="auto"/>
              </w:rPr>
            </w:pPr>
            <w:r>
              <w:rPr>
                <w:rFonts w:ascii="Arial" w:cs="Arial" w:eastAsia="Arial" w:hAnsi="Arial"/>
                <w:sz w:val="19"/>
                <w:szCs w:val="19"/>
                <w:color w:val="auto"/>
              </w:rPr>
              <w:t>Stock-based compensation expense</w:t>
            </w:r>
            <w:r>
              <w:rPr>
                <w:rFonts w:ascii="Arial" w:cs="Arial" w:eastAsia="Arial" w:hAnsi="Arial"/>
                <w:sz w:val="8"/>
                <w:szCs w:val="8"/>
                <w:color w:val="auto"/>
              </w:rPr>
              <w:t>(4)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line="216" w:lineRule="exact"/>
              <w:rPr>
                <w:sz w:val="20"/>
                <w:szCs w:val="20"/>
                <w:color w:val="auto"/>
              </w:rPr>
            </w:pPr>
            <w:r>
              <w:rPr>
                <w:rFonts w:ascii="Arial" w:cs="Arial" w:eastAsia="Arial" w:hAnsi="Arial"/>
                <w:sz w:val="19"/>
                <w:szCs w:val="19"/>
                <w:color w:val="auto"/>
              </w:rPr>
              <w:t>3,497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Unrealized foreign exchange (gains) / losses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Borders>
              <w:right w:val="single" w:sz="8" w:color="CCEEFF"/>
            </w:tcBorders>
            <w:shd w:val="clear" w:color="auto" w:fill="CCEEFF"/>
          </w:tcPr>
          <w:p>
            <w:pPr>
              <w:jc w:val="right"/>
              <w:spacing w:after="0" w:line="216" w:lineRule="exact"/>
              <w:rPr>
                <w:sz w:val="20"/>
                <w:szCs w:val="20"/>
                <w:color w:val="auto"/>
              </w:rPr>
            </w:pPr>
            <w:r>
              <w:rPr>
                <w:rFonts w:ascii="Arial" w:cs="Arial" w:eastAsia="Arial" w:hAnsi="Arial"/>
                <w:sz w:val="19"/>
                <w:szCs w:val="19"/>
                <w:color w:val="auto"/>
              </w:rPr>
              <w:t>1,164</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(293)</w:t>
            </w:r>
          </w:p>
        </w:tc>
        <w:tc>
          <w:tcPr>
            <w:tcW w:w="200" w:type="dxa"/>
            <w:vAlign w:val="bottom"/>
            <w:shd w:val="clear" w:color="auto" w:fill="CCEEFF"/>
          </w:tcPr>
          <w:p>
            <w:pPr>
              <w:spacing w:after="0"/>
              <w:rPr>
                <w:sz w:val="18"/>
                <w:szCs w:val="18"/>
                <w:color w:val="auto"/>
              </w:rPr>
            </w:pPr>
          </w:p>
        </w:tc>
      </w:tr>
      <w:tr>
        <w:trPr>
          <w:trHeight w:val="216"/>
        </w:trPr>
        <w:tc>
          <w:tcPr>
            <w:tcW w:w="4540" w:type="dxa"/>
            <w:vAlign w:val="bottom"/>
            <w:tcBorders>
              <w:bottom w:val="single" w:sz="8" w:color="CCEEFF"/>
            </w:tcBorders>
          </w:tcPr>
          <w:p>
            <w:pPr>
              <w:spacing w:after="0" w:line="216" w:lineRule="exact"/>
              <w:rPr>
                <w:sz w:val="20"/>
                <w:szCs w:val="20"/>
                <w:color w:val="auto"/>
              </w:rPr>
            </w:pPr>
            <w:r>
              <w:rPr>
                <w:rFonts w:ascii="Arial" w:cs="Arial" w:eastAsia="Arial" w:hAnsi="Arial"/>
                <w:sz w:val="19"/>
                <w:szCs w:val="19"/>
                <w:color w:val="auto"/>
              </w:rPr>
              <w:t>Loss from revaluation of foreign denominated cash</w:t>
            </w:r>
            <w:r>
              <w:rPr>
                <w:rFonts w:ascii="Arial" w:cs="Arial" w:eastAsia="Arial" w:hAnsi="Arial"/>
                <w:sz w:val="8"/>
                <w:szCs w:val="8"/>
                <w:color w:val="auto"/>
              </w:rPr>
              <w:t>(5)</w:t>
            </w: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198</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860</w:t>
            </w:r>
          </w:p>
        </w:tc>
        <w:tc>
          <w:tcPr>
            <w:tcW w:w="200" w:type="dxa"/>
            <w:vAlign w:val="bottom"/>
            <w:tcBorders>
              <w:bottom w:val="single" w:sz="8" w:color="CCEEFF"/>
            </w:tcBorders>
          </w:tcPr>
          <w:p>
            <w:pPr>
              <w:spacing w:after="0"/>
              <w:rPr>
                <w:sz w:val="18"/>
                <w:szCs w:val="18"/>
                <w:color w:val="auto"/>
              </w:rPr>
            </w:pPr>
          </w:p>
        </w:tc>
      </w:tr>
      <w:tr>
        <w:trPr>
          <w:trHeight w:val="209"/>
        </w:trPr>
        <w:tc>
          <w:tcPr>
            <w:tcW w:w="4540" w:type="dxa"/>
            <w:vAlign w:val="bottom"/>
            <w:shd w:val="clear" w:color="auto" w:fill="CCEEFF"/>
          </w:tcPr>
          <w:p>
            <w:pPr>
              <w:spacing w:after="0" w:line="210" w:lineRule="exact"/>
              <w:rPr>
                <w:sz w:val="20"/>
                <w:szCs w:val="20"/>
                <w:color w:val="auto"/>
              </w:rPr>
            </w:pPr>
            <w:r>
              <w:rPr>
                <w:rFonts w:ascii="Arial" w:cs="Arial" w:eastAsia="Arial" w:hAnsi="Arial"/>
                <w:sz w:val="19"/>
                <w:szCs w:val="19"/>
                <w:color w:val="auto"/>
              </w:rPr>
              <w:t>Adjusted Net Income before income taxes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Borders>
              <w:right w:val="single" w:sz="8" w:color="CCEEFF"/>
            </w:tcBorders>
            <w:shd w:val="clear" w:color="auto" w:fill="CCEEFF"/>
          </w:tcPr>
          <w:p>
            <w:pPr>
              <w:jc w:val="right"/>
              <w:spacing w:after="0" w:line="210" w:lineRule="exact"/>
              <w:rPr>
                <w:sz w:val="20"/>
                <w:szCs w:val="20"/>
                <w:color w:val="auto"/>
              </w:rPr>
            </w:pPr>
            <w:r>
              <w:rPr>
                <w:rFonts w:ascii="Arial" w:cs="Arial" w:eastAsia="Arial" w:hAnsi="Arial"/>
                <w:sz w:val="19"/>
                <w:szCs w:val="19"/>
                <w:color w:val="auto"/>
              </w:rPr>
              <w:t>109,446</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line="210" w:lineRule="exact"/>
              <w:rPr>
                <w:sz w:val="20"/>
                <w:szCs w:val="20"/>
                <w:color w:val="auto"/>
              </w:rPr>
            </w:pPr>
            <w:r>
              <w:rPr>
                <w:rFonts w:ascii="Arial" w:cs="Arial" w:eastAsia="Arial" w:hAnsi="Arial"/>
                <w:sz w:val="19"/>
                <w:szCs w:val="19"/>
                <w:color w:val="auto"/>
              </w:rPr>
              <w:t>70,911</w:t>
            </w:r>
          </w:p>
        </w:tc>
        <w:tc>
          <w:tcPr>
            <w:tcW w:w="200" w:type="dxa"/>
            <w:vAlign w:val="bottom"/>
            <w:shd w:val="clear" w:color="auto" w:fill="CCEEFF"/>
          </w:tcPr>
          <w:p>
            <w:pPr>
              <w:spacing w:after="0"/>
              <w:rPr>
                <w:sz w:val="18"/>
                <w:szCs w:val="18"/>
                <w:color w:val="auto"/>
              </w:rPr>
            </w:pPr>
          </w:p>
        </w:tc>
      </w:tr>
      <w:tr>
        <w:trPr>
          <w:trHeight w:val="216"/>
        </w:trPr>
        <w:tc>
          <w:tcPr>
            <w:tcW w:w="4540" w:type="dxa"/>
            <w:vAlign w:val="bottom"/>
            <w:tcBorders>
              <w:bottom w:val="single" w:sz="8" w:color="CCEEFF"/>
            </w:tcBorders>
          </w:tcPr>
          <w:p>
            <w:pPr>
              <w:spacing w:after="0" w:line="216" w:lineRule="exact"/>
              <w:rPr>
                <w:sz w:val="20"/>
                <w:szCs w:val="20"/>
                <w:color w:val="auto"/>
              </w:rPr>
            </w:pPr>
            <w:r>
              <w:rPr>
                <w:rFonts w:ascii="Arial" w:cs="Arial" w:eastAsia="Arial" w:hAnsi="Arial"/>
                <w:sz w:val="19"/>
                <w:szCs w:val="19"/>
                <w:color w:val="auto"/>
              </w:rPr>
              <w:t>Adjusted income taxes</w:t>
            </w:r>
            <w:r>
              <w:rPr>
                <w:rFonts w:ascii="Arial" w:cs="Arial" w:eastAsia="Arial" w:hAnsi="Arial"/>
                <w:sz w:val="8"/>
                <w:szCs w:val="8"/>
                <w:color w:val="auto"/>
              </w:rPr>
              <w:t>(6)</w:t>
            </w: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(24,078)</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(18,721)</w:t>
            </w:r>
          </w:p>
        </w:tc>
        <w:tc>
          <w:tcPr>
            <w:tcW w:w="200" w:type="dxa"/>
            <w:vAlign w:val="bottom"/>
            <w:tcBorders>
              <w:bottom w:val="single" w:sz="8" w:color="CCEEFF"/>
            </w:tcBorders>
          </w:tcPr>
          <w:p>
            <w:pPr>
              <w:spacing w:after="0"/>
              <w:rPr>
                <w:sz w:val="18"/>
                <w:szCs w:val="18"/>
                <w:color w:val="auto"/>
              </w:rPr>
            </w:pPr>
          </w:p>
        </w:tc>
      </w:tr>
      <w:tr>
        <w:trPr>
          <w:trHeight w:val="229"/>
        </w:trPr>
        <w:tc>
          <w:tcPr>
            <w:tcW w:w="4540" w:type="dxa"/>
            <w:vAlign w:val="bottom"/>
            <w:tcBorders>
              <w:bottom w:val="single" w:sz="8" w:color="CCEEFF"/>
            </w:tcBorders>
            <w:shd w:val="clear" w:color="auto" w:fill="CCEEFF"/>
          </w:tcPr>
          <w:p>
            <w:pPr>
              <w:spacing w:after="0" w:line="210" w:lineRule="exact"/>
              <w:rPr>
                <w:sz w:val="20"/>
                <w:szCs w:val="20"/>
                <w:color w:val="auto"/>
              </w:rPr>
            </w:pPr>
            <w:r>
              <w:rPr>
                <w:rFonts w:ascii="Arial" w:cs="Arial" w:eastAsia="Arial" w:hAnsi="Arial"/>
                <w:sz w:val="19"/>
                <w:szCs w:val="19"/>
                <w:color w:val="auto"/>
              </w:rPr>
              <w:t>Adjusted Net Income</w:t>
            </w:r>
          </w:p>
        </w:tc>
        <w:tc>
          <w:tcPr>
            <w:tcW w:w="4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auto"/>
                <w:w w:val="75"/>
              </w:rPr>
              <w:t>$</w:t>
            </w:r>
          </w:p>
        </w:tc>
        <w:tc>
          <w:tcPr>
            <w:tcW w:w="1600" w:type="dxa"/>
            <w:vAlign w:val="bottom"/>
            <w:tcBorders>
              <w:bottom w:val="single" w:sz="8" w:color="auto"/>
              <w:right w:val="single" w:sz="8" w:color="CCEEFF"/>
            </w:tcBorders>
            <w:shd w:val="clear" w:color="auto" w:fill="CCEEFF"/>
          </w:tcPr>
          <w:p>
            <w:pPr>
              <w:jc w:val="right"/>
              <w:spacing w:after="0" w:line="210" w:lineRule="exact"/>
              <w:rPr>
                <w:sz w:val="20"/>
                <w:szCs w:val="20"/>
                <w:color w:val="auto"/>
              </w:rPr>
            </w:pPr>
            <w:r>
              <w:rPr>
                <w:rFonts w:ascii="Arial" w:cs="Arial" w:eastAsia="Arial" w:hAnsi="Arial"/>
                <w:sz w:val="19"/>
                <w:szCs w:val="19"/>
                <w:color w:val="auto"/>
              </w:rPr>
              <w:t>85,368</w:t>
            </w: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auto"/>
              </w:rPr>
              <w:t>52,190</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203"/>
        </w:trPr>
        <w:tc>
          <w:tcPr>
            <w:tcW w:w="4540" w:type="dxa"/>
            <w:vAlign w:val="bottom"/>
          </w:tcPr>
          <w:p>
            <w:pPr>
              <w:spacing w:after="0" w:line="203" w:lineRule="exact"/>
              <w:rPr>
                <w:sz w:val="20"/>
                <w:szCs w:val="20"/>
                <w:color w:val="auto"/>
              </w:rPr>
            </w:pPr>
            <w:r>
              <w:rPr>
                <w:rFonts w:ascii="Arial" w:cs="Arial" w:eastAsia="Arial" w:hAnsi="Arial"/>
                <w:sz w:val="19"/>
                <w:szCs w:val="19"/>
                <w:color w:val="auto"/>
              </w:rPr>
              <w:t xml:space="preserve">Adjusted Diluted EPS </w:t>
            </w:r>
            <w:r>
              <w:rPr>
                <w:rFonts w:ascii="Arial" w:cs="Arial" w:eastAsia="Arial" w:hAnsi="Arial"/>
                <w:sz w:val="8"/>
                <w:szCs w:val="8"/>
                <w:color w:val="auto"/>
              </w:rPr>
              <w:t>(1)(7)</w:t>
            </w:r>
          </w:p>
        </w:tc>
        <w:tc>
          <w:tcPr>
            <w:tcW w:w="42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9"/>
                <w:szCs w:val="19"/>
                <w:color w:val="auto"/>
                <w:w w:val="75"/>
              </w:rPr>
              <w:t>$</w:t>
            </w:r>
          </w:p>
        </w:tc>
        <w:tc>
          <w:tcPr>
            <w:tcW w:w="1600" w:type="dxa"/>
            <w:vAlign w:val="bottom"/>
          </w:tcPr>
          <w:p>
            <w:pPr>
              <w:jc w:val="right"/>
              <w:spacing w:after="0" w:line="203" w:lineRule="exact"/>
              <w:rPr>
                <w:sz w:val="20"/>
                <w:szCs w:val="20"/>
                <w:color w:val="auto"/>
              </w:rPr>
            </w:pPr>
            <w:r>
              <w:rPr>
                <w:rFonts w:ascii="Arial" w:cs="Arial" w:eastAsia="Arial" w:hAnsi="Arial"/>
                <w:sz w:val="19"/>
                <w:szCs w:val="19"/>
                <w:color w:val="auto"/>
              </w:rPr>
              <w:t>0.37</w:t>
            </w:r>
          </w:p>
        </w:tc>
        <w:tc>
          <w:tcPr>
            <w:tcW w:w="280" w:type="dxa"/>
            <w:vAlign w:val="bottom"/>
          </w:tcPr>
          <w:p>
            <w:pPr>
              <w:spacing w:after="0"/>
              <w:rPr>
                <w:sz w:val="20"/>
                <w:szCs w:val="20"/>
                <w:color w:val="auto"/>
              </w:rPr>
            </w:pPr>
            <w:r>
              <w:rPr>
                <w:rFonts w:ascii="Arial" w:cs="Arial" w:eastAsia="Arial" w:hAnsi="Arial"/>
                <w:sz w:val="14"/>
                <w:szCs w:val="14"/>
                <w:color w:val="auto"/>
              </w:rPr>
              <w:t>(a)</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600" w:type="dxa"/>
            <w:vAlign w:val="bottom"/>
          </w:tcPr>
          <w:p>
            <w:pPr>
              <w:jc w:val="right"/>
              <w:spacing w:after="0" w:line="203" w:lineRule="exact"/>
              <w:rPr>
                <w:sz w:val="20"/>
                <w:szCs w:val="20"/>
                <w:color w:val="auto"/>
              </w:rPr>
            </w:pPr>
            <w:r>
              <w:rPr>
                <w:rFonts w:ascii="Arial" w:cs="Arial" w:eastAsia="Arial" w:hAnsi="Arial"/>
                <w:sz w:val="19"/>
                <w:szCs w:val="19"/>
                <w:color w:val="auto"/>
              </w:rPr>
              <w:t>0.23</w:t>
            </w:r>
          </w:p>
        </w:tc>
        <w:tc>
          <w:tcPr>
            <w:tcW w:w="200" w:type="dxa"/>
            <w:vAlign w:val="bottom"/>
          </w:tcPr>
          <w:p>
            <w:pPr>
              <w:spacing w:after="0"/>
              <w:rPr>
                <w:sz w:val="20"/>
                <w:szCs w:val="20"/>
                <w:color w:val="auto"/>
              </w:rPr>
            </w:pPr>
            <w:r>
              <w:rPr>
                <w:rFonts w:ascii="Arial" w:cs="Arial" w:eastAsia="Arial" w:hAnsi="Arial"/>
                <w:sz w:val="14"/>
                <w:szCs w:val="14"/>
                <w:color w:val="auto"/>
              </w:rPr>
              <w:t>(b)</w:t>
            </w:r>
          </w:p>
        </w:tc>
      </w:tr>
      <w:tr>
        <w:trPr>
          <w:trHeight w:val="27"/>
        </w:trPr>
        <w:tc>
          <w:tcPr>
            <w:tcW w:w="4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0" w:type="dxa"/>
            <w:vAlign w:val="bottom"/>
            <w:tcBorders>
              <w:right w:val="single" w:sz="8" w:color="auto"/>
            </w:tcBorders>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206" w:lineRule="exact"/>
        <w:rPr>
          <w:sz w:val="20"/>
          <w:szCs w:val="20"/>
          <w:color w:val="auto"/>
        </w:rPr>
      </w:pPr>
    </w:p>
    <w:p>
      <w:pPr>
        <w:ind w:left="700" w:right="419" w:hanging="332"/>
        <w:spacing w:after="0" w:line="293" w:lineRule="auto"/>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 a result of the Reorganization Transactions and the IPO completed in April 2019, certain earnings information is being presented separately for Tradeweb Markets LLC and Tradeweb Markets Inc.</w:t>
      </w:r>
    </w:p>
    <w:p>
      <w:pPr>
        <w:spacing w:after="0" w:line="158" w:lineRule="exact"/>
        <w:rPr>
          <w:rFonts w:ascii="Arial" w:cs="Arial" w:eastAsia="Arial" w:hAnsi="Arial"/>
          <w:sz w:val="16"/>
          <w:szCs w:val="16"/>
          <w:color w:val="auto"/>
        </w:rPr>
      </w:pPr>
    </w:p>
    <w:p>
      <w:pPr>
        <w:ind w:left="1160" w:hanging="221"/>
        <w:spacing w:after="0"/>
        <w:tabs>
          <w:tab w:leader="none" w:pos="11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Presents information for Tradeweb Markets Inc. (post-IPO period).</w:t>
      </w:r>
    </w:p>
    <w:p>
      <w:pPr>
        <w:spacing w:after="0" w:line="234" w:lineRule="exact"/>
        <w:rPr>
          <w:rFonts w:ascii="Arial" w:cs="Arial" w:eastAsia="Arial" w:hAnsi="Arial"/>
          <w:sz w:val="16"/>
          <w:szCs w:val="16"/>
          <w:color w:val="auto"/>
        </w:rPr>
      </w:pPr>
    </w:p>
    <w:p>
      <w:pPr>
        <w:ind w:left="1160" w:hanging="221"/>
        <w:spacing w:after="0"/>
        <w:tabs>
          <w:tab w:leader="none" w:pos="11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Presents information for Tradeweb Markets LLC (pre-IPO period).</w:t>
      </w:r>
    </w:p>
    <w:p>
      <w:pPr>
        <w:spacing w:after="0" w:line="235" w:lineRule="exact"/>
        <w:rPr>
          <w:sz w:val="20"/>
          <w:szCs w:val="20"/>
          <w:color w:val="auto"/>
        </w:rPr>
      </w:pPr>
    </w:p>
    <w:p>
      <w:pPr>
        <w:ind w:left="700" w:right="359"/>
        <w:spacing w:after="0" w:line="293" w:lineRule="auto"/>
        <w:rPr>
          <w:sz w:val="20"/>
          <w:szCs w:val="20"/>
          <w:color w:val="auto"/>
        </w:rPr>
      </w:pPr>
      <w:r>
        <w:rPr>
          <w:rFonts w:ascii="Arial" w:cs="Arial" w:eastAsia="Arial" w:hAnsi="Arial"/>
          <w:sz w:val="16"/>
          <w:szCs w:val="16"/>
          <w:color w:val="auto"/>
        </w:rPr>
        <w:t>See Note 15 — Earnings Per Share to our unaudited consolidated financial statements included elsewhere in this Quarterly Report on Form 10-Q.</w:t>
      </w:r>
    </w:p>
    <w:p>
      <w:pPr>
        <w:spacing w:after="0" w:line="172" w:lineRule="exact"/>
        <w:rPr>
          <w:sz w:val="20"/>
          <w:szCs w:val="20"/>
          <w:color w:val="auto"/>
        </w:rPr>
      </w:pPr>
    </w:p>
    <w:p>
      <w:pPr>
        <w:ind w:left="700" w:right="299" w:hanging="332"/>
        <w:spacing w:after="0" w:line="369" w:lineRule="auto"/>
        <w:tabs>
          <w:tab w:leader="none" w:pos="7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spacing w:after="0" w:line="125" w:lineRule="exact"/>
        <w:rPr>
          <w:rFonts w:ascii="Arial" w:cs="Arial" w:eastAsia="Arial" w:hAnsi="Arial"/>
          <w:sz w:val="14"/>
          <w:szCs w:val="14"/>
          <w:color w:val="auto"/>
        </w:rPr>
      </w:pPr>
    </w:p>
    <w:p>
      <w:pPr>
        <w:ind w:left="700" w:right="179" w:hanging="332"/>
        <w:spacing w:after="0" w:line="278" w:lineRule="auto"/>
        <w:tabs>
          <w:tab w:leader="none" w:pos="7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acquisition-related intangibles amortization and increased tangible asset and capitalized software depreciation and amortization resulting from the Refinitiv Transaction (where all assets were marked to fair value as of the closing date of the Refinitiv Transaction).</w:t>
      </w:r>
    </w:p>
    <w:p>
      <w:pPr>
        <w:spacing w:after="0" w:line="184" w:lineRule="exact"/>
        <w:rPr>
          <w:rFonts w:ascii="Arial" w:cs="Arial" w:eastAsia="Arial" w:hAnsi="Arial"/>
          <w:sz w:val="16"/>
          <w:szCs w:val="16"/>
          <w:color w:val="auto"/>
        </w:rPr>
      </w:pPr>
    </w:p>
    <w:p>
      <w:pPr>
        <w:ind w:left="700" w:right="519" w:hanging="332"/>
        <w:spacing w:after="0" w:line="328" w:lineRule="auto"/>
        <w:tabs>
          <w:tab w:leader="none" w:pos="7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Represents non-cash stock-based compensation expense associated with the Special Option Award and post-IPO options awarded in 2019 and payroll taxes associated with exercises of such options during the applicable period.</w:t>
      </w:r>
    </w:p>
    <w:p>
      <w:pPr>
        <w:spacing w:after="0" w:line="149" w:lineRule="exact"/>
        <w:rPr>
          <w:rFonts w:ascii="Arial" w:cs="Arial" w:eastAsia="Arial" w:hAnsi="Arial"/>
          <w:sz w:val="15"/>
          <w:szCs w:val="15"/>
          <w:color w:val="auto"/>
        </w:rPr>
      </w:pPr>
    </w:p>
    <w:p>
      <w:pPr>
        <w:ind w:left="700" w:right="359" w:hanging="332"/>
        <w:spacing w:after="0" w:line="293" w:lineRule="auto"/>
        <w:tabs>
          <w:tab w:leader="none" w:pos="7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foreign exchange gain or loss from the revaluation of cash denominated in a different currency than the entity’s functional currency.</w:t>
      </w:r>
    </w:p>
    <w:p>
      <w:pPr>
        <w:spacing w:after="0" w:line="171" w:lineRule="exact"/>
        <w:rPr>
          <w:rFonts w:ascii="Arial" w:cs="Arial" w:eastAsia="Arial" w:hAnsi="Arial"/>
          <w:sz w:val="16"/>
          <w:szCs w:val="16"/>
          <w:color w:val="auto"/>
        </w:rPr>
      </w:pPr>
    </w:p>
    <w:p>
      <w:pPr>
        <w:ind w:left="700" w:right="59" w:hanging="332"/>
        <w:spacing w:after="0" w:line="293" w:lineRule="auto"/>
        <w:tabs>
          <w:tab w:leader="none" w:pos="7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corporate income taxes at an assumed effective tax rate of 22.0% and 26.4% applied to Adjusted Net Income before income taxes for the three months ended March 31, 2020 and March 31, 2019, respectively.</w:t>
      </w:r>
    </w:p>
    <w:p>
      <w:pPr>
        <w:spacing w:after="0" w:line="171" w:lineRule="exact"/>
        <w:rPr>
          <w:rFonts w:ascii="Arial" w:cs="Arial" w:eastAsia="Arial" w:hAnsi="Arial"/>
          <w:sz w:val="16"/>
          <w:szCs w:val="16"/>
          <w:color w:val="auto"/>
        </w:rPr>
      </w:pPr>
    </w:p>
    <w:p>
      <w:pPr>
        <w:ind w:left="700" w:right="159" w:hanging="332"/>
        <w:spacing w:after="0" w:line="271" w:lineRule="auto"/>
        <w:tabs>
          <w:tab w:leader="none" w:pos="7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Due to the Reorganization Transactions and the IPO completed in April 2019, shares outstanding during the three months ended March 31, 2019 represent shares of TWM LLC (pre-IPO period) and shares outstanding during the three months ended March 31, 2020 represent shares of Class A and Class B common stock of Tradeweb Markets, Inc. (post-IPO period). For a summary of the calculation of Adjusted Diluted EPS, see “Reconciliation of Diluted Weighted Average Shares Outstanding to Adjusted Diluted Weighted Average Shares Outstanding” below.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1" w:name="page62"/>
    <w:bookmarkEnd w:id="6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39" w:firstLine="324"/>
        <w:spacing w:after="0" w:line="277" w:lineRule="auto"/>
        <w:rPr>
          <w:sz w:val="20"/>
          <w:szCs w:val="20"/>
          <w:color w:val="auto"/>
        </w:rPr>
      </w:pPr>
      <w:r>
        <w:rPr>
          <w:rFonts w:ascii="Arial" w:cs="Arial" w:eastAsia="Arial" w:hAnsi="Arial"/>
          <w:sz w:val="18"/>
          <w:szCs w:val="18"/>
          <w:color w:val="auto"/>
        </w:rPr>
        <w:t>The following table summarizes the calculation of Adjusted Diluted EPS for the three months ended March 31, 2020 and 2019:</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tcPr>
          <w:p>
            <w:pPr>
              <w:spacing w:after="0"/>
              <w:rPr>
                <w:sz w:val="20"/>
                <w:szCs w:val="20"/>
                <w:color w:val="auto"/>
              </w:rPr>
            </w:pPr>
            <w:r>
              <w:rPr>
                <w:rFonts w:ascii="Arial" w:cs="Arial" w:eastAsia="Arial" w:hAnsi="Arial"/>
                <w:sz w:val="14"/>
                <w:szCs w:val="14"/>
                <w:b w:val="1"/>
                <w:bCs w:val="1"/>
                <w:color w:val="auto"/>
              </w:rPr>
              <w:t>Reconciliation of Diluted Weighted Average Shares Outstanding to</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8"/>
              </w:rPr>
              <w:t>Three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157"/>
              <w:spacing w:after="0"/>
              <w:rPr>
                <w:sz w:val="20"/>
                <w:szCs w:val="20"/>
                <w:color w:val="auto"/>
              </w:rPr>
            </w:pPr>
            <w:r>
              <w:rPr>
                <w:rFonts w:ascii="Arial" w:cs="Arial" w:eastAsia="Arial" w:hAnsi="Arial"/>
                <w:sz w:val="13"/>
                <w:szCs w:val="13"/>
                <w:b w:val="1"/>
                <w:bCs w:val="1"/>
                <w:color w:val="auto"/>
                <w:w w:val="93"/>
              </w:rPr>
              <w:t>Three Months Ended</w:t>
            </w:r>
          </w:p>
        </w:tc>
      </w:tr>
      <w:tr>
        <w:trPr>
          <w:trHeight w:val="171"/>
        </w:trPr>
        <w:tc>
          <w:tcPr>
            <w:tcW w:w="5320" w:type="dxa"/>
            <w:vAlign w:val="bottom"/>
          </w:tcPr>
          <w:p>
            <w:pPr>
              <w:spacing w:after="0"/>
              <w:rPr>
                <w:sz w:val="20"/>
                <w:szCs w:val="20"/>
                <w:color w:val="auto"/>
              </w:rPr>
            </w:pPr>
            <w:r>
              <w:rPr>
                <w:rFonts w:ascii="Arial" w:cs="Arial" w:eastAsia="Arial" w:hAnsi="Arial"/>
                <w:sz w:val="14"/>
                <w:szCs w:val="14"/>
                <w:b w:val="1"/>
                <w:bCs w:val="1"/>
                <w:color w:val="auto"/>
              </w:rPr>
              <w:t>Adjusted Diluted Weighted Average Shares Outstanding</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8"/>
              </w:rPr>
              <w:t>March 31, 2020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317"/>
              <w:spacing w:after="0"/>
              <w:rPr>
                <w:sz w:val="20"/>
                <w:szCs w:val="20"/>
                <w:color w:val="auto"/>
              </w:rPr>
            </w:pPr>
            <w:r>
              <w:rPr>
                <w:rFonts w:ascii="Arial" w:cs="Arial" w:eastAsia="Arial" w:hAnsi="Arial"/>
                <w:sz w:val="13"/>
                <w:szCs w:val="13"/>
                <w:b w:val="1"/>
                <w:bCs w:val="1"/>
                <w:color w:val="auto"/>
              </w:rPr>
              <w:t>March 31, 2019</w:t>
            </w:r>
          </w:p>
        </w:tc>
      </w:tr>
      <w:tr>
        <w:trPr>
          <w:trHeight w:val="210"/>
        </w:trPr>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weighted average TWM LLC shares outstanding</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223,320,457</w:t>
            </w:r>
          </w:p>
        </w:tc>
      </w:tr>
      <w:tr>
        <w:trPr>
          <w:trHeight w:val="202"/>
        </w:trPr>
        <w:tc>
          <w:tcPr>
            <w:tcW w:w="5320" w:type="dxa"/>
            <w:vAlign w:val="bottom"/>
          </w:tcPr>
          <w:p>
            <w:pPr>
              <w:spacing w:after="0" w:line="201" w:lineRule="exact"/>
              <w:rPr>
                <w:sz w:val="20"/>
                <w:szCs w:val="20"/>
                <w:color w:val="auto"/>
              </w:rPr>
            </w:pPr>
            <w:r>
              <w:rPr>
                <w:rFonts w:ascii="Arial" w:cs="Arial" w:eastAsia="Arial" w:hAnsi="Arial"/>
                <w:sz w:val="18"/>
                <w:szCs w:val="18"/>
                <w:color w:val="auto"/>
                <w:w w:val="92"/>
              </w:rPr>
              <w:t>Diluted weighted average shares of Class A and Class B common stock</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outstanding</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174,517,244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5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Assumed exchange of LLC interests for shares of Class A or Class B</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common stock </w:t>
            </w:r>
            <w:r>
              <w:rPr>
                <w:rFonts w:ascii="Arial" w:cs="Arial" w:eastAsia="Arial" w:hAnsi="Arial"/>
                <w:sz w:val="8"/>
                <w:szCs w:val="8"/>
                <w:color w:val="auto"/>
              </w:rPr>
              <w:t>(1)</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57,644,547</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diluted weighted average shares outstanding</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232,161,791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223,320,457</w:t>
            </w:r>
          </w:p>
        </w:tc>
      </w:tr>
      <w:tr>
        <w:trPr>
          <w:trHeight w:val="236"/>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(in thousands)</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85,368</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52,190</w:t>
            </w:r>
          </w:p>
        </w:tc>
      </w:tr>
      <w:tr>
        <w:trPr>
          <w:trHeight w:val="210"/>
        </w:trPr>
        <w:tc>
          <w:tcPr>
            <w:tcW w:w="5320" w:type="dxa"/>
            <w:vAlign w:val="bottom"/>
          </w:tcPr>
          <w:p>
            <w:pPr>
              <w:spacing w:after="0" w:line="203" w:lineRule="exact"/>
              <w:rPr>
                <w:sz w:val="20"/>
                <w:szCs w:val="20"/>
                <w:color w:val="auto"/>
              </w:rPr>
            </w:pPr>
            <w:r>
              <w:rPr>
                <w:rFonts w:ascii="Arial" w:cs="Arial" w:eastAsia="Arial" w:hAnsi="Arial"/>
                <w:sz w:val="18"/>
                <w:szCs w:val="18"/>
                <w:color w:val="auto"/>
              </w:rPr>
              <w:t>Adjusted Diluted EPS</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0.23</w:t>
            </w:r>
          </w:p>
        </w:tc>
      </w:tr>
    </w:tbl>
    <w:p>
      <w:pPr>
        <w:spacing w:after="0" w:line="206" w:lineRule="exact"/>
        <w:rPr>
          <w:sz w:val="20"/>
          <w:szCs w:val="20"/>
          <w:color w:val="auto"/>
        </w:rPr>
      </w:pPr>
    </w:p>
    <w:p>
      <w:pPr>
        <w:ind w:left="700" w:right="579" w:hanging="332"/>
        <w:spacing w:after="0" w:line="237" w:lineRule="auto"/>
        <w:tabs>
          <w:tab w:leader="none" w:pos="700"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Assumes the exchange of all outstanding LLC Interests for shares of Class A or Class B common stock, resulting in the elimination of the non-controlling interests and recognition of the net income attributable to non-controlling interests.</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March 31, 2020, we did not have any off-balance sheet arrangements.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40" w:right="119" w:firstLine="324"/>
        <w:spacing w:after="0" w:line="259" w:lineRule="auto"/>
        <w:rPr>
          <w:sz w:val="20"/>
          <w:szCs w:val="20"/>
          <w:color w:val="auto"/>
        </w:rPr>
      </w:pPr>
      <w:r>
        <w:rPr>
          <w:rFonts w:ascii="Arial" w:cs="Arial" w:eastAsia="Arial" w:hAnsi="Arial"/>
          <w:sz w:val="18"/>
          <w:szCs w:val="18"/>
          <w:color w:val="auto"/>
        </w:rPr>
        <w:t>Our consolidated financial statements are prepared in accordance with U.S. GAAP which requires us to make estimates and assumptions about future events that affect the reported amounts of assets, liabilities, revenues and expenses, and disclosure of contingent assets and liabilities. Management evaluates its accounting policies, estimates and judgments on an on-going basis.</w:t>
      </w:r>
    </w:p>
    <w:p>
      <w:pPr>
        <w:spacing w:after="0" w:line="187" w:lineRule="exact"/>
        <w:rPr>
          <w:sz w:val="20"/>
          <w:szCs w:val="20"/>
          <w:color w:val="auto"/>
        </w:rPr>
      </w:pPr>
    </w:p>
    <w:p>
      <w:pPr>
        <w:ind w:left="40" w:right="79" w:firstLine="324"/>
        <w:spacing w:after="0" w:line="272" w:lineRule="auto"/>
        <w:rPr>
          <w:sz w:val="20"/>
          <w:szCs w:val="20"/>
          <w:color w:val="auto"/>
        </w:rPr>
      </w:pPr>
      <w:r>
        <w:rPr>
          <w:rFonts w:ascii="Arial" w:cs="Arial" w:eastAsia="Arial" w:hAnsi="Arial"/>
          <w:sz w:val="17"/>
          <w:szCs w:val="17"/>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With respect to critical accounting policies,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unaudited consolidated financial statements included elsewhere in this Quarterly Report on Form 10-Q.</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40" w:right="119" w:firstLine="324"/>
        <w:spacing w:after="0" w:line="270"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and disclosures in our consolidated financial statements and accompanying notes.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Such estimates include pushdown accounting, intangible assets, goodwill, software development costs, stock based compensation, and current and deferred income taxes.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Pushdown Accounting</w:t>
      </w:r>
    </w:p>
    <w:p>
      <w:pPr>
        <w:spacing w:after="0" w:line="225" w:lineRule="exact"/>
        <w:rPr>
          <w:sz w:val="20"/>
          <w:szCs w:val="20"/>
          <w:color w:val="auto"/>
        </w:rPr>
      </w:pPr>
    </w:p>
    <w:p>
      <w:pPr>
        <w:ind w:left="40" w:right="179" w:firstLine="324"/>
        <w:spacing w:after="0" w:line="311" w:lineRule="auto"/>
        <w:rPr>
          <w:sz w:val="20"/>
          <w:szCs w:val="20"/>
          <w:color w:val="auto"/>
        </w:rPr>
      </w:pPr>
      <w:r>
        <w:rPr>
          <w:rFonts w:ascii="Arial" w:cs="Arial" w:eastAsia="Arial" w:hAnsi="Arial"/>
          <w:sz w:val="16"/>
          <w:szCs w:val="16"/>
          <w:color w:val="auto"/>
        </w:rPr>
        <w:t>The Refinitiv Transaction was accounted for by Refinitiv in accordance with the acquisition method of accounting pursuant to ASC 805 “Business Combinations” and pushdown accounting was applied to Refinitiv to record the fair value of the assets and liabilities of Refinitiv on the date of the Refinitiv Transaction. We, as a consolidating subsidiary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2" w:name="page63"/>
    <w:bookmarkEnd w:id="6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79"/>
        <w:spacing w:after="0" w:line="279" w:lineRule="auto"/>
        <w:rPr>
          <w:sz w:val="20"/>
          <w:szCs w:val="20"/>
          <w:color w:val="auto"/>
        </w:rPr>
      </w:pPr>
      <w:r>
        <w:rPr>
          <w:rFonts w:ascii="Arial" w:cs="Arial" w:eastAsia="Arial" w:hAnsi="Arial"/>
          <w:sz w:val="17"/>
          <w:szCs w:val="17"/>
          <w:color w:val="auto"/>
        </w:rPr>
        <w:t>of Refinitiv, also accounted for the Refinitiv Transaction using pushdown accounting. Under pushdown accounting, the excess of our fair value above the fair value accounting basis of our net assets and liabilities is recorded as goodwill. The fair value of assets acquired and liabilities assumed was determined based on assumptions that reasonable market participants would use in the principal (or most advantageous) market for the asset or liability.</w:t>
      </w:r>
    </w:p>
    <w:p>
      <w:pPr>
        <w:spacing w:after="0" w:line="171" w:lineRule="exact"/>
        <w:rPr>
          <w:sz w:val="20"/>
          <w:szCs w:val="20"/>
          <w:color w:val="auto"/>
        </w:rPr>
      </w:pPr>
    </w:p>
    <w:p>
      <w:pPr>
        <w:ind w:left="40" w:right="199" w:firstLine="324"/>
        <w:spacing w:after="0" w:line="308" w:lineRule="auto"/>
        <w:rPr>
          <w:sz w:val="20"/>
          <w:szCs w:val="20"/>
          <w:color w:val="auto"/>
        </w:rPr>
      </w:pPr>
      <w:r>
        <w:rPr>
          <w:rFonts w:ascii="Arial" w:cs="Arial" w:eastAsia="Arial" w:hAnsi="Arial"/>
          <w:sz w:val="17"/>
          <w:szCs w:val="17"/>
          <w:color w:val="auto"/>
        </w:rPr>
        <w:t>In determining the fair value of the assets acquired and the liabilities assumed, we considered a report of a third-party valuation expert. Management is responsible for these internal and third-party valuations and appraisals.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40" w:right="79" w:firstLine="324"/>
        <w:spacing w:after="0" w:line="296" w:lineRule="auto"/>
        <w:rPr>
          <w:sz w:val="20"/>
          <w:szCs w:val="20"/>
          <w:color w:val="auto"/>
        </w:rPr>
      </w:pPr>
      <w:r>
        <w:rPr>
          <w:rFonts w:ascii="Arial" w:cs="Arial" w:eastAsia="Arial" w:hAnsi="Arial"/>
          <w:sz w:val="16"/>
          <w:szCs w:val="16"/>
          <w:color w:val="auto"/>
        </w:rPr>
        <w:t>We amortize our intangible assets over the estimated useful lives and test for impairment whenever events or changes in circumstances suggest that an asset’s or asset group’s carrying value may not be fully recoverable. We test our intangible assets with an indefinite useful life for impairment at least annually. An impairment loss is recognized if the sum of the estimated discounted cash flows relating to the asset or asset group is less than the corresponding carrying value. Intangible assets are amortized over their estimated useful lives of seven to twelve years.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40" w:right="59" w:firstLine="324"/>
        <w:spacing w:after="0" w:line="254" w:lineRule="auto"/>
        <w:rPr>
          <w:sz w:val="20"/>
          <w:szCs w:val="20"/>
          <w:color w:val="auto"/>
        </w:rPr>
      </w:pPr>
      <w:r>
        <w:rPr>
          <w:rFonts w:ascii="Arial" w:cs="Arial" w:eastAsia="Arial" w:hAnsi="Arial"/>
          <w:sz w:val="18"/>
          <w:szCs w:val="18"/>
          <w:color w:val="auto"/>
        </w:rPr>
        <w:t>Goodwill arises out of pushdown accounting and business combinations and is the cost of acquired companies in excess of the fair value of identifiable net assets at acquisition date. We test our goodwill at least annually for impairment and recognize an impairment loss if the estimated fair value of a reporting unit is less than its net book value. The Company is one reporting unit for goodwill impairment testing purposes. The fair value of a reporting unit is calculated based on the fair market value of the Company’s Class A and B common shares. We calculate such loss as the difference between the estimated fair value of goodwill and its carrying value. If future events or results differ adversely from the estimates and assumptions made at acquisition or as part of subsequent impairment tests, we may record increased amortization or impairment charges in the future.</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25" w:lineRule="exact"/>
        <w:rPr>
          <w:sz w:val="20"/>
          <w:szCs w:val="20"/>
          <w:color w:val="auto"/>
        </w:rPr>
      </w:pPr>
    </w:p>
    <w:p>
      <w:pPr>
        <w:ind w:left="40" w:right="119" w:firstLine="324"/>
        <w:spacing w:after="0" w:line="270" w:lineRule="auto"/>
        <w:rPr>
          <w:sz w:val="20"/>
          <w:szCs w:val="20"/>
          <w:color w:val="auto"/>
        </w:rPr>
      </w:pPr>
      <w:r>
        <w:rPr>
          <w:rFonts w:ascii="Arial" w:cs="Arial" w:eastAsia="Arial" w:hAnsi="Arial"/>
          <w:sz w:val="17"/>
          <w:szCs w:val="17"/>
          <w:color w:val="auto"/>
        </w:rPr>
        <w:t>We capitalize certain costs associated with the development of internal use software at the point at which the conceptual formulation, design and testing of possible software project alternatives have been completed, including among other items, employee compensation and related benefits and third-party consulting costs incurred during the application development stage which directly contribute to such development. Such costs are amortized on a straight-line basis over three years. Costs capitalized as part of the pushdown accounting allocation are amortized over nine years. We review the amounts capitalized for impairment whenever events or changes in circumstances indicate that the carrying amounts of the assets may not be fully recoverable, or that their useful lives are shorter than originally expected. Due to rapidly changing technology and the uncertainty of the software development process itself, future results could be affected if management’s current assessment of its software projects differs from actual performance.</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0" w:right="299" w:firstLine="324"/>
        <w:spacing w:after="0" w:line="291" w:lineRule="auto"/>
        <w:rPr>
          <w:sz w:val="20"/>
          <w:szCs w:val="20"/>
          <w:color w:val="auto"/>
        </w:rPr>
      </w:pPr>
      <w:r>
        <w:rPr>
          <w:rFonts w:ascii="Arial" w:cs="Arial" w:eastAsia="Arial" w:hAnsi="Arial"/>
          <w:sz w:val="16"/>
          <w:szCs w:val="16"/>
          <w:color w:val="auto"/>
        </w:rPr>
        <w:t>We earn fees from Refinitiv relating to the sale of market data to Refinitiv, which redistributes that data. Included in these fees are real-time market data fees which are recognized in the period that the data is provided, generally on</w:t>
      </w:r>
    </w:p>
    <w:p>
      <w:pPr>
        <w:ind w:left="40" w:right="219"/>
        <w:spacing w:after="0" w:line="255" w:lineRule="auto"/>
        <w:rPr>
          <w:sz w:val="20"/>
          <w:szCs w:val="20"/>
          <w:color w:val="auto"/>
        </w:rPr>
      </w:pPr>
      <w:r>
        <w:rPr>
          <w:rFonts w:ascii="Arial" w:cs="Arial" w:eastAsia="Arial" w:hAnsi="Arial"/>
          <w:sz w:val="18"/>
          <w:szCs w:val="18"/>
          <w:color w:val="auto"/>
        </w:rPr>
        <w:t>a monthly basis, and fees for historical data sets which are recognized when the historical data set is provided to Refinitiv. We are required to make significant judgements for the Refinitiv market data fees. Significant judgements used in accounting for this contract include:</w:t>
      </w:r>
    </w:p>
    <w:p>
      <w:pPr>
        <w:spacing w:after="0" w:line="190" w:lineRule="exact"/>
        <w:rPr>
          <w:sz w:val="20"/>
          <w:szCs w:val="20"/>
          <w:color w:val="auto"/>
        </w:rPr>
      </w:pPr>
    </w:p>
    <w:p>
      <w:pPr>
        <w:ind w:left="1020" w:right="799" w:hanging="328"/>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170" w:lineRule="exact"/>
        <w:rPr>
          <w:rFonts w:ascii="Arial" w:cs="Arial" w:eastAsia="Arial" w:hAnsi="Arial"/>
          <w:sz w:val="18"/>
          <w:szCs w:val="18"/>
          <w:color w:val="auto"/>
        </w:rPr>
      </w:pPr>
    </w:p>
    <w:p>
      <w:pPr>
        <w:ind w:left="1020" w:right="139" w:hanging="328"/>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3" w:name="page64"/>
    <w:bookmarkEnd w:id="6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259" w:hanging="328"/>
        <w:spacing w:after="0" w:line="263"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Determining the transaction price for the performance obligations by using a market assessment analysis. Inputs in this analysis include a consultant study which determined the overall value of our market data and pricing information for historical data sets provided by other companies.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40" w:right="159" w:firstLine="324"/>
        <w:spacing w:after="0" w:line="301" w:lineRule="auto"/>
        <w:rPr>
          <w:sz w:val="20"/>
          <w:szCs w:val="20"/>
          <w:color w:val="auto"/>
        </w:rPr>
      </w:pPr>
      <w:r>
        <w:rPr>
          <w:rFonts w:ascii="Arial" w:cs="Arial" w:eastAsia="Arial" w:hAnsi="Arial"/>
          <w:sz w:val="16"/>
          <w:szCs w:val="16"/>
          <w:color w:val="auto"/>
        </w:rPr>
        <w:t>The stock-based compensation that our employees receive is accounted for as equity or liability awards. As a stock-based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w:t>
      </w:r>
    </w:p>
    <w:p>
      <w:pPr>
        <w:spacing w:after="0" w:line="157" w:lineRule="exact"/>
        <w:rPr>
          <w:sz w:val="20"/>
          <w:szCs w:val="20"/>
          <w:color w:val="auto"/>
        </w:rPr>
      </w:pPr>
    </w:p>
    <w:p>
      <w:pPr>
        <w:ind w:left="40" w:right="59" w:firstLine="324"/>
        <w:spacing w:after="0" w:line="279" w:lineRule="auto"/>
        <w:rPr>
          <w:sz w:val="20"/>
          <w:szCs w:val="20"/>
          <w:color w:val="auto"/>
        </w:rPr>
      </w:pPr>
      <w:r>
        <w:rPr>
          <w:rFonts w:ascii="Arial" w:cs="Arial" w:eastAsia="Arial" w:hAnsi="Arial"/>
          <w:sz w:val="17"/>
          <w:szCs w:val="17"/>
          <w:color w:val="auto"/>
        </w:rPr>
        <w:t>As a stock-based liability award, the cost of the employee services received in exchange for an award of equity instruments is generally measured based on the grant-date fair value of the award. The fair value of that award is remeasured subsequently at each reporting date through to settlement. Changes in the fair value of the equity instrument are recognized as compensation cost over that period in our consolidated statements of income.</w:t>
      </w:r>
    </w:p>
    <w:p>
      <w:pPr>
        <w:spacing w:after="0" w:line="171" w:lineRule="exact"/>
        <w:rPr>
          <w:sz w:val="20"/>
          <w:szCs w:val="20"/>
          <w:color w:val="auto"/>
        </w:rPr>
      </w:pPr>
    </w:p>
    <w:p>
      <w:pPr>
        <w:ind w:left="40" w:right="59" w:firstLine="324"/>
        <w:spacing w:after="0" w:line="277" w:lineRule="auto"/>
        <w:rPr>
          <w:sz w:val="20"/>
          <w:szCs w:val="20"/>
          <w:color w:val="auto"/>
        </w:rPr>
      </w:pPr>
      <w:r>
        <w:rPr>
          <w:rFonts w:ascii="Arial" w:cs="Arial" w:eastAsia="Arial" w:hAnsi="Arial"/>
          <w:sz w:val="18"/>
          <w:szCs w:val="18"/>
          <w:color w:val="auto"/>
        </w:rPr>
        <w:t>For grants made during the post-IPO period, the fair value of the equity instruments is determined based on the price of the Company’s Class A common stock on the grant date.</w:t>
      </w:r>
    </w:p>
    <w:p>
      <w:pPr>
        <w:spacing w:after="0" w:line="170" w:lineRule="exact"/>
        <w:rPr>
          <w:sz w:val="20"/>
          <w:szCs w:val="20"/>
          <w:color w:val="auto"/>
        </w:rPr>
      </w:pPr>
    </w:p>
    <w:p>
      <w:pPr>
        <w:ind w:left="40" w:right="99" w:firstLine="324"/>
        <w:spacing w:after="0" w:line="269" w:lineRule="auto"/>
        <w:rPr>
          <w:sz w:val="20"/>
          <w:szCs w:val="20"/>
          <w:color w:val="auto"/>
        </w:rPr>
      </w:pPr>
      <w:r>
        <w:rPr>
          <w:rFonts w:ascii="Arial" w:cs="Arial" w:eastAsia="Arial" w:hAnsi="Arial"/>
          <w:sz w:val="17"/>
          <w:szCs w:val="17"/>
          <w:color w:val="auto"/>
        </w:rPr>
        <w:t>Prior to and following the IPO, we awarded options to management and other employees (collectively, the “Special Option Award”) under the Amended and Restated Tradeweb Markets Inc. Option Plan. In accounting for the options issued under this plan, we measure and recognize compensation expense for all awards based on their estimated fair values measured as of the grant date. Costs related to these options are recognized as an expense in our consolidated statements of income over the requisite service period, with an offsetting increase to additional paid-in capital. We started to expense the non-cash stock-based compensation related to the Special Option Award beginning in the second quarter of 2019, with a charge of $20.4 million ($18.9 million of which was charged immediately upon the completion of the IPO), and will continue to expense over the following three years. For more information, please see “Executive Compensation—Narrative Disclosure to Summary Compensation Table—Amended and Restated Tradeweb Markets Inc. 2018 Share Option Plan” in the October Prospectus.</w:t>
      </w:r>
    </w:p>
    <w:p>
      <w:pPr>
        <w:spacing w:after="0" w:line="185" w:lineRule="exact"/>
        <w:rPr>
          <w:sz w:val="20"/>
          <w:szCs w:val="20"/>
          <w:color w:val="auto"/>
        </w:rPr>
      </w:pPr>
    </w:p>
    <w:p>
      <w:pPr>
        <w:ind w:left="40" w:right="299" w:firstLine="324"/>
        <w:spacing w:after="0" w:line="279" w:lineRule="auto"/>
        <w:rPr>
          <w:sz w:val="20"/>
          <w:szCs w:val="20"/>
          <w:color w:val="auto"/>
        </w:rPr>
      </w:pPr>
      <w:r>
        <w:rPr>
          <w:rFonts w:ascii="Arial" w:cs="Arial" w:eastAsia="Arial" w:hAnsi="Arial"/>
          <w:sz w:val="17"/>
          <w:szCs w:val="17"/>
          <w:color w:val="auto"/>
        </w:rPr>
        <w:t>We use the Black-Scholes pricing model to value some of our stock-based awards. Determining the appropriate fair value model and calculating the fair value of the stock-based awards requires the input of highly subjective assumptions, including the expected life of the stock-based awards, the number of expected stock-based awards that will be forfeited prior to the completion of the vesting requirements, and the stock price volatility.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We believe that it is more likely than not that the Company will be able to realize its deferred tax assets in the future; therefore, no valuation allowance is necessary.</w:t>
      </w:r>
    </w:p>
    <w:p>
      <w:pPr>
        <w:spacing w:after="0" w:line="185" w:lineRule="exact"/>
        <w:rPr>
          <w:sz w:val="20"/>
          <w:szCs w:val="20"/>
          <w:color w:val="auto"/>
        </w:rPr>
      </w:pPr>
    </w:p>
    <w:p>
      <w:pPr>
        <w:ind w:left="40" w:right="179" w:firstLine="324"/>
        <w:spacing w:after="0" w:line="263" w:lineRule="auto"/>
        <w:rPr>
          <w:sz w:val="20"/>
          <w:szCs w:val="20"/>
          <w:color w:val="auto"/>
        </w:rPr>
      </w:pPr>
      <w:r>
        <w:rPr>
          <w:rFonts w:ascii="Arial" w:cs="Arial" w:eastAsia="Arial" w:hAnsi="Arial"/>
          <w:sz w:val="18"/>
          <w:szCs w:val="18"/>
          <w:color w:val="auto"/>
        </w:rPr>
        <w:t>We recognize interest and penalties related to unrecognized tax benefits within the provision for income taxes in our consolidated statements of income. Accrued interest and penalties are included within accounts payable, accrued expenses and other liabilities in our consolidated statements of financial condition.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4" w:name="page65"/>
    <w:bookmarkEnd w:id="6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firstLine="324"/>
        <w:spacing w:after="0" w:line="263" w:lineRule="auto"/>
        <w:rPr>
          <w:sz w:val="20"/>
          <w:szCs w:val="20"/>
          <w:color w:val="auto"/>
        </w:rPr>
      </w:pPr>
      <w:r>
        <w:rPr>
          <w:rFonts w:ascii="Arial" w:cs="Arial" w:eastAsia="Arial" w:hAnsi="Arial"/>
          <w:sz w:val="18"/>
          <w:szCs w:val="18"/>
          <w:color w:val="auto"/>
        </w:rPr>
        <w:t>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ind w:left="40" w:right="159" w:firstLine="324"/>
        <w:spacing w:after="0" w:line="290" w:lineRule="auto"/>
        <w:rPr>
          <w:sz w:val="20"/>
          <w:szCs w:val="20"/>
          <w:color w:val="auto"/>
        </w:rPr>
      </w:pPr>
      <w:r>
        <w:rPr>
          <w:rFonts w:ascii="Arial" w:cs="Arial" w:eastAsia="Arial" w:hAnsi="Arial"/>
          <w:sz w:val="16"/>
          <w:szCs w:val="16"/>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follow-on offering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w:t>
      </w:r>
    </w:p>
    <w:p>
      <w:pPr>
        <w:spacing w:after="0" w:line="165" w:lineRule="exact"/>
        <w:rPr>
          <w:sz w:val="20"/>
          <w:szCs w:val="20"/>
          <w:color w:val="auto"/>
        </w:rPr>
      </w:pPr>
    </w:p>
    <w:p>
      <w:pPr>
        <w:ind w:left="40" w:right="179" w:firstLine="324"/>
        <w:spacing w:after="0" w:line="255" w:lineRule="auto"/>
        <w:rPr>
          <w:sz w:val="20"/>
          <w:szCs w:val="20"/>
          <w:color w:val="auto"/>
        </w:rPr>
      </w:pPr>
      <w:r>
        <w:rPr>
          <w:rFonts w:ascii="Arial" w:cs="Arial" w:eastAsia="Arial" w:hAnsi="Arial"/>
          <w:sz w:val="18"/>
          <w:szCs w:val="18"/>
          <w:color w:val="auto"/>
        </w:rPr>
        <w:t>We recorded an initial liability of $171.4 million related to our projected obligations under the Tax Receivable Agreement with respect to LLC Interests that were purchased by us using the net proceeds from the IPO. As of December 31, 2019, the liability was $240.8 million primarily due to the purchase of LLC Interests by the Corporation using the net proceeds of the October 2019 follow-on offering as well as additional exchanges of LLC Interests by Continuing LLC Owners. During the first quarter of 2020, the liability increased to $252.0 million primarily due to additional exchanges of LLC Interests by Continuing LLC Owners.</w:t>
      </w:r>
    </w:p>
    <w:p>
      <w:pPr>
        <w:spacing w:after="0" w:line="192" w:lineRule="exact"/>
        <w:rPr>
          <w:sz w:val="20"/>
          <w:szCs w:val="20"/>
          <w:color w:val="auto"/>
        </w:rPr>
      </w:pPr>
    </w:p>
    <w:p>
      <w:pPr>
        <w:ind w:left="40" w:right="219" w:firstLine="324"/>
        <w:spacing w:after="0" w:line="286" w:lineRule="auto"/>
        <w:rPr>
          <w:sz w:val="20"/>
          <w:szCs w:val="20"/>
          <w:color w:val="auto"/>
        </w:rPr>
      </w:pPr>
      <w:r>
        <w:rPr>
          <w:rFonts w:ascii="Arial" w:cs="Arial" w:eastAsia="Arial" w:hAnsi="Arial"/>
          <w:sz w:val="17"/>
          <w:szCs w:val="17"/>
          <w:color w:val="auto"/>
        </w:rPr>
        <w:t>The impact of any changes in the projected obligations under the Tax Receivable Agreement as a result of changes in the geographic mix of the our earnings, changes in tax legislation and tax rates or other factors that may impact our tax savings will be reflected in income before taxes in the period in which the change occurs.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 – Recently Adopted</w:t>
      </w:r>
    </w:p>
    <w:p>
      <w:pPr>
        <w:spacing w:after="0" w:line="229" w:lineRule="exact"/>
        <w:rPr>
          <w:sz w:val="20"/>
          <w:szCs w:val="20"/>
          <w:color w:val="auto"/>
        </w:rPr>
      </w:pPr>
    </w:p>
    <w:p>
      <w:pPr>
        <w:ind w:left="40" w:right="119" w:firstLine="324"/>
        <w:spacing w:after="0" w:line="342" w:lineRule="auto"/>
        <w:rPr>
          <w:sz w:val="20"/>
          <w:szCs w:val="20"/>
          <w:color w:val="auto"/>
        </w:rPr>
      </w:pPr>
      <w:r>
        <w:rPr>
          <w:rFonts w:ascii="Arial" w:cs="Arial" w:eastAsia="Arial" w:hAnsi="Arial"/>
          <w:sz w:val="16"/>
          <w:szCs w:val="16"/>
          <w:color w:val="auto"/>
        </w:rPr>
        <w:t>See Note 2 – Significant Accounting Policies to our unaudited consolidated financial statements included elsewhere in this Quarterly Report on Form 10-Q for a discussion of recent accounting pronouncements (adopted and not yet adopted).</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ind w:left="40" w:right="179" w:firstLine="324"/>
        <w:spacing w:after="0" w:line="286" w:lineRule="auto"/>
        <w:rPr>
          <w:sz w:val="20"/>
          <w:szCs w:val="20"/>
          <w:color w:val="auto"/>
        </w:rPr>
      </w:pPr>
      <w:r>
        <w:rPr>
          <w:rFonts w:ascii="Arial" w:cs="Arial" w:eastAsia="Arial" w:hAnsi="Arial"/>
          <w:sz w:val="17"/>
          <w:szCs w:val="17"/>
          <w:color w:val="auto"/>
        </w:rPr>
        <w:t>While inflation may impact our revenues and operating expenses,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229" w:lineRule="exact"/>
        <w:rPr>
          <w:sz w:val="20"/>
          <w:szCs w:val="20"/>
          <w:color w:val="auto"/>
        </w:rPr>
      </w:pPr>
    </w:p>
    <w:p>
      <w:pPr>
        <w:ind w:left="40" w:right="139" w:firstLine="324"/>
        <w:spacing w:after="0" w:line="296" w:lineRule="auto"/>
        <w:rPr>
          <w:sz w:val="20"/>
          <w:szCs w:val="20"/>
          <w:color w:val="auto"/>
        </w:rPr>
      </w:pPr>
      <w:r>
        <w:rPr>
          <w:rFonts w:ascii="Arial" w:cs="Arial" w:eastAsia="Arial" w:hAnsi="Arial"/>
          <w:sz w:val="16"/>
          <w:szCs w:val="16"/>
          <w:color w:val="auto"/>
        </w:rPr>
        <w:t>The Jumpstart Our Business Startups Act of 2012 (the “JOBS Act”) permits us, as an “emerging growth company,” to take advantage of an extended transition period to comply with new or revised accounting standards applicable to public companies. We have elected to “opt out” of this provision and, as a result, we will comply with new or revised accounting standards on the relevant dates on which adoption of such standards is required for public companies that are not emerging growth companies. This decision to opt out of the extended transition period under the JOBS Act is irrevocable.</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Foreign Currency and Derivative Risk</w:t>
      </w:r>
    </w:p>
    <w:p>
      <w:pPr>
        <w:spacing w:after="0" w:line="225" w:lineRule="exact"/>
        <w:rPr>
          <w:sz w:val="20"/>
          <w:szCs w:val="20"/>
          <w:color w:val="auto"/>
        </w:rPr>
      </w:pPr>
    </w:p>
    <w:p>
      <w:pPr>
        <w:ind w:left="40" w:right="239" w:firstLine="324"/>
        <w:spacing w:after="0" w:line="277" w:lineRule="auto"/>
        <w:rPr>
          <w:sz w:val="20"/>
          <w:szCs w:val="20"/>
          <w:color w:val="auto"/>
        </w:rPr>
      </w:pPr>
      <w:r>
        <w:rPr>
          <w:rFonts w:ascii="Arial" w:cs="Arial" w:eastAsia="Arial" w:hAnsi="Arial"/>
          <w:sz w:val="18"/>
          <w:szCs w:val="18"/>
          <w:color w:val="auto"/>
        </w:rPr>
        <w:t>We have global operations and substantial portions of our revenues, expenses, assets and liabilities are generated and denominated in non-U.S. dollar currencies.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5" w:name="page66"/>
    <w:bookmarkEnd w:id="6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99" w:firstLine="324"/>
        <w:spacing w:after="0" w:line="277" w:lineRule="auto"/>
        <w:rPr>
          <w:sz w:val="20"/>
          <w:szCs w:val="20"/>
          <w:color w:val="auto"/>
        </w:rPr>
      </w:pPr>
      <w:r>
        <w:rPr>
          <w:rFonts w:ascii="Arial" w:cs="Arial" w:eastAsia="Arial" w:hAnsi="Arial"/>
          <w:sz w:val="18"/>
          <w:szCs w:val="18"/>
          <w:color w:val="auto"/>
        </w:rPr>
        <w:t>The following table shows the percentage breakdown of our gross revenue and operating expenses denominated in currencies other than the U.S. dollar for the three months ended March 31, 2020 and 2019:</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160" w:type="dxa"/>
            <w:vAlign w:val="bottom"/>
          </w:tcPr>
          <w:p>
            <w:pPr>
              <w:jc w:val="center"/>
              <w:ind w:left="103"/>
              <w:spacing w:after="0"/>
              <w:rPr>
                <w:sz w:val="20"/>
                <w:szCs w:val="20"/>
                <w:color w:val="auto"/>
              </w:rPr>
            </w:pPr>
            <w:r>
              <w:rPr>
                <w:rFonts w:ascii="Arial" w:cs="Arial" w:eastAsia="Arial" w:hAnsi="Arial"/>
                <w:sz w:val="14"/>
                <w:szCs w:val="14"/>
                <w:b w:val="1"/>
                <w:bCs w:val="1"/>
                <w:color w:val="auto"/>
                <w:w w:val="99"/>
              </w:rPr>
              <w:t>Three</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ind w:left="103"/>
              <w:spacing w:after="0"/>
              <w:rPr>
                <w:sz w:val="20"/>
                <w:szCs w:val="20"/>
                <w:color w:val="auto"/>
              </w:rPr>
            </w:pPr>
            <w:r>
              <w:rPr>
                <w:rFonts w:ascii="Arial" w:cs="Arial" w:eastAsia="Arial" w:hAnsi="Arial"/>
                <w:sz w:val="14"/>
                <w:szCs w:val="14"/>
                <w:b w:val="1"/>
                <w:bCs w:val="1"/>
                <w:color w:val="auto"/>
                <w:w w:val="99"/>
              </w:rPr>
              <w:t>Three</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48"/>
        </w:trPr>
        <w:tc>
          <w:tcPr>
            <w:tcW w:w="5620" w:type="dxa"/>
            <w:vAlign w:val="bottom"/>
          </w:tcPr>
          <w:p>
            <w:pPr>
              <w:spacing w:after="0"/>
              <w:rPr>
                <w:sz w:val="12"/>
                <w:szCs w:val="12"/>
                <w:color w:val="auto"/>
              </w:rPr>
            </w:pPr>
          </w:p>
        </w:tc>
        <w:tc>
          <w:tcPr>
            <w:tcW w:w="1160" w:type="dxa"/>
            <w:vAlign w:val="bottom"/>
          </w:tcPr>
          <w:p>
            <w:pPr>
              <w:jc w:val="center"/>
              <w:ind w:left="103"/>
              <w:spacing w:after="0" w:line="149" w:lineRule="exact"/>
              <w:rPr>
                <w:sz w:val="20"/>
                <w:szCs w:val="20"/>
                <w:color w:val="auto"/>
              </w:rPr>
            </w:pPr>
            <w:r>
              <w:rPr>
                <w:rFonts w:ascii="Arial" w:cs="Arial" w:eastAsia="Arial" w:hAnsi="Arial"/>
                <w:sz w:val="14"/>
                <w:szCs w:val="14"/>
                <w:b w:val="1"/>
                <w:bCs w:val="1"/>
                <w:color w:val="auto"/>
                <w:w w:val="92"/>
              </w:rPr>
              <w:t>Months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left="103"/>
              <w:spacing w:after="0" w:line="149" w:lineRule="exact"/>
              <w:rPr>
                <w:sz w:val="20"/>
                <w:szCs w:val="20"/>
                <w:color w:val="auto"/>
              </w:rPr>
            </w:pPr>
            <w:r>
              <w:rPr>
                <w:rFonts w:ascii="Arial" w:cs="Arial" w:eastAsia="Arial" w:hAnsi="Arial"/>
                <w:sz w:val="14"/>
                <w:szCs w:val="14"/>
                <w:b w:val="1"/>
                <w:bCs w:val="1"/>
                <w:color w:val="auto"/>
                <w:w w:val="92"/>
              </w:rPr>
              <w:t>Months</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8"/>
        </w:trPr>
        <w:tc>
          <w:tcPr>
            <w:tcW w:w="5620" w:type="dxa"/>
            <w:vAlign w:val="bottom"/>
          </w:tcPr>
          <w:p>
            <w:pPr>
              <w:spacing w:after="0"/>
              <w:rPr>
                <w:sz w:val="12"/>
                <w:szCs w:val="12"/>
                <w:color w:val="auto"/>
              </w:rPr>
            </w:pPr>
          </w:p>
        </w:tc>
        <w:tc>
          <w:tcPr>
            <w:tcW w:w="1160" w:type="dxa"/>
            <w:vAlign w:val="bottom"/>
          </w:tcPr>
          <w:p>
            <w:pPr>
              <w:jc w:val="center"/>
              <w:ind w:left="83"/>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left="83"/>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8"/>
        </w:trPr>
        <w:tc>
          <w:tcPr>
            <w:tcW w:w="5620" w:type="dxa"/>
            <w:vAlign w:val="bottom"/>
          </w:tcPr>
          <w:p>
            <w:pPr>
              <w:spacing w:after="0"/>
              <w:rPr>
                <w:sz w:val="12"/>
                <w:szCs w:val="12"/>
                <w:color w:val="auto"/>
              </w:rPr>
            </w:pPr>
          </w:p>
        </w:tc>
        <w:tc>
          <w:tcPr>
            <w:tcW w:w="1160" w:type="dxa"/>
            <w:vAlign w:val="bottom"/>
          </w:tcPr>
          <w:p>
            <w:pPr>
              <w:jc w:val="center"/>
              <w:ind w:left="63"/>
              <w:spacing w:after="0" w:line="149" w:lineRule="exact"/>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left="63"/>
              <w:spacing w:after="0" w:line="149" w:lineRule="exact"/>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1"/>
        </w:trPr>
        <w:tc>
          <w:tcPr>
            <w:tcW w:w="56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ind w:left="103"/>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ind w:left="103"/>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of revenue denominated in foreign currencies </w:t>
            </w:r>
            <w:r>
              <w:rPr>
                <w:rFonts w:ascii="Arial" w:cs="Arial" w:eastAsia="Arial" w:hAnsi="Arial"/>
                <w:sz w:val="8"/>
                <w:szCs w:val="8"/>
                <w:color w:val="auto"/>
              </w:rPr>
              <w:t>(1)</w:t>
            </w:r>
          </w:p>
        </w:tc>
        <w:tc>
          <w:tcPr>
            <w:tcW w:w="1160" w:type="dxa"/>
            <w:vAlign w:val="bottom"/>
            <w:shd w:val="clear" w:color="auto" w:fill="CCEEFF"/>
          </w:tcPr>
          <w:p>
            <w:pPr>
              <w:jc w:val="right"/>
              <w:ind w:right="183"/>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160" w:type="dxa"/>
            <w:vAlign w:val="bottom"/>
            <w:shd w:val="clear" w:color="auto" w:fill="CCEEFF"/>
          </w:tcPr>
          <w:p>
            <w:pPr>
              <w:jc w:val="right"/>
              <w:ind w:right="183"/>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 xml:space="preserve">% of operating expenses denominated in foreign currencies </w:t>
            </w:r>
            <w:r>
              <w:rPr>
                <w:rFonts w:ascii="Arial" w:cs="Arial" w:eastAsia="Arial" w:hAnsi="Arial"/>
                <w:sz w:val="8"/>
                <w:szCs w:val="8"/>
                <w:color w:val="auto"/>
              </w:rPr>
              <w:t>(2)</w:t>
            </w:r>
          </w:p>
        </w:tc>
        <w:tc>
          <w:tcPr>
            <w:tcW w:w="1160" w:type="dxa"/>
            <w:vAlign w:val="bottom"/>
          </w:tcPr>
          <w:p>
            <w:pPr>
              <w:jc w:val="right"/>
              <w:ind w:right="183"/>
              <w:spacing w:after="0"/>
              <w:rPr>
                <w:sz w:val="20"/>
                <w:szCs w:val="20"/>
                <w:color w:val="auto"/>
              </w:rPr>
            </w:pPr>
            <w:r>
              <w:rPr>
                <w:rFonts w:ascii="Arial" w:cs="Arial" w:eastAsia="Arial" w:hAnsi="Arial"/>
                <w:sz w:val="18"/>
                <w:szCs w:val="18"/>
                <w:color w:val="auto"/>
              </w:rPr>
              <w:t>15</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83"/>
              <w:spacing w:after="0"/>
              <w:rPr>
                <w:sz w:val="20"/>
                <w:szCs w:val="20"/>
                <w:color w:val="auto"/>
              </w:rPr>
            </w:pPr>
            <w:r>
              <w:rPr>
                <w:rFonts w:ascii="Arial" w:cs="Arial" w:eastAsia="Arial" w:hAnsi="Arial"/>
                <w:sz w:val="18"/>
                <w:szCs w:val="18"/>
                <w:color w:val="auto"/>
              </w:rPr>
              <w:t>15</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r>
    </w:tbl>
    <w:p>
      <w:pPr>
        <w:spacing w:after="0" w:line="182" w:lineRule="exact"/>
        <w:rPr>
          <w:sz w:val="20"/>
          <w:szCs w:val="20"/>
          <w:color w:val="auto"/>
        </w:rPr>
      </w:pPr>
    </w:p>
    <w:p>
      <w:pPr>
        <w:ind w:left="440" w:hanging="315"/>
        <w:spacing w:after="0"/>
        <w:tabs>
          <w:tab w:leader="none" w:pos="4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Gross revenue in foreign currencies is primarily denominated in Euros.</w:t>
      </w:r>
    </w:p>
    <w:p>
      <w:pPr>
        <w:ind w:left="440" w:hanging="315"/>
        <w:spacing w:after="0"/>
        <w:tabs>
          <w:tab w:leader="none" w:pos="4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Operating expenses in foreign currencies are primarily denominated in British pounds.</w:t>
      </w:r>
    </w:p>
    <w:p>
      <w:pPr>
        <w:spacing w:after="0" w:line="196" w:lineRule="exact"/>
        <w:rPr>
          <w:sz w:val="20"/>
          <w:szCs w:val="20"/>
          <w:color w:val="auto"/>
        </w:rPr>
      </w:pPr>
    </w:p>
    <w:p>
      <w:pPr>
        <w:ind w:left="40" w:right="59" w:firstLine="324"/>
        <w:spacing w:after="0" w:line="272" w:lineRule="auto"/>
        <w:rPr>
          <w:sz w:val="20"/>
          <w:szCs w:val="20"/>
          <w:color w:val="auto"/>
        </w:rPr>
      </w:pPr>
      <w:r>
        <w:rPr>
          <w:rFonts w:ascii="Arial" w:cs="Arial" w:eastAsia="Arial" w:hAnsi="Arial"/>
          <w:sz w:val="17"/>
          <w:szCs w:val="17"/>
          <w:color w:val="auto"/>
        </w:rPr>
        <w:t>Since our consolidated financial statements are presented in U.S. dollars, we must translate revenues and expenses, as well as assets and liabilities, into U.S. dollars. Accordingly, increases or decreases in the value of the U.S. dollar against the other currencies will affect our net operating revenues, operating income and the value of balance sheet items denominated in foreign currencies. Revenues and expenses denominated in currencies other than the U.S. dollar are translated at the rate of exchange prevailing at the transaction date. Assets and liabilities denominated in foreign currencies are translated at the rate prevailing at the end of the reporting period. Any gain or loss resulting from the translation of assets and liabilities is included as a component of comprehensive income.</w:t>
      </w:r>
    </w:p>
    <w:p>
      <w:pPr>
        <w:spacing w:after="0" w:line="177" w:lineRule="exact"/>
        <w:rPr>
          <w:sz w:val="20"/>
          <w:szCs w:val="20"/>
          <w:color w:val="auto"/>
        </w:rPr>
      </w:pPr>
    </w:p>
    <w:p>
      <w:pPr>
        <w:ind w:left="40" w:right="679" w:firstLine="324"/>
        <w:spacing w:after="0" w:line="277" w:lineRule="auto"/>
        <w:rPr>
          <w:sz w:val="20"/>
          <w:szCs w:val="20"/>
          <w:color w:val="auto"/>
        </w:rPr>
      </w:pPr>
      <w:r>
        <w:rPr>
          <w:rFonts w:ascii="Arial" w:cs="Arial" w:eastAsia="Arial" w:hAnsi="Arial"/>
          <w:sz w:val="18"/>
          <w:szCs w:val="18"/>
          <w:color w:val="auto"/>
        </w:rPr>
        <w:t>The following table shows the change in gross revenue and operating income caused by fluctuations in foreign currency rates during the three months ended March 31, 2020 and 2019:</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43"/>
              <w:spacing w:after="0"/>
              <w:rPr>
                <w:sz w:val="20"/>
                <w:szCs w:val="20"/>
                <w:color w:val="auto"/>
              </w:rPr>
            </w:pPr>
            <w:r>
              <w:rPr>
                <w:rFonts w:ascii="Arial" w:cs="Arial" w:eastAsia="Arial" w:hAnsi="Arial"/>
                <w:sz w:val="14"/>
                <w:szCs w:val="14"/>
                <w:b w:val="1"/>
                <w:bCs w:val="1"/>
                <w:color w:val="auto"/>
                <w:w w:val="99"/>
              </w:rPr>
              <w:t>Three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Three</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w w:val="92"/>
              </w:rPr>
              <w:t>Months</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148"/>
        </w:trPr>
        <w:tc>
          <w:tcPr>
            <w:tcW w:w="5300" w:type="dxa"/>
            <w:vAlign w:val="bottom"/>
            <w:vMerge w:val="restart"/>
          </w:tcPr>
          <w:p>
            <w:pPr>
              <w:spacing w:after="0"/>
              <w:rPr>
                <w:sz w:val="20"/>
                <w:szCs w:val="20"/>
                <w:color w:val="auto"/>
              </w:rPr>
            </w:pPr>
            <w:r>
              <w:rPr>
                <w:rFonts w:ascii="Arial" w:cs="Arial" w:eastAsia="Arial" w:hAnsi="Arial"/>
                <w:sz w:val="14"/>
                <w:szCs w:val="14"/>
                <w:b w:val="1"/>
                <w:bCs w:val="1"/>
                <w:color w:val="auto"/>
              </w:rPr>
              <w:t>Impact of Foreign Currency Rate Fluctuations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63"/>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53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83"/>
              <w:spacing w:after="0" w:line="149" w:lineRule="exact"/>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5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(amounts in thousands)</w:t>
            </w: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6"/>
              </w:rPr>
              <w:t>2020</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6"/>
              </w:rPr>
              <w:t>2019</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gross revenue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Increase (decrease) in operating income</w:t>
            </w:r>
          </w:p>
        </w:tc>
        <w:tc>
          <w:tcPr>
            <w:tcW w:w="5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5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99" w:firstLine="324"/>
        <w:spacing w:after="0" w:line="342" w:lineRule="auto"/>
        <w:rPr>
          <w:sz w:val="20"/>
          <w:szCs w:val="20"/>
          <w:color w:val="auto"/>
        </w:rPr>
      </w:pPr>
      <w:r>
        <w:rPr>
          <w:rFonts w:ascii="Arial" w:cs="Arial" w:eastAsia="Arial" w:hAnsi="Arial"/>
          <w:sz w:val="16"/>
          <w:szCs w:val="16"/>
          <w:color w:val="auto"/>
        </w:rPr>
        <w:t>The following table shows the impact a hypothetical 10% increase or decrease in the U.S. dollar against all other currencies would have on actual gross revenue and operating income for the three months ended March 31, 2020 and 2019:</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203"/>
              <w:spacing w:after="0"/>
              <w:rPr>
                <w:sz w:val="20"/>
                <w:szCs w:val="20"/>
                <w:color w:val="auto"/>
              </w:rPr>
            </w:pPr>
            <w:r>
              <w:rPr>
                <w:rFonts w:ascii="Arial" w:cs="Arial" w:eastAsia="Arial" w:hAnsi="Arial"/>
                <w:sz w:val="14"/>
                <w:szCs w:val="14"/>
                <w:b w:val="1"/>
                <w:bCs w:val="1"/>
                <w:color w:val="auto"/>
                <w:w w:val="99"/>
              </w:rPr>
              <w:t>Three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Three</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203"/>
              <w:spacing w:after="0" w:line="149" w:lineRule="exact"/>
              <w:rPr>
                <w:sz w:val="20"/>
                <w:szCs w:val="20"/>
                <w:color w:val="auto"/>
              </w:rPr>
            </w:pPr>
            <w:r>
              <w:rPr>
                <w:rFonts w:ascii="Arial" w:cs="Arial" w:eastAsia="Arial" w:hAnsi="Arial"/>
                <w:sz w:val="14"/>
                <w:szCs w:val="14"/>
                <w:b w:val="1"/>
                <w:bCs w:val="1"/>
                <w:color w:val="auto"/>
                <w:w w:val="92"/>
              </w:rPr>
              <w:t>Months</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148"/>
        </w:trPr>
        <w:tc>
          <w:tcPr>
            <w:tcW w:w="5300" w:type="dxa"/>
            <w:vAlign w:val="bottom"/>
            <w:vMerge w:val="restart"/>
          </w:tcPr>
          <w:p>
            <w:pPr>
              <w:spacing w:after="0"/>
              <w:rPr>
                <w:sz w:val="20"/>
                <w:szCs w:val="20"/>
                <w:color w:val="auto"/>
              </w:rPr>
            </w:pPr>
            <w:r>
              <w:rPr>
                <w:rFonts w:ascii="Arial" w:cs="Arial" w:eastAsia="Arial" w:hAnsi="Arial"/>
                <w:sz w:val="14"/>
                <w:szCs w:val="14"/>
                <w:b w:val="1"/>
                <w:bCs w:val="1"/>
                <w:color w:val="auto"/>
              </w:rPr>
              <w:t>Hypothetical 10% Change in Value of U.S. Dollar</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223"/>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53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243"/>
              <w:spacing w:after="0" w:line="149" w:lineRule="exact"/>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5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(amounts in thousands)</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w w:val="96"/>
              </w:rPr>
              <w:t>2020</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w w:val="96"/>
              </w:rPr>
              <w:t>2019</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Effect of 10% change on gross revenue</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$ 8,100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$ 5,700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Effect of 10% change on operating income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$ 5,500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$ 3,600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8"/>
          <w:szCs w:val="18"/>
          <w:color w:val="auto"/>
        </w:rPr>
        <w:t>We have derivative risk relating to our foreign currency forward contracts. We enter into foreign currency forward contracts to mitigate our U.S. dollar and British pound sterling versus Euro exposure, generally with a duration of less than twelve months. We do not use derivative instruments for trading or speculative purposes. As of March 31, 2020 and December 31, 2019, the notional amount of our foreign currency forward contracts was $105.0 million and $83.9 million, respectively.</w:t>
      </w:r>
    </w:p>
    <w:p>
      <w:pPr>
        <w:spacing w:after="0" w:line="188" w:lineRule="exact"/>
        <w:rPr>
          <w:sz w:val="20"/>
          <w:szCs w:val="20"/>
          <w:color w:val="auto"/>
        </w:rPr>
      </w:pPr>
    </w:p>
    <w:p>
      <w:pPr>
        <w:ind w:left="40" w:right="59" w:firstLine="324"/>
        <w:spacing w:after="0" w:line="273"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6" w:name="page67"/>
    <w:bookmarkEnd w:id="6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left="40" w:right="299" w:firstLine="324"/>
        <w:spacing w:after="0" w:line="277" w:lineRule="auto"/>
        <w:rPr>
          <w:sz w:val="20"/>
          <w:szCs w:val="20"/>
          <w:color w:val="auto"/>
        </w:rPr>
      </w:pPr>
      <w:r>
        <w:rPr>
          <w:rFonts w:ascii="Arial" w:cs="Arial" w:eastAsia="Arial" w:hAnsi="Arial"/>
          <w:sz w:val="18"/>
          <w:szCs w:val="18"/>
          <w:color w:val="auto"/>
        </w:rPr>
        <w:t>We have credit risk relating to our receivables, which are primarily receivables from financial institutions, including investment managers and brokers and dealers.</w:t>
      </w:r>
    </w:p>
    <w:p>
      <w:pPr>
        <w:spacing w:after="0" w:line="170" w:lineRule="exact"/>
        <w:rPr>
          <w:sz w:val="20"/>
          <w:szCs w:val="20"/>
          <w:color w:val="auto"/>
        </w:rPr>
      </w:pPr>
    </w:p>
    <w:p>
      <w:pPr>
        <w:ind w:left="40" w:right="139" w:firstLine="324"/>
        <w:spacing w:after="0" w:line="296" w:lineRule="auto"/>
        <w:rPr>
          <w:sz w:val="20"/>
          <w:szCs w:val="20"/>
          <w:color w:val="auto"/>
        </w:rPr>
      </w:pPr>
      <w:r>
        <w:rPr>
          <w:rFonts w:ascii="Arial" w:cs="Arial" w:eastAsia="Arial" w:hAnsi="Arial"/>
          <w:sz w:val="16"/>
          <w:szCs w:val="16"/>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61"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40" w:right="79" w:firstLine="324"/>
        <w:spacing w:after="0" w:line="218" w:lineRule="exact"/>
        <w:rPr>
          <w:sz w:val="20"/>
          <w:szCs w:val="20"/>
          <w:color w:val="auto"/>
        </w:rPr>
      </w:pPr>
      <w:r>
        <w:rPr>
          <w:rFonts w:ascii="Arial" w:cs="Arial" w:eastAsia="Arial" w:hAnsi="Arial"/>
          <w:sz w:val="16"/>
          <w:szCs w:val="16"/>
          <w:color w:val="auto"/>
        </w:rPr>
        <w:t>Our management has evaluated, under the supervision of our Chief Executive Officer and Chief Financial Officer, the effectiveness of our disclosure controls and procedures, as defined in Rule 13(a)</w:t>
      </w:r>
      <w:r>
        <w:rPr>
          <w:rFonts w:ascii="MS PGothic" w:cs="MS PGothic" w:eastAsia="MS PGothic" w:hAnsi="MS PGothic"/>
          <w:sz w:val="16"/>
          <w:szCs w:val="16"/>
          <w:color w:val="auto"/>
        </w:rPr>
        <w:t>‑</w:t>
      </w:r>
      <w:r>
        <w:rPr>
          <w:rFonts w:ascii="Arial" w:cs="Arial" w:eastAsia="Arial" w:hAnsi="Arial"/>
          <w:sz w:val="16"/>
          <w:szCs w:val="16"/>
          <w:color w:val="auto"/>
        </w:rPr>
        <w:t>15(e) of the Exchange Act,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Based on that evaluation, our Chief Executive Officer and Chief Financial Officer have concluded that our disclosure controls and procedures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are effective at a reasonable assurance level in ensuring that information required to be disclosed in our Exchange Act reports is (1) recorded, processed, summarized and reported in a timely manner and</w:t>
      </w:r>
    </w:p>
    <w:p>
      <w:pPr>
        <w:spacing w:after="0" w:line="4" w:lineRule="exact"/>
        <w:rPr>
          <w:sz w:val="20"/>
          <w:szCs w:val="20"/>
          <w:color w:val="auto"/>
        </w:rPr>
      </w:pPr>
    </w:p>
    <w:p>
      <w:pPr>
        <w:ind w:left="40" w:right="79" w:firstLine="4"/>
        <w:spacing w:after="0" w:line="290" w:lineRule="auto"/>
        <w:tabs>
          <w:tab w:leader="none" w:pos="295" w:val="left"/>
        </w:tabs>
        <w:numPr>
          <w:ilvl w:val="0"/>
          <w:numId w:val="52"/>
        </w:numPr>
        <w:rPr>
          <w:rFonts w:ascii="Arial" w:cs="Arial" w:eastAsia="Arial" w:hAnsi="Arial"/>
          <w:sz w:val="16"/>
          <w:szCs w:val="16"/>
          <w:color w:val="auto"/>
        </w:rPr>
      </w:pPr>
      <w:r>
        <w:rPr>
          <w:rFonts w:ascii="Arial" w:cs="Arial" w:eastAsia="Arial" w:hAnsi="Arial"/>
          <w:sz w:val="16"/>
          <w:szCs w:val="16"/>
          <w:color w:val="auto"/>
        </w:rPr>
        <w:t>accumulated and communicated to our management, including our Chief Executive Officer and Chief Financial Officer, as appropriate to allow timely decisions regarding required disclosure. Our management, including our Chief Executive Officer and Chief Financial Officer,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40" w:right="319" w:firstLine="324"/>
        <w:spacing w:after="0" w:line="342" w:lineRule="auto"/>
        <w:rPr>
          <w:sz w:val="20"/>
          <w:szCs w:val="20"/>
          <w:color w:val="auto"/>
        </w:rPr>
      </w:pPr>
      <w:r>
        <w:rPr>
          <w:rFonts w:ascii="Arial" w:cs="Arial" w:eastAsia="Arial" w:hAnsi="Arial"/>
          <w:sz w:val="16"/>
          <w:szCs w:val="16"/>
          <w:color w:val="auto"/>
        </w:rPr>
        <w:t>There were no changes to our internal control over financial reporting during the quarter ended March 31, 2020 that have materially affected, or that are reasonably likely to materially affect, our internal control over financial reporting.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7" w:name="page68"/>
    <w:bookmarkEnd w:id="6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119" w:firstLine="324"/>
        <w:spacing w:after="0" w:line="259" w:lineRule="auto"/>
        <w:rPr>
          <w:sz w:val="20"/>
          <w:szCs w:val="20"/>
          <w:color w:val="auto"/>
        </w:rPr>
      </w:pPr>
      <w:r>
        <w:rPr>
          <w:rFonts w:ascii="Arial" w:cs="Arial" w:eastAsia="Arial" w:hAnsi="Arial"/>
          <w:sz w:val="18"/>
          <w:szCs w:val="18"/>
          <w:color w:val="auto"/>
        </w:rPr>
        <w:t>Except as set forth below, there have been no material changes from the legal proceedings previously disclosed under the heading “Item 3. Legal Proceedings” in our 2019 Form 10-K. The legal proceeding described below has been disclosed previously in the 2019 Form 10-K. The matter is described in this Quarterly Report on Form 10-Q to include certain developments in the case since we filed the 2019 Form 10-K.</w:t>
      </w:r>
    </w:p>
    <w:p>
      <w:pPr>
        <w:spacing w:after="0" w:line="187" w:lineRule="exact"/>
        <w:rPr>
          <w:sz w:val="20"/>
          <w:szCs w:val="20"/>
          <w:color w:val="auto"/>
        </w:rPr>
      </w:pPr>
    </w:p>
    <w:p>
      <w:pPr>
        <w:ind w:left="40" w:right="59" w:firstLine="324"/>
        <w:spacing w:after="0" w:line="270" w:lineRule="auto"/>
        <w:rPr>
          <w:sz w:val="20"/>
          <w:szCs w:val="20"/>
          <w:color w:val="auto"/>
        </w:rPr>
      </w:pPr>
      <w:r>
        <w:rPr>
          <w:rFonts w:ascii="Arial" w:cs="Arial" w:eastAsia="Arial" w:hAnsi="Arial"/>
          <w:sz w:val="17"/>
          <w:szCs w:val="17"/>
          <w:color w:val="auto"/>
        </w:rPr>
        <w:t>As disclosed most recently in our 2019 Form 10-K, in 2015, IDC Financial Publishing, Inc. (“IDC”) filed a lawsuit in the United States District Court for the Eastern District of Wisconsin captioned IDC Financial Publishing Inc. v. BondDesk Group LLC, et al. Claims were asserted against Tradeweb and against Fidelity Global Brokerage Group, Inc., Fidelity Brokerage Services, LLC, and National Financial Services, LLC (collectively, “Fidelity”) relating to the distribution of IDC’s financial strength ratings over Tradeweb’s trading platform to Fidelity, its registered investment advisors and Fidelity’s correspondent banks. Following extensive pre-trial proceedings that resulted in certain of IDC’s claims being dismissed by the court in 2019, the parties entered into a settlement agreement in early 2020 in which all remaining claims and counterclaims in the lawsuit were settled without any material impact to our financial condition or results of operations, and the matter has been dismissed with prejudice.</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79" w:firstLine="324"/>
        <w:spacing w:after="0" w:line="301" w:lineRule="auto"/>
        <w:rPr>
          <w:sz w:val="20"/>
          <w:szCs w:val="20"/>
          <w:color w:val="auto"/>
        </w:rPr>
      </w:pPr>
      <w:r>
        <w:rPr>
          <w:rFonts w:ascii="Arial" w:cs="Arial" w:eastAsia="Arial" w:hAnsi="Arial"/>
          <w:sz w:val="16"/>
          <w:szCs w:val="16"/>
          <w:color w:val="auto"/>
        </w:rPr>
        <w:t>There have been no material changes to our principal risks that we believe are material to our business, results of operations and financial condition, from the risk factors previously disclosed in “Item 1A. Risk Factors” of our 2019 Form 10-K and the information set forth in “Item 2. Management’s Discussion and Analysis of Financial Condition and Results of Operation—Trends and Other Factors Affecting Our Performance—COVID-19” of this Quarterly Report on Form 10-Q.</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8" w:name="page69"/>
    <w:bookmarkEnd w:id="6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4660" w:type="dxa"/>
            <w:vAlign w:val="bottom"/>
            <w:tcBorders>
              <w:bottom w:val="single" w:sz="8" w:color="auto"/>
            </w:tcBorders>
            <w:gridSpan w:val="11"/>
          </w:tcPr>
          <w:p>
            <w:pPr>
              <w:ind w:left="200"/>
              <w:spacing w:after="0"/>
              <w:rPr>
                <w:sz w:val="20"/>
                <w:szCs w:val="20"/>
                <w:color w:val="auto"/>
              </w:rPr>
            </w:pPr>
            <w:r>
              <w:rPr>
                <w:rFonts w:ascii="Arial" w:cs="Arial" w:eastAsia="Arial" w:hAnsi="Arial"/>
                <w:sz w:val="14"/>
                <w:szCs w:val="14"/>
                <w:b w:val="1"/>
                <w:bCs w:val="1"/>
                <w:color w:val="auto"/>
              </w:rPr>
              <w:t>Description of Exhibit</w:t>
            </w: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7580" w:type="dxa"/>
            <w:vAlign w:val="bottom"/>
            <w:gridSpan w:val="13"/>
          </w:tcPr>
          <w:p>
            <w:pPr>
              <w:spacing w:after="0"/>
              <w:rPr>
                <w:rFonts w:ascii="Arial" w:cs="Arial" w:eastAsia="Arial" w:hAnsi="Arial"/>
                <w:sz w:val="18"/>
                <w:szCs w:val="18"/>
                <w:color w:val="0000EE"/>
                <w:w w:val="94"/>
              </w:rPr>
            </w:pPr>
            <w:hyperlink w:anchor="page71">
              <w:r>
                <w:rPr>
                  <w:rFonts w:ascii="Arial" w:cs="Arial" w:eastAsia="Arial" w:hAnsi="Arial"/>
                  <w:sz w:val="18"/>
                  <w:szCs w:val="18"/>
                  <w:color w:val="0000EE"/>
                  <w:w w:val="94"/>
                </w:rPr>
                <w:t>Tradeweb Markets Inc. 2019 Omnibus Equity Incentive Plan Restricted Stock Unit Award Agreement</w:t>
              </w:r>
            </w:hyperlink>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(Form of RSU Agreement for Messrs. Olesky and Hult)</w:t>
              </w:r>
            </w:hyperlink>
          </w:p>
        </w:tc>
        <w:tc>
          <w:tcPr>
            <w:tcW w:w="3300" w:type="dxa"/>
            <w:vAlign w:val="bottom"/>
            <w:tcBorders>
              <w:top w:val="single" w:sz="8" w:color="0000EE"/>
            </w:tcBorders>
            <w:gridSpan w:val="5"/>
          </w:tcPr>
          <w:p>
            <w:pPr>
              <w:spacing w:after="0"/>
              <w:rPr>
                <w:sz w:val="17"/>
                <w:szCs w:val="17"/>
                <w:color w:val="auto"/>
              </w:rPr>
            </w:pPr>
          </w:p>
        </w:tc>
        <w:tc>
          <w:tcPr>
            <w:tcW w:w="240" w:type="dxa"/>
            <w:vAlign w:val="bottom"/>
            <w:gridSpan w:val="2"/>
          </w:tcPr>
          <w:p>
            <w:pPr>
              <w:spacing w:after="0"/>
              <w:rPr>
                <w:sz w:val="17"/>
                <w:szCs w:val="17"/>
                <w:color w:val="auto"/>
              </w:rPr>
            </w:pPr>
          </w:p>
        </w:tc>
      </w:tr>
      <w:tr>
        <w:trPr>
          <w:trHeight w:val="412"/>
        </w:trPr>
        <w:tc>
          <w:tcPr>
            <w:tcW w:w="112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7580" w:type="dxa"/>
            <w:vAlign w:val="bottom"/>
            <w:gridSpan w:val="13"/>
          </w:tcPr>
          <w:p>
            <w:pPr>
              <w:spacing w:after="0"/>
              <w:rPr>
                <w:rFonts w:ascii="Arial" w:cs="Arial" w:eastAsia="Arial" w:hAnsi="Arial"/>
                <w:sz w:val="18"/>
                <w:szCs w:val="18"/>
                <w:color w:val="0000EE"/>
                <w:w w:val="94"/>
              </w:rPr>
            </w:pPr>
            <w:hyperlink w:anchor="page80">
              <w:r>
                <w:rPr>
                  <w:rFonts w:ascii="Arial" w:cs="Arial" w:eastAsia="Arial" w:hAnsi="Arial"/>
                  <w:sz w:val="18"/>
                  <w:szCs w:val="18"/>
                  <w:color w:val="0000EE"/>
                  <w:w w:val="94"/>
                </w:rPr>
                <w:t>Tradeweb Markets Inc. 2019 Omnibus Equity Incentive Plan Restricted Stock Unit Award Agreement</w:t>
              </w:r>
            </w:hyperlink>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(Form of RSU Agreement for other Executive Officers)</w:t>
              </w:r>
            </w:hyperlink>
          </w:p>
        </w:tc>
        <w:tc>
          <w:tcPr>
            <w:tcW w:w="3320" w:type="dxa"/>
            <w:vAlign w:val="bottom"/>
            <w:tcBorders>
              <w:top w:val="single" w:sz="8" w:color="0000EE"/>
            </w:tcBorders>
            <w:gridSpan w:val="6"/>
          </w:tcPr>
          <w:p>
            <w:pPr>
              <w:spacing w:after="0"/>
              <w:rPr>
                <w:sz w:val="17"/>
                <w:szCs w:val="17"/>
                <w:color w:val="auto"/>
              </w:rPr>
            </w:pPr>
          </w:p>
        </w:tc>
        <w:tc>
          <w:tcPr>
            <w:tcW w:w="240" w:type="dxa"/>
            <w:vAlign w:val="bottom"/>
            <w:gridSpan w:val="2"/>
          </w:tcPr>
          <w:p>
            <w:pPr>
              <w:spacing w:after="0"/>
              <w:rPr>
                <w:sz w:val="17"/>
                <w:szCs w:val="17"/>
                <w:color w:val="auto"/>
              </w:rPr>
            </w:pPr>
          </w:p>
        </w:tc>
      </w:tr>
      <w:tr>
        <w:trPr>
          <w:trHeight w:val="412"/>
        </w:trPr>
        <w:tc>
          <w:tcPr>
            <w:tcW w:w="112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7580" w:type="dxa"/>
            <w:vAlign w:val="bottom"/>
            <w:gridSpan w:val="13"/>
          </w:tcPr>
          <w:p>
            <w:pPr>
              <w:spacing w:after="0"/>
              <w:rPr>
                <w:rFonts w:ascii="Arial" w:cs="Arial" w:eastAsia="Arial" w:hAnsi="Arial"/>
                <w:sz w:val="18"/>
                <w:szCs w:val="18"/>
                <w:color w:val="0000EE"/>
                <w:w w:val="93"/>
              </w:rPr>
            </w:pPr>
            <w:hyperlink w:anchor="page89">
              <w:r>
                <w:rPr>
                  <w:rFonts w:ascii="Arial" w:cs="Arial" w:eastAsia="Arial" w:hAnsi="Arial"/>
                  <w:sz w:val="18"/>
                  <w:szCs w:val="18"/>
                  <w:color w:val="0000EE"/>
                  <w:w w:val="93"/>
                </w:rPr>
                <w:t>Tradeweb Markets Inc. 2019 Omnibus Equity Incentive Plan PRSU Award Agreement (Form of PRSU</w:t>
              </w:r>
            </w:hyperlink>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Agreement for Messrs. Olesky and Hult)</w:t>
              </w:r>
            </w:hyperlink>
          </w:p>
        </w:tc>
        <w:tc>
          <w:tcPr>
            <w:tcW w:w="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7580" w:type="dxa"/>
            <w:vAlign w:val="bottom"/>
            <w:gridSpan w:val="13"/>
          </w:tcPr>
          <w:p>
            <w:pPr>
              <w:spacing w:after="0"/>
              <w:rPr>
                <w:rFonts w:ascii="Arial" w:cs="Arial" w:eastAsia="Arial" w:hAnsi="Arial"/>
                <w:sz w:val="18"/>
                <w:szCs w:val="18"/>
                <w:color w:val="0000EE"/>
                <w:w w:val="93"/>
              </w:rPr>
            </w:pPr>
            <w:hyperlink w:anchor="page98">
              <w:r>
                <w:rPr>
                  <w:rFonts w:ascii="Arial" w:cs="Arial" w:eastAsia="Arial" w:hAnsi="Arial"/>
                  <w:sz w:val="18"/>
                  <w:szCs w:val="18"/>
                  <w:color w:val="0000EE"/>
                  <w:w w:val="93"/>
                </w:rPr>
                <w:t>Tradeweb Markets Inc. 2019 Omnibus Equity Incentive Plan PRSU Award Agreement (Form of PRSU</w:t>
              </w:r>
            </w:hyperlink>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Agreement for other Executive Officers)</w:t>
              </w:r>
            </w:hyperlink>
          </w:p>
        </w:tc>
        <w:tc>
          <w:tcPr>
            <w:tcW w:w="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7580" w:type="dxa"/>
            <w:vAlign w:val="bottom"/>
            <w:gridSpan w:val="13"/>
          </w:tcPr>
          <w:p>
            <w:pPr>
              <w:spacing w:after="0" w:line="207" w:lineRule="exact"/>
              <w:rPr>
                <w:rFonts w:ascii="Arial" w:cs="Arial" w:eastAsia="Arial" w:hAnsi="Arial"/>
                <w:sz w:val="18"/>
                <w:szCs w:val="18"/>
                <w:color w:val="0000EE"/>
                <w:w w:val="99"/>
              </w:rPr>
            </w:pPr>
            <w:hyperlink w:anchor="page107">
              <w:r>
                <w:rPr>
                  <w:rFonts w:ascii="Arial" w:cs="Arial" w:eastAsia="Arial" w:hAnsi="Arial"/>
                  <w:sz w:val="18"/>
                  <w:szCs w:val="18"/>
                  <w:color w:val="0000EE"/>
                  <w:w w:val="99"/>
                </w:rPr>
                <w:t>Certification of Chief Executive Officer pursuant to Rule 13a</w:t>
              </w:r>
              <w:r>
                <w:rPr>
                  <w:rFonts w:ascii="MS PGothic" w:cs="MS PGothic" w:eastAsia="MS PGothic" w:hAnsi="MS PGothic"/>
                  <w:sz w:val="18"/>
                  <w:szCs w:val="18"/>
                  <w:color w:val="0000EE"/>
                  <w:w w:val="99"/>
                </w:rPr>
                <w:t>‑</w:t>
              </w:r>
              <w:r>
                <w:rPr>
                  <w:rFonts w:ascii="Arial" w:cs="Arial" w:eastAsia="Arial" w:hAnsi="Arial"/>
                  <w:sz w:val="18"/>
                  <w:szCs w:val="18"/>
                  <w:color w:val="0000EE"/>
                  <w:w w:val="99"/>
                </w:rPr>
                <w:t>14(a) or 15d</w:t>
              </w:r>
              <w:r>
                <w:rPr>
                  <w:rFonts w:ascii="MS PGothic" w:cs="MS PGothic" w:eastAsia="MS PGothic" w:hAnsi="MS PGothic"/>
                  <w:sz w:val="18"/>
                  <w:szCs w:val="18"/>
                  <w:color w:val="0000EE"/>
                  <w:w w:val="99"/>
                </w:rPr>
                <w:t>‑</w:t>
              </w:r>
              <w:r>
                <w:rPr>
                  <w:rFonts w:ascii="Arial" w:cs="Arial" w:eastAsia="Arial" w:hAnsi="Arial"/>
                  <w:sz w:val="18"/>
                  <w:szCs w:val="18"/>
                  <w:color w:val="0000EE"/>
                  <w:w w:val="99"/>
                </w:rPr>
                <w:t>14(a) of the Securities</w:t>
              </w:r>
            </w:hyperlink>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5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07">
              <w:r>
                <w:rPr>
                  <w:rFonts w:ascii="Arial" w:cs="Arial" w:eastAsia="Arial" w:hAnsi="Arial"/>
                  <w:sz w:val="18"/>
                  <w:szCs w:val="18"/>
                  <w:color w:val="0000EE"/>
                  <w:w w:val="89"/>
                </w:rPr>
                <w:t>Exchange Act of 1934, as amended, as adopted pursuant to Section 302 of the Sarbanes-Oxley Act of</w:t>
              </w:r>
            </w:hyperlink>
          </w:p>
        </w:tc>
        <w:tc>
          <w:tcPr>
            <w:tcW w:w="26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07">
              <w:r>
                <w:rPr>
                  <w:rFonts w:ascii="Arial" w:cs="Arial" w:eastAsia="Arial" w:hAnsi="Arial"/>
                  <w:sz w:val="18"/>
                  <w:szCs w:val="18"/>
                  <w:color w:val="0000EE"/>
                  <w:w w:val="88"/>
                </w:rPr>
                <w:t>2002.</w:t>
              </w:r>
            </w:hyperlink>
          </w:p>
        </w:tc>
        <w:tc>
          <w:tcPr>
            <w:tcW w:w="2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44"/>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7020" w:type="dxa"/>
            <w:vAlign w:val="bottom"/>
            <w:tcBorders>
              <w:bottom w:val="single" w:sz="8" w:color="0000EE"/>
            </w:tcBorders>
            <w:gridSpan w:val="7"/>
          </w:tcPr>
          <w:p>
            <w:pPr>
              <w:spacing w:after="0" w:line="207" w:lineRule="exact"/>
              <w:rPr>
                <w:rFonts w:ascii="Arial" w:cs="Arial" w:eastAsia="Arial" w:hAnsi="Arial"/>
                <w:sz w:val="18"/>
                <w:szCs w:val="18"/>
                <w:color w:val="0000EE"/>
                <w:w w:val="92"/>
              </w:rPr>
            </w:pPr>
            <w:hyperlink w:anchor="page108">
              <w:r>
                <w:rPr>
                  <w:rFonts w:ascii="Arial" w:cs="Arial" w:eastAsia="Arial" w:hAnsi="Arial"/>
                  <w:sz w:val="18"/>
                  <w:szCs w:val="18"/>
                  <w:color w:val="0000EE"/>
                  <w:w w:val="92"/>
                </w:rPr>
                <w:t>Certification of Chief Financial Officer pursuant to Rule 13a</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or 15d</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of the Securities</w:t>
              </w:r>
            </w:hyperlink>
          </w:p>
        </w:tc>
        <w:tc>
          <w:tcPr>
            <w:tcW w:w="560" w:type="dxa"/>
            <w:vAlign w:val="bottom"/>
            <w:gridSpan w:val="6"/>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08">
              <w:r>
                <w:rPr>
                  <w:rFonts w:ascii="Arial" w:cs="Arial" w:eastAsia="Arial" w:hAnsi="Arial"/>
                  <w:sz w:val="18"/>
                  <w:szCs w:val="18"/>
                  <w:color w:val="0000EE"/>
                  <w:w w:val="89"/>
                </w:rPr>
                <w:t>Exchange Act of 1934, as amended, as adopted pursuant to Section 302 of the Sarbanes-Oxley Act of</w:t>
              </w:r>
            </w:hyperlink>
          </w:p>
        </w:tc>
        <w:tc>
          <w:tcPr>
            <w:tcW w:w="26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08">
              <w:r>
                <w:rPr>
                  <w:rFonts w:ascii="Arial" w:cs="Arial" w:eastAsia="Arial" w:hAnsi="Arial"/>
                  <w:sz w:val="18"/>
                  <w:szCs w:val="18"/>
                  <w:color w:val="0000EE"/>
                  <w:w w:val="88"/>
                </w:rPr>
                <w:t>2002.</w:t>
              </w:r>
            </w:hyperlink>
          </w:p>
        </w:tc>
        <w:tc>
          <w:tcPr>
            <w:tcW w:w="2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45"/>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718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09">
              <w:r>
                <w:rPr>
                  <w:rFonts w:ascii="Arial" w:cs="Arial" w:eastAsia="Arial" w:hAnsi="Arial"/>
                  <w:sz w:val="18"/>
                  <w:szCs w:val="18"/>
                  <w:color w:val="0000EE"/>
                  <w:w w:val="91"/>
                </w:rPr>
                <w:t>Certification of Chief Executive Officer pursuant to 18 U.S.C. Section 1350, as adopted pursuant to</w:t>
              </w:r>
            </w:hyperlink>
          </w:p>
        </w:tc>
        <w:tc>
          <w:tcPr>
            <w:tcW w:w="400" w:type="dxa"/>
            <w:vAlign w:val="bottom"/>
            <w:gridSpan w:val="4"/>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09">
              <w:r>
                <w:rPr>
                  <w:rFonts w:ascii="Arial" w:cs="Arial" w:eastAsia="Arial" w:hAnsi="Arial"/>
                  <w:sz w:val="18"/>
                  <w:szCs w:val="18"/>
                  <w:color w:val="0000EE"/>
                  <w:w w:val="90"/>
                </w:rPr>
                <w:t>Section 906 of the Sarbanes-Oxley Act of 2002.</w:t>
              </w:r>
            </w:hyperlink>
          </w:p>
        </w:tc>
        <w:tc>
          <w:tcPr>
            <w:tcW w:w="4100" w:type="dxa"/>
            <w:vAlign w:val="bottom"/>
            <w:gridSpan w:val="9"/>
          </w:tcPr>
          <w:p>
            <w:pPr>
              <w:spacing w:after="0"/>
              <w:rPr>
                <w:sz w:val="17"/>
                <w:szCs w:val="17"/>
                <w:color w:val="auto"/>
              </w:rPr>
            </w:pPr>
          </w:p>
        </w:tc>
      </w:tr>
      <w:tr>
        <w:trPr>
          <w:trHeight w:val="345"/>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7580" w:type="dxa"/>
            <w:vAlign w:val="bottom"/>
            <w:gridSpan w:val="13"/>
          </w:tcPr>
          <w:p>
            <w:pPr>
              <w:spacing w:after="0"/>
              <w:rPr>
                <w:rFonts w:ascii="Arial" w:cs="Arial" w:eastAsia="Arial" w:hAnsi="Arial"/>
                <w:sz w:val="18"/>
                <w:szCs w:val="18"/>
                <w:color w:val="0000EE"/>
                <w:w w:val="96"/>
              </w:rPr>
            </w:pPr>
            <w:hyperlink w:anchor="page110">
              <w:r>
                <w:rPr>
                  <w:rFonts w:ascii="Arial" w:cs="Arial" w:eastAsia="Arial" w:hAnsi="Arial"/>
                  <w:sz w:val="18"/>
                  <w:szCs w:val="18"/>
                  <w:color w:val="0000EE"/>
                  <w:w w:val="96"/>
                </w:rPr>
                <w:t>Certification of Chief Financial Officer pursuant to 18 U.S.C. Section 1350, as adopted pursuant to</w:t>
              </w:r>
            </w:hyperlink>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Section 906 of the Sarbanes-Oxley Act of 2002.</w:t>
              </w:r>
            </w:hyperlink>
          </w:p>
        </w:tc>
        <w:tc>
          <w:tcPr>
            <w:tcW w:w="460" w:type="dxa"/>
            <w:vAlign w:val="bottom"/>
            <w:gridSpan w:val="5"/>
          </w:tcPr>
          <w:p>
            <w:pPr>
              <w:spacing w:after="0"/>
              <w:rPr>
                <w:sz w:val="17"/>
                <w:szCs w:val="17"/>
                <w:color w:val="auto"/>
              </w:rPr>
            </w:pPr>
          </w:p>
        </w:tc>
      </w:tr>
      <w:tr>
        <w:trPr>
          <w:trHeight w:val="385"/>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34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4120" w:type="dxa"/>
            <w:vAlign w:val="bottom"/>
            <w:gridSpan w:val="10"/>
          </w:tcPr>
          <w:p>
            <w:pPr>
              <w:spacing w:after="0"/>
              <w:rPr>
                <w:sz w:val="24"/>
                <w:szCs w:val="24"/>
                <w:color w:val="auto"/>
              </w:rPr>
            </w:pPr>
          </w:p>
        </w:tc>
      </w:tr>
      <w:tr>
        <w:trPr>
          <w:trHeight w:val="365"/>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758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65"/>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758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65"/>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758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64"/>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758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65"/>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4"/>
                <w:szCs w:val="24"/>
                <w:color w:val="auto"/>
              </w:rPr>
            </w:pPr>
          </w:p>
        </w:tc>
        <w:tc>
          <w:tcPr>
            <w:tcW w:w="758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9" w:name="page70"/>
    <w:bookmarkEnd w:id="6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TRADEWEB MARKETS INC.</w:t>
            </w:r>
          </w:p>
        </w:tc>
      </w:tr>
      <w:tr>
        <w:trPr>
          <w:trHeight w:val="648"/>
        </w:trPr>
        <w:tc>
          <w:tcPr>
            <w:tcW w:w="2700" w:type="dxa"/>
            <w:vAlign w:val="bottom"/>
          </w:tcPr>
          <w:p>
            <w:pPr>
              <w:spacing w:after="0"/>
              <w:rPr>
                <w:sz w:val="20"/>
                <w:szCs w:val="20"/>
                <w:color w:val="auto"/>
              </w:rPr>
            </w:pPr>
            <w:r>
              <w:rPr>
                <w:rFonts w:ascii="Arial" w:cs="Arial" w:eastAsia="Arial" w:hAnsi="Arial"/>
                <w:sz w:val="18"/>
                <w:szCs w:val="18"/>
                <w:color w:val="auto"/>
              </w:rPr>
              <w:t>May 12, 2020</w:t>
            </w:r>
          </w:p>
        </w:tc>
        <w:tc>
          <w:tcPr>
            <w:tcW w:w="1780" w:type="dxa"/>
            <w:vAlign w:val="bottom"/>
          </w:tcPr>
          <w:p>
            <w:pPr>
              <w:spacing w:after="0"/>
              <w:rPr>
                <w:sz w:val="24"/>
                <w:szCs w:val="24"/>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Lee Olesky</w:t>
            </w:r>
          </w:p>
        </w:tc>
      </w:tr>
      <w:tr>
        <w:trPr>
          <w:trHeight w:val="195"/>
        </w:trPr>
        <w:tc>
          <w:tcPr>
            <w:tcW w:w="27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By: Lee Olesky</w:t>
            </w:r>
          </w:p>
        </w:tc>
      </w:tr>
      <w:tr>
        <w:trPr>
          <w:trHeight w:val="230"/>
        </w:trPr>
        <w:tc>
          <w:tcPr>
            <w:tcW w:w="27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w w:val="98"/>
              </w:rPr>
              <w:t>Chief Executive Officer (Principal Executive Officer)</w:t>
            </w:r>
          </w:p>
        </w:tc>
      </w:tr>
      <w:tr>
        <w:trPr>
          <w:trHeight w:val="648"/>
        </w:trPr>
        <w:tc>
          <w:tcPr>
            <w:tcW w:w="2700" w:type="dxa"/>
            <w:vAlign w:val="bottom"/>
          </w:tcPr>
          <w:p>
            <w:pPr>
              <w:spacing w:after="0"/>
              <w:rPr>
                <w:sz w:val="20"/>
                <w:szCs w:val="20"/>
                <w:color w:val="auto"/>
              </w:rPr>
            </w:pPr>
            <w:r>
              <w:rPr>
                <w:rFonts w:ascii="Arial" w:cs="Arial" w:eastAsia="Arial" w:hAnsi="Arial"/>
                <w:sz w:val="18"/>
                <w:szCs w:val="18"/>
                <w:color w:val="auto"/>
              </w:rPr>
              <w:t>May 12, 2020</w:t>
            </w:r>
          </w:p>
        </w:tc>
        <w:tc>
          <w:tcPr>
            <w:tcW w:w="1780" w:type="dxa"/>
            <w:vAlign w:val="bottom"/>
          </w:tcPr>
          <w:p>
            <w:pPr>
              <w:spacing w:after="0"/>
              <w:rPr>
                <w:sz w:val="24"/>
                <w:szCs w:val="24"/>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Warshaw</w:t>
            </w:r>
          </w:p>
        </w:tc>
      </w:tr>
      <w:tr>
        <w:trPr>
          <w:trHeight w:val="195"/>
        </w:trPr>
        <w:tc>
          <w:tcPr>
            <w:tcW w:w="27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By: Robert Warshaw</w:t>
            </w:r>
          </w:p>
        </w:tc>
      </w:tr>
      <w:tr>
        <w:trPr>
          <w:trHeight w:val="230"/>
        </w:trPr>
        <w:tc>
          <w:tcPr>
            <w:tcW w:w="27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Chief Financial Officer (Principal Financial Officer)</w:t>
            </w:r>
          </w:p>
        </w:tc>
      </w:tr>
      <w:tr>
        <w:trPr>
          <w:trHeight w:val="864"/>
        </w:trPr>
        <w:tc>
          <w:tcPr>
            <w:tcW w:w="2700" w:type="dxa"/>
            <w:vAlign w:val="bottom"/>
          </w:tcPr>
          <w:p>
            <w:pPr>
              <w:spacing w:after="0"/>
              <w:rPr>
                <w:sz w:val="24"/>
                <w:szCs w:val="24"/>
                <w:color w:val="auto"/>
              </w:rPr>
            </w:pPr>
          </w:p>
        </w:tc>
        <w:tc>
          <w:tcPr>
            <w:tcW w:w="6220" w:type="dxa"/>
            <w:vAlign w:val="bottom"/>
            <w:gridSpan w:val="2"/>
          </w:tcPr>
          <w:p>
            <w:pPr>
              <w:jc w:val="right"/>
              <w:ind w:right="4270"/>
              <w:spacing w:after="0"/>
              <w:rPr>
                <w:sz w:val="20"/>
                <w:szCs w:val="20"/>
                <w:color w:val="auto"/>
              </w:rPr>
            </w:pPr>
            <w:r>
              <w:rPr>
                <w:rFonts w:ascii="Arial" w:cs="Arial" w:eastAsia="Arial" w:hAnsi="Arial"/>
                <w:sz w:val="18"/>
                <w:szCs w:val="18"/>
                <w:color w:val="auto"/>
              </w:rPr>
              <w:t>70</w:t>
            </w:r>
          </w:p>
        </w:tc>
      </w:tr>
      <w:tr>
        <w:trPr>
          <w:trHeight w:val="560"/>
        </w:trPr>
        <w:tc>
          <w:tcPr>
            <w:tcW w:w="2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t>Exhibit 10.1</w:t>
      </w:r>
    </w:p>
    <w:p>
      <w:pPr>
        <w:spacing w:after="0" w:line="234" w:lineRule="exact"/>
        <w:rPr>
          <w:sz w:val="20"/>
          <w:szCs w:val="20"/>
          <w:color w:val="auto"/>
        </w:rPr>
      </w:pPr>
    </w:p>
    <w:p>
      <w:pPr>
        <w:jc w:val="center"/>
        <w:ind w:left="1000" w:right="2440"/>
        <w:spacing w:after="0" w:line="243" w:lineRule="auto"/>
        <w:rPr>
          <w:sz w:val="20"/>
          <w:szCs w:val="20"/>
          <w:color w:val="auto"/>
        </w:rPr>
      </w:pPr>
      <w:r>
        <w:rPr>
          <w:rFonts w:ascii="Arial" w:cs="Arial" w:eastAsia="Arial" w:hAnsi="Arial"/>
          <w:sz w:val="22"/>
          <w:szCs w:val="22"/>
          <w:b w:val="1"/>
          <w:bCs w:val="1"/>
          <w:color w:val="auto"/>
        </w:rPr>
        <w:t>TRADEWEB MARKETS INC. 2019 OMNIBUS EQUITY INCENTIVE PLAN RESTRICTED STOCK UNIT - NOTICE OF GRANT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(Version 2020)</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Tradeweb Markets Inc. (the “</w:t>
      </w:r>
      <w:r>
        <w:rPr>
          <w:rFonts w:ascii="Arial" w:cs="Arial" w:eastAsia="Arial" w:hAnsi="Arial"/>
          <w:sz w:val="22"/>
          <w:szCs w:val="22"/>
          <w:u w:val="single" w:color="auto"/>
          <w:color w:val="auto"/>
        </w:rPr>
        <w:t>Company</w:t>
      </w:r>
      <w:r>
        <w:rPr>
          <w:rFonts w:ascii="Arial" w:cs="Arial" w:eastAsia="Arial" w:hAnsi="Arial"/>
          <w:sz w:val="22"/>
          <w:szCs w:val="22"/>
          <w:color w:val="auto"/>
        </w:rPr>
        <w:t>”), a Delaware corporation, hereby grants to the Grantee set forth below (the “</w:t>
      </w:r>
      <w:r>
        <w:rPr>
          <w:rFonts w:ascii="Arial" w:cs="Arial" w:eastAsia="Arial" w:hAnsi="Arial"/>
          <w:sz w:val="22"/>
          <w:szCs w:val="22"/>
          <w:u w:val="single" w:color="auto"/>
          <w:color w:val="auto"/>
        </w:rPr>
        <w:t>Grantee</w:t>
      </w:r>
      <w:r>
        <w:rPr>
          <w:rFonts w:ascii="Arial" w:cs="Arial" w:eastAsia="Arial" w:hAnsi="Arial"/>
          <w:sz w:val="22"/>
          <w:szCs w:val="22"/>
          <w:color w:val="auto"/>
        </w:rPr>
        <w:t>”) Restricted Stock Units (the “</w:t>
      </w:r>
      <w:r>
        <w:rPr>
          <w:rFonts w:ascii="Arial" w:cs="Arial" w:eastAsia="Arial" w:hAnsi="Arial"/>
          <w:sz w:val="22"/>
          <w:szCs w:val="22"/>
          <w:u w:val="single" w:color="auto"/>
          <w:color w:val="auto"/>
        </w:rPr>
        <w:t>Restricted Stock Units</w:t>
      </w:r>
      <w:r>
        <w:rPr>
          <w:rFonts w:ascii="Arial" w:cs="Arial" w:eastAsia="Arial" w:hAnsi="Arial"/>
          <w:sz w:val="22"/>
          <w:szCs w:val="22"/>
          <w:color w:val="auto"/>
        </w:rPr>
        <w:t>”), pursuant to the terms and conditions of this Notice of Grant (the “</w:t>
      </w:r>
      <w:r>
        <w:rPr>
          <w:rFonts w:ascii="Arial" w:cs="Arial" w:eastAsia="Arial" w:hAnsi="Arial"/>
          <w:sz w:val="22"/>
          <w:szCs w:val="22"/>
          <w:u w:val="single" w:color="auto"/>
          <w:color w:val="auto"/>
        </w:rPr>
        <w:t>Notice</w:t>
      </w:r>
      <w:r>
        <w:rPr>
          <w:rFonts w:ascii="Arial" w:cs="Arial" w:eastAsia="Arial" w:hAnsi="Arial"/>
          <w:sz w:val="22"/>
          <w:szCs w:val="22"/>
          <w:color w:val="auto"/>
        </w:rPr>
        <w:t xml:space="preserve">”), the Restricted Stock Unit Award Agreement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Award Agreement</w:t>
      </w:r>
      <w:r>
        <w:rPr>
          <w:rFonts w:ascii="Arial" w:cs="Arial" w:eastAsia="Arial" w:hAnsi="Arial"/>
          <w:sz w:val="22"/>
          <w:szCs w:val="22"/>
          <w:color w:val="auto"/>
        </w:rPr>
        <w:t>”), and the Tradeweb Markets Inc. 2019 Omnibus Equity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 Capitalized terms used but not defined herein shall have the meaning attributed to such terms in the Award Agreement or, if not defined therein, in the Plan, unless the context requires otherwise. Each Restricted Stock Unit represents the right to receive one (1) Share at the time and in the manner set forth in Section 5 of the Award Agreement.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2340" w:type="dxa"/>
            <w:vAlign w:val="bottom"/>
          </w:tcPr>
          <w:p>
            <w:pPr>
              <w:spacing w:after="0"/>
              <w:rPr>
                <w:sz w:val="20"/>
                <w:szCs w:val="20"/>
                <w:color w:val="auto"/>
              </w:rPr>
            </w:pPr>
            <w:r>
              <w:rPr>
                <w:rFonts w:ascii="Arial" w:cs="Arial" w:eastAsia="Arial" w:hAnsi="Arial"/>
                <w:sz w:val="22"/>
                <w:szCs w:val="22"/>
                <w:b w:val="1"/>
                <w:bCs w:val="1"/>
                <w:color w:val="auto"/>
              </w:rPr>
              <w:t>Date of Grant:</w:t>
            </w:r>
          </w:p>
        </w:tc>
        <w:tc>
          <w:tcPr>
            <w:tcW w:w="340" w:type="dxa"/>
            <w:vAlign w:val="bottom"/>
          </w:tcPr>
          <w:p>
            <w:pPr>
              <w:ind w:left="200"/>
              <w:spacing w:after="0"/>
              <w:rPr>
                <w:sz w:val="20"/>
                <w:szCs w:val="20"/>
                <w:color w:val="auto"/>
              </w:rPr>
            </w:pPr>
            <w:r>
              <w:rPr>
                <w:rFonts w:ascii="Arial" w:cs="Arial" w:eastAsia="Arial" w:hAnsi="Arial"/>
                <w:sz w:val="22"/>
                <w:szCs w:val="22"/>
                <w:color w:val="auto"/>
              </w:rPr>
              <w:t>[</w:t>
            </w:r>
          </w:p>
        </w:tc>
        <w:tc>
          <w:tcPr>
            <w:tcW w:w="7020" w:type="dxa"/>
            <w:vAlign w:val="bottom"/>
          </w:tcPr>
          <w:p>
            <w:pPr>
              <w:jc w:val="right"/>
              <w:ind w:right="6772"/>
              <w:spacing w:after="0"/>
              <w:rPr>
                <w:sz w:val="20"/>
                <w:szCs w:val="20"/>
                <w:color w:val="auto"/>
              </w:rPr>
            </w:pPr>
            <w:r>
              <w:rPr>
                <w:rFonts w:ascii="Arial" w:cs="Arial" w:eastAsia="Arial" w:hAnsi="Arial"/>
                <w:sz w:val="22"/>
                <w:szCs w:val="22"/>
                <w:color w:val="auto"/>
              </w:rPr>
              <w:t>]</w:t>
            </w:r>
          </w:p>
        </w:tc>
      </w:tr>
      <w:tr>
        <w:trPr>
          <w:trHeight w:val="499"/>
        </w:trPr>
        <w:tc>
          <w:tcPr>
            <w:tcW w:w="2340" w:type="dxa"/>
            <w:vAlign w:val="bottom"/>
          </w:tcPr>
          <w:p>
            <w:pPr>
              <w:spacing w:after="0"/>
              <w:rPr>
                <w:sz w:val="20"/>
                <w:szCs w:val="20"/>
                <w:color w:val="auto"/>
              </w:rPr>
            </w:pPr>
            <w:r>
              <w:rPr>
                <w:rFonts w:ascii="Arial" w:cs="Arial" w:eastAsia="Arial" w:hAnsi="Arial"/>
                <w:sz w:val="22"/>
                <w:szCs w:val="22"/>
                <w:b w:val="1"/>
                <w:bCs w:val="1"/>
                <w:color w:val="auto"/>
              </w:rPr>
              <w:t>Name of Grantee:</w:t>
            </w:r>
          </w:p>
        </w:tc>
        <w:tc>
          <w:tcPr>
            <w:tcW w:w="340" w:type="dxa"/>
            <w:vAlign w:val="bottom"/>
          </w:tcPr>
          <w:p>
            <w:pPr>
              <w:ind w:left="200"/>
              <w:spacing w:after="0"/>
              <w:rPr>
                <w:sz w:val="20"/>
                <w:szCs w:val="20"/>
                <w:color w:val="auto"/>
              </w:rPr>
            </w:pPr>
            <w:r>
              <w:rPr>
                <w:rFonts w:ascii="Arial" w:cs="Arial" w:eastAsia="Arial" w:hAnsi="Arial"/>
                <w:sz w:val="22"/>
                <w:szCs w:val="22"/>
                <w:color w:val="auto"/>
              </w:rPr>
              <w:t>[</w:t>
            </w:r>
          </w:p>
        </w:tc>
        <w:tc>
          <w:tcPr>
            <w:tcW w:w="7020" w:type="dxa"/>
            <w:vAlign w:val="bottom"/>
          </w:tcPr>
          <w:p>
            <w:pPr>
              <w:jc w:val="right"/>
              <w:ind w:right="6772"/>
              <w:spacing w:after="0"/>
              <w:rPr>
                <w:sz w:val="20"/>
                <w:szCs w:val="20"/>
                <w:color w:val="auto"/>
              </w:rPr>
            </w:pPr>
            <w:r>
              <w:rPr>
                <w:rFonts w:ascii="Arial" w:cs="Arial" w:eastAsia="Arial" w:hAnsi="Arial"/>
                <w:sz w:val="22"/>
                <w:szCs w:val="22"/>
                <w:color w:val="auto"/>
              </w:rPr>
              <w:t>]</w:t>
            </w:r>
          </w:p>
        </w:tc>
      </w:tr>
      <w:tr>
        <w:trPr>
          <w:trHeight w:val="449"/>
        </w:trPr>
        <w:tc>
          <w:tcPr>
            <w:tcW w:w="2340" w:type="dxa"/>
            <w:vAlign w:val="bottom"/>
          </w:tcPr>
          <w:p>
            <w:pPr>
              <w:spacing w:after="0"/>
              <w:rPr>
                <w:sz w:val="20"/>
                <w:szCs w:val="20"/>
                <w:color w:val="auto"/>
              </w:rPr>
            </w:pPr>
            <w:r>
              <w:rPr>
                <w:rFonts w:ascii="Arial" w:cs="Arial" w:eastAsia="Arial" w:hAnsi="Arial"/>
                <w:sz w:val="22"/>
                <w:szCs w:val="22"/>
                <w:b w:val="1"/>
                <w:bCs w:val="1"/>
                <w:color w:val="auto"/>
              </w:rPr>
              <w:t>Number of</w:t>
            </w:r>
          </w:p>
        </w:tc>
        <w:tc>
          <w:tcPr>
            <w:tcW w:w="340" w:type="dxa"/>
            <w:vAlign w:val="bottom"/>
          </w:tcPr>
          <w:p>
            <w:pPr>
              <w:spacing w:after="0"/>
              <w:rPr>
                <w:sz w:val="24"/>
                <w:szCs w:val="24"/>
                <w:color w:val="auto"/>
              </w:rPr>
            </w:pPr>
          </w:p>
        </w:tc>
        <w:tc>
          <w:tcPr>
            <w:tcW w:w="7020" w:type="dxa"/>
            <w:vAlign w:val="bottom"/>
          </w:tcPr>
          <w:p>
            <w:pPr>
              <w:spacing w:after="0"/>
              <w:rPr>
                <w:sz w:val="24"/>
                <w:szCs w:val="24"/>
                <w:color w:val="auto"/>
              </w:rPr>
            </w:pPr>
          </w:p>
        </w:tc>
      </w:tr>
      <w:tr>
        <w:trPr>
          <w:trHeight w:val="280"/>
        </w:trPr>
        <w:tc>
          <w:tcPr>
            <w:tcW w:w="2340" w:type="dxa"/>
            <w:vAlign w:val="bottom"/>
          </w:tcPr>
          <w:p>
            <w:pPr>
              <w:spacing w:after="0"/>
              <w:rPr>
                <w:sz w:val="20"/>
                <w:szCs w:val="20"/>
                <w:color w:val="auto"/>
              </w:rPr>
            </w:pPr>
            <w:r>
              <w:rPr>
                <w:rFonts w:ascii="Arial" w:cs="Arial" w:eastAsia="Arial" w:hAnsi="Arial"/>
                <w:sz w:val="22"/>
                <w:szCs w:val="22"/>
                <w:b w:val="1"/>
                <w:bCs w:val="1"/>
                <w:color w:val="auto"/>
                <w:w w:val="95"/>
              </w:rPr>
              <w:t>Restricted Stock Units:</w:t>
            </w:r>
          </w:p>
        </w:tc>
        <w:tc>
          <w:tcPr>
            <w:tcW w:w="340" w:type="dxa"/>
            <w:vAlign w:val="bottom"/>
          </w:tcPr>
          <w:p>
            <w:pPr>
              <w:ind w:left="200"/>
              <w:spacing w:after="0"/>
              <w:rPr>
                <w:sz w:val="20"/>
                <w:szCs w:val="20"/>
                <w:color w:val="auto"/>
              </w:rPr>
            </w:pPr>
            <w:r>
              <w:rPr>
                <w:rFonts w:ascii="Arial" w:cs="Arial" w:eastAsia="Arial" w:hAnsi="Arial"/>
                <w:sz w:val="22"/>
                <w:szCs w:val="22"/>
                <w:color w:val="auto"/>
              </w:rPr>
              <w:t>[</w:t>
            </w:r>
          </w:p>
        </w:tc>
        <w:tc>
          <w:tcPr>
            <w:tcW w:w="7020" w:type="dxa"/>
            <w:vAlign w:val="bottom"/>
          </w:tcPr>
          <w:p>
            <w:pPr>
              <w:jc w:val="right"/>
              <w:ind w:right="6772"/>
              <w:spacing w:after="0"/>
              <w:rPr>
                <w:sz w:val="20"/>
                <w:szCs w:val="20"/>
                <w:color w:val="auto"/>
              </w:rPr>
            </w:pPr>
            <w:r>
              <w:rPr>
                <w:rFonts w:ascii="Arial" w:cs="Arial" w:eastAsia="Arial" w:hAnsi="Arial"/>
                <w:sz w:val="22"/>
                <w:szCs w:val="22"/>
                <w:color w:val="auto"/>
              </w:rPr>
              <w:t>]</w:t>
            </w:r>
          </w:p>
        </w:tc>
      </w:tr>
      <w:tr>
        <w:trPr>
          <w:trHeight w:val="455"/>
        </w:trPr>
        <w:tc>
          <w:tcPr>
            <w:tcW w:w="2340" w:type="dxa"/>
            <w:vAlign w:val="bottom"/>
          </w:tcPr>
          <w:p>
            <w:pPr>
              <w:spacing w:after="0"/>
              <w:rPr>
                <w:sz w:val="20"/>
                <w:szCs w:val="20"/>
                <w:color w:val="auto"/>
              </w:rPr>
            </w:pPr>
            <w:r>
              <w:rPr>
                <w:rFonts w:ascii="Arial" w:cs="Arial" w:eastAsia="Arial" w:hAnsi="Arial"/>
                <w:sz w:val="22"/>
                <w:szCs w:val="22"/>
                <w:b w:val="1"/>
                <w:bCs w:val="1"/>
                <w:color w:val="auto"/>
              </w:rPr>
              <w:t>Vesting:</w:t>
            </w:r>
          </w:p>
        </w:tc>
        <w:tc>
          <w:tcPr>
            <w:tcW w:w="7360" w:type="dxa"/>
            <w:vAlign w:val="bottom"/>
            <w:gridSpan w:val="2"/>
          </w:tcPr>
          <w:p>
            <w:pPr>
              <w:ind w:left="200"/>
              <w:spacing w:after="0"/>
              <w:rPr>
                <w:sz w:val="20"/>
                <w:szCs w:val="20"/>
                <w:color w:val="auto"/>
              </w:rPr>
            </w:pPr>
            <w:r>
              <w:rPr>
                <w:rFonts w:ascii="Arial" w:cs="Arial" w:eastAsia="Arial" w:hAnsi="Arial"/>
                <w:sz w:val="22"/>
                <w:szCs w:val="22"/>
                <w:color w:val="auto"/>
                <w:w w:val="88"/>
              </w:rPr>
              <w:t>The Restricted Stock Units shall vest pursuant to the terms and conditions set forth</w:t>
            </w:r>
          </w:p>
        </w:tc>
      </w:tr>
      <w:tr>
        <w:trPr>
          <w:trHeight w:val="274"/>
        </w:trPr>
        <w:tc>
          <w:tcPr>
            <w:tcW w:w="2340" w:type="dxa"/>
            <w:vAlign w:val="bottom"/>
          </w:tcPr>
          <w:p>
            <w:pPr>
              <w:spacing w:after="0"/>
              <w:rPr>
                <w:sz w:val="23"/>
                <w:szCs w:val="23"/>
                <w:color w:val="auto"/>
              </w:rPr>
            </w:pPr>
          </w:p>
        </w:tc>
        <w:tc>
          <w:tcPr>
            <w:tcW w:w="7360" w:type="dxa"/>
            <w:vAlign w:val="bottom"/>
            <w:gridSpan w:val="2"/>
          </w:tcPr>
          <w:p>
            <w:pPr>
              <w:ind w:left="200"/>
              <w:spacing w:after="0"/>
              <w:rPr>
                <w:sz w:val="20"/>
                <w:szCs w:val="20"/>
                <w:color w:val="auto"/>
              </w:rPr>
            </w:pPr>
            <w:r>
              <w:rPr>
                <w:rFonts w:ascii="Arial" w:cs="Arial" w:eastAsia="Arial" w:hAnsi="Arial"/>
                <w:sz w:val="22"/>
                <w:szCs w:val="22"/>
                <w:color w:val="auto"/>
              </w:rPr>
              <w:t>in Section 3 of the Award Agreement.</w:t>
            </w:r>
          </w:p>
        </w:tc>
      </w:tr>
      <w:tr>
        <w:trPr>
          <w:trHeight w:val="499"/>
        </w:trPr>
        <w:tc>
          <w:tcPr>
            <w:tcW w:w="2340" w:type="dxa"/>
            <w:vAlign w:val="bottom"/>
          </w:tcPr>
          <w:p>
            <w:pPr>
              <w:spacing w:after="0"/>
              <w:rPr>
                <w:sz w:val="20"/>
                <w:szCs w:val="20"/>
                <w:color w:val="auto"/>
              </w:rPr>
            </w:pPr>
            <w:r>
              <w:rPr>
                <w:rFonts w:ascii="Arial" w:cs="Arial" w:eastAsia="Arial" w:hAnsi="Arial"/>
                <w:sz w:val="22"/>
                <w:szCs w:val="22"/>
                <w:b w:val="1"/>
                <w:bCs w:val="1"/>
                <w:color w:val="auto"/>
              </w:rPr>
              <w:t>Vesting Start Date:</w:t>
            </w:r>
          </w:p>
        </w:tc>
        <w:tc>
          <w:tcPr>
            <w:tcW w:w="340" w:type="dxa"/>
            <w:vAlign w:val="bottom"/>
          </w:tcPr>
          <w:p>
            <w:pPr>
              <w:ind w:left="200"/>
              <w:spacing w:after="0"/>
              <w:rPr>
                <w:sz w:val="20"/>
                <w:szCs w:val="20"/>
                <w:color w:val="auto"/>
              </w:rPr>
            </w:pPr>
            <w:r>
              <w:rPr>
                <w:rFonts w:ascii="Arial" w:cs="Arial" w:eastAsia="Arial" w:hAnsi="Arial"/>
                <w:sz w:val="22"/>
                <w:szCs w:val="22"/>
                <w:color w:val="auto"/>
              </w:rPr>
              <w:t>[</w:t>
            </w:r>
          </w:p>
        </w:tc>
        <w:tc>
          <w:tcPr>
            <w:tcW w:w="7020" w:type="dxa"/>
            <w:vAlign w:val="bottom"/>
          </w:tcPr>
          <w:p>
            <w:pPr>
              <w:jc w:val="right"/>
              <w:ind w:right="6772"/>
              <w:spacing w:after="0"/>
              <w:rPr>
                <w:sz w:val="20"/>
                <w:szCs w:val="20"/>
                <w:color w:val="auto"/>
              </w:rPr>
            </w:pPr>
            <w:r>
              <w:rPr>
                <w:rFonts w:ascii="Arial" w:cs="Arial" w:eastAsia="Arial" w:hAnsi="Arial"/>
                <w:sz w:val="22"/>
                <w:szCs w:val="22"/>
                <w:color w:val="auto"/>
              </w:rPr>
              <w:t>]</w:t>
            </w:r>
          </w:p>
        </w:tc>
      </w:tr>
    </w:tbl>
    <w:p>
      <w:pPr>
        <w:spacing w:after="0" w:line="185"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The Restricted Stock Units shall be subject to the execution and return of this Notice by the Grantee to the Company within 15 days of the Grantee’s receipt of this Notice (including by utilizing an electronic signature and/or web-based approval and notice process or any other process as may be authorized by the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641350</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71" w:name="page72"/>
    <w:bookmarkEnd w:id="71"/>
    <w:p>
      <w:pPr>
        <w:ind w:firstLine="648"/>
        <w:spacing w:after="0" w:line="251" w:lineRule="auto"/>
        <w:rPr>
          <w:sz w:val="20"/>
          <w:szCs w:val="20"/>
          <w:color w:val="auto"/>
        </w:rPr>
      </w:pPr>
      <w:r>
        <w:rPr>
          <w:rFonts w:ascii="Arial" w:cs="Arial" w:eastAsia="Arial" w:hAnsi="Arial"/>
          <w:sz w:val="22"/>
          <w:szCs w:val="22"/>
          <w:color w:val="auto"/>
        </w:rPr>
        <w:t>IN WITNESS WHEREOF, the parties hereto have executed this Notice of Grant as of the Date of Grant set forth above.</w:t>
      </w:r>
    </w:p>
    <w:p>
      <w:pPr>
        <w:spacing w:after="0" w:line="200"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TRADEWEB MARKETS INC.</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w:t>
      </w:r>
    </w:p>
    <w:p>
      <w:pPr>
        <w:ind w:left="496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-151130</wp:posOffset>
            </wp:positionV>
            <wp:extent cx="1457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GRANTEE</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6985</wp:posOffset>
            </wp:positionV>
            <wp:extent cx="1457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Name: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[Signature Page to Notice of Restricted Stock Unit Grant for Tradeweb Markets Inc. 2019 Omnibus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640"/>
          </w:cols>
          <w:pgMar w:left="980" w:top="118" w:right="1279" w:bottom="1440" w:gutter="0" w:footer="0" w:header="0"/>
        </w:sectPr>
      </w:pPr>
    </w:p>
    <w:bookmarkStart w:id="72" w:name="page73"/>
    <w:bookmarkEnd w:id="72"/>
    <w:p>
      <w:pPr>
        <w:jc w:val="center"/>
        <w:spacing w:after="0"/>
        <w:rPr>
          <w:sz w:val="20"/>
          <w:szCs w:val="20"/>
          <w:color w:val="auto"/>
        </w:rPr>
      </w:pPr>
      <w:r>
        <w:rPr>
          <w:rFonts w:ascii="Arial" w:cs="Arial" w:eastAsia="Arial" w:hAnsi="Arial"/>
          <w:sz w:val="22"/>
          <w:szCs w:val="22"/>
          <w:b w:val="1"/>
          <w:bCs w:val="1"/>
          <w:color w:val="auto"/>
        </w:rPr>
        <w:t>Exhibit 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2019 OMNIBUS EQUITY INCENTIVE PLAN</w:t>
      </w:r>
    </w:p>
    <w:p>
      <w:pPr>
        <w:jc w:val="center"/>
        <w:spacing w:after="0" w:line="230" w:lineRule="auto"/>
        <w:rPr>
          <w:sz w:val="20"/>
          <w:szCs w:val="20"/>
          <w:color w:val="auto"/>
        </w:rPr>
      </w:pPr>
      <w:r>
        <w:rPr>
          <w:rFonts w:ascii="Arial" w:cs="Arial" w:eastAsia="Arial" w:hAnsi="Arial"/>
          <w:sz w:val="22"/>
          <w:szCs w:val="22"/>
          <w:b w:val="1"/>
          <w:bCs w:val="1"/>
          <w:color w:val="auto"/>
        </w:rPr>
        <w:t>RESTRICTED STOCK UNIT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(Version 2020)</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THIS RESTRICTED STOCK UNIT AWARD AGREEMENT (this “</w:t>
      </w:r>
      <w:r>
        <w:rPr>
          <w:rFonts w:ascii="Arial" w:cs="Arial" w:eastAsia="Arial" w:hAnsi="Arial"/>
          <w:sz w:val="19"/>
          <w:szCs w:val="19"/>
          <w:u w:val="single" w:color="auto"/>
          <w:color w:val="auto"/>
        </w:rPr>
        <w:t>Award Agreement</w:t>
      </w:r>
      <w:r>
        <w:rPr>
          <w:rFonts w:ascii="Arial" w:cs="Arial" w:eastAsia="Arial" w:hAnsi="Arial"/>
          <w:sz w:val="19"/>
          <w:szCs w:val="19"/>
          <w:color w:val="auto"/>
        </w:rPr>
        <w:t>”) is entered into by and among Tradeweb Markets Inc.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individual set forth on the signature page to that certain Notice of Grant (the “</w:t>
      </w:r>
      <w:r>
        <w:rPr>
          <w:rFonts w:ascii="Arial" w:cs="Arial" w:eastAsia="Arial" w:hAnsi="Arial"/>
          <w:sz w:val="19"/>
          <w:szCs w:val="19"/>
          <w:u w:val="single" w:color="auto"/>
          <w:color w:val="auto"/>
        </w:rPr>
        <w:t>Notice</w:t>
      </w:r>
      <w:r>
        <w:rPr>
          <w:rFonts w:ascii="Arial" w:cs="Arial" w:eastAsia="Arial" w:hAnsi="Arial"/>
          <w:sz w:val="19"/>
          <w:szCs w:val="19"/>
          <w:color w:val="auto"/>
        </w:rPr>
        <w:t>”) to which this Award Agreement is attached. The terms and conditions of the Restricted Stock Units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w:t>
      </w:r>
    </w:p>
    <w:p>
      <w:pPr>
        <w:spacing w:after="0" w:line="171" w:lineRule="exact"/>
        <w:rPr>
          <w:sz w:val="20"/>
          <w:szCs w:val="20"/>
          <w:color w:val="auto"/>
        </w:rPr>
      </w:pPr>
    </w:p>
    <w:p>
      <w:pPr>
        <w:ind w:left="1960" w:hanging="655"/>
        <w:spacing w:after="0"/>
        <w:tabs>
          <w:tab w:leader="none" w:pos="196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No Right to Continued Employee Status or Consultant Service</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Nothing contained in this Award Agreement shall confer upon the Grantee the right to the continuation of his or her employment, or, in the case of a Consultant or Director, to the continuation of his or her service arrangement, nor shall anything herein interfere with the right of the Company or any of its Subsidiaries or other Affiliates to Terminate the Grantee.</w:t>
      </w:r>
    </w:p>
    <w:p>
      <w:pPr>
        <w:spacing w:after="0" w:line="206" w:lineRule="exact"/>
        <w:rPr>
          <w:sz w:val="20"/>
          <w:szCs w:val="20"/>
          <w:color w:val="auto"/>
        </w:rPr>
      </w:pPr>
    </w:p>
    <w:p>
      <w:pPr>
        <w:ind w:left="1940" w:hanging="635"/>
        <w:spacing w:after="0"/>
        <w:tabs>
          <w:tab w:leader="none" w:pos="194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Term of Restricted Stock Units</w:t>
      </w:r>
    </w:p>
    <w:p>
      <w:pPr>
        <w:spacing w:after="0" w:line="239"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This Award Agreement shall remain in effect until the Restricted Stock Units have fully vested and been settled or been forfeited by the Grantee as provided in this Award Agreement.</w:t>
      </w:r>
    </w:p>
    <w:p>
      <w:pPr>
        <w:spacing w:after="0" w:line="196" w:lineRule="exact"/>
        <w:rPr>
          <w:sz w:val="20"/>
          <w:szCs w:val="20"/>
          <w:color w:val="auto"/>
        </w:rPr>
      </w:pPr>
    </w:p>
    <w:p>
      <w:pPr>
        <w:ind w:left="1940" w:hanging="635"/>
        <w:spacing w:after="0"/>
        <w:tabs>
          <w:tab w:leader="none" w:pos="194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Vesting of Restricted Stock Units</w:t>
      </w:r>
      <w:r>
        <w:rPr>
          <w:rFonts w:ascii="Arial" w:cs="Arial" w:eastAsia="Arial" w:hAnsi="Arial"/>
          <w:sz w:val="22"/>
          <w:szCs w:val="22"/>
          <w:color w:val="auto"/>
        </w:rPr>
        <w:t>.</w:t>
      </w:r>
    </w:p>
    <w:p>
      <w:pPr>
        <w:spacing w:after="0" w:line="239" w:lineRule="exact"/>
        <w:rPr>
          <w:sz w:val="20"/>
          <w:szCs w:val="20"/>
          <w:color w:val="auto"/>
        </w:rPr>
      </w:pPr>
    </w:p>
    <w:p>
      <w:pPr>
        <w:jc w:val="both"/>
        <w:ind w:firstLine="1305"/>
        <w:spacing w:after="0" w:line="238" w:lineRule="auto"/>
        <w:tabs>
          <w:tab w:leader="none" w:pos="2062"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 Subject to the Grantee’s not having Terminated, except as specifically provided herein or in the Plan, one-third (1/3) of the Restricted Stock Units shall vest on each of the first, second, and third anniversaries of the Vesting Start Date (each, a “</w:t>
      </w:r>
      <w:r>
        <w:rPr>
          <w:rFonts w:ascii="Arial" w:cs="Arial" w:eastAsia="Arial" w:hAnsi="Arial"/>
          <w:sz w:val="22"/>
          <w:szCs w:val="22"/>
          <w:u w:val="single" w:color="auto"/>
          <w:color w:val="auto"/>
        </w:rPr>
        <w:t>Vesting Date</w:t>
      </w:r>
      <w:r>
        <w:rPr>
          <w:rFonts w:ascii="Arial" w:cs="Arial" w:eastAsia="Arial" w:hAnsi="Arial"/>
          <w:sz w:val="22"/>
          <w:szCs w:val="22"/>
          <w:color w:val="auto"/>
        </w:rPr>
        <w:t>”), subject to the Grantee not having Terminated prior to such anniversary.</w:t>
      </w:r>
    </w:p>
    <w:p>
      <w:pPr>
        <w:spacing w:after="0" w:line="211" w:lineRule="exact"/>
        <w:rPr>
          <w:rFonts w:ascii="Arial" w:cs="Arial" w:eastAsia="Arial" w:hAnsi="Arial"/>
          <w:sz w:val="22"/>
          <w:szCs w:val="22"/>
          <w:color w:val="auto"/>
        </w:rPr>
      </w:pPr>
    </w:p>
    <w:p>
      <w:pPr>
        <w:jc w:val="both"/>
        <w:ind w:firstLine="1224"/>
        <w:spacing w:after="0" w:line="238" w:lineRule="auto"/>
        <w:tabs>
          <w:tab w:leader="none" w:pos="198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Notwithstanding the foregoing, in the event of a Change in Control, the portion of the Award that has not vested as of the date of the Change in Control shall become fully vested as of the date of the Change in Control, subject to the Grantee not having Terminated prior to the closing of such Change in Control.</w:t>
      </w:r>
    </w:p>
    <w:p>
      <w:pPr>
        <w:spacing w:after="0" w:line="211" w:lineRule="exact"/>
        <w:rPr>
          <w:rFonts w:ascii="Arial" w:cs="Arial" w:eastAsia="Arial" w:hAnsi="Arial"/>
          <w:sz w:val="22"/>
          <w:szCs w:val="22"/>
          <w:color w:val="auto"/>
        </w:rPr>
      </w:pPr>
    </w:p>
    <w:p>
      <w:pPr>
        <w:jc w:val="both"/>
        <w:ind w:firstLine="1224"/>
        <w:spacing w:after="0" w:line="236" w:lineRule="auto"/>
        <w:tabs>
          <w:tab w:leader="none" w:pos="1968"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set forth in the remainder of this Section 3(c), if the Grantee incurs a Termination for any reason, whether voluntarily or involuntarily, then the portion of the Restricted Stock Units that have not previously vested shall terminate as of the date of the Grantee’s Termination. If the Grantee incurs a Termination for Cause, then the Restricted Stock Units (including, for the avoidance of doubt, Restricted Stock Units that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73" w:name="page74"/>
    <w:bookmarkEnd w:id="73"/>
    <w:p>
      <w:pPr>
        <w:jc w:val="both"/>
        <w:ind w:right="20"/>
        <w:spacing w:after="0" w:line="251" w:lineRule="auto"/>
        <w:rPr>
          <w:sz w:val="20"/>
          <w:szCs w:val="20"/>
          <w:color w:val="auto"/>
        </w:rPr>
      </w:pPr>
      <w:r>
        <w:rPr>
          <w:rFonts w:ascii="Arial" w:cs="Arial" w:eastAsia="Arial" w:hAnsi="Arial"/>
          <w:sz w:val="22"/>
          <w:szCs w:val="22"/>
          <w:color w:val="auto"/>
        </w:rPr>
        <w:t>unvested and vested but not yet settled) shall be forfeited and terminate immediately without consideration upon the effective date of such Termination for Cause.</w:t>
      </w:r>
    </w:p>
    <w:p>
      <w:pPr>
        <w:spacing w:after="0" w:line="200" w:lineRule="exact"/>
        <w:rPr>
          <w:sz w:val="20"/>
          <w:szCs w:val="20"/>
          <w:color w:val="auto"/>
        </w:rPr>
      </w:pPr>
    </w:p>
    <w:p>
      <w:pPr>
        <w:jc w:val="both"/>
        <w:ind w:firstLine="1944"/>
        <w:spacing w:after="0" w:line="279" w:lineRule="auto"/>
        <w:rPr>
          <w:sz w:val="20"/>
          <w:szCs w:val="20"/>
          <w:color w:val="auto"/>
        </w:rPr>
      </w:pPr>
      <w:r>
        <w:rPr>
          <w:rFonts w:ascii="Arial" w:cs="Arial" w:eastAsia="Arial" w:hAnsi="Arial"/>
          <w:sz w:val="19"/>
          <w:szCs w:val="19"/>
          <w:color w:val="auto"/>
        </w:rPr>
        <w:t>If the Grantee incurs a Termination (i) without Cause, (ii) due to death or Disability, or (iii) due to his or her Retirement (as defined below), the portion of the Grantee’s Restricted Stock Units that have not previously vested shall continue to vest following the date of the Grantee’s death or Termination in accordance with Section 3(a) hereof. For purposes of this Award Agreement, “</w:t>
      </w:r>
      <w:r>
        <w:rPr>
          <w:rFonts w:ascii="Arial" w:cs="Arial" w:eastAsia="Arial" w:hAnsi="Arial"/>
          <w:sz w:val="19"/>
          <w:szCs w:val="19"/>
          <w:u w:val="single" w:color="auto"/>
          <w:color w:val="auto"/>
        </w:rPr>
        <w:t>Retirement</w:t>
      </w:r>
      <w:r>
        <w:rPr>
          <w:rFonts w:ascii="Arial" w:cs="Arial" w:eastAsia="Arial" w:hAnsi="Arial"/>
          <w:sz w:val="19"/>
          <w:szCs w:val="19"/>
          <w:color w:val="auto"/>
        </w:rPr>
        <w:t>” means a Grantee’s voluntary resignation upon six months’ notice to the Company for any reason after attaining a combination of (A) age 55 with at least 10 years of credited service or (B) age 65 with at least 5 years of credited service.</w:t>
      </w:r>
    </w:p>
    <w:p>
      <w:pPr>
        <w:spacing w:after="0" w:line="171" w:lineRule="exact"/>
        <w:rPr>
          <w:sz w:val="20"/>
          <w:szCs w:val="20"/>
          <w:color w:val="auto"/>
        </w:rPr>
      </w:pPr>
    </w:p>
    <w:p>
      <w:pPr>
        <w:ind w:left="1960" w:hanging="655"/>
        <w:spacing w:after="0"/>
        <w:tabs>
          <w:tab w:leader="none" w:pos="196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Dividend Equivalent Rights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Restricted Stock Units granted hereunder will accumulate dividend equivalent rights in respect of any dividends paid on Shares (on a one Share to one Restricted Stock Unit basis) from the Date of Grant through each Vesting Date. To the extent the Restricted Stock Units that gave rise to any dividend equivalent rights are forfeited pursuant to this Award Agreement or the Plan, those dividend equivalent rights will also be forfeited. The aggregate dollar amount of dividend equivalent rights accumulated under this Section 4 and not forfeited shall be added to, and be settled at the same time as the related Restricted Stock Units pursuant to Section 5 below.</w:t>
      </w:r>
    </w:p>
    <w:p>
      <w:pPr>
        <w:spacing w:after="0" w:line="171" w:lineRule="exact"/>
        <w:rPr>
          <w:sz w:val="20"/>
          <w:szCs w:val="20"/>
          <w:color w:val="auto"/>
        </w:rPr>
      </w:pPr>
    </w:p>
    <w:p>
      <w:pPr>
        <w:ind w:left="1960" w:hanging="655"/>
        <w:spacing w:after="0"/>
        <w:tabs>
          <w:tab w:leader="none" w:pos="196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Restricted Stock Units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This Award Agreement shall entitle the Grantee to receive one (1) Share in settlement of each vested Restricted Stock Unit on the first trading date following the applicable Vesting Date (each such date, the “</w:t>
      </w:r>
      <w:r>
        <w:rPr>
          <w:rFonts w:ascii="Arial" w:cs="Arial" w:eastAsia="Arial" w:hAnsi="Arial"/>
          <w:sz w:val="19"/>
          <w:szCs w:val="19"/>
          <w:u w:val="single" w:color="auto"/>
          <w:color w:val="auto"/>
        </w:rPr>
        <w:t>Settlement Date</w:t>
      </w:r>
      <w:r>
        <w:rPr>
          <w:rFonts w:ascii="Arial" w:cs="Arial" w:eastAsia="Arial" w:hAnsi="Arial"/>
          <w:sz w:val="19"/>
          <w:szCs w:val="19"/>
          <w:color w:val="auto"/>
        </w:rPr>
        <w:t xml:space="preserve">”), less a number of Shares having an aggregate Fair Market Value equal to the withholding and employment taxes associated with the settlement of the PRSUs;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“Qualified Change in Control” (as defined below) occurs prior to the settlement of any Restricted Stock Unit, settlement shall occur at the time(s) and in the same form of consideration as the consideration delivered to the Company’s stockholders in connection with such transaction, to the extent permitted by Code Section 409A. For purposes of the foregoing, a “</w:t>
      </w:r>
      <w:r>
        <w:rPr>
          <w:rFonts w:ascii="Arial" w:cs="Arial" w:eastAsia="Arial" w:hAnsi="Arial"/>
          <w:sz w:val="19"/>
          <w:szCs w:val="19"/>
          <w:u w:val="single" w:color="auto"/>
          <w:color w:val="auto"/>
        </w:rPr>
        <w:t>Qualified Change in</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Control</w:t>
      </w:r>
      <w:r>
        <w:rPr>
          <w:rFonts w:ascii="Arial" w:cs="Arial" w:eastAsia="Arial" w:hAnsi="Arial"/>
          <w:sz w:val="19"/>
          <w:szCs w:val="19"/>
          <w:color w:val="auto"/>
        </w:rPr>
        <w:t>” is a Change in Control that also constitutes a change of ownership or effective control of, or in the ownership of a substantial portion of the assets of, the Company for purposes of Code Section 409A. In addition, the Company shall deliver to the Grantee on the Settlement Date a number of Shares having an aggregate Fair Market Value on the Settlement Date equal to any dividend equivalent rights accrued pursuant to Section 4 hereof in respect of the Restricted Stock Units to be settled on the Settlement Date, less a number of Shares having an aggregate Fair Market Value equal to the withholding and employment taxes associated with the settlement of such dividend equivalent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752475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4" w:name="page75"/>
    <w:bookmarkEnd w:id="74"/>
    <w:p>
      <w:pPr>
        <w:ind w:left="1960" w:hanging="655"/>
        <w:spacing w:after="0"/>
        <w:tabs>
          <w:tab w:leader="none" w:pos="196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Restrictive Covenants</w:t>
      </w:r>
    </w:p>
    <w:p>
      <w:pPr>
        <w:spacing w:after="0" w:line="24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By signing the Notice, the Grantee acknowledges and reconfirms the covenants of confidentiality, non-competition and non-solicitation and other similar obligations of the Grantee set forth in the Grantee’s employment agreement, all of which shall continue to apply to the Grantee in accordance with the terms thereof.</w:t>
      </w:r>
    </w:p>
    <w:p>
      <w:pPr>
        <w:spacing w:after="0" w:line="155" w:lineRule="exact"/>
        <w:rPr>
          <w:sz w:val="20"/>
          <w:szCs w:val="20"/>
          <w:color w:val="auto"/>
        </w:rPr>
      </w:pPr>
    </w:p>
    <w:p>
      <w:pPr>
        <w:ind w:left="1960" w:hanging="655"/>
        <w:spacing w:after="0"/>
        <w:tabs>
          <w:tab w:leader="none" w:pos="196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Prohibited Activities</w:t>
      </w:r>
    </w:p>
    <w:p>
      <w:pPr>
        <w:spacing w:after="0" w:line="239" w:lineRule="exact"/>
        <w:rPr>
          <w:sz w:val="20"/>
          <w:szCs w:val="20"/>
          <w:color w:val="auto"/>
        </w:rPr>
      </w:pPr>
    </w:p>
    <w:p>
      <w:pPr>
        <w:jc w:val="both"/>
        <w:ind w:firstLine="1305"/>
        <w:spacing w:after="0" w:line="234" w:lineRule="auto"/>
        <w:tabs>
          <w:tab w:leader="none" w:pos="1995"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No Sale or Transfer</w:t>
      </w:r>
      <w:r>
        <w:rPr>
          <w:rFonts w:ascii="Arial" w:cs="Arial" w:eastAsia="Arial" w:hAnsi="Arial"/>
          <w:sz w:val="22"/>
          <w:szCs w:val="22"/>
          <w:color w:val="auto"/>
        </w:rPr>
        <w:t xml:space="preserve">. Unless otherwise required by law, the Restricted Stock Units shall not be (i) sold, transferred or otherwise disposed of, (ii) pledged or otherwise hypothecated or (iii) subject to attachment, execution or levy of any kind, other than by will or by the laws of descent or distribution;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transferred Restricted Stock Units will be 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217" w:lineRule="exact"/>
        <w:rPr>
          <w:rFonts w:ascii="Arial" w:cs="Arial" w:eastAsia="Arial" w:hAnsi="Arial"/>
          <w:sz w:val="22"/>
          <w:szCs w:val="22"/>
          <w:color w:val="auto"/>
        </w:rPr>
      </w:pPr>
    </w:p>
    <w:p>
      <w:pPr>
        <w:jc w:val="both"/>
        <w:ind w:firstLine="1305"/>
        <w:spacing w:after="0" w:line="268" w:lineRule="auto"/>
        <w:tabs>
          <w:tab w:leader="none" w:pos="2155"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Right to Terminate Restricted Stock Units and Recovery</w:t>
      </w:r>
      <w:r>
        <w:rPr>
          <w:rFonts w:ascii="Arial" w:cs="Arial" w:eastAsia="Arial" w:hAnsi="Arial"/>
          <w:sz w:val="19"/>
          <w:szCs w:val="19"/>
          <w:color w:val="auto"/>
        </w:rPr>
        <w:t>. The Grantee understands and agrees that the Company has granted the Restricted Stock Units to the Grantee to reward the Grantee for the Grantee’s future efforts and loyalty to the Company and its Affiliates by giving the Grantee the opportunity to participate in the potential future appreciation of the Company. Accordingly, if (a) the Grantee materially violates the Grantee’s obligations relating to the non-disclosure or non-use of confidential or proprietary information under any Restrictive Agreement to which the Grantee is a party, or (b) the Grantee materially breaches or violates the Grantee’s obligations relating to non-disparagement under any Restrictive Agreement to which the Grantee is a party, or (c) the Grantee engages in any activity prohibited by this Section 7 of this Award Agreement, or (d) the Grantee materially breaches or violates any non-solicitation obligations under any Restrictive Agreement to which the Grantee is a party, or (e) the Grantee is convicted of a felony against the Company or any of its Affiliates or</w:t>
      </w:r>
    </w:p>
    <w:p>
      <w:pPr>
        <w:spacing w:after="0" w:line="8" w:lineRule="exact"/>
        <w:rPr>
          <w:rFonts w:ascii="Arial" w:cs="Arial" w:eastAsia="Arial" w:hAnsi="Arial"/>
          <w:sz w:val="19"/>
          <w:szCs w:val="19"/>
          <w:color w:val="auto"/>
        </w:rPr>
      </w:pPr>
    </w:p>
    <w:p>
      <w:pPr>
        <w:jc w:val="both"/>
        <w:ind w:firstLine="9"/>
        <w:spacing w:after="0" w:line="243" w:lineRule="auto"/>
        <w:tabs>
          <w:tab w:leader="none" w:pos="290"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Grantee breaches or violates any non-competition obligations under any Restrictive Agreement to which the Grantee is a party (as applicable), then, in addition to any other rights and remedies available to the Company, the Company shall be entitled, at its option, exercisable by written notice, to terminate the Restricted Stock Units (including the vested portion of the Restricted Stock Units) without consideration, which shall be of no further force and effect. “</w:t>
      </w:r>
      <w:r>
        <w:rPr>
          <w:rFonts w:ascii="Arial" w:cs="Arial" w:eastAsia="Arial" w:hAnsi="Arial"/>
          <w:sz w:val="21"/>
          <w:szCs w:val="21"/>
          <w:u w:val="single" w:color="auto"/>
          <w:color w:val="auto"/>
        </w:rPr>
        <w:t>Restrictive Agreement</w:t>
      </w:r>
      <w:r>
        <w:rPr>
          <w:rFonts w:ascii="Arial" w:cs="Arial" w:eastAsia="Arial" w:hAnsi="Arial"/>
          <w:sz w:val="21"/>
          <w:szCs w:val="21"/>
          <w:color w:val="auto"/>
        </w:rPr>
        <w:t xml:space="preserve">” shall mean (i) for any Grantee who is </w:t>
      </w:r>
      <w:r>
        <w:rPr>
          <w:rFonts w:ascii="Arial" w:cs="Arial" w:eastAsia="Arial" w:hAnsi="Arial"/>
          <w:sz w:val="21"/>
          <w:szCs w:val="21"/>
          <w:u w:val="single" w:color="auto"/>
          <w:color w:val="auto"/>
        </w:rPr>
        <w:t>not</w:t>
      </w:r>
      <w:r>
        <w:rPr>
          <w:rFonts w:ascii="Arial" w:cs="Arial" w:eastAsia="Arial" w:hAnsi="Arial"/>
          <w:sz w:val="21"/>
          <w:szCs w:val="21"/>
          <w:color w:val="auto"/>
        </w:rPr>
        <w:t xml:space="preserve"> a resident of the State of California, any agreement between the Company or any Subsidiary and the Grantee that contains non-competition, non-solicitation, non-hire, non-disparagement, or confidentiality restrictions applicable to the Grantee and (ii) for any Grantee who is a resident of the State of California, any agreement between the Company or any Subsidiary and the Grantee that contains non-solicitation, non-hire, non-disparagement, or confidentiality restrictions applicable to the Grantee.</w:t>
      </w:r>
    </w:p>
    <w:p>
      <w:pPr>
        <w:spacing w:after="0" w:line="210" w:lineRule="exact"/>
        <w:rPr>
          <w:rFonts w:ascii="Arial" w:cs="Arial" w:eastAsia="Arial" w:hAnsi="Arial"/>
          <w:sz w:val="21"/>
          <w:szCs w:val="21"/>
          <w:color w:val="auto"/>
        </w:rPr>
      </w:pPr>
    </w:p>
    <w:p>
      <w:pPr>
        <w:ind w:right="20" w:firstLine="1305"/>
        <w:spacing w:after="0" w:line="250" w:lineRule="auto"/>
        <w:tabs>
          <w:tab w:leader="none" w:pos="1981"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Other Remedies</w:t>
      </w:r>
      <w:r>
        <w:rPr>
          <w:rFonts w:ascii="Arial" w:cs="Arial" w:eastAsia="Arial" w:hAnsi="Arial"/>
          <w:sz w:val="22"/>
          <w:szCs w:val="22"/>
          <w:color w:val="auto"/>
        </w:rPr>
        <w:t>. The Grantee specifically acknowledges and agrees that its remedies under this Section 7 shall not prevent the Company or any Subsidiary from seeking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75" w:name="page76"/>
    <w:bookmarkEnd w:id="75"/>
    <w:p>
      <w:pPr>
        <w:jc w:val="both"/>
        <w:spacing w:after="0" w:line="238" w:lineRule="auto"/>
        <w:rPr>
          <w:sz w:val="20"/>
          <w:szCs w:val="20"/>
          <w:color w:val="auto"/>
        </w:rPr>
      </w:pPr>
      <w:r>
        <w:rPr>
          <w:rFonts w:ascii="Arial" w:cs="Arial" w:eastAsia="Arial" w:hAnsi="Arial"/>
          <w:sz w:val="22"/>
          <w:szCs w:val="22"/>
          <w:color w:val="auto"/>
        </w:rPr>
        <w:t>injunctive or other equitable relief in connection with the Grantee’s breach of any Restrictive Agreement. In the event that the provisions of this Section 7 should ever be deemed to exceed the limitation provided by applicable law, then the Grantee and the Company agree that such provisions shall be reformed to set forth the maximum limitations permitted.</w:t>
      </w:r>
    </w:p>
    <w:p>
      <w:pPr>
        <w:spacing w:after="0" w:line="206" w:lineRule="exact"/>
        <w:rPr>
          <w:sz w:val="20"/>
          <w:szCs w:val="20"/>
          <w:color w:val="auto"/>
        </w:rPr>
      </w:pPr>
    </w:p>
    <w:p>
      <w:pPr>
        <w:ind w:left="1960" w:hanging="655"/>
        <w:spacing w:after="0"/>
        <w:tabs>
          <w:tab w:leader="none" w:pos="196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No Rights as Stockholder</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Grantee shall have no rights as a stockholder with respect to the Shares covered by the Restricted Stock Units until the effective date of issuance of the Shares and the entry of the Grantee’s name as a shareholder of record on the books of the Company following delivery of the Shares in settlement of the Restricted Stock Units.</w:t>
      </w:r>
    </w:p>
    <w:p>
      <w:pPr>
        <w:spacing w:after="0" w:line="155" w:lineRule="exact"/>
        <w:rPr>
          <w:sz w:val="20"/>
          <w:szCs w:val="20"/>
          <w:color w:val="auto"/>
        </w:rPr>
      </w:pPr>
    </w:p>
    <w:p>
      <w:pPr>
        <w:ind w:left="1940" w:hanging="635"/>
        <w:spacing w:after="0"/>
        <w:tabs>
          <w:tab w:leader="none" w:pos="194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Withholding</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All payments made pursuant to this Award Agreement shall be subject to all applicable U.S. federal, state and local and applicable non-U.S. tax, social security and similar withholdings. The Grantee shall be solely responsible for the payment of all taxes relating to the payment or provision of any amounts or benefits hereunder. The Company shall have the right and is hereby authorized to withhold, any applicable withholding taxes in respect of the Restricted Stock Units, or any payment or transfer under, or with respect to, the Restricted Stock Units and to take such other action as may be necessary in the reasonable opinion of the Board to satisfy all obligations for the payment of such withholding taxes.</w:t>
      </w:r>
    </w:p>
    <w:p>
      <w:pPr>
        <w:spacing w:after="0" w:line="205" w:lineRule="exact"/>
        <w:rPr>
          <w:sz w:val="20"/>
          <w:szCs w:val="20"/>
          <w:color w:val="auto"/>
        </w:rPr>
      </w:pPr>
    </w:p>
    <w:p>
      <w:pPr>
        <w:ind w:left="1960" w:hanging="655"/>
        <w:spacing w:after="0"/>
        <w:tabs>
          <w:tab w:leader="none" w:pos="196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Securities Laws</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Upon the acquisition of any Shares pursuant to the settlement of the Restricted Stock Units, the Grantee will make such written representations, warranties, and agreements as the Committee may reasonably request in order to comply with securities laws or with this Award Agreement. The Grantee hereby agrees not to offer, sell or otherwise attempt to dispose of any Shares issued to the Grantee upon settlement of the Restricted Stock Units in any way which would: (x) require the Company to file any registration statement with the Securities and Exchange Commission (or any similar filing under state law or the laws of any other county) or to amend or supplement any such filing or (y) violate or cause the Company to violate the Securities Act of 1933, as amended, the Securities Exchange Act of 1934, as amended, the rules and regulations promulgated thereunder, or any other Federal, state or local law, or the laws of any other country. The Company reserves the right to place restrictions on any Shares the Grantee may receive as a result of the settlement of the Restricted Stock Units.</w:t>
      </w:r>
    </w:p>
    <w:p>
      <w:pPr>
        <w:spacing w:after="0" w:line="182" w:lineRule="exact"/>
        <w:rPr>
          <w:sz w:val="20"/>
          <w:szCs w:val="20"/>
          <w:color w:val="auto"/>
        </w:rPr>
      </w:pPr>
    </w:p>
    <w:p>
      <w:pPr>
        <w:ind w:left="1940" w:hanging="635"/>
        <w:spacing w:after="0"/>
        <w:tabs>
          <w:tab w:leader="none" w:pos="194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Modification, Amendment, and Termination of Restricted Stock Units</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Except as set forth in Section 13(b)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767080</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6" w:name="page77"/>
    <w:bookmarkEnd w:id="76"/>
    <w:p>
      <w:pPr>
        <w:ind w:left="1960" w:hanging="655"/>
        <w:spacing w:after="0"/>
        <w:tabs>
          <w:tab w:leader="none" w:pos="196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Unless otherwise provided herein, any notices or other communication given or made pursuant to the Notice, this Award Agreement or the Plan shall be in writing and shall be deemed to have been duly given (i) as of the date delivered, if personally delivered (including receipted courier service) or overnight delivery service, with confirmation of receipt; (ii) on the date of delivery by email to the address indicated or through an electronic administrative system designated by the Company; (iii) one (1) business day after being sent by reputable commercial overnight delivery service courier, with confirmation of receipt; or (iv) three (3) business days after being mailed by registered or certified mail, return receipt requested, postage prepaid and addressed to the intended recipient as set forth below:</w:t>
      </w:r>
    </w:p>
    <w:p>
      <w:pPr>
        <w:spacing w:after="0" w:line="207" w:lineRule="exact"/>
        <w:rPr>
          <w:sz w:val="20"/>
          <w:szCs w:val="20"/>
          <w:color w:val="auto"/>
        </w:rPr>
      </w:pPr>
    </w:p>
    <w:p>
      <w:pPr>
        <w:ind w:left="1980" w:hanging="675"/>
        <w:spacing w:after="0"/>
        <w:tabs>
          <w:tab w:leader="none" w:pos="19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If to the Company at the address below:</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Tradeweb Markets Inc.</w:t>
      </w:r>
    </w:p>
    <w:p>
      <w:pPr>
        <w:ind w:left="1960"/>
        <w:spacing w:after="0" w:line="238" w:lineRule="auto"/>
        <w:rPr>
          <w:sz w:val="20"/>
          <w:szCs w:val="20"/>
          <w:color w:val="auto"/>
        </w:rPr>
      </w:pPr>
      <w:r>
        <w:rPr>
          <w:rFonts w:ascii="Arial" w:cs="Arial" w:eastAsia="Arial" w:hAnsi="Arial"/>
          <w:sz w:val="22"/>
          <w:szCs w:val="22"/>
          <w:color w:val="auto"/>
        </w:rPr>
        <w:t>1177 Avenue of the Americas</w:t>
      </w:r>
    </w:p>
    <w:p>
      <w:pPr>
        <w:ind w:left="1960"/>
        <w:spacing w:after="0" w:line="230" w:lineRule="auto"/>
        <w:rPr>
          <w:sz w:val="20"/>
          <w:szCs w:val="20"/>
          <w:color w:val="auto"/>
        </w:rPr>
      </w:pPr>
      <w:r>
        <w:rPr>
          <w:rFonts w:ascii="Arial" w:cs="Arial" w:eastAsia="Arial" w:hAnsi="Arial"/>
          <w:sz w:val="22"/>
          <w:szCs w:val="22"/>
          <w:color w:val="auto"/>
        </w:rPr>
        <w:t>New York, New York 10036</w:t>
      </w:r>
    </w:p>
    <w:p>
      <w:pPr>
        <w:ind w:left="1960"/>
        <w:spacing w:after="0" w:line="231" w:lineRule="auto"/>
        <w:rPr>
          <w:sz w:val="20"/>
          <w:szCs w:val="20"/>
          <w:color w:val="auto"/>
        </w:rPr>
      </w:pPr>
      <w:r>
        <w:rPr>
          <w:rFonts w:ascii="Arial" w:cs="Arial" w:eastAsia="Arial" w:hAnsi="Arial"/>
          <w:sz w:val="22"/>
          <w:szCs w:val="22"/>
          <w:color w:val="auto"/>
        </w:rPr>
        <w:t>Attention: Douglas Friedman, General Counsel</w:t>
      </w:r>
    </w:p>
    <w:p>
      <w:pPr>
        <w:ind w:left="1960"/>
        <w:spacing w:after="0"/>
        <w:rPr>
          <w:sz w:val="20"/>
          <w:szCs w:val="20"/>
          <w:color w:val="auto"/>
        </w:rPr>
      </w:pPr>
      <w:r>
        <w:rPr>
          <w:rFonts w:ascii="Arial" w:cs="Arial" w:eastAsia="Arial" w:hAnsi="Arial"/>
          <w:sz w:val="22"/>
          <w:szCs w:val="22"/>
          <w:color w:val="auto"/>
        </w:rPr>
        <w:t>Email: Douglas.Friedman@tradeweb.com</w:t>
      </w:r>
    </w:p>
    <w:p>
      <w:pPr>
        <w:spacing w:after="0" w:line="215" w:lineRule="exact"/>
        <w:rPr>
          <w:sz w:val="20"/>
          <w:szCs w:val="20"/>
          <w:color w:val="auto"/>
        </w:rPr>
      </w:pPr>
    </w:p>
    <w:p>
      <w:pPr>
        <w:ind w:left="1980" w:hanging="675"/>
        <w:spacing w:after="0"/>
        <w:tabs>
          <w:tab w:leader="none" w:pos="19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If to the Grantee, at the most recent address or email contained in the Company’s records.</w:t>
      </w:r>
    </w:p>
    <w:p>
      <w:pPr>
        <w:spacing w:after="0" w:line="262" w:lineRule="exact"/>
        <w:rPr>
          <w:sz w:val="20"/>
          <w:szCs w:val="20"/>
          <w:color w:val="auto"/>
        </w:rPr>
      </w:pPr>
    </w:p>
    <w:p>
      <w:pPr>
        <w:ind w:left="1940" w:hanging="635"/>
        <w:spacing w:after="0"/>
        <w:tabs>
          <w:tab w:leader="none" w:pos="194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Award Agreement Subject to Plan and Applicable Law</w:t>
      </w:r>
    </w:p>
    <w:p>
      <w:pPr>
        <w:spacing w:after="0" w:line="239" w:lineRule="exact"/>
        <w:rPr>
          <w:sz w:val="20"/>
          <w:szCs w:val="20"/>
          <w:color w:val="auto"/>
        </w:rPr>
      </w:pPr>
    </w:p>
    <w:p>
      <w:pPr>
        <w:jc w:val="both"/>
        <w:ind w:firstLine="1305"/>
        <w:spacing w:after="0" w:line="246" w:lineRule="auto"/>
        <w:tabs>
          <w:tab w:leader="none" w:pos="2072"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211" w:lineRule="exact"/>
        <w:rPr>
          <w:rFonts w:ascii="Arial" w:cs="Arial" w:eastAsia="Arial" w:hAnsi="Arial"/>
          <w:sz w:val="21"/>
          <w:szCs w:val="21"/>
          <w:color w:val="auto"/>
        </w:rPr>
      </w:pPr>
    </w:p>
    <w:p>
      <w:pPr>
        <w:jc w:val="both"/>
        <w:ind w:firstLine="1305"/>
        <w:spacing w:after="0" w:line="249" w:lineRule="auto"/>
        <w:tabs>
          <w:tab w:leader="none" w:pos="1988" w:val="left"/>
        </w:tabs>
        <w:numPr>
          <w:ilvl w:val="0"/>
          <w:numId w:val="72"/>
        </w:numPr>
        <w:rPr>
          <w:rFonts w:ascii="Arial" w:cs="Arial" w:eastAsia="Arial" w:hAnsi="Arial"/>
          <w:sz w:val="21"/>
          <w:szCs w:val="21"/>
          <w:color w:val="auto"/>
        </w:rPr>
      </w:pPr>
      <w:r>
        <w:rPr>
          <w:rFonts w:ascii="Arial" w:cs="Arial" w:eastAsia="Arial" w:hAnsi="Arial"/>
          <w:sz w:val="21"/>
          <w:szCs w:val="21"/>
          <w:color w:val="auto"/>
        </w:rPr>
        <w:t>For the avoidance of doubt, with respect to any Grantee resident outside of the U.S., if the application of the vesting provisions as set forth in Section 3 hereof are invalid or impracticable under applicable local law, the terms of Section 3 hereof shall either be amended or be deemed not to apply to such Grantee, as determined in the sole discretion of the Committee. All determinations made and actions taken with respect to this Section 13(b) shall be made in the sole discretion of the Committee.</w:t>
      </w:r>
    </w:p>
    <w:p>
      <w:pPr>
        <w:spacing w:after="0" w:line="205" w:lineRule="exact"/>
        <w:rPr>
          <w:rFonts w:ascii="Arial" w:cs="Arial" w:eastAsia="Arial" w:hAnsi="Arial"/>
          <w:sz w:val="21"/>
          <w:szCs w:val="21"/>
          <w:color w:val="auto"/>
        </w:rPr>
      </w:pPr>
    </w:p>
    <w:p>
      <w:pPr>
        <w:jc w:val="both"/>
        <w:ind w:firstLine="1305"/>
        <w:spacing w:after="0" w:line="238" w:lineRule="auto"/>
        <w:tabs>
          <w:tab w:leader="none" w:pos="2054"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765175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77" w:name="page78"/>
    <w:bookmarkEnd w:id="77"/>
    <w:p>
      <w:pPr>
        <w:ind w:left="1960" w:hanging="655"/>
        <w:spacing w:after="0"/>
        <w:tabs>
          <w:tab w:leader="none" w:pos="196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Section 409A</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Restricted Stock Units are intended to be compliant with Section 409A of the Code and, accordingly, to the maximum extent permitted, this Award Agreement shall be interpreted in a manner consistent therewith. Nothing contained herein shall constitute any representation or warranty by the Company regarding compliance 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w:t>
      </w:r>
    </w:p>
    <w:p>
      <w:pPr>
        <w:spacing w:after="0" w:line="205" w:lineRule="exact"/>
        <w:rPr>
          <w:sz w:val="20"/>
          <w:szCs w:val="20"/>
          <w:color w:val="auto"/>
        </w:rPr>
      </w:pPr>
    </w:p>
    <w:p>
      <w:pPr>
        <w:ind w:left="1960" w:hanging="655"/>
        <w:spacing w:after="0"/>
        <w:tabs>
          <w:tab w:leader="none" w:pos="196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Headings and Capitalized Terms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pacing w:after="0" w:line="206" w:lineRule="exact"/>
        <w:rPr>
          <w:sz w:val="20"/>
          <w:szCs w:val="20"/>
          <w:color w:val="auto"/>
        </w:rPr>
      </w:pPr>
    </w:p>
    <w:p>
      <w:pPr>
        <w:ind w:left="1960" w:hanging="655"/>
        <w:spacing w:after="0"/>
        <w:tabs>
          <w:tab w:leader="none" w:pos="196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 and Reformation</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 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168" w:lineRule="exact"/>
        <w:rPr>
          <w:sz w:val="20"/>
          <w:szCs w:val="20"/>
          <w:color w:val="auto"/>
        </w:rPr>
      </w:pPr>
    </w:p>
    <w:p>
      <w:pPr>
        <w:ind w:left="1960" w:hanging="655"/>
        <w:spacing w:after="0"/>
        <w:tabs>
          <w:tab w:leader="none" w:pos="196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Binding Effect</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This Award Agreement shall be binding upon the parties hereto, together with their personal executors, administrator, successors, personal representatives, heirs and permitted assigns.</w:t>
      </w:r>
    </w:p>
    <w:p>
      <w:pPr>
        <w:spacing w:after="0" w:line="196" w:lineRule="exact"/>
        <w:rPr>
          <w:sz w:val="20"/>
          <w:szCs w:val="20"/>
          <w:color w:val="auto"/>
        </w:rPr>
      </w:pPr>
    </w:p>
    <w:p>
      <w:pPr>
        <w:ind w:left="1960" w:hanging="655"/>
        <w:spacing w:after="0"/>
        <w:tabs>
          <w:tab w:leader="none" w:pos="196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206" w:lineRule="exact"/>
        <w:rPr>
          <w:sz w:val="20"/>
          <w:szCs w:val="20"/>
          <w:color w:val="auto"/>
        </w:rPr>
      </w:pPr>
    </w:p>
    <w:p>
      <w:pPr>
        <w:ind w:left="1940" w:hanging="635"/>
        <w:spacing w:after="0"/>
        <w:tabs>
          <w:tab w:leader="none" w:pos="194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Waiver</w:t>
      </w:r>
    </w:p>
    <w:p>
      <w:pPr>
        <w:spacing w:after="0" w:line="239"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78" w:name="page79"/>
    <w:bookmarkEnd w:id="78"/>
    <w:p>
      <w:pPr>
        <w:spacing w:after="0" w:line="251" w:lineRule="auto"/>
        <w:rPr>
          <w:sz w:val="20"/>
          <w:szCs w:val="20"/>
          <w:color w:val="auto"/>
        </w:rPr>
      </w:pPr>
      <w:r>
        <w:rPr>
          <w:rFonts w:ascii="Arial" w:cs="Arial" w:eastAsia="Arial" w:hAnsi="Arial"/>
          <w:sz w:val="22"/>
          <w:szCs w:val="22"/>
          <w:color w:val="auto"/>
        </w:rPr>
        <w:t>exercise any such right shall not deprive the party of the right to take action at any time while or after such breach or condition giving rise to such rights continues.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603885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auto"/>
        </w:rPr>
        <w:t>Exhibit 10.2</w:t>
      </w:r>
    </w:p>
    <w:p>
      <w:pPr>
        <w:spacing w:after="0" w:line="234" w:lineRule="exact"/>
        <w:rPr>
          <w:sz w:val="20"/>
          <w:szCs w:val="20"/>
          <w:color w:val="auto"/>
        </w:rPr>
      </w:pPr>
    </w:p>
    <w:p>
      <w:pPr>
        <w:jc w:val="center"/>
        <w:ind w:left="1000" w:right="2440"/>
        <w:spacing w:after="0" w:line="243" w:lineRule="auto"/>
        <w:rPr>
          <w:sz w:val="20"/>
          <w:szCs w:val="20"/>
          <w:color w:val="auto"/>
        </w:rPr>
      </w:pPr>
      <w:r>
        <w:rPr>
          <w:rFonts w:ascii="Arial" w:cs="Arial" w:eastAsia="Arial" w:hAnsi="Arial"/>
          <w:sz w:val="22"/>
          <w:szCs w:val="22"/>
          <w:b w:val="1"/>
          <w:bCs w:val="1"/>
          <w:color w:val="auto"/>
        </w:rPr>
        <w:t>TRADEWEB MARKETS INC. 2019 OMNIBUS EQUITY INCENTIVE PLAN RESTRICTED STOCK UNIT - NOTICE OF GRANT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(Version 2020)</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Tradeweb Markets Inc. (the “</w:t>
      </w:r>
      <w:r>
        <w:rPr>
          <w:rFonts w:ascii="Arial" w:cs="Arial" w:eastAsia="Arial" w:hAnsi="Arial"/>
          <w:sz w:val="22"/>
          <w:szCs w:val="22"/>
          <w:u w:val="single" w:color="auto"/>
          <w:color w:val="auto"/>
        </w:rPr>
        <w:t>Company</w:t>
      </w:r>
      <w:r>
        <w:rPr>
          <w:rFonts w:ascii="Arial" w:cs="Arial" w:eastAsia="Arial" w:hAnsi="Arial"/>
          <w:sz w:val="22"/>
          <w:szCs w:val="22"/>
          <w:color w:val="auto"/>
        </w:rPr>
        <w:t>”), a Delaware corporation, hereby grants to the Grantee set forth below (the “</w:t>
      </w:r>
      <w:r>
        <w:rPr>
          <w:rFonts w:ascii="Arial" w:cs="Arial" w:eastAsia="Arial" w:hAnsi="Arial"/>
          <w:sz w:val="22"/>
          <w:szCs w:val="22"/>
          <w:u w:val="single" w:color="auto"/>
          <w:color w:val="auto"/>
        </w:rPr>
        <w:t>Grantee</w:t>
      </w:r>
      <w:r>
        <w:rPr>
          <w:rFonts w:ascii="Arial" w:cs="Arial" w:eastAsia="Arial" w:hAnsi="Arial"/>
          <w:sz w:val="22"/>
          <w:szCs w:val="22"/>
          <w:color w:val="auto"/>
        </w:rPr>
        <w:t>”) Restricted Stock Units (the “</w:t>
      </w:r>
      <w:r>
        <w:rPr>
          <w:rFonts w:ascii="Arial" w:cs="Arial" w:eastAsia="Arial" w:hAnsi="Arial"/>
          <w:sz w:val="22"/>
          <w:szCs w:val="22"/>
          <w:u w:val="single" w:color="auto"/>
          <w:color w:val="auto"/>
        </w:rPr>
        <w:t>Restricted Stock Units</w:t>
      </w:r>
      <w:r>
        <w:rPr>
          <w:rFonts w:ascii="Arial" w:cs="Arial" w:eastAsia="Arial" w:hAnsi="Arial"/>
          <w:sz w:val="22"/>
          <w:szCs w:val="22"/>
          <w:color w:val="auto"/>
        </w:rPr>
        <w:t>”), pursuant to the terms and conditions of this Notice of Grant (the “</w:t>
      </w:r>
      <w:r>
        <w:rPr>
          <w:rFonts w:ascii="Arial" w:cs="Arial" w:eastAsia="Arial" w:hAnsi="Arial"/>
          <w:sz w:val="22"/>
          <w:szCs w:val="22"/>
          <w:u w:val="single" w:color="auto"/>
          <w:color w:val="auto"/>
        </w:rPr>
        <w:t>Notice</w:t>
      </w:r>
      <w:r>
        <w:rPr>
          <w:rFonts w:ascii="Arial" w:cs="Arial" w:eastAsia="Arial" w:hAnsi="Arial"/>
          <w:sz w:val="22"/>
          <w:szCs w:val="22"/>
          <w:color w:val="auto"/>
        </w:rPr>
        <w:t xml:space="preserve">”), the Restricted Stock Unit Award Agreement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Award Agreement</w:t>
      </w:r>
      <w:r>
        <w:rPr>
          <w:rFonts w:ascii="Arial" w:cs="Arial" w:eastAsia="Arial" w:hAnsi="Arial"/>
          <w:sz w:val="22"/>
          <w:szCs w:val="22"/>
          <w:color w:val="auto"/>
        </w:rPr>
        <w:t>”), and the Tradeweb Markets Inc. 2019 Omnibus Equity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 Capitalized terms used but not defined herein shall have the meaning attributed to such terms in the Award Agreement or, if not defined therein, in the Plan, unless the context requires otherwise. Each Restricted Stock Unit represents the right to receive one (1) Share at the time and in the manner set forth in Section 5 of the Award Agreement.</w:t>
      </w:r>
    </w:p>
    <w:p>
      <w:pPr>
        <w:sectPr>
          <w:pgSz w:w="11900" w:h="16838" w:orient="portrait"/>
          <w:cols w:equalWidth="0" w:num="1">
            <w:col w:w="9920"/>
          </w:cols>
          <w:pgMar w:left="980" w:top="111" w:right="99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of Grantee: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Restricted Stock Units:</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Start Date: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220" w:hanging="213"/>
        <w:spacing w:after="0"/>
        <w:tabs>
          <w:tab w:leader="none" w:pos="2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220" w:hanging="213"/>
        <w:spacing w:after="0"/>
        <w:tabs>
          <w:tab w:leader="none" w:pos="2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33" w:lineRule="exact"/>
        <w:rPr>
          <w:sz w:val="20"/>
          <w:szCs w:val="20"/>
          <w:color w:val="auto"/>
        </w:rPr>
      </w:pPr>
    </w:p>
    <w:p>
      <w:pPr>
        <w:ind w:right="1940"/>
        <w:spacing w:after="0" w:line="328" w:lineRule="auto"/>
        <w:rPr>
          <w:sz w:val="20"/>
          <w:szCs w:val="20"/>
          <w:color w:val="auto"/>
        </w:rPr>
      </w:pPr>
      <w:r>
        <w:rPr>
          <w:rFonts w:ascii="Arial" w:cs="Arial" w:eastAsia="Arial" w:hAnsi="Arial"/>
          <w:sz w:val="19"/>
          <w:szCs w:val="19"/>
          <w:color w:val="auto"/>
        </w:rPr>
        <w:t>The Restricted Stock Units shall vest pursuant to the terms and conditions set forth in Section 3 of the Award Agreement.</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00" w:lineRule="exact"/>
        <w:rPr>
          <w:sz w:val="20"/>
          <w:szCs w:val="20"/>
          <w:color w:val="auto"/>
        </w:rPr>
      </w:pPr>
    </w:p>
    <w:p>
      <w:pPr>
        <w:sectPr>
          <w:pgSz w:w="11900" w:h="16838" w:orient="portrait"/>
          <w:cols w:equalWidth="0" w:num="2">
            <w:col w:w="2140" w:space="400"/>
            <w:col w:w="7380"/>
          </w:cols>
          <w:pgMar w:left="980" w:top="111" w:right="999" w:bottom="1440" w:gutter="0" w:footer="0" w:header="0"/>
          <w:type w:val="continuous"/>
        </w:sectPr>
      </w:pPr>
    </w:p>
    <w:p>
      <w:pPr>
        <w:spacing w:after="0" w:line="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Restricted Stock Units shall be subject to the execution and return of this Notice by the Grantee to the Company within 15 days of the Grantee’s receipt of this Notice (including by utilizing an electronic signature and/or web-based approval and notice process or any other process as may be authorized by the Company). By executing this Notice, the Grantee acknowledges that his or her agreement to the covenants set forth in the Restrictive Covenant Agreement entered into by and between the Grantee and the Company on or about the date hereof is a material inducement to the Company in granting this Award to the Grantee.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795655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type w:val="continuous"/>
        </w:sectPr>
      </w:pPr>
    </w:p>
    <w:bookmarkStart w:id="80" w:name="page81"/>
    <w:bookmarkEnd w:id="80"/>
    <w:p>
      <w:pPr>
        <w:ind w:right="140" w:firstLine="648"/>
        <w:spacing w:after="0" w:line="251" w:lineRule="auto"/>
        <w:rPr>
          <w:sz w:val="20"/>
          <w:szCs w:val="20"/>
          <w:color w:val="auto"/>
        </w:rPr>
      </w:pPr>
      <w:r>
        <w:rPr>
          <w:rFonts w:ascii="Arial" w:cs="Arial" w:eastAsia="Arial" w:hAnsi="Arial"/>
          <w:sz w:val="22"/>
          <w:szCs w:val="22"/>
          <w:color w:val="auto"/>
        </w:rPr>
        <w:t>IN WITNESS WHEREOF, the parties hereto have executed this Notice of Grant as of the Date of Grant set forth above.</w:t>
      </w:r>
    </w:p>
    <w:p>
      <w:pPr>
        <w:spacing w:after="0" w:line="200"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TRADEWEB MARKETS INC.</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w:t>
      </w:r>
    </w:p>
    <w:p>
      <w:pPr>
        <w:ind w:left="496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-151130</wp:posOffset>
            </wp:positionV>
            <wp:extent cx="1457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GRANTEE</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6985</wp:posOffset>
            </wp:positionV>
            <wp:extent cx="1457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Name: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[SIGNATURE PAGE TO NOTICE OF RESTRICTED STOCK UNIT GRANT FOR TRADEWEB MARKETS INC. 2019 OMNIBUS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354330</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980" w:top="118" w:right="1139" w:bottom="1440" w:gutter="0" w:footer="0" w:header="0"/>
        </w:sectPr>
      </w:pPr>
    </w:p>
    <w:bookmarkStart w:id="81" w:name="page82"/>
    <w:bookmarkEnd w:id="81"/>
    <w:p>
      <w:pPr>
        <w:jc w:val="center"/>
        <w:spacing w:after="0"/>
        <w:rPr>
          <w:sz w:val="20"/>
          <w:szCs w:val="20"/>
          <w:color w:val="auto"/>
        </w:rPr>
      </w:pPr>
      <w:r>
        <w:rPr>
          <w:rFonts w:ascii="Arial" w:cs="Arial" w:eastAsia="Arial" w:hAnsi="Arial"/>
          <w:sz w:val="22"/>
          <w:szCs w:val="22"/>
          <w:b w:val="1"/>
          <w:bCs w:val="1"/>
          <w:color w:val="auto"/>
        </w:rPr>
        <w:t>Exhibit 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2019 OMNIBUS EQUITY INCENTIVE PLAN</w:t>
      </w:r>
    </w:p>
    <w:p>
      <w:pPr>
        <w:jc w:val="center"/>
        <w:spacing w:after="0" w:line="230" w:lineRule="auto"/>
        <w:rPr>
          <w:sz w:val="20"/>
          <w:szCs w:val="20"/>
          <w:color w:val="auto"/>
        </w:rPr>
      </w:pPr>
      <w:r>
        <w:rPr>
          <w:rFonts w:ascii="Arial" w:cs="Arial" w:eastAsia="Arial" w:hAnsi="Arial"/>
          <w:sz w:val="22"/>
          <w:szCs w:val="22"/>
          <w:b w:val="1"/>
          <w:bCs w:val="1"/>
          <w:color w:val="auto"/>
        </w:rPr>
        <w:t>RESTRICTED STOCK UNIT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(Version 2020)</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THIS RESTRICTED STOCK UNIT AWARD AGREEMENT (this “</w:t>
      </w:r>
      <w:r>
        <w:rPr>
          <w:rFonts w:ascii="Arial" w:cs="Arial" w:eastAsia="Arial" w:hAnsi="Arial"/>
          <w:sz w:val="19"/>
          <w:szCs w:val="19"/>
          <w:u w:val="single" w:color="auto"/>
          <w:color w:val="auto"/>
        </w:rPr>
        <w:t>Award Agreement</w:t>
      </w:r>
      <w:r>
        <w:rPr>
          <w:rFonts w:ascii="Arial" w:cs="Arial" w:eastAsia="Arial" w:hAnsi="Arial"/>
          <w:sz w:val="19"/>
          <w:szCs w:val="19"/>
          <w:color w:val="auto"/>
        </w:rPr>
        <w:t>”) is entered into by and among Tradeweb Markets Inc.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individual set forth on the signature page to that certain Notice of Grant (the “</w:t>
      </w:r>
      <w:r>
        <w:rPr>
          <w:rFonts w:ascii="Arial" w:cs="Arial" w:eastAsia="Arial" w:hAnsi="Arial"/>
          <w:sz w:val="19"/>
          <w:szCs w:val="19"/>
          <w:u w:val="single" w:color="auto"/>
          <w:color w:val="auto"/>
        </w:rPr>
        <w:t>Notice</w:t>
      </w:r>
      <w:r>
        <w:rPr>
          <w:rFonts w:ascii="Arial" w:cs="Arial" w:eastAsia="Arial" w:hAnsi="Arial"/>
          <w:sz w:val="19"/>
          <w:szCs w:val="19"/>
          <w:color w:val="auto"/>
        </w:rPr>
        <w:t>”) to which this Award Agreement is attached. The terms and conditions of the Restricted Stock Units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w:t>
      </w:r>
    </w:p>
    <w:p>
      <w:pPr>
        <w:spacing w:after="0" w:line="171" w:lineRule="exact"/>
        <w:rPr>
          <w:sz w:val="20"/>
          <w:szCs w:val="20"/>
          <w:color w:val="auto"/>
        </w:rPr>
      </w:pPr>
    </w:p>
    <w:p>
      <w:pPr>
        <w:ind w:left="1960" w:hanging="655"/>
        <w:spacing w:after="0"/>
        <w:tabs>
          <w:tab w:leader="none" w:pos="196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No Right to Continued Employee Status or Consultant Service</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Nothing contained in this Award Agreement shall confer upon the Grantee the right to the continuation of his or her employment, or, in the case of a Consultant or Director, to the continuation of his or her service arrangement, nor shall anything herein interfere with the right of the Company or any of its Subsidiaries or other Affiliates to Terminate the Grantee.</w:t>
      </w:r>
    </w:p>
    <w:p>
      <w:pPr>
        <w:spacing w:after="0" w:line="206" w:lineRule="exact"/>
        <w:rPr>
          <w:sz w:val="20"/>
          <w:szCs w:val="20"/>
          <w:color w:val="auto"/>
        </w:rPr>
      </w:pPr>
    </w:p>
    <w:p>
      <w:pPr>
        <w:ind w:left="1940" w:hanging="635"/>
        <w:spacing w:after="0"/>
        <w:tabs>
          <w:tab w:leader="none" w:pos="194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Term of Restricted Stock Units</w:t>
      </w:r>
    </w:p>
    <w:p>
      <w:pPr>
        <w:spacing w:after="0" w:line="239"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This Award Agreement shall remain in effect until the Restricted Stock Units have fully vested and been settled or been forfeited by the Grantee as provided in this Award Agreement.</w:t>
      </w:r>
    </w:p>
    <w:p>
      <w:pPr>
        <w:spacing w:after="0" w:line="196" w:lineRule="exact"/>
        <w:rPr>
          <w:sz w:val="20"/>
          <w:szCs w:val="20"/>
          <w:color w:val="auto"/>
        </w:rPr>
      </w:pPr>
    </w:p>
    <w:p>
      <w:pPr>
        <w:ind w:left="1940" w:hanging="635"/>
        <w:spacing w:after="0"/>
        <w:tabs>
          <w:tab w:leader="none" w:pos="194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Vesting of Restricted Stock Units</w:t>
      </w:r>
    </w:p>
    <w:p>
      <w:pPr>
        <w:spacing w:after="0" w:line="239" w:lineRule="exact"/>
        <w:rPr>
          <w:sz w:val="20"/>
          <w:szCs w:val="20"/>
          <w:color w:val="auto"/>
        </w:rPr>
      </w:pPr>
    </w:p>
    <w:p>
      <w:pPr>
        <w:jc w:val="both"/>
        <w:ind w:firstLine="1305"/>
        <w:spacing w:after="0" w:line="238" w:lineRule="auto"/>
        <w:tabs>
          <w:tab w:leader="none" w:pos="2049"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 Subject to the Grantee’s not having Terminated, except as specifically provided herein or in the Plan, one-third (1/3) of the Restricted Stock Units shall vest on each of the first, second, and third anniversaries of the Vesting Start Date (each, a “</w:t>
      </w:r>
      <w:r>
        <w:rPr>
          <w:rFonts w:ascii="Arial" w:cs="Arial" w:eastAsia="Arial" w:hAnsi="Arial"/>
          <w:sz w:val="22"/>
          <w:szCs w:val="22"/>
          <w:u w:val="single" w:color="auto"/>
          <w:color w:val="auto"/>
        </w:rPr>
        <w:t>Vesting Date</w:t>
      </w:r>
      <w:r>
        <w:rPr>
          <w:rFonts w:ascii="Arial" w:cs="Arial" w:eastAsia="Arial" w:hAnsi="Arial"/>
          <w:sz w:val="22"/>
          <w:szCs w:val="22"/>
          <w:color w:val="auto"/>
        </w:rPr>
        <w:t>”), subject to the Grantee not having Terminated prior to such anniversary.</w:t>
      </w:r>
    </w:p>
    <w:p>
      <w:pPr>
        <w:spacing w:after="0" w:line="211" w:lineRule="exact"/>
        <w:rPr>
          <w:rFonts w:ascii="Arial" w:cs="Arial" w:eastAsia="Arial" w:hAnsi="Arial"/>
          <w:sz w:val="22"/>
          <w:szCs w:val="22"/>
          <w:color w:val="auto"/>
        </w:rPr>
      </w:pPr>
    </w:p>
    <w:p>
      <w:pPr>
        <w:jc w:val="both"/>
        <w:ind w:firstLine="1305"/>
        <w:spacing w:after="0" w:line="238" w:lineRule="auto"/>
        <w:tabs>
          <w:tab w:leader="none" w:pos="1966"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Notwithstanding the foregoing, in the event of a Change in Control, the portion of the Award that has not vested as of the date of the Change in Control shall become fully vested as of the date of the Change in Control, subject to the Grantee not having Terminated prior to the closing of such Change in Control.</w:t>
      </w:r>
    </w:p>
    <w:p>
      <w:pPr>
        <w:spacing w:after="0" w:line="211" w:lineRule="exact"/>
        <w:rPr>
          <w:rFonts w:ascii="Arial" w:cs="Arial" w:eastAsia="Arial" w:hAnsi="Arial"/>
          <w:sz w:val="22"/>
          <w:szCs w:val="22"/>
          <w:color w:val="auto"/>
        </w:rPr>
      </w:pPr>
    </w:p>
    <w:p>
      <w:pPr>
        <w:jc w:val="both"/>
        <w:ind w:firstLine="1305"/>
        <w:spacing w:after="0" w:line="236" w:lineRule="auto"/>
        <w:tabs>
          <w:tab w:leader="none" w:pos="1954"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set forth in the remainder of this Section 3(c), if the Grantee incurs a Termination for any reason, whether voluntarily or involuntarily, then the portion of the Restricted Stock Units that have not previously vested shall terminate as of the date of the Grantee’s Termination. If the Grantee incurs a Termination for Cause, then the Restricted Stock Units (including, for the avoidance of doubt, Restricted Stock Units that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82" w:name="page83"/>
    <w:bookmarkEnd w:id="82"/>
    <w:p>
      <w:pPr>
        <w:jc w:val="both"/>
        <w:ind w:right="20"/>
        <w:spacing w:after="0" w:line="251" w:lineRule="auto"/>
        <w:rPr>
          <w:sz w:val="20"/>
          <w:szCs w:val="20"/>
          <w:color w:val="auto"/>
        </w:rPr>
      </w:pPr>
      <w:r>
        <w:rPr>
          <w:rFonts w:ascii="Arial" w:cs="Arial" w:eastAsia="Arial" w:hAnsi="Arial"/>
          <w:sz w:val="22"/>
          <w:szCs w:val="22"/>
          <w:color w:val="auto"/>
        </w:rPr>
        <w:t>unvested and vested but not yet settled) shall be forfeited and terminate immediately without consideration upon the effective date of such Termination for Cause.</w:t>
      </w:r>
    </w:p>
    <w:p>
      <w:pPr>
        <w:spacing w:after="0" w:line="200" w:lineRule="exact"/>
        <w:rPr>
          <w:sz w:val="20"/>
          <w:szCs w:val="20"/>
          <w:color w:val="auto"/>
        </w:rPr>
      </w:pPr>
    </w:p>
    <w:p>
      <w:pPr>
        <w:jc w:val="both"/>
        <w:ind w:firstLine="1944"/>
        <w:spacing w:after="0" w:line="279" w:lineRule="auto"/>
        <w:rPr>
          <w:sz w:val="20"/>
          <w:szCs w:val="20"/>
          <w:color w:val="auto"/>
        </w:rPr>
      </w:pPr>
      <w:r>
        <w:rPr>
          <w:rFonts w:ascii="Arial" w:cs="Arial" w:eastAsia="Arial" w:hAnsi="Arial"/>
          <w:sz w:val="19"/>
          <w:szCs w:val="19"/>
          <w:color w:val="auto"/>
        </w:rPr>
        <w:t>If the Grantee incurs a Termination (i) without Cause, (ii) due to death or Disability, or (iii) due to his or her Retirement (as defined below), the portion of the Grantee’s Restricted Stock Units that have not previously vested shall continue to vest following the date of the Grantee’s death or Termination in accordance with Section 3(a) hereof. For purposes of this Award Agreement, “</w:t>
      </w:r>
      <w:r>
        <w:rPr>
          <w:rFonts w:ascii="Arial" w:cs="Arial" w:eastAsia="Arial" w:hAnsi="Arial"/>
          <w:sz w:val="19"/>
          <w:szCs w:val="19"/>
          <w:u w:val="single" w:color="auto"/>
          <w:color w:val="auto"/>
        </w:rPr>
        <w:t>Retirement</w:t>
      </w:r>
      <w:r>
        <w:rPr>
          <w:rFonts w:ascii="Arial" w:cs="Arial" w:eastAsia="Arial" w:hAnsi="Arial"/>
          <w:sz w:val="19"/>
          <w:szCs w:val="19"/>
          <w:color w:val="auto"/>
        </w:rPr>
        <w:t>” means a Grantee’s voluntary resignation upon six months’ notice to the Company for any reason after attaining a combination of (A) age 55 with at least 10 years of credited service or (B) age 65 with at least 5 years of credited service.</w:t>
      </w:r>
    </w:p>
    <w:p>
      <w:pPr>
        <w:spacing w:after="0" w:line="171" w:lineRule="exact"/>
        <w:rPr>
          <w:sz w:val="20"/>
          <w:szCs w:val="20"/>
          <w:color w:val="auto"/>
        </w:rPr>
      </w:pPr>
    </w:p>
    <w:p>
      <w:pPr>
        <w:ind w:left="1960" w:hanging="655"/>
        <w:spacing w:after="0"/>
        <w:tabs>
          <w:tab w:leader="none" w:pos="196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Dividend Equivalent Rights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Restricted Stock Units granted hereunder will accumulate dividend equivalent rights in respect of any dividends paid on Shares (on a one Share to one Restricted Stock Unit basis) from the Date of Grant through each Vesting Date. To the extent the Restricted Stock Units that gave rise to any dividend equivalent rights are forfeited pursuant to this Award Agreement or the Plan, those dividend equivalent rights will also be forfeited. The aggregate dollar amount of dividend equivalent rights accumulated under this Section 4 and not forfeited shall be added to, and be settled at the same time as the related Restricted Stock Units pursuant to Section 5 below.</w:t>
      </w:r>
    </w:p>
    <w:p>
      <w:pPr>
        <w:spacing w:after="0" w:line="171" w:lineRule="exact"/>
        <w:rPr>
          <w:sz w:val="20"/>
          <w:szCs w:val="20"/>
          <w:color w:val="auto"/>
        </w:rPr>
      </w:pPr>
    </w:p>
    <w:p>
      <w:pPr>
        <w:ind w:left="1960" w:hanging="655"/>
        <w:spacing w:after="0"/>
        <w:tabs>
          <w:tab w:leader="none" w:pos="196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Restricted Stock Units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This Award Agreement shall entitle the Grantee to receive one (1) Share in settlement of each vested Restricted Stock Unit on the first trading date following the applicable Vesting Date (each such date, the “</w:t>
      </w:r>
      <w:r>
        <w:rPr>
          <w:rFonts w:ascii="Arial" w:cs="Arial" w:eastAsia="Arial" w:hAnsi="Arial"/>
          <w:sz w:val="19"/>
          <w:szCs w:val="19"/>
          <w:u w:val="single" w:color="auto"/>
          <w:color w:val="auto"/>
        </w:rPr>
        <w:t>Settlement Date</w:t>
      </w:r>
      <w:r>
        <w:rPr>
          <w:rFonts w:ascii="Arial" w:cs="Arial" w:eastAsia="Arial" w:hAnsi="Arial"/>
          <w:sz w:val="19"/>
          <w:szCs w:val="19"/>
          <w:color w:val="auto"/>
        </w:rPr>
        <w:t xml:space="preserve">”), less a number of Shares having an aggregate Fair Market Value equal to the withholding and employment taxes associated with the settlement of the PRSUs;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“Qualified Change in Control” (as defined below) occurs prior to the settlement of any Restricted Stock Unit, settlement shall occur at the time(s) and in the same form of consideration as the consideration delivered to the Company’s stockholders in connection with such transaction, to the extent permitted by Code Section 409A. For purposes of the foregoing, a “</w:t>
      </w:r>
      <w:r>
        <w:rPr>
          <w:rFonts w:ascii="Arial" w:cs="Arial" w:eastAsia="Arial" w:hAnsi="Arial"/>
          <w:sz w:val="19"/>
          <w:szCs w:val="19"/>
          <w:u w:val="single" w:color="auto"/>
          <w:color w:val="auto"/>
        </w:rPr>
        <w:t>Qualified Change in</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Control</w:t>
      </w:r>
      <w:r>
        <w:rPr>
          <w:rFonts w:ascii="Arial" w:cs="Arial" w:eastAsia="Arial" w:hAnsi="Arial"/>
          <w:sz w:val="19"/>
          <w:szCs w:val="19"/>
          <w:color w:val="auto"/>
        </w:rPr>
        <w:t>” is a Change in Control that also constitutes a change of ownership or effective control of, or in the ownership of a substantial portion of the assets of, the Company for purposes of Code Section 409A. In addition, the Company shall deliver to the Grantee on the Settlement Date a number of Shares having an aggregate Fair Market Value on the Settlement Date equal to any dividend equivalent rights accrued pursuant to Section 4 hereof in respect of the Restricted Stock Units to be settled on the Settlement Date, less a number of Shares having an aggregate Fair Market Value equal to the withholding and employment taxes associated with the settlement of such dividend equivalent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598170</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83" w:name="page84"/>
    <w:bookmarkEnd w:id="83"/>
    <w:p>
      <w:pPr>
        <w:ind w:left="1960" w:hanging="655"/>
        <w:spacing w:after="0"/>
        <w:tabs>
          <w:tab w:leader="none" w:pos="196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Restrictive Covenants</w:t>
      </w:r>
    </w:p>
    <w:p>
      <w:pPr>
        <w:spacing w:after="0" w:line="240"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By signing the Notice, the Grantee acknowledges that he or she has entered into a Restricted Covenant Agreement with the Company on or about the date hereof which supersedes any prior restrictive covenant agreements entered into by the Grantee and the Company (if any).</w:t>
      </w:r>
    </w:p>
    <w:p>
      <w:pPr>
        <w:spacing w:after="0" w:line="207" w:lineRule="exact"/>
        <w:rPr>
          <w:sz w:val="20"/>
          <w:szCs w:val="20"/>
          <w:color w:val="auto"/>
        </w:rPr>
      </w:pPr>
    </w:p>
    <w:p>
      <w:pPr>
        <w:ind w:left="1960" w:hanging="655"/>
        <w:spacing w:after="0"/>
        <w:tabs>
          <w:tab w:leader="none" w:pos="1960"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Prohibited Activities</w:t>
      </w:r>
    </w:p>
    <w:p>
      <w:pPr>
        <w:spacing w:after="0" w:line="239" w:lineRule="exact"/>
        <w:rPr>
          <w:sz w:val="20"/>
          <w:szCs w:val="20"/>
          <w:color w:val="auto"/>
        </w:rPr>
      </w:pPr>
    </w:p>
    <w:p>
      <w:pPr>
        <w:jc w:val="both"/>
        <w:ind w:firstLine="1305"/>
        <w:spacing w:after="0" w:line="234" w:lineRule="auto"/>
        <w:tabs>
          <w:tab w:leader="none" w:pos="1972" w:val="left"/>
        </w:tabs>
        <w:numPr>
          <w:ilvl w:val="1"/>
          <w:numId w:val="88"/>
        </w:numPr>
        <w:rPr>
          <w:rFonts w:ascii="Arial" w:cs="Arial" w:eastAsia="Arial" w:hAnsi="Arial"/>
          <w:sz w:val="22"/>
          <w:szCs w:val="22"/>
          <w:color w:val="auto"/>
        </w:rPr>
      </w:pPr>
      <w:r>
        <w:rPr>
          <w:rFonts w:ascii="Arial" w:cs="Arial" w:eastAsia="Arial" w:hAnsi="Arial"/>
          <w:sz w:val="22"/>
          <w:szCs w:val="22"/>
          <w:u w:val="single" w:color="auto"/>
          <w:color w:val="auto"/>
        </w:rPr>
        <w:t>No Sale or Transfer</w:t>
      </w:r>
      <w:r>
        <w:rPr>
          <w:rFonts w:ascii="Arial" w:cs="Arial" w:eastAsia="Arial" w:hAnsi="Arial"/>
          <w:sz w:val="22"/>
          <w:szCs w:val="22"/>
          <w:color w:val="auto"/>
        </w:rPr>
        <w:t xml:space="preserve">. Unless otherwise required by law, the Restricted Stock Units shall not be (i) sold, transferred or otherwise disposed of, (ii) pledged or otherwise hypothecated or (iii) subject to attachment, execution or levy of any kind, other than by will or by the laws of descent or distribution;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transferred Restricted Stock Units will be 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217" w:lineRule="exact"/>
        <w:rPr>
          <w:rFonts w:ascii="Arial" w:cs="Arial" w:eastAsia="Arial" w:hAnsi="Arial"/>
          <w:sz w:val="22"/>
          <w:szCs w:val="22"/>
          <w:color w:val="auto"/>
        </w:rPr>
      </w:pPr>
    </w:p>
    <w:p>
      <w:pPr>
        <w:jc w:val="both"/>
        <w:ind w:firstLine="1305"/>
        <w:spacing w:after="0" w:line="268" w:lineRule="auto"/>
        <w:tabs>
          <w:tab w:leader="none" w:pos="2119"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Right to Terminate Restricted Stock Units and Recovery</w:t>
      </w:r>
      <w:r>
        <w:rPr>
          <w:rFonts w:ascii="Arial" w:cs="Arial" w:eastAsia="Arial" w:hAnsi="Arial"/>
          <w:sz w:val="19"/>
          <w:szCs w:val="19"/>
          <w:color w:val="auto"/>
        </w:rPr>
        <w:t>. The Grantee understands and agrees that the Company has granted the Restricted Stock Units to the Grantee to reward the Grantee for the Grantee’s future efforts and loyalty to the Company and its Affiliates by giving the Grantee the opportunity to participate in the potential future appreciation of the Company. Accordingly, if (a) the Grantee materially violates the Grantee’s obligations relating to the non-disclosure or non-use of confidential or proprietary information under any Restrictive Agreement to which the Grantee is a party, or (b) the Grantee materially breaches or violates the Grantee’s obligations relating to non-disparagement under any Restrictive Agreement to which the Grantee is a party, or (c) the Grantee engages in any activity prohibited by this Section 7 of this Award Agreement, or (d) the Grantee materially breaches or violates any non-solicitation obligations under any Restrictive Agreement to which the Grantee is a party, or (e) the Grantee is convicted of a felony against the Company or any of its Affiliates or</w:t>
      </w:r>
    </w:p>
    <w:p>
      <w:pPr>
        <w:spacing w:after="0" w:line="8" w:lineRule="exact"/>
        <w:rPr>
          <w:rFonts w:ascii="Arial" w:cs="Arial" w:eastAsia="Arial" w:hAnsi="Arial"/>
          <w:sz w:val="19"/>
          <w:szCs w:val="19"/>
          <w:color w:val="auto"/>
        </w:rPr>
      </w:pPr>
    </w:p>
    <w:p>
      <w:pPr>
        <w:jc w:val="both"/>
        <w:ind w:firstLine="9"/>
        <w:spacing w:after="0" w:line="243" w:lineRule="auto"/>
        <w:tabs>
          <w:tab w:leader="none" w:pos="290" w:val="left"/>
        </w:tabs>
        <w:numPr>
          <w:ilvl w:val="0"/>
          <w:numId w:val="89"/>
        </w:numPr>
        <w:rPr>
          <w:rFonts w:ascii="Arial" w:cs="Arial" w:eastAsia="Arial" w:hAnsi="Arial"/>
          <w:sz w:val="21"/>
          <w:szCs w:val="21"/>
          <w:color w:val="auto"/>
        </w:rPr>
      </w:pPr>
      <w:r>
        <w:rPr>
          <w:rFonts w:ascii="Arial" w:cs="Arial" w:eastAsia="Arial" w:hAnsi="Arial"/>
          <w:sz w:val="21"/>
          <w:szCs w:val="21"/>
          <w:color w:val="auto"/>
        </w:rPr>
        <w:t>the Grantee breaches or violates any non-competition obligations under any Restrictive Agreement to which the Grantee is a party (as applicable), then, in addition to any other rights and remedies available to the Company, the Company shall be entitled, at its option, exercisable by written notice, to terminate the Restricted Stock Units (including the vested portion of the Restricted Stock Units) without consideration, which shall be of no further force and effect. “</w:t>
      </w:r>
      <w:r>
        <w:rPr>
          <w:rFonts w:ascii="Arial" w:cs="Arial" w:eastAsia="Arial" w:hAnsi="Arial"/>
          <w:sz w:val="21"/>
          <w:szCs w:val="21"/>
          <w:u w:val="single" w:color="auto"/>
          <w:color w:val="auto"/>
        </w:rPr>
        <w:t>Restrictive Agreement</w:t>
      </w:r>
      <w:r>
        <w:rPr>
          <w:rFonts w:ascii="Arial" w:cs="Arial" w:eastAsia="Arial" w:hAnsi="Arial"/>
          <w:sz w:val="21"/>
          <w:szCs w:val="21"/>
          <w:color w:val="auto"/>
        </w:rPr>
        <w:t xml:space="preserve">” shall mean (i) for any Grantee who is </w:t>
      </w:r>
      <w:r>
        <w:rPr>
          <w:rFonts w:ascii="Arial" w:cs="Arial" w:eastAsia="Arial" w:hAnsi="Arial"/>
          <w:sz w:val="21"/>
          <w:szCs w:val="21"/>
          <w:u w:val="single" w:color="auto"/>
          <w:color w:val="auto"/>
        </w:rPr>
        <w:t>not</w:t>
      </w:r>
      <w:r>
        <w:rPr>
          <w:rFonts w:ascii="Arial" w:cs="Arial" w:eastAsia="Arial" w:hAnsi="Arial"/>
          <w:sz w:val="21"/>
          <w:szCs w:val="21"/>
          <w:color w:val="auto"/>
        </w:rPr>
        <w:t xml:space="preserve"> a resident of the State of California, any agreement between the Company or any Subsidiary and the Grantee that contains non-competition, non-solicitation, non-hire, non-disparagement, or confidentiality restrictions applicable to the Grantee and (ii) for any Grantee who is a resident of the State of California, any agreement between the Company or any Subsidiary and the Grantee that contains non-solicitation, non-hire, non-disparagement, or confidentiality restrictions applicable to the Grantee.</w:t>
      </w:r>
    </w:p>
    <w:p>
      <w:pPr>
        <w:spacing w:after="0" w:line="210" w:lineRule="exact"/>
        <w:rPr>
          <w:rFonts w:ascii="Arial" w:cs="Arial" w:eastAsia="Arial" w:hAnsi="Arial"/>
          <w:sz w:val="21"/>
          <w:szCs w:val="21"/>
          <w:color w:val="auto"/>
        </w:rPr>
      </w:pPr>
    </w:p>
    <w:p>
      <w:pPr>
        <w:jc w:val="both"/>
        <w:ind w:firstLine="1305"/>
        <w:spacing w:after="0" w:line="238" w:lineRule="auto"/>
        <w:tabs>
          <w:tab w:leader="none" w:pos="1959" w:val="left"/>
        </w:tabs>
        <w:numPr>
          <w:ilvl w:val="1"/>
          <w:numId w:val="89"/>
        </w:numPr>
        <w:rPr>
          <w:rFonts w:ascii="Arial" w:cs="Arial" w:eastAsia="Arial" w:hAnsi="Arial"/>
          <w:sz w:val="22"/>
          <w:szCs w:val="22"/>
          <w:color w:val="auto"/>
        </w:rPr>
      </w:pPr>
      <w:r>
        <w:rPr>
          <w:rFonts w:ascii="Arial" w:cs="Arial" w:eastAsia="Arial" w:hAnsi="Arial"/>
          <w:sz w:val="22"/>
          <w:szCs w:val="22"/>
          <w:u w:val="single" w:color="auto"/>
          <w:color w:val="auto"/>
        </w:rPr>
        <w:t>Other Remedies</w:t>
      </w:r>
      <w:r>
        <w:rPr>
          <w:rFonts w:ascii="Arial" w:cs="Arial" w:eastAsia="Arial" w:hAnsi="Arial"/>
          <w:sz w:val="22"/>
          <w:szCs w:val="22"/>
          <w:color w:val="auto"/>
        </w:rPr>
        <w:t>. The Grantee specifically acknowledges and agrees that its remedies under this Section 7 shall not prevent the Company or any Subsidiary from seeking injunctive or other equitable relief in connection with the Grantee’s breach of any Restrictive Agreement. In the event that the provisions of this Section 7 should ever be deemed to exceed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1014095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84" w:name="page85"/>
    <w:bookmarkEnd w:id="84"/>
    <w:p>
      <w:pPr>
        <w:spacing w:after="0" w:line="251" w:lineRule="auto"/>
        <w:rPr>
          <w:sz w:val="20"/>
          <w:szCs w:val="20"/>
          <w:color w:val="auto"/>
        </w:rPr>
      </w:pPr>
      <w:r>
        <w:rPr>
          <w:rFonts w:ascii="Arial" w:cs="Arial" w:eastAsia="Arial" w:hAnsi="Arial"/>
          <w:sz w:val="22"/>
          <w:szCs w:val="22"/>
          <w:color w:val="auto"/>
        </w:rPr>
        <w:t>the limitation provided by applicable law, then the Grantee and the Company agree that such provisions shall be reformed to set forth the maximum limitations permitted.</w:t>
      </w:r>
    </w:p>
    <w:p>
      <w:pPr>
        <w:spacing w:after="0" w:line="194" w:lineRule="exact"/>
        <w:rPr>
          <w:sz w:val="20"/>
          <w:szCs w:val="20"/>
          <w:color w:val="auto"/>
        </w:rPr>
      </w:pPr>
    </w:p>
    <w:p>
      <w:pPr>
        <w:ind w:left="1960" w:hanging="655"/>
        <w:spacing w:after="0"/>
        <w:tabs>
          <w:tab w:leader="none" w:pos="196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No Rights as Stockholder</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Grantee shall have no rights as a stockholder with respect to the Shares covered by the Restricted Stock Units until the effective date of issuance of the Shares and the entry of the Grantee’s name as a shareholder of record on the books of the Company following delivery of the Shares in settlement of the Restricted Stock Units.</w:t>
      </w:r>
    </w:p>
    <w:p>
      <w:pPr>
        <w:spacing w:after="0" w:line="155" w:lineRule="exact"/>
        <w:rPr>
          <w:sz w:val="20"/>
          <w:szCs w:val="20"/>
          <w:color w:val="auto"/>
        </w:rPr>
      </w:pPr>
    </w:p>
    <w:p>
      <w:pPr>
        <w:ind w:left="1940" w:hanging="635"/>
        <w:spacing w:after="0"/>
        <w:tabs>
          <w:tab w:leader="none" w:pos="194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Withholding</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All payments made pursuant to this Award Agreement shall be subject to all applicable U.S. federal, state and local and applicable non-U.S. tax, social security and similar withholdings. The Grantee shall be solely responsible for the payment of all taxes relating to the payment or provision of any amounts or benefits hereunder. The Company shall have the right and is hereby authorized to withhold, any applicable withholding taxes in respect of the Restricted Stock Units, or any payment or transfer under, or with respect to, the Restricted Stock Units and to take such other action as may be necessary in the reasonable opinion of the Board to satisfy all obligations for the payment of such withholding taxes.</w:t>
      </w:r>
    </w:p>
    <w:p>
      <w:pPr>
        <w:spacing w:after="0" w:line="205" w:lineRule="exact"/>
        <w:rPr>
          <w:sz w:val="20"/>
          <w:szCs w:val="20"/>
          <w:color w:val="auto"/>
        </w:rPr>
      </w:pPr>
    </w:p>
    <w:p>
      <w:pPr>
        <w:ind w:left="1960" w:hanging="655"/>
        <w:spacing w:after="0"/>
        <w:tabs>
          <w:tab w:leader="none" w:pos="196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Securities Laws</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Upon the acquisition of any Shares pursuant to the settlement of the Restricted Stock Units, the Grantee will make such written representations, warranties, and agreements as the Committee may reasonably request in order to comply with securities laws or with this Award Agreement. The Grantee hereby agrees not to offer, sell or otherwise attempt to dispose of any Shares issued to the Grantee upon settlement of the Restricted Stock Units in any way which would: (x) require the Company to file any registration statement with the Securities and Exchange Commission (or any similar filing under state law or the laws of any other county) or to amend or supplement any such filing or (y) violate or cause the Company to violate the Securities Act of 1933, as amended, the Securities Exchange Act of 1934, as amended, the rules and regulations promulgated thereunder, or any other Federal, state or local law, or the laws of any other country. The Company reserves the right to place restrictions on any Shares the Grantee may receive as a result of the settlement of the Restricted Stock Units.</w:t>
      </w:r>
    </w:p>
    <w:p>
      <w:pPr>
        <w:spacing w:after="0" w:line="182" w:lineRule="exact"/>
        <w:rPr>
          <w:sz w:val="20"/>
          <w:szCs w:val="20"/>
          <w:color w:val="auto"/>
        </w:rPr>
      </w:pPr>
    </w:p>
    <w:p>
      <w:pPr>
        <w:ind w:left="1940" w:hanging="635"/>
        <w:spacing w:after="0"/>
        <w:tabs>
          <w:tab w:leader="none" w:pos="1940"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Modification, Amendment, and Termination of Restricted Stock Units</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Except as set forth in Section 13(b)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767080</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85" w:name="page86"/>
    <w:bookmarkEnd w:id="85"/>
    <w:p>
      <w:pPr>
        <w:ind w:left="1960" w:hanging="655"/>
        <w:spacing w:after="0"/>
        <w:tabs>
          <w:tab w:leader="none" w:pos="196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Unless otherwise provided herein, any notices or other communication given or made pursuant to the Notice, this Award Agreement or the Plan shall be in writing and shall be deemed to have been duly given (i) as of the date delivered, if personally delivered (including receipted courier service) or overnight delivery service, with confirmation of receipt; (ii) on the date of delivery by email to the address indicated or through an electronic administrative system designated by the Company; (iii) one (1) business day after being sent by reputable commercial overnight delivery service courier, with confirmation of receipt; or (iv) three (3) business days after being mailed by registered or certified mail, return receipt requested, postage prepaid and addressed to the intended recipient as set forth below:</w:t>
      </w:r>
    </w:p>
    <w:p>
      <w:pPr>
        <w:spacing w:after="0" w:line="207" w:lineRule="exact"/>
        <w:rPr>
          <w:sz w:val="20"/>
          <w:szCs w:val="20"/>
          <w:color w:val="auto"/>
        </w:rPr>
      </w:pPr>
    </w:p>
    <w:p>
      <w:pPr>
        <w:ind w:left="1980" w:hanging="675"/>
        <w:spacing w:after="0"/>
        <w:tabs>
          <w:tab w:leader="none" w:pos="19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If to the Company at the address below:</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Tradeweb Markets Inc.</w:t>
      </w:r>
    </w:p>
    <w:p>
      <w:pPr>
        <w:ind w:left="1960"/>
        <w:spacing w:after="0" w:line="238" w:lineRule="auto"/>
        <w:rPr>
          <w:sz w:val="20"/>
          <w:szCs w:val="20"/>
          <w:color w:val="auto"/>
        </w:rPr>
      </w:pPr>
      <w:r>
        <w:rPr>
          <w:rFonts w:ascii="Arial" w:cs="Arial" w:eastAsia="Arial" w:hAnsi="Arial"/>
          <w:sz w:val="22"/>
          <w:szCs w:val="22"/>
          <w:color w:val="auto"/>
        </w:rPr>
        <w:t>1177 Avenue of the Americas</w:t>
      </w:r>
    </w:p>
    <w:p>
      <w:pPr>
        <w:ind w:left="1960"/>
        <w:spacing w:after="0" w:line="230" w:lineRule="auto"/>
        <w:rPr>
          <w:sz w:val="20"/>
          <w:szCs w:val="20"/>
          <w:color w:val="auto"/>
        </w:rPr>
      </w:pPr>
      <w:r>
        <w:rPr>
          <w:rFonts w:ascii="Arial" w:cs="Arial" w:eastAsia="Arial" w:hAnsi="Arial"/>
          <w:sz w:val="22"/>
          <w:szCs w:val="22"/>
          <w:color w:val="auto"/>
        </w:rPr>
        <w:t>New York, New York 10036</w:t>
      </w:r>
    </w:p>
    <w:p>
      <w:pPr>
        <w:ind w:left="1960"/>
        <w:spacing w:after="0" w:line="231" w:lineRule="auto"/>
        <w:rPr>
          <w:sz w:val="20"/>
          <w:szCs w:val="20"/>
          <w:color w:val="auto"/>
        </w:rPr>
      </w:pPr>
      <w:r>
        <w:rPr>
          <w:rFonts w:ascii="Arial" w:cs="Arial" w:eastAsia="Arial" w:hAnsi="Arial"/>
          <w:sz w:val="22"/>
          <w:szCs w:val="22"/>
          <w:color w:val="auto"/>
        </w:rPr>
        <w:t>Attention: Douglas Friedman, General Counsel</w:t>
      </w:r>
    </w:p>
    <w:p>
      <w:pPr>
        <w:ind w:left="1960"/>
        <w:spacing w:after="0"/>
        <w:rPr>
          <w:sz w:val="20"/>
          <w:szCs w:val="20"/>
          <w:color w:val="auto"/>
        </w:rPr>
      </w:pPr>
      <w:r>
        <w:rPr>
          <w:rFonts w:ascii="Arial" w:cs="Arial" w:eastAsia="Arial" w:hAnsi="Arial"/>
          <w:sz w:val="22"/>
          <w:szCs w:val="22"/>
          <w:color w:val="auto"/>
        </w:rPr>
        <w:t>Email: Douglas.Friedman@tradeweb.com</w:t>
      </w:r>
    </w:p>
    <w:p>
      <w:pPr>
        <w:spacing w:after="0" w:line="215" w:lineRule="exact"/>
        <w:rPr>
          <w:sz w:val="20"/>
          <w:szCs w:val="20"/>
          <w:color w:val="auto"/>
        </w:rPr>
      </w:pPr>
    </w:p>
    <w:p>
      <w:pPr>
        <w:ind w:left="1980" w:hanging="675"/>
        <w:spacing w:after="0"/>
        <w:tabs>
          <w:tab w:leader="none" w:pos="1980" w:val="left"/>
        </w:tabs>
        <w:numPr>
          <w:ilvl w:val="0"/>
          <w:numId w:val="96"/>
        </w:numPr>
        <w:rPr>
          <w:rFonts w:ascii="Arial" w:cs="Arial" w:eastAsia="Arial" w:hAnsi="Arial"/>
          <w:sz w:val="19"/>
          <w:szCs w:val="19"/>
          <w:color w:val="auto"/>
        </w:rPr>
      </w:pPr>
      <w:r>
        <w:rPr>
          <w:rFonts w:ascii="Arial" w:cs="Arial" w:eastAsia="Arial" w:hAnsi="Arial"/>
          <w:sz w:val="19"/>
          <w:szCs w:val="19"/>
          <w:color w:val="auto"/>
        </w:rPr>
        <w:t>If to the Grantee, at the most recent address or email contained in the Company’s records.</w:t>
      </w:r>
    </w:p>
    <w:p>
      <w:pPr>
        <w:spacing w:after="0" w:line="262" w:lineRule="exact"/>
        <w:rPr>
          <w:sz w:val="20"/>
          <w:szCs w:val="20"/>
          <w:color w:val="auto"/>
        </w:rPr>
      </w:pPr>
    </w:p>
    <w:p>
      <w:pPr>
        <w:ind w:left="1940" w:hanging="635"/>
        <w:spacing w:after="0"/>
        <w:tabs>
          <w:tab w:leader="none" w:pos="1940"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Award Agreement Subject to Plan and Applicable Law</w:t>
      </w:r>
    </w:p>
    <w:p>
      <w:pPr>
        <w:spacing w:after="0" w:line="239" w:lineRule="exact"/>
        <w:rPr>
          <w:sz w:val="20"/>
          <w:szCs w:val="20"/>
          <w:color w:val="auto"/>
        </w:rPr>
      </w:pPr>
    </w:p>
    <w:p>
      <w:pPr>
        <w:jc w:val="both"/>
        <w:ind w:firstLine="1305"/>
        <w:spacing w:after="0" w:line="246" w:lineRule="auto"/>
        <w:tabs>
          <w:tab w:leader="none" w:pos="2072"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211" w:lineRule="exact"/>
        <w:rPr>
          <w:rFonts w:ascii="Arial" w:cs="Arial" w:eastAsia="Arial" w:hAnsi="Arial"/>
          <w:sz w:val="21"/>
          <w:szCs w:val="21"/>
          <w:color w:val="auto"/>
        </w:rPr>
      </w:pPr>
    </w:p>
    <w:p>
      <w:pPr>
        <w:jc w:val="both"/>
        <w:ind w:firstLine="1305"/>
        <w:spacing w:after="0" w:line="249" w:lineRule="auto"/>
        <w:tabs>
          <w:tab w:leader="none" w:pos="1980" w:val="left"/>
        </w:tabs>
        <w:numPr>
          <w:ilvl w:val="0"/>
          <w:numId w:val="98"/>
        </w:numPr>
        <w:rPr>
          <w:rFonts w:ascii="Arial" w:cs="Arial" w:eastAsia="Arial" w:hAnsi="Arial"/>
          <w:sz w:val="21"/>
          <w:szCs w:val="21"/>
          <w:color w:val="auto"/>
        </w:rPr>
      </w:pPr>
      <w:r>
        <w:rPr>
          <w:rFonts w:ascii="Arial" w:cs="Arial" w:eastAsia="Arial" w:hAnsi="Arial"/>
          <w:sz w:val="21"/>
          <w:szCs w:val="21"/>
          <w:color w:val="auto"/>
        </w:rPr>
        <w:t>For the avoidance of doubt, with respect to any Grantee resident outside of the U.S., if the application of the vesting provisions as set forth in Section 3 hereof are invalid or impracticable under applicable local law, the terms of Section 3 hereof shall either be amended or be deemed not to apply to such Grantee, as determined in the sole discretion of the Committee. All determinations made and actions taken with respect to this Section 13(b) shall be made in the sole discretion of the Committee.</w:t>
      </w:r>
    </w:p>
    <w:p>
      <w:pPr>
        <w:spacing w:after="0" w:line="205" w:lineRule="exact"/>
        <w:rPr>
          <w:rFonts w:ascii="Arial" w:cs="Arial" w:eastAsia="Arial" w:hAnsi="Arial"/>
          <w:sz w:val="21"/>
          <w:szCs w:val="21"/>
          <w:color w:val="auto"/>
        </w:rPr>
      </w:pPr>
    </w:p>
    <w:p>
      <w:pPr>
        <w:jc w:val="both"/>
        <w:ind w:firstLine="1305"/>
        <w:spacing w:after="0" w:line="238" w:lineRule="auto"/>
        <w:tabs>
          <w:tab w:leader="none" w:pos="2054"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765175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86" w:name="page87"/>
    <w:bookmarkEnd w:id="86"/>
    <w:p>
      <w:pPr>
        <w:ind w:left="1960" w:hanging="655"/>
        <w:spacing w:after="0"/>
        <w:tabs>
          <w:tab w:leader="none" w:pos="196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Section 409A</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Restricted Stock Units are intended to be compliant with Section 409A of the Code and, accordingly, to the maximum extent permitted, this Award Agreement shall be interpreted in a manner consistent therewith. Nothing contained herein shall constitute any representation or warranty by the Company regarding compliance 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w:t>
      </w:r>
    </w:p>
    <w:p>
      <w:pPr>
        <w:spacing w:after="0" w:line="205" w:lineRule="exact"/>
        <w:rPr>
          <w:sz w:val="20"/>
          <w:szCs w:val="20"/>
          <w:color w:val="auto"/>
        </w:rPr>
      </w:pPr>
    </w:p>
    <w:p>
      <w:pPr>
        <w:ind w:left="1960" w:hanging="655"/>
        <w:spacing w:after="0"/>
        <w:tabs>
          <w:tab w:leader="none" w:pos="1960"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Headings and Capitalized Terms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pacing w:after="0" w:line="206" w:lineRule="exact"/>
        <w:rPr>
          <w:sz w:val="20"/>
          <w:szCs w:val="20"/>
          <w:color w:val="auto"/>
        </w:rPr>
      </w:pPr>
    </w:p>
    <w:p>
      <w:pPr>
        <w:ind w:left="1960" w:hanging="655"/>
        <w:spacing w:after="0"/>
        <w:tabs>
          <w:tab w:leader="none" w:pos="1960"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 and Reformation</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 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168" w:lineRule="exact"/>
        <w:rPr>
          <w:sz w:val="20"/>
          <w:szCs w:val="20"/>
          <w:color w:val="auto"/>
        </w:rPr>
      </w:pPr>
    </w:p>
    <w:p>
      <w:pPr>
        <w:ind w:left="1960" w:hanging="655"/>
        <w:spacing w:after="0"/>
        <w:tabs>
          <w:tab w:leader="none" w:pos="1960"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Binding Effect</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This Award Agreement shall be binding upon the parties hereto, together with their personal executors, administrator, successors, personal representatives, heirs and permitted assigns.</w:t>
      </w:r>
    </w:p>
    <w:p>
      <w:pPr>
        <w:spacing w:after="0" w:line="196" w:lineRule="exact"/>
        <w:rPr>
          <w:sz w:val="20"/>
          <w:szCs w:val="20"/>
          <w:color w:val="auto"/>
        </w:rPr>
      </w:pPr>
    </w:p>
    <w:p>
      <w:pPr>
        <w:ind w:left="1960" w:hanging="655"/>
        <w:spacing w:after="0"/>
        <w:tabs>
          <w:tab w:leader="none" w:pos="1960"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206" w:lineRule="exact"/>
        <w:rPr>
          <w:sz w:val="20"/>
          <w:szCs w:val="20"/>
          <w:color w:val="auto"/>
        </w:rPr>
      </w:pPr>
    </w:p>
    <w:p>
      <w:pPr>
        <w:ind w:left="1940" w:hanging="635"/>
        <w:spacing w:after="0"/>
        <w:tabs>
          <w:tab w:leader="none" w:pos="1940"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color w:val="auto"/>
        </w:rPr>
        <w:t>Waiver</w:t>
      </w:r>
    </w:p>
    <w:p>
      <w:pPr>
        <w:spacing w:after="0" w:line="239"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87" w:name="page88"/>
    <w:bookmarkEnd w:id="87"/>
    <w:p>
      <w:pPr>
        <w:spacing w:after="0" w:line="251" w:lineRule="auto"/>
        <w:rPr>
          <w:sz w:val="20"/>
          <w:szCs w:val="20"/>
          <w:color w:val="auto"/>
        </w:rPr>
      </w:pPr>
      <w:r>
        <w:rPr>
          <w:rFonts w:ascii="Arial" w:cs="Arial" w:eastAsia="Arial" w:hAnsi="Arial"/>
          <w:sz w:val="22"/>
          <w:szCs w:val="22"/>
          <w:color w:val="auto"/>
        </w:rPr>
        <w:t>exercise any such right shall not deprive the party of the right to take action at any time while or after such breach or condition giving rise to such rights continues.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603885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b w:val="1"/>
          <w:bCs w:val="1"/>
          <w:color w:val="auto"/>
        </w:rPr>
        <w:t>Exhibit 10.3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2019 OMNIBUS EQUITY INCENTIVE PLAN</w:t>
      </w:r>
    </w:p>
    <w:p>
      <w:pPr>
        <w:jc w:val="center"/>
        <w:spacing w:after="0"/>
        <w:rPr>
          <w:sz w:val="20"/>
          <w:szCs w:val="20"/>
          <w:color w:val="auto"/>
        </w:rPr>
      </w:pPr>
      <w:r>
        <w:rPr>
          <w:rFonts w:ascii="Arial" w:cs="Arial" w:eastAsia="Arial" w:hAnsi="Arial"/>
          <w:sz w:val="22"/>
          <w:szCs w:val="22"/>
          <w:b w:val="1"/>
          <w:bCs w:val="1"/>
          <w:color w:val="auto"/>
        </w:rPr>
        <w:t>PRSU - NOTICE OF GRANT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(Version 2020)</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Tradeweb Markets Inc. (the “</w:t>
      </w:r>
      <w:r>
        <w:rPr>
          <w:rFonts w:ascii="Arial" w:cs="Arial" w:eastAsia="Arial" w:hAnsi="Arial"/>
          <w:sz w:val="19"/>
          <w:szCs w:val="19"/>
          <w:u w:val="single" w:color="auto"/>
          <w:color w:val="auto"/>
        </w:rPr>
        <w:t>Company</w:t>
      </w:r>
      <w:r>
        <w:rPr>
          <w:rFonts w:ascii="Arial" w:cs="Arial" w:eastAsia="Arial" w:hAnsi="Arial"/>
          <w:sz w:val="19"/>
          <w:szCs w:val="19"/>
          <w:color w:val="auto"/>
        </w:rPr>
        <w:t>”), a Delaware corporation, hereby grants to the Grantee set forth below (the “</w:t>
      </w:r>
      <w:r>
        <w:rPr>
          <w:rFonts w:ascii="Arial" w:cs="Arial" w:eastAsia="Arial" w:hAnsi="Arial"/>
          <w:sz w:val="19"/>
          <w:szCs w:val="19"/>
          <w:u w:val="single" w:color="auto"/>
          <w:color w:val="auto"/>
        </w:rPr>
        <w:t>Grantee</w:t>
      </w:r>
      <w:r>
        <w:rPr>
          <w:rFonts w:ascii="Arial" w:cs="Arial" w:eastAsia="Arial" w:hAnsi="Arial"/>
          <w:sz w:val="19"/>
          <w:szCs w:val="19"/>
          <w:color w:val="auto"/>
        </w:rPr>
        <w:t>”) Performance Restricted Stock Units (the “</w:t>
      </w:r>
      <w:r>
        <w:rPr>
          <w:rFonts w:ascii="Arial" w:cs="Arial" w:eastAsia="Arial" w:hAnsi="Arial"/>
          <w:sz w:val="19"/>
          <w:szCs w:val="19"/>
          <w:u w:val="single" w:color="auto"/>
          <w:color w:val="auto"/>
        </w:rPr>
        <w:t>PRSUs</w:t>
      </w:r>
      <w:r>
        <w:rPr>
          <w:rFonts w:ascii="Arial" w:cs="Arial" w:eastAsia="Arial" w:hAnsi="Arial"/>
          <w:sz w:val="19"/>
          <w:szCs w:val="19"/>
          <w:color w:val="auto"/>
        </w:rPr>
        <w:t>”), pursuant to the terms and conditions of this Notice of Grant (the “</w:t>
      </w:r>
      <w:r>
        <w:rPr>
          <w:rFonts w:ascii="Arial" w:cs="Arial" w:eastAsia="Arial" w:hAnsi="Arial"/>
          <w:sz w:val="19"/>
          <w:szCs w:val="19"/>
          <w:u w:val="single" w:color="auto"/>
          <w:color w:val="auto"/>
        </w:rPr>
        <w:t>Notice</w:t>
      </w:r>
      <w:r>
        <w:rPr>
          <w:rFonts w:ascii="Arial" w:cs="Arial" w:eastAsia="Arial" w:hAnsi="Arial"/>
          <w:sz w:val="19"/>
          <w:szCs w:val="19"/>
          <w:color w:val="auto"/>
        </w:rPr>
        <w:t xml:space="preserve">”), the PRSU Award Agreement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Award</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and the Tradeweb Markets Inc. 2019 Omnibus Equity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Capitalized terms used but not defined herein shall have the meaning attributed to such terms in the Award Agreement or, if not defined therein, in the Plan, unless the context requires otherwise. Each PRSU represents the right to receive one (1) Share at the time and in the manner set forth in Section 5 of the Award Agreement.</w:t>
      </w:r>
    </w:p>
    <w:p>
      <w:pPr>
        <w:sectPr>
          <w:pgSz w:w="11900" w:h="16838" w:orient="portrait"/>
          <w:cols w:equalWidth="0" w:num="1">
            <w:col w:w="9920"/>
          </w:cols>
          <w:pgMar w:left="980" w:top="111" w:right="99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Name of Grantee:</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Number of PRSUs: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220" w:hanging="213"/>
        <w:spacing w:after="0"/>
        <w:tabs>
          <w:tab w:leader="none" w:pos="22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220" w:hanging="213"/>
        <w:spacing w:after="0"/>
        <w:tabs>
          <w:tab w:leader="none" w:pos="22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220" w:hanging="213"/>
        <w:spacing w:after="0"/>
        <w:tabs>
          <w:tab w:leader="none" w:pos="22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The PRSUs shall vest pursuant to the terms and conditions set forth in Section 3 of the Award Agreement.</w:t>
      </w:r>
    </w:p>
    <w:p>
      <w:pPr>
        <w:spacing w:after="0" w:line="175" w:lineRule="exact"/>
        <w:rPr>
          <w:sz w:val="20"/>
          <w:szCs w:val="20"/>
          <w:color w:val="auto"/>
        </w:rPr>
      </w:pPr>
    </w:p>
    <w:p>
      <w:pPr>
        <w:sectPr>
          <w:pgSz w:w="11900" w:h="16838" w:orient="portrait"/>
          <w:cols w:equalWidth="0" w:num="2">
            <w:col w:w="1820" w:space="720"/>
            <w:col w:w="7380"/>
          </w:cols>
          <w:pgMar w:left="980" w:top="111" w:right="999" w:bottom="1440" w:gutter="0" w:footer="0" w:header="0"/>
          <w:type w:val="continuous"/>
        </w:sectPr>
      </w:pPr>
    </w:p>
    <w:p>
      <w:pPr>
        <w:jc w:val="both"/>
        <w:spacing w:after="0" w:line="257" w:lineRule="auto"/>
        <w:rPr>
          <w:sz w:val="20"/>
          <w:szCs w:val="20"/>
          <w:color w:val="auto"/>
        </w:rPr>
      </w:pPr>
      <w:r>
        <w:rPr>
          <w:rFonts w:ascii="Arial" w:cs="Arial" w:eastAsia="Arial" w:hAnsi="Arial"/>
          <w:sz w:val="21"/>
          <w:szCs w:val="21"/>
          <w:color w:val="auto"/>
        </w:rPr>
        <w:t>The PRSUs shall be subject to the execution and return of this Notice by the Grantee to the Company within 15 days of the Grantee’s receipt of this Notice (including by utilizing an electronic signature and/or web-based approval and notice process or any other process as may be authorized by the Company).</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778510</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type w:val="continuous"/>
        </w:sectPr>
      </w:pPr>
    </w:p>
    <w:bookmarkStart w:id="89" w:name="page90"/>
    <w:bookmarkEnd w:id="89"/>
    <w:p>
      <w:pPr>
        <w:ind w:firstLine="648"/>
        <w:spacing w:after="0" w:line="251" w:lineRule="auto"/>
        <w:rPr>
          <w:sz w:val="20"/>
          <w:szCs w:val="20"/>
          <w:color w:val="auto"/>
        </w:rPr>
      </w:pPr>
      <w:r>
        <w:rPr>
          <w:rFonts w:ascii="Arial" w:cs="Arial" w:eastAsia="Arial" w:hAnsi="Arial"/>
          <w:sz w:val="22"/>
          <w:szCs w:val="22"/>
          <w:color w:val="auto"/>
        </w:rPr>
        <w:t>IN WITNESS WHEREOF, the parties hereto have executed this Notice of Grant as of the Date of Grant set forth above.</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TRADEWEB MARKETS INC.</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w:t>
      </w:r>
    </w:p>
    <w:p>
      <w:pPr>
        <w:ind w:left="496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-151130</wp:posOffset>
            </wp:positionV>
            <wp:extent cx="1457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GRANTEE</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6985</wp:posOffset>
            </wp:positionV>
            <wp:extent cx="1457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Name: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613410</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40"/>
          </w:cols>
          <w:pgMar w:left="980" w:top="118" w:right="1279" w:bottom="1440" w:gutter="0" w:footer="0" w:header="0"/>
        </w:sectPr>
      </w:pPr>
    </w:p>
    <w:bookmarkStart w:id="90" w:name="page91"/>
    <w:bookmarkEnd w:id="90"/>
    <w:p>
      <w:pPr>
        <w:ind w:left="4520"/>
        <w:spacing w:after="0"/>
        <w:rPr>
          <w:sz w:val="20"/>
          <w:szCs w:val="20"/>
          <w:color w:val="auto"/>
        </w:rPr>
      </w:pPr>
      <w:r>
        <w:rPr>
          <w:rFonts w:ascii="Arial" w:cs="Arial" w:eastAsia="Arial" w:hAnsi="Arial"/>
          <w:sz w:val="22"/>
          <w:szCs w:val="22"/>
          <w:b w:val="1"/>
          <w:bCs w:val="1"/>
          <w:color w:val="auto"/>
        </w:rPr>
        <w:t>Exhibit A</w:t>
      </w:r>
    </w:p>
    <w:p>
      <w:pPr>
        <w:spacing w:after="0" w:line="207"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TRADEWEB MARKETS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2019 OMNIBUS EQUITY INCENTIVE PLAN</w:t>
      </w:r>
    </w:p>
    <w:p>
      <w:pPr>
        <w:jc w:val="center"/>
        <w:spacing w:after="0"/>
        <w:rPr>
          <w:sz w:val="20"/>
          <w:szCs w:val="20"/>
          <w:color w:val="auto"/>
        </w:rPr>
      </w:pPr>
      <w:r>
        <w:rPr>
          <w:rFonts w:ascii="Arial" w:cs="Arial" w:eastAsia="Arial" w:hAnsi="Arial"/>
          <w:sz w:val="22"/>
          <w:szCs w:val="22"/>
          <w:b w:val="1"/>
          <w:bCs w:val="1"/>
          <w:color w:val="auto"/>
        </w:rPr>
        <w:t>PRSU AWARD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(Version 2020)</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THIS PRSU AWARD AGREEMENT (this “</w:t>
      </w:r>
      <w:r>
        <w:rPr>
          <w:rFonts w:ascii="Arial" w:cs="Arial" w:eastAsia="Arial" w:hAnsi="Arial"/>
          <w:sz w:val="21"/>
          <w:szCs w:val="21"/>
          <w:u w:val="single" w:color="auto"/>
          <w:color w:val="auto"/>
        </w:rPr>
        <w:t>Award Agreement</w:t>
      </w:r>
      <w:r>
        <w:rPr>
          <w:rFonts w:ascii="Arial" w:cs="Arial" w:eastAsia="Arial" w:hAnsi="Arial"/>
          <w:sz w:val="21"/>
          <w:szCs w:val="21"/>
          <w:color w:val="auto"/>
        </w:rPr>
        <w:t>”) is entered into by and among Tradeweb Markets Inc. (the “</w:t>
      </w:r>
      <w:r>
        <w:rPr>
          <w:rFonts w:ascii="Arial" w:cs="Arial" w:eastAsia="Arial" w:hAnsi="Arial"/>
          <w:sz w:val="21"/>
          <w:szCs w:val="21"/>
          <w:u w:val="single" w:color="auto"/>
          <w:color w:val="auto"/>
        </w:rPr>
        <w:t>Company</w:t>
      </w:r>
      <w:r>
        <w:rPr>
          <w:rFonts w:ascii="Arial" w:cs="Arial" w:eastAsia="Arial" w:hAnsi="Arial"/>
          <w:sz w:val="21"/>
          <w:szCs w:val="21"/>
          <w:color w:val="auto"/>
        </w:rPr>
        <w:t>”) and the individual set forth on the signature page to that certain Notice of Grant (the “</w:t>
      </w:r>
      <w:r>
        <w:rPr>
          <w:rFonts w:ascii="Arial" w:cs="Arial" w:eastAsia="Arial" w:hAnsi="Arial"/>
          <w:sz w:val="21"/>
          <w:szCs w:val="21"/>
          <w:u w:val="single" w:color="auto"/>
          <w:color w:val="auto"/>
        </w:rPr>
        <w:t>Notice</w:t>
      </w:r>
      <w:r>
        <w:rPr>
          <w:rFonts w:ascii="Arial" w:cs="Arial" w:eastAsia="Arial" w:hAnsi="Arial"/>
          <w:sz w:val="21"/>
          <w:szCs w:val="21"/>
          <w:color w:val="auto"/>
        </w:rPr>
        <w:t>”) to which this Award Agreement is attached. The terms and conditions of the PRSUs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w:t>
      </w:r>
    </w:p>
    <w:p>
      <w:pPr>
        <w:spacing w:after="0" w:line="171" w:lineRule="exact"/>
        <w:rPr>
          <w:sz w:val="20"/>
          <w:szCs w:val="20"/>
          <w:color w:val="auto"/>
        </w:rPr>
      </w:pPr>
    </w:p>
    <w:p>
      <w:pPr>
        <w:ind w:left="1960" w:hanging="655"/>
        <w:spacing w:after="0"/>
        <w:tabs>
          <w:tab w:leader="none" w:pos="1960"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color w:val="auto"/>
        </w:rPr>
        <w:t>No Right to Continued Employee Status or Consultant Service</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Nothing contained in this Award Agreement shall confer upon the Grantee the right to the continuation of his or her employment, or, in the case of a Consultant or Director, to the continuation of his or her service arrangement, nor shall anything herein interfere with the right of the Company or any of its Subsidiaries or other Affiliates to Terminate the Grantee.</w:t>
      </w:r>
    </w:p>
    <w:p>
      <w:pPr>
        <w:spacing w:after="0" w:line="206" w:lineRule="exact"/>
        <w:rPr>
          <w:sz w:val="20"/>
          <w:szCs w:val="20"/>
          <w:color w:val="auto"/>
        </w:rPr>
      </w:pPr>
    </w:p>
    <w:p>
      <w:pPr>
        <w:ind w:left="1940" w:hanging="635"/>
        <w:spacing w:after="0"/>
        <w:tabs>
          <w:tab w:leader="none" w:pos="194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Term of PRSUs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This Award Agreement shall remain in effect until the PRSUs have fully vested and been settled or been forfeited by the Grantee as provided in this Award Agreement.</w:t>
      </w:r>
    </w:p>
    <w:p>
      <w:pPr>
        <w:spacing w:after="0" w:line="196" w:lineRule="exact"/>
        <w:rPr>
          <w:sz w:val="20"/>
          <w:szCs w:val="20"/>
          <w:color w:val="auto"/>
        </w:rPr>
      </w:pPr>
    </w:p>
    <w:p>
      <w:pPr>
        <w:ind w:left="1940" w:hanging="635"/>
        <w:spacing w:after="0"/>
        <w:tabs>
          <w:tab w:leader="none" w:pos="194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Vesting of PRSUs</w:t>
      </w:r>
    </w:p>
    <w:p>
      <w:pPr>
        <w:spacing w:after="0" w:line="239" w:lineRule="exact"/>
        <w:rPr>
          <w:sz w:val="20"/>
          <w:szCs w:val="20"/>
          <w:color w:val="auto"/>
        </w:rPr>
      </w:pPr>
    </w:p>
    <w:p>
      <w:pPr>
        <w:jc w:val="both"/>
        <w:ind w:firstLine="1305"/>
        <w:spacing w:after="0" w:line="246" w:lineRule="auto"/>
        <w:tabs>
          <w:tab w:leader="none" w:pos="1983" w:val="left"/>
        </w:tabs>
        <w:numPr>
          <w:ilvl w:val="0"/>
          <w:numId w:val="109"/>
        </w:numPr>
        <w:rPr>
          <w:rFonts w:ascii="Arial" w:cs="Arial" w:eastAsia="Arial" w:hAnsi="Arial"/>
          <w:sz w:val="21"/>
          <w:szCs w:val="21"/>
          <w:color w:val="auto"/>
        </w:rPr>
      </w:pPr>
      <w:r>
        <w:rPr>
          <w:rFonts w:ascii="Arial" w:cs="Arial" w:eastAsia="Arial" w:hAnsi="Arial"/>
          <w:sz w:val="21"/>
          <w:szCs w:val="21"/>
          <w:color w:val="auto"/>
        </w:rPr>
        <w:t>Subject to the Grantee’s not having Terminated, except as specifically provided herein or in the Plan, the PRSUs granted hereunder will fully vest on the earliest to occur of (i) January 1, 2023, (ii) the Grantee’s Retirement and (iii) the occurrence of a Change in Control (such applicable date, the “</w:t>
      </w:r>
      <w:r>
        <w:rPr>
          <w:rFonts w:ascii="Arial" w:cs="Arial" w:eastAsia="Arial" w:hAnsi="Arial"/>
          <w:sz w:val="21"/>
          <w:szCs w:val="21"/>
          <w:u w:val="single" w:color="auto"/>
          <w:color w:val="auto"/>
        </w:rPr>
        <w:t>Vesting Date</w:t>
      </w:r>
      <w:r>
        <w:rPr>
          <w:rFonts w:ascii="Arial" w:cs="Arial" w:eastAsia="Arial" w:hAnsi="Arial"/>
          <w:sz w:val="21"/>
          <w:szCs w:val="21"/>
          <w:color w:val="auto"/>
        </w:rPr>
        <w:t>”). For purposes of this Award Agreement, “</w:t>
      </w:r>
      <w:r>
        <w:rPr>
          <w:rFonts w:ascii="Arial" w:cs="Arial" w:eastAsia="Arial" w:hAnsi="Arial"/>
          <w:sz w:val="21"/>
          <w:szCs w:val="21"/>
          <w:u w:val="single" w:color="auto"/>
          <w:color w:val="auto"/>
        </w:rPr>
        <w:t>Retirement</w:t>
      </w:r>
      <w:r>
        <w:rPr>
          <w:rFonts w:ascii="Arial" w:cs="Arial" w:eastAsia="Arial" w:hAnsi="Arial"/>
          <w:sz w:val="21"/>
          <w:szCs w:val="21"/>
          <w:color w:val="auto"/>
        </w:rPr>
        <w:t>” means a Grantee’s voluntary resignation upon six months’ notice to the Company for any reason after attaining a combination of (A) age 55 with at least 10 years of credited service or (B) age 65 with at least 5 years of credited service. PRSUs that have vested as described herein are referred to as “</w:t>
      </w:r>
      <w:r>
        <w:rPr>
          <w:rFonts w:ascii="Arial" w:cs="Arial" w:eastAsia="Arial" w:hAnsi="Arial"/>
          <w:sz w:val="21"/>
          <w:szCs w:val="21"/>
          <w:u w:val="single" w:color="auto"/>
          <w:color w:val="auto"/>
        </w:rPr>
        <w:t>Vested PRSUs</w:t>
      </w:r>
      <w:r>
        <w:rPr>
          <w:rFonts w:ascii="Arial" w:cs="Arial" w:eastAsia="Arial" w:hAnsi="Arial"/>
          <w:sz w:val="21"/>
          <w:szCs w:val="21"/>
          <w:color w:val="auto"/>
        </w:rPr>
        <w:t>.”</w:t>
      </w:r>
    </w:p>
    <w:p>
      <w:pPr>
        <w:spacing w:after="0" w:line="184" w:lineRule="exact"/>
        <w:rPr>
          <w:rFonts w:ascii="Arial" w:cs="Arial" w:eastAsia="Arial" w:hAnsi="Arial"/>
          <w:sz w:val="21"/>
          <w:szCs w:val="21"/>
          <w:color w:val="auto"/>
        </w:rPr>
      </w:pPr>
    </w:p>
    <w:p>
      <w:pPr>
        <w:jc w:val="both"/>
        <w:ind w:firstLine="1305"/>
        <w:spacing w:after="0" w:line="277" w:lineRule="auto"/>
        <w:tabs>
          <w:tab w:leader="none" w:pos="207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If the Grantee Terminates before the Vesting Date (other than on account of Retirement), no amounts will be payable hereunder unless the Grantee is Terminated by the Company without Cause within 180 days before the “Settlement Date” (as defined below), or on account of his or her death or Disability, in which case the Grantee or the Grantee’s estate will be entitled to retain a pro rated number of PRSUs, which shall remain eligible for settlement in accordance with Section 5 below (including application of any “Performance Modifier,” as defined below). For purposes of the foregoing, the pro rated number of PRSUs the Grantee or the Grantee’s estate shall be entitled to retain shall be calculated by multiplying the total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315595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91" w:name="page92"/>
    <w:bookmarkEnd w:id="91"/>
    <w:p>
      <w:pPr>
        <w:jc w:val="both"/>
        <w:spacing w:after="0"/>
        <w:rPr>
          <w:sz w:val="20"/>
          <w:szCs w:val="20"/>
          <w:color w:val="auto"/>
        </w:rPr>
      </w:pPr>
      <w:r>
        <w:rPr>
          <w:rFonts w:ascii="Arial" w:cs="Arial" w:eastAsia="Arial" w:hAnsi="Arial"/>
          <w:sz w:val="22"/>
          <w:szCs w:val="22"/>
          <w:color w:val="auto"/>
        </w:rPr>
        <w:t>of PRSUs awarded hereunder by a fraction, the numerator of which is the number of days worked since January 1, 2020 and the denominator of which is the total number of days in the normal vesting period (i.e., the number of days between January 1, 2020 and January 1, 2023).</w:t>
      </w:r>
    </w:p>
    <w:p>
      <w:pPr>
        <w:sectPr>
          <w:pgSz w:w="11900" w:h="16838" w:orient="portrait"/>
          <w:cols w:equalWidth="0" w:num="1">
            <w:col w:w="9920"/>
          </w:cols>
          <w:pgMar w:left="980" w:top="388" w:right="999" w:bottom="1440" w:gutter="0" w:footer="0" w:header="0"/>
        </w:sectPr>
      </w:pP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any time prior to the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Vested PRSUs).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firstLine="32"/>
        <w:spacing w:after="0" w:line="328" w:lineRule="auto"/>
        <w:rPr>
          <w:sz w:val="20"/>
          <w:szCs w:val="20"/>
          <w:color w:val="auto"/>
        </w:rPr>
      </w:pPr>
      <w:r>
        <w:rPr>
          <w:rFonts w:ascii="Arial" w:cs="Arial" w:eastAsia="Arial" w:hAnsi="Arial"/>
          <w:sz w:val="19"/>
          <w:szCs w:val="19"/>
          <w:color w:val="auto"/>
        </w:rPr>
        <w:t>Notwithstanding anything herein, if a Grantee is Terminated by the Company for Cause at Settlement Date, the Grantee shall forfeit all rights hereunder (including with respect to</w:t>
      </w:r>
    </w:p>
    <w:p>
      <w:pPr>
        <w:spacing w:after="0" w:line="359" w:lineRule="exact"/>
        <w:rPr>
          <w:sz w:val="20"/>
          <w:szCs w:val="20"/>
          <w:color w:val="auto"/>
        </w:rPr>
      </w:pPr>
    </w:p>
    <w:p>
      <w:pPr>
        <w:sectPr>
          <w:pgSz w:w="11900" w:h="16838" w:orient="portrait"/>
          <w:cols w:equalWidth="0" w:num="2">
            <w:col w:w="1880" w:space="80"/>
            <w:col w:w="7960"/>
          </w:cols>
          <w:pgMar w:left="980" w:top="388" w:right="999" w:bottom="1440" w:gutter="0" w:footer="0" w:header="0"/>
          <w:type w:val="continuous"/>
        </w:sectPr>
      </w:pPr>
    </w:p>
    <w:p>
      <w:pPr>
        <w:spacing w:after="0" w:line="9" w:lineRule="exact"/>
        <w:rPr>
          <w:sz w:val="20"/>
          <w:szCs w:val="20"/>
          <w:color w:val="auto"/>
        </w:rPr>
      </w:pPr>
    </w:p>
    <w:p>
      <w:pPr>
        <w:ind w:left="1960" w:hanging="655"/>
        <w:spacing w:after="0"/>
        <w:tabs>
          <w:tab w:leader="none" w:pos="1960"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color w:val="auto"/>
        </w:rPr>
        <w:t>Dividend Equivalent Rights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PRSUs granted hereunder will accumulate dividend equivalent rights in respect of any dividends paid on Shares (on a one Share to one PRSU basis) from January 1, 2020 through the Settlement Date (as defined below). To the extent the PRSUs that gave rise to any dividend equivalent rights are forfeited pursuant to this Award or the Plan, those dividend equivalent rights will also be forfeited. The aggregate dollar amount of dividend equivalent rights accumulated under this Section 4 and not forfeited shall be added to, and be settled at the same time as the related PRSUs pursuant to Section 5 below.</w:t>
      </w:r>
    </w:p>
    <w:p>
      <w:pPr>
        <w:spacing w:after="0" w:line="198" w:lineRule="exact"/>
        <w:rPr>
          <w:sz w:val="20"/>
          <w:szCs w:val="20"/>
          <w:color w:val="auto"/>
        </w:rPr>
      </w:pPr>
    </w:p>
    <w:p>
      <w:pPr>
        <w:ind w:left="1960" w:hanging="655"/>
        <w:spacing w:after="0"/>
        <w:tabs>
          <w:tab w:leader="none" w:pos="1960"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PRSUs</w:t>
      </w:r>
    </w:p>
    <w:p>
      <w:pPr>
        <w:spacing w:after="0" w:line="239" w:lineRule="exact"/>
        <w:rPr>
          <w:sz w:val="20"/>
          <w:szCs w:val="20"/>
          <w:color w:val="auto"/>
        </w:rPr>
      </w:pPr>
    </w:p>
    <w:p>
      <w:pPr>
        <w:jc w:val="both"/>
        <w:ind w:firstLine="1305"/>
        <w:spacing w:after="0" w:line="271" w:lineRule="auto"/>
        <w:tabs>
          <w:tab w:leader="none" w:pos="1979" w:val="left"/>
        </w:tabs>
        <w:numPr>
          <w:ilvl w:val="1"/>
          <w:numId w:val="112"/>
        </w:numPr>
        <w:rPr>
          <w:rFonts w:ascii="Arial" w:cs="Arial" w:eastAsia="Arial" w:hAnsi="Arial"/>
          <w:sz w:val="19"/>
          <w:szCs w:val="19"/>
          <w:color w:val="auto"/>
        </w:rPr>
      </w:pPr>
      <w:r>
        <w:rPr>
          <w:rFonts w:ascii="Arial" w:cs="Arial" w:eastAsia="Arial" w:hAnsi="Arial"/>
          <w:sz w:val="19"/>
          <w:szCs w:val="19"/>
          <w:color w:val="auto"/>
        </w:rPr>
        <w:t>This Award shall entitle the Grantee to receive a number of Shares equal to the Settlement Number (as defined below), less a number of Shares having an aggregate Fair Market Value equal to the withholding and employment taxes associated with the settlement of the PRSUs. The “</w:t>
      </w:r>
      <w:r>
        <w:rPr>
          <w:rFonts w:ascii="Arial" w:cs="Arial" w:eastAsia="Arial" w:hAnsi="Arial"/>
          <w:sz w:val="19"/>
          <w:szCs w:val="19"/>
          <w:u w:val="single" w:color="auto"/>
          <w:color w:val="auto"/>
        </w:rPr>
        <w:t>Settlement Number</w:t>
      </w:r>
      <w:r>
        <w:rPr>
          <w:rFonts w:ascii="Arial" w:cs="Arial" w:eastAsia="Arial" w:hAnsi="Arial"/>
          <w:sz w:val="19"/>
          <w:szCs w:val="19"/>
          <w:color w:val="auto"/>
        </w:rPr>
        <w:t>” is equal to the sum of (i) the product of the number of Vested PRSUs multiplied by the Performance Modifier plus</w:t>
      </w:r>
    </w:p>
    <w:p>
      <w:pPr>
        <w:spacing w:after="0" w:line="3" w:lineRule="exact"/>
        <w:rPr>
          <w:rFonts w:ascii="Arial" w:cs="Arial" w:eastAsia="Arial" w:hAnsi="Arial"/>
          <w:sz w:val="19"/>
          <w:szCs w:val="19"/>
          <w:color w:val="auto"/>
        </w:rPr>
      </w:pPr>
    </w:p>
    <w:p>
      <w:pPr>
        <w:jc w:val="both"/>
        <w:ind w:firstLine="9"/>
        <w:spacing w:after="0" w:line="243" w:lineRule="auto"/>
        <w:tabs>
          <w:tab w:leader="none" w:pos="318" w:val="left"/>
        </w:tabs>
        <w:numPr>
          <w:ilvl w:val="0"/>
          <w:numId w:val="113"/>
        </w:numPr>
        <w:rPr>
          <w:rFonts w:ascii="Arial" w:cs="Arial" w:eastAsia="Arial" w:hAnsi="Arial"/>
          <w:sz w:val="21"/>
          <w:szCs w:val="21"/>
          <w:color w:val="auto"/>
        </w:rPr>
      </w:pPr>
      <w:r>
        <w:rPr>
          <w:rFonts w:ascii="Arial" w:cs="Arial" w:eastAsia="Arial" w:hAnsi="Arial"/>
          <w:sz w:val="21"/>
          <w:szCs w:val="21"/>
          <w:color w:val="auto"/>
        </w:rPr>
        <w:t>the number of Shares that results from the quotient of (a) the product of any dividend equivalent rights payable pursuant to Section 4 above multiplied by the Performance Modifier, divided by (b) the Fair Market Value as of the Settlement Date. As used in this Award Agreement, “</w:t>
      </w:r>
      <w:r>
        <w:rPr>
          <w:rFonts w:ascii="Arial" w:cs="Arial" w:eastAsia="Arial" w:hAnsi="Arial"/>
          <w:sz w:val="21"/>
          <w:szCs w:val="21"/>
          <w:u w:val="single" w:color="auto"/>
          <w:color w:val="auto"/>
        </w:rPr>
        <w:t>Performance Modifier</w:t>
      </w:r>
      <w:r>
        <w:rPr>
          <w:rFonts w:ascii="Arial" w:cs="Arial" w:eastAsia="Arial" w:hAnsi="Arial"/>
          <w:sz w:val="21"/>
          <w:szCs w:val="21"/>
          <w:color w:val="auto"/>
        </w:rPr>
        <w:t xml:space="preserve">” means that certain percentage range established by the Board in the calendar year following the calendar year in which the Date of Grant occurs, after consultation with the Company’s Chief Executive Officer, to be based on the Company’s EPS calculation (or other performance metrics approved by the Board) applicable to the year in which the Date of Grant occurs;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a Change in Control occurs prior to the establishment of the Performance Modifier, the Performance Modifier shall be 100%.</w:t>
      </w:r>
    </w:p>
    <w:p>
      <w:pPr>
        <w:spacing w:after="0" w:line="186" w:lineRule="exact"/>
        <w:rPr>
          <w:rFonts w:ascii="Arial" w:cs="Arial" w:eastAsia="Arial" w:hAnsi="Arial"/>
          <w:sz w:val="21"/>
          <w:szCs w:val="21"/>
          <w:color w:val="auto"/>
        </w:rPr>
      </w:pPr>
    </w:p>
    <w:p>
      <w:pPr>
        <w:jc w:val="both"/>
        <w:ind w:firstLine="1305"/>
        <w:spacing w:after="0" w:line="277" w:lineRule="auto"/>
        <w:tabs>
          <w:tab w:leader="none" w:pos="1963" w:val="left"/>
        </w:tabs>
        <w:numPr>
          <w:ilvl w:val="1"/>
          <w:numId w:val="113"/>
        </w:numPr>
        <w:rPr>
          <w:rFonts w:ascii="Arial" w:cs="Arial" w:eastAsia="Arial" w:hAnsi="Arial"/>
          <w:sz w:val="19"/>
          <w:szCs w:val="19"/>
          <w:color w:val="auto"/>
        </w:rPr>
      </w:pPr>
      <w:r>
        <w:rPr>
          <w:rFonts w:ascii="Arial" w:cs="Arial" w:eastAsia="Arial" w:hAnsi="Arial"/>
          <w:sz w:val="19"/>
          <w:szCs w:val="19"/>
          <w:color w:val="auto"/>
        </w:rPr>
        <w:t>The settlement described in this Section 5 shall occur on the Settlement Date. For purposes of this Award Agreement, the “</w:t>
      </w:r>
      <w:r>
        <w:rPr>
          <w:rFonts w:ascii="Arial" w:cs="Arial" w:eastAsia="Arial" w:hAnsi="Arial"/>
          <w:sz w:val="19"/>
          <w:szCs w:val="19"/>
          <w:u w:val="single" w:color="auto"/>
          <w:color w:val="auto"/>
        </w:rPr>
        <w:t>Settlement Date</w:t>
      </w:r>
      <w:r>
        <w:rPr>
          <w:rFonts w:ascii="Arial" w:cs="Arial" w:eastAsia="Arial" w:hAnsi="Arial"/>
          <w:sz w:val="19"/>
          <w:szCs w:val="19"/>
          <w:color w:val="auto"/>
        </w:rPr>
        <w:t xml:space="preserve">” means January 2, 2023;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“Qualified Change in Control” (as defined below) occurs prior to such date, settlement shall occur at the time(s) and in the same form of consideration as the consideration delivered to the Company’s stockholders in connection with such transaction, to the extent permitted by Code Section 409A. For purposes of the foregoing, a “</w:t>
      </w:r>
      <w:r>
        <w:rPr>
          <w:rFonts w:ascii="Arial" w:cs="Arial" w:eastAsia="Arial" w:hAnsi="Arial"/>
          <w:sz w:val="19"/>
          <w:szCs w:val="19"/>
          <w:u w:val="single" w:color="auto"/>
          <w:color w:val="auto"/>
        </w:rPr>
        <w:t>Qualified Change in</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Control</w:t>
      </w:r>
      <w:r>
        <w:rPr>
          <w:rFonts w:ascii="Arial" w:cs="Arial" w:eastAsia="Arial" w:hAnsi="Arial"/>
          <w:sz w:val="19"/>
          <w:szCs w:val="19"/>
          <w:color w:val="auto"/>
        </w:rPr>
        <w:t>” is a Change in Control that also constitutes a change of ownership or effective control of, or in the ownership of a substantial portion of the assets of, the Company for purposes of Code Section 409A.</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88" w:right="999" w:bottom="1440" w:gutter="0" w:footer="0" w:header="0"/>
          <w:type w:val="continuous"/>
        </w:sectPr>
      </w:pPr>
    </w:p>
    <w:bookmarkStart w:id="92" w:name="page93"/>
    <w:bookmarkEnd w:id="92"/>
    <w:p>
      <w:pPr>
        <w:ind w:left="1960" w:hanging="655"/>
        <w:spacing w:after="0"/>
        <w:tabs>
          <w:tab w:leader="none" w:pos="196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Restrictive Covenants</w:t>
      </w:r>
    </w:p>
    <w:p>
      <w:pPr>
        <w:spacing w:after="0" w:line="24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By signing the Notice, the Grantee acknowledges and reconfirms the covenants of confidentiality, non-competition and non-solicitation and other similar obligations of the Grantee set forth in the Grantee’s employment agreement, all of which shall continue to apply to the Grantee in accordance with the terms thereof.</w:t>
      </w:r>
    </w:p>
    <w:p>
      <w:pPr>
        <w:spacing w:after="0" w:line="155" w:lineRule="exact"/>
        <w:rPr>
          <w:sz w:val="20"/>
          <w:szCs w:val="20"/>
          <w:color w:val="auto"/>
        </w:rPr>
      </w:pPr>
    </w:p>
    <w:p>
      <w:pPr>
        <w:ind w:left="1960" w:hanging="655"/>
        <w:spacing w:after="0"/>
        <w:tabs>
          <w:tab w:leader="none" w:pos="196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color w:val="auto"/>
        </w:rPr>
        <w:t>Prohibited Activities</w:t>
      </w:r>
    </w:p>
    <w:p>
      <w:pPr>
        <w:spacing w:after="0" w:line="239" w:lineRule="exact"/>
        <w:rPr>
          <w:sz w:val="20"/>
          <w:szCs w:val="20"/>
          <w:color w:val="auto"/>
        </w:rPr>
      </w:pPr>
    </w:p>
    <w:p>
      <w:pPr>
        <w:jc w:val="both"/>
        <w:ind w:firstLine="1305"/>
        <w:spacing w:after="0" w:line="279" w:lineRule="auto"/>
        <w:tabs>
          <w:tab w:leader="none" w:pos="2062"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No Sale or Transfer</w:t>
      </w:r>
      <w:r>
        <w:rPr>
          <w:rFonts w:ascii="Arial" w:cs="Arial" w:eastAsia="Arial" w:hAnsi="Arial"/>
          <w:sz w:val="19"/>
          <w:szCs w:val="19"/>
          <w:color w:val="auto"/>
        </w:rPr>
        <w:t xml:space="preserve">. Unless otherwise required by law, the PRSUs shall not be (i) sold, transferred or otherwise disposed of, (ii) pledged or otherwise hypothecated or (iii) subject to attachment, execution or levy of any kind, other than by will or by the laws of descent or distribution;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transferred PRSUs will be 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177" w:lineRule="exact"/>
        <w:rPr>
          <w:rFonts w:ascii="Arial" w:cs="Arial" w:eastAsia="Arial" w:hAnsi="Arial"/>
          <w:sz w:val="19"/>
          <w:szCs w:val="19"/>
          <w:color w:val="auto"/>
        </w:rPr>
      </w:pPr>
    </w:p>
    <w:p>
      <w:pPr>
        <w:jc w:val="both"/>
        <w:ind w:firstLine="1305"/>
        <w:spacing w:after="0" w:line="270" w:lineRule="auto"/>
        <w:tabs>
          <w:tab w:leader="none" w:pos="2101"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Right to Terminate PRSUs and Recovery</w:t>
      </w:r>
      <w:r>
        <w:rPr>
          <w:rFonts w:ascii="Arial" w:cs="Arial" w:eastAsia="Arial" w:hAnsi="Arial"/>
          <w:sz w:val="19"/>
          <w:szCs w:val="19"/>
          <w:color w:val="auto"/>
        </w:rPr>
        <w:t>. The Grantee understands and agrees that the Company has granted the PRSUs to the Grantee to reward the Grantee for the Grantee’s future efforts and loyalty to the Company and its Affiliates by giving the Grantee the opportunity to participate in the potential future appreciation of the Company. Accordingly, if (a) the Grantee materially violates the Grantee’s obligations relating to the non-disclosure or non-use of confidential or proprietary information under any Restrictive Agreement to which the Grantee is a party, or (b) the Grantee materially breaches or violates the Grantee’s obligations relating to non-disparagement under any Restrictive Agreement to which the Grantee is a party, or (c) the Grantee engages in any activity prohibited by this Section 7 of this Award Agreement, or (d) the Grantee materially breaches or violates any non-solicitation obligations under any Restrictive Agreement to which the Grantee is a party, or (e) the Grantee is convicted of a felony against the Company or any of its Affiliates or (f) the Grantee breaches or violates any non-competition obligations under any Restrictive Agreement to which the Grantee is a party (as applicable), then, in addition to any other rights and remedies available to the Company, the Company shall be entitled, at its option, exercisable by written notice, to terminate the PRSUs (including the Vested PRSUs) without consideration, which shall be of no further force and effect. “</w:t>
      </w:r>
      <w:r>
        <w:rPr>
          <w:rFonts w:ascii="Arial" w:cs="Arial" w:eastAsia="Arial" w:hAnsi="Arial"/>
          <w:sz w:val="19"/>
          <w:szCs w:val="19"/>
          <w:u w:val="single" w:color="auto"/>
          <w:color w:val="auto"/>
        </w:rPr>
        <w:t>Restrictive Agreement</w:t>
      </w:r>
      <w:r>
        <w:rPr>
          <w:rFonts w:ascii="Arial" w:cs="Arial" w:eastAsia="Arial" w:hAnsi="Arial"/>
          <w:sz w:val="19"/>
          <w:szCs w:val="19"/>
          <w:color w:val="auto"/>
        </w:rPr>
        <w:t xml:space="preserve">” shall mean (i) for any Grantee who is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a resident of the State of California, any agreement between the Company or any Subsidiary and the Grantee that contains non-competition, non-solicitation, non-hire, non-disparagement, or confidentiality restrictions applicable to the Grantee and (ii) for any Grantee who is a resident of the State of California, any agreement between the Company or any Subsidiary and the Grantee that contains non-solicitation, non-hire, non-disparagement, or confidentiality restrictions applicable to the Grantee.</w:t>
      </w:r>
    </w:p>
    <w:p>
      <w:pPr>
        <w:spacing w:after="0" w:line="189" w:lineRule="exact"/>
        <w:rPr>
          <w:rFonts w:ascii="Arial" w:cs="Arial" w:eastAsia="Arial" w:hAnsi="Arial"/>
          <w:sz w:val="19"/>
          <w:szCs w:val="19"/>
          <w:color w:val="auto"/>
        </w:rPr>
      </w:pPr>
    </w:p>
    <w:p>
      <w:pPr>
        <w:jc w:val="both"/>
        <w:ind w:firstLine="1305"/>
        <w:spacing w:after="0" w:line="238" w:lineRule="auto"/>
        <w:tabs>
          <w:tab w:leader="none" w:pos="1981"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Other Remedies</w:t>
      </w:r>
      <w:r>
        <w:rPr>
          <w:rFonts w:ascii="Arial" w:cs="Arial" w:eastAsia="Arial" w:hAnsi="Arial"/>
          <w:sz w:val="22"/>
          <w:szCs w:val="22"/>
          <w:color w:val="auto"/>
        </w:rPr>
        <w:t>. The Grantee specifically acknowledges and agrees that its remedies under this Section 7 shall not prevent the Company or any Subsidiary from seeking injunctive or other equitable relief in connection with the Grantee’s breach of any Restrictive Agreement. In the event that the provisions of this Section 7 should ever be deemed to exceed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93" w:name="page94"/>
    <w:bookmarkEnd w:id="93"/>
    <w:p>
      <w:pPr>
        <w:spacing w:after="0" w:line="251" w:lineRule="auto"/>
        <w:rPr>
          <w:sz w:val="20"/>
          <w:szCs w:val="20"/>
          <w:color w:val="auto"/>
        </w:rPr>
      </w:pPr>
      <w:r>
        <w:rPr>
          <w:rFonts w:ascii="Arial" w:cs="Arial" w:eastAsia="Arial" w:hAnsi="Arial"/>
          <w:sz w:val="22"/>
          <w:szCs w:val="22"/>
          <w:color w:val="auto"/>
        </w:rPr>
        <w:t>the limitation provided by applicable law, then the Grantee and the Company agree that such provisions shall be reformed to set forth the maximum limitations permitted.</w:t>
      </w:r>
    </w:p>
    <w:p>
      <w:pPr>
        <w:spacing w:after="0" w:line="194" w:lineRule="exact"/>
        <w:rPr>
          <w:sz w:val="20"/>
          <w:szCs w:val="20"/>
          <w:color w:val="auto"/>
        </w:rPr>
      </w:pPr>
    </w:p>
    <w:p>
      <w:pPr>
        <w:ind w:left="1960" w:hanging="655"/>
        <w:spacing w:after="0"/>
        <w:tabs>
          <w:tab w:leader="none" w:pos="1960"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No Rights as Stockholder</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Grantee shall have no rights as a stockholder with respect to the Shares covered by the PRSUs until the effective date of issuance of the Shares and the entry of the Grantee’s name as a shareholder of record on the books of the Company following delivery of the Shares in settlement of the PRSUs.</w:t>
      </w:r>
    </w:p>
    <w:p>
      <w:pPr>
        <w:spacing w:after="0" w:line="190" w:lineRule="exact"/>
        <w:rPr>
          <w:sz w:val="20"/>
          <w:szCs w:val="20"/>
          <w:color w:val="auto"/>
        </w:rPr>
      </w:pPr>
    </w:p>
    <w:p>
      <w:pPr>
        <w:ind w:left="1940" w:hanging="635"/>
        <w:spacing w:after="0"/>
        <w:tabs>
          <w:tab w:leader="none" w:pos="1940"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color w:val="auto"/>
        </w:rPr>
        <w:t>Withholding</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All payments made pursuant to this Award Agreement shall be subject to all applicable U.S. federal, state and local and applicable non-U.S. tax, social security and similar withholdings. The Grantee shall be solely responsible for the payment of all taxes relating to the payment or provision of any amounts or benefits hereunder. The Company shall have the right and is hereby authorized to withhold, any applicable withholding taxes in respect of the PRSUs, or any payment or transfer under, or with respect to, the PRSUs and to take such other action as may be necessary in the reasonable opinion of the Board to satisfy all obligations for the payment of such withholding taxes.</w:t>
      </w:r>
    </w:p>
    <w:p>
      <w:pPr>
        <w:spacing w:after="0" w:line="212" w:lineRule="exact"/>
        <w:rPr>
          <w:sz w:val="20"/>
          <w:szCs w:val="20"/>
          <w:color w:val="auto"/>
        </w:rPr>
      </w:pPr>
    </w:p>
    <w:p>
      <w:pPr>
        <w:ind w:left="1960" w:hanging="655"/>
        <w:spacing w:after="0"/>
        <w:tabs>
          <w:tab w:leader="none" w:pos="1960"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color w:val="auto"/>
        </w:rPr>
        <w:t>Securities Laws</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Upon the acquisition of any Shares pursuant to the settlement of the PRSUs, the Grantee will make such written representations, warranties, and agreements as the Committee may reasonably request in order to comply with securities laws or with this Award Agreement. The Grantee hereby agrees not to offer, sell or otherwise attempt to dispose of any Shares issued to the Grantee upon settlement of the PRSUs in any way which would: (x) require the Company to file any registration statement with the Securities and Exchange Commission (or any similar filing under state law or the laws of any other county) or to amend or supplement any such filing or (y) violate or cause the Company to violate the Securities Act of 1933, as amended, the Securities Exchange Act of 1934, as amended, the rules and regulations promulgated thereunder, or any other Federal, state or local law, or the laws of any other country. The Company reserves the right to place restrictions on any Shares the Grantee may receive as a result of the settlement of the PRSUs.</w:t>
      </w:r>
    </w:p>
    <w:p>
      <w:pPr>
        <w:spacing w:after="0" w:line="182" w:lineRule="exact"/>
        <w:rPr>
          <w:sz w:val="20"/>
          <w:szCs w:val="20"/>
          <w:color w:val="auto"/>
        </w:rPr>
      </w:pPr>
    </w:p>
    <w:p>
      <w:pPr>
        <w:ind w:left="1940" w:hanging="635"/>
        <w:spacing w:after="0"/>
        <w:tabs>
          <w:tab w:leader="none" w:pos="1940"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Modification, Amendment, and Termination of PRSUs</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Except as set forth in Section 13(b)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94" w:name="page95"/>
    <w:bookmarkEnd w:id="94"/>
    <w:p>
      <w:pPr>
        <w:ind w:left="1960" w:hanging="655"/>
        <w:spacing w:after="0"/>
        <w:tabs>
          <w:tab w:leader="none" w:pos="1960" w:val="left"/>
        </w:tabs>
        <w:numPr>
          <w:ilvl w:val="0"/>
          <w:numId w:val="121"/>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Unless otherwise provided herein, any notices or other communication given or made pursuant to the Notice, this Award Agreement or the Plan shall be in writing and shall be deemed to have been duly given (i) as of the date delivered, if personally delivered (including receipted courier service) or overnight delivery service, with confirmation of receipt; (ii) on the date of delivery by email to the address indicated or through an electronic administrative system designated by the Company; (iii) one (1) business day after being sent by reputable commercial overnight delivery service courier, with confirmation of receipt; or (iv) three (3) business days after being mailed by registered or certified mail, return receipt requested, postage prepaid and addressed to the intended recipient as set forth below:</w:t>
      </w:r>
    </w:p>
    <w:p>
      <w:pPr>
        <w:spacing w:after="0" w:line="207" w:lineRule="exact"/>
        <w:rPr>
          <w:sz w:val="20"/>
          <w:szCs w:val="20"/>
          <w:color w:val="auto"/>
        </w:rPr>
      </w:pPr>
    </w:p>
    <w:p>
      <w:pPr>
        <w:ind w:left="1980" w:hanging="675"/>
        <w:spacing w:after="0"/>
        <w:tabs>
          <w:tab w:leader="none" w:pos="19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If to the Company at the address below:</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Tradeweb Markets Inc.</w:t>
      </w:r>
    </w:p>
    <w:p>
      <w:pPr>
        <w:ind w:left="1960"/>
        <w:spacing w:after="0" w:line="238" w:lineRule="auto"/>
        <w:rPr>
          <w:sz w:val="20"/>
          <w:szCs w:val="20"/>
          <w:color w:val="auto"/>
        </w:rPr>
      </w:pPr>
      <w:r>
        <w:rPr>
          <w:rFonts w:ascii="Arial" w:cs="Arial" w:eastAsia="Arial" w:hAnsi="Arial"/>
          <w:sz w:val="22"/>
          <w:szCs w:val="22"/>
          <w:color w:val="auto"/>
        </w:rPr>
        <w:t>1177 Avenue of the Americas</w:t>
      </w:r>
    </w:p>
    <w:p>
      <w:pPr>
        <w:ind w:left="1960"/>
        <w:spacing w:after="0" w:line="230" w:lineRule="auto"/>
        <w:rPr>
          <w:sz w:val="20"/>
          <w:szCs w:val="20"/>
          <w:color w:val="auto"/>
        </w:rPr>
      </w:pPr>
      <w:r>
        <w:rPr>
          <w:rFonts w:ascii="Arial" w:cs="Arial" w:eastAsia="Arial" w:hAnsi="Arial"/>
          <w:sz w:val="22"/>
          <w:szCs w:val="22"/>
          <w:color w:val="auto"/>
        </w:rPr>
        <w:t>New York, New York 10036</w:t>
      </w:r>
    </w:p>
    <w:p>
      <w:pPr>
        <w:ind w:left="1960"/>
        <w:spacing w:after="0" w:line="231" w:lineRule="auto"/>
        <w:rPr>
          <w:sz w:val="20"/>
          <w:szCs w:val="20"/>
          <w:color w:val="auto"/>
        </w:rPr>
      </w:pPr>
      <w:r>
        <w:rPr>
          <w:rFonts w:ascii="Arial" w:cs="Arial" w:eastAsia="Arial" w:hAnsi="Arial"/>
          <w:sz w:val="22"/>
          <w:szCs w:val="22"/>
          <w:color w:val="auto"/>
        </w:rPr>
        <w:t>Attention: Douglas Friedman, General Counsel</w:t>
      </w:r>
    </w:p>
    <w:p>
      <w:pPr>
        <w:ind w:left="1960"/>
        <w:spacing w:after="0"/>
        <w:rPr>
          <w:sz w:val="20"/>
          <w:szCs w:val="20"/>
          <w:color w:val="auto"/>
        </w:rPr>
      </w:pPr>
      <w:r>
        <w:rPr>
          <w:rFonts w:ascii="Arial" w:cs="Arial" w:eastAsia="Arial" w:hAnsi="Arial"/>
          <w:sz w:val="22"/>
          <w:szCs w:val="22"/>
          <w:color w:val="auto"/>
        </w:rPr>
        <w:t>Email: Douglas.Friedman@tradeweb.com</w:t>
      </w:r>
    </w:p>
    <w:p>
      <w:pPr>
        <w:spacing w:after="0" w:line="215" w:lineRule="exact"/>
        <w:rPr>
          <w:sz w:val="20"/>
          <w:szCs w:val="20"/>
          <w:color w:val="auto"/>
        </w:rPr>
      </w:pPr>
    </w:p>
    <w:p>
      <w:pPr>
        <w:ind w:left="1980" w:hanging="675"/>
        <w:spacing w:after="0"/>
        <w:tabs>
          <w:tab w:leader="none" w:pos="198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If to the Grantee, at the most recent address or email contained in the Company’s records.</w:t>
      </w:r>
    </w:p>
    <w:p>
      <w:pPr>
        <w:spacing w:after="0" w:line="262" w:lineRule="exact"/>
        <w:rPr>
          <w:sz w:val="20"/>
          <w:szCs w:val="20"/>
          <w:color w:val="auto"/>
        </w:rPr>
      </w:pPr>
    </w:p>
    <w:p>
      <w:pPr>
        <w:ind w:left="1940" w:hanging="635"/>
        <w:spacing w:after="0"/>
        <w:tabs>
          <w:tab w:leader="none" w:pos="1940"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Award Agreement Subject to Plan and Applicable Law</w:t>
      </w:r>
    </w:p>
    <w:p>
      <w:pPr>
        <w:spacing w:after="0" w:line="239" w:lineRule="exact"/>
        <w:rPr>
          <w:sz w:val="20"/>
          <w:szCs w:val="20"/>
          <w:color w:val="auto"/>
        </w:rPr>
      </w:pPr>
    </w:p>
    <w:p>
      <w:pPr>
        <w:jc w:val="both"/>
        <w:ind w:firstLine="1305"/>
        <w:spacing w:after="0" w:line="246" w:lineRule="auto"/>
        <w:tabs>
          <w:tab w:leader="none" w:pos="2072"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211" w:lineRule="exact"/>
        <w:rPr>
          <w:rFonts w:ascii="Arial" w:cs="Arial" w:eastAsia="Arial" w:hAnsi="Arial"/>
          <w:sz w:val="21"/>
          <w:szCs w:val="21"/>
          <w:color w:val="auto"/>
        </w:rPr>
      </w:pPr>
    </w:p>
    <w:p>
      <w:pPr>
        <w:jc w:val="both"/>
        <w:ind w:firstLine="1305"/>
        <w:spacing w:after="0" w:line="249" w:lineRule="auto"/>
        <w:tabs>
          <w:tab w:leader="none" w:pos="1988" w:val="left"/>
        </w:tabs>
        <w:numPr>
          <w:ilvl w:val="0"/>
          <w:numId w:val="125"/>
        </w:numPr>
        <w:rPr>
          <w:rFonts w:ascii="Arial" w:cs="Arial" w:eastAsia="Arial" w:hAnsi="Arial"/>
          <w:sz w:val="21"/>
          <w:szCs w:val="21"/>
          <w:color w:val="auto"/>
        </w:rPr>
      </w:pPr>
      <w:r>
        <w:rPr>
          <w:rFonts w:ascii="Arial" w:cs="Arial" w:eastAsia="Arial" w:hAnsi="Arial"/>
          <w:sz w:val="21"/>
          <w:szCs w:val="21"/>
          <w:color w:val="auto"/>
        </w:rPr>
        <w:t>For the avoidance of doubt, with respect to any Grantee resident outside of the U.S., if the application of the vesting provisions as set forth in Section 3 hereof are invalid or impracticable under applicable local law, the terms of Section 3 hereof shall either be amended or be deemed not to apply to such Grantee, as determined in the sole discretion of the Committee. All determinations made and actions taken with respect to this Section 13(b) shall be made in the sole discretion of the Committee.</w:t>
      </w:r>
    </w:p>
    <w:p>
      <w:pPr>
        <w:spacing w:after="0" w:line="205" w:lineRule="exact"/>
        <w:rPr>
          <w:rFonts w:ascii="Arial" w:cs="Arial" w:eastAsia="Arial" w:hAnsi="Arial"/>
          <w:sz w:val="21"/>
          <w:szCs w:val="21"/>
          <w:color w:val="auto"/>
        </w:rPr>
      </w:pPr>
    </w:p>
    <w:p>
      <w:pPr>
        <w:jc w:val="both"/>
        <w:ind w:firstLine="1305"/>
        <w:spacing w:after="0" w:line="238" w:lineRule="auto"/>
        <w:tabs>
          <w:tab w:leader="none" w:pos="2054"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95" w:name="page96"/>
    <w:bookmarkEnd w:id="95"/>
    <w:p>
      <w:pPr>
        <w:ind w:left="1960" w:hanging="655"/>
        <w:spacing w:after="0"/>
        <w:tabs>
          <w:tab w:leader="none" w:pos="1960"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color w:val="auto"/>
        </w:rPr>
        <w:t>Section 409A</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PRSUs are intended to be compliant with Section 409A of the Code and, accordingly, to the maximum extent permitted, this Award Agreement shall be interpreted in a manner consistent therewith. Nothing contained herein shall constitute any representation or warranty by the Company regarding compliance 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w:t>
      </w:r>
    </w:p>
    <w:p>
      <w:pPr>
        <w:spacing w:after="0" w:line="205" w:lineRule="exact"/>
        <w:rPr>
          <w:sz w:val="20"/>
          <w:szCs w:val="20"/>
          <w:color w:val="auto"/>
        </w:rPr>
      </w:pPr>
    </w:p>
    <w:p>
      <w:pPr>
        <w:ind w:left="1960" w:hanging="655"/>
        <w:spacing w:after="0"/>
        <w:tabs>
          <w:tab w:leader="none" w:pos="1960"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color w:val="auto"/>
        </w:rPr>
        <w:t>Headings and Capitalized Terms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pacing w:after="0" w:line="206" w:lineRule="exact"/>
        <w:rPr>
          <w:sz w:val="20"/>
          <w:szCs w:val="20"/>
          <w:color w:val="auto"/>
        </w:rPr>
      </w:pPr>
    </w:p>
    <w:p>
      <w:pPr>
        <w:ind w:left="1960" w:hanging="655"/>
        <w:spacing w:after="0"/>
        <w:tabs>
          <w:tab w:leader="none" w:pos="1960"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 and Reformation</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 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168" w:lineRule="exact"/>
        <w:rPr>
          <w:sz w:val="20"/>
          <w:szCs w:val="20"/>
          <w:color w:val="auto"/>
        </w:rPr>
      </w:pPr>
    </w:p>
    <w:p>
      <w:pPr>
        <w:ind w:left="1960" w:hanging="655"/>
        <w:spacing w:after="0"/>
        <w:tabs>
          <w:tab w:leader="none" w:pos="196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Binding Effect</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This Award Agreement shall be binding upon the parties hereto, together with their personal executors, administrator, successors, personal representatives, heirs and permitted assigns.</w:t>
      </w:r>
    </w:p>
    <w:p>
      <w:pPr>
        <w:spacing w:after="0" w:line="196" w:lineRule="exact"/>
        <w:rPr>
          <w:sz w:val="20"/>
          <w:szCs w:val="20"/>
          <w:color w:val="auto"/>
        </w:rPr>
      </w:pPr>
    </w:p>
    <w:p>
      <w:pPr>
        <w:ind w:left="1960" w:hanging="655"/>
        <w:spacing w:after="0"/>
        <w:tabs>
          <w:tab w:leader="none" w:pos="1960"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206" w:lineRule="exact"/>
        <w:rPr>
          <w:sz w:val="20"/>
          <w:szCs w:val="20"/>
          <w:color w:val="auto"/>
        </w:rPr>
      </w:pPr>
    </w:p>
    <w:p>
      <w:pPr>
        <w:ind w:left="1940" w:hanging="635"/>
        <w:spacing w:after="0"/>
        <w:tabs>
          <w:tab w:leader="none" w:pos="1940" w:val="left"/>
        </w:tabs>
        <w:numPr>
          <w:ilvl w:val="0"/>
          <w:numId w:val="131"/>
        </w:numPr>
        <w:rPr>
          <w:rFonts w:ascii="Arial" w:cs="Arial" w:eastAsia="Arial" w:hAnsi="Arial"/>
          <w:sz w:val="22"/>
          <w:szCs w:val="22"/>
          <w:b w:val="1"/>
          <w:bCs w:val="1"/>
          <w:color w:val="auto"/>
        </w:rPr>
      </w:pPr>
      <w:r>
        <w:rPr>
          <w:rFonts w:ascii="Arial" w:cs="Arial" w:eastAsia="Arial" w:hAnsi="Arial"/>
          <w:sz w:val="22"/>
          <w:szCs w:val="22"/>
          <w:b w:val="1"/>
          <w:bCs w:val="1"/>
          <w:color w:val="auto"/>
        </w:rPr>
        <w:t>Waiver</w:t>
      </w:r>
    </w:p>
    <w:p>
      <w:pPr>
        <w:spacing w:after="0" w:line="239"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96" w:name="page97"/>
    <w:bookmarkEnd w:id="96"/>
    <w:p>
      <w:pPr>
        <w:spacing w:after="0" w:line="251" w:lineRule="auto"/>
        <w:rPr>
          <w:sz w:val="20"/>
          <w:szCs w:val="20"/>
          <w:color w:val="auto"/>
        </w:rPr>
      </w:pPr>
      <w:r>
        <w:rPr>
          <w:rFonts w:ascii="Arial" w:cs="Arial" w:eastAsia="Arial" w:hAnsi="Arial"/>
          <w:sz w:val="22"/>
          <w:szCs w:val="22"/>
          <w:color w:val="auto"/>
        </w:rPr>
        <w:t>exercise any such right shall not deprive the party of the right to take action at any time while or after such breach or condition giving rise to such rights continues.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color w:val="auto"/>
        </w:rPr>
        <w:t>Exhibit 10.4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2019 OMNIBUS EQUITY INCENTIVE PLAN</w:t>
      </w:r>
    </w:p>
    <w:p>
      <w:pPr>
        <w:jc w:val="center"/>
        <w:spacing w:after="0"/>
        <w:rPr>
          <w:sz w:val="20"/>
          <w:szCs w:val="20"/>
          <w:color w:val="auto"/>
        </w:rPr>
      </w:pPr>
      <w:r>
        <w:rPr>
          <w:rFonts w:ascii="Arial" w:cs="Arial" w:eastAsia="Arial" w:hAnsi="Arial"/>
          <w:sz w:val="22"/>
          <w:szCs w:val="22"/>
          <w:b w:val="1"/>
          <w:bCs w:val="1"/>
          <w:color w:val="auto"/>
        </w:rPr>
        <w:t>PRSU - NOTICE OF GRANT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(Version 2020)</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Tradeweb Markets Inc. (the “</w:t>
      </w:r>
      <w:r>
        <w:rPr>
          <w:rFonts w:ascii="Arial" w:cs="Arial" w:eastAsia="Arial" w:hAnsi="Arial"/>
          <w:sz w:val="19"/>
          <w:szCs w:val="19"/>
          <w:u w:val="single" w:color="auto"/>
          <w:color w:val="auto"/>
        </w:rPr>
        <w:t>Company</w:t>
      </w:r>
      <w:r>
        <w:rPr>
          <w:rFonts w:ascii="Arial" w:cs="Arial" w:eastAsia="Arial" w:hAnsi="Arial"/>
          <w:sz w:val="19"/>
          <w:szCs w:val="19"/>
          <w:color w:val="auto"/>
        </w:rPr>
        <w:t>”), a Delaware corporation, hereby grants to the Grantee set forth below (the “</w:t>
      </w:r>
      <w:r>
        <w:rPr>
          <w:rFonts w:ascii="Arial" w:cs="Arial" w:eastAsia="Arial" w:hAnsi="Arial"/>
          <w:sz w:val="19"/>
          <w:szCs w:val="19"/>
          <w:u w:val="single" w:color="auto"/>
          <w:color w:val="auto"/>
        </w:rPr>
        <w:t>Grantee</w:t>
      </w:r>
      <w:r>
        <w:rPr>
          <w:rFonts w:ascii="Arial" w:cs="Arial" w:eastAsia="Arial" w:hAnsi="Arial"/>
          <w:sz w:val="19"/>
          <w:szCs w:val="19"/>
          <w:color w:val="auto"/>
        </w:rPr>
        <w:t>”) Performance Restricted Stock Units (the “</w:t>
      </w:r>
      <w:r>
        <w:rPr>
          <w:rFonts w:ascii="Arial" w:cs="Arial" w:eastAsia="Arial" w:hAnsi="Arial"/>
          <w:sz w:val="19"/>
          <w:szCs w:val="19"/>
          <w:u w:val="single" w:color="auto"/>
          <w:color w:val="auto"/>
        </w:rPr>
        <w:t>PRSUs</w:t>
      </w:r>
      <w:r>
        <w:rPr>
          <w:rFonts w:ascii="Arial" w:cs="Arial" w:eastAsia="Arial" w:hAnsi="Arial"/>
          <w:sz w:val="19"/>
          <w:szCs w:val="19"/>
          <w:color w:val="auto"/>
        </w:rPr>
        <w:t>”), pursuant to the terms and conditions of this Notice of Grant (the “</w:t>
      </w:r>
      <w:r>
        <w:rPr>
          <w:rFonts w:ascii="Arial" w:cs="Arial" w:eastAsia="Arial" w:hAnsi="Arial"/>
          <w:sz w:val="19"/>
          <w:szCs w:val="19"/>
          <w:u w:val="single" w:color="auto"/>
          <w:color w:val="auto"/>
        </w:rPr>
        <w:t>Notice</w:t>
      </w:r>
      <w:r>
        <w:rPr>
          <w:rFonts w:ascii="Arial" w:cs="Arial" w:eastAsia="Arial" w:hAnsi="Arial"/>
          <w:sz w:val="19"/>
          <w:szCs w:val="19"/>
          <w:color w:val="auto"/>
        </w:rPr>
        <w:t xml:space="preserve">”), the PRSU Award Agreement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Award</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and the Tradeweb Markets Inc. 2019 Omnibus Equity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Capitalized terms used but not defined herein shall have the meaning attributed to such terms in the Award Agreement or, if not defined therein, in the Plan, unless the context requires otherwise. Each PRSU represents the right to receive one (1) Share at the time and in the manner set forth in Section 5 of the Award Agreement.</w:t>
      </w:r>
    </w:p>
    <w:p>
      <w:pPr>
        <w:sectPr>
          <w:pgSz w:w="11900" w:h="16838" w:orient="portrait"/>
          <w:cols w:equalWidth="0" w:num="1">
            <w:col w:w="9920"/>
          </w:cols>
          <w:pgMar w:left="980" w:top="111" w:right="99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Name of Grantee:</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Number of PRSUs: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220" w:hanging="213"/>
        <w:spacing w:after="0"/>
        <w:tabs>
          <w:tab w:leader="none" w:pos="22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220" w:hanging="213"/>
        <w:spacing w:after="0"/>
        <w:tabs>
          <w:tab w:leader="none" w:pos="22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220" w:hanging="213"/>
        <w:spacing w:after="0"/>
        <w:tabs>
          <w:tab w:leader="none" w:pos="22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The PRSUs shall vest pursuant to the terms and conditions set forth in Section 3 of the Award Agreement.</w:t>
      </w:r>
    </w:p>
    <w:p>
      <w:pPr>
        <w:spacing w:after="0" w:line="175" w:lineRule="exact"/>
        <w:rPr>
          <w:sz w:val="20"/>
          <w:szCs w:val="20"/>
          <w:color w:val="auto"/>
        </w:rPr>
      </w:pPr>
    </w:p>
    <w:p>
      <w:pPr>
        <w:sectPr>
          <w:pgSz w:w="11900" w:h="16838" w:orient="portrait"/>
          <w:cols w:equalWidth="0" w:num="2">
            <w:col w:w="1820" w:space="720"/>
            <w:col w:w="7380"/>
          </w:cols>
          <w:pgMar w:left="980" w:top="111" w:right="999" w:bottom="1440" w:gutter="0" w:footer="0" w:header="0"/>
          <w:type w:val="continuous"/>
        </w:sectPr>
      </w:pPr>
    </w:p>
    <w:p>
      <w:pPr>
        <w:jc w:val="both"/>
        <w:spacing w:after="0" w:line="248" w:lineRule="auto"/>
        <w:rPr>
          <w:sz w:val="20"/>
          <w:szCs w:val="20"/>
          <w:color w:val="auto"/>
        </w:rPr>
      </w:pPr>
      <w:r>
        <w:rPr>
          <w:rFonts w:ascii="Arial" w:cs="Arial" w:eastAsia="Arial" w:hAnsi="Arial"/>
          <w:sz w:val="21"/>
          <w:szCs w:val="21"/>
          <w:color w:val="auto"/>
        </w:rPr>
        <w:t>The PRSUs shall be subject to the execution and return of this Notice by the Grantee to the Company within 15 days of the Grantee’s receipt of this Notice (including by utilizing an electronic signature and/or web-based approval and notice process or any other process as may be authorized by the Company). By executing this Notice, the Grantee acknowledges that his or her agreement to the covenants set forth in the Restrictive Covenant Agreement entered into by and between the Grantee and the Company on or about the date hereof is a material inducement to the Company in granting this Award to the Grantee.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type w:val="continuous"/>
        </w:sectPr>
      </w:pPr>
    </w:p>
    <w:bookmarkStart w:id="98" w:name="page99"/>
    <w:bookmarkEnd w:id="98"/>
    <w:p>
      <w:pPr>
        <w:ind w:firstLine="648"/>
        <w:spacing w:after="0" w:line="251" w:lineRule="auto"/>
        <w:rPr>
          <w:sz w:val="20"/>
          <w:szCs w:val="20"/>
          <w:color w:val="auto"/>
        </w:rPr>
      </w:pPr>
      <w:r>
        <w:rPr>
          <w:rFonts w:ascii="Arial" w:cs="Arial" w:eastAsia="Arial" w:hAnsi="Arial"/>
          <w:sz w:val="22"/>
          <w:szCs w:val="22"/>
          <w:color w:val="auto"/>
        </w:rPr>
        <w:t>IN WITNESS WHEREOF, the parties hereto have executed this Notice of Grant as of the Date of Grant set forth above.</w:t>
      </w:r>
    </w:p>
    <w:p>
      <w:pPr>
        <w:spacing w:after="0" w:line="200"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TRADEWEB MARKETS INC.</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w:t>
      </w:r>
    </w:p>
    <w:p>
      <w:pPr>
        <w:ind w:left="496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-151130</wp:posOffset>
            </wp:positionV>
            <wp:extent cx="1457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GRANTEE</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6985</wp:posOffset>
            </wp:positionV>
            <wp:extent cx="1457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Name: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767715</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640"/>
          </w:cols>
          <w:pgMar w:left="980" w:top="118" w:right="1279" w:bottom="1440" w:gutter="0" w:footer="0" w:header="0"/>
        </w:sectPr>
      </w:pPr>
    </w:p>
    <w:bookmarkStart w:id="99" w:name="page100"/>
    <w:bookmarkEnd w:id="99"/>
    <w:p>
      <w:pPr>
        <w:ind w:left="4520"/>
        <w:spacing w:after="0"/>
        <w:rPr>
          <w:sz w:val="20"/>
          <w:szCs w:val="20"/>
          <w:color w:val="auto"/>
        </w:rPr>
      </w:pPr>
      <w:r>
        <w:rPr>
          <w:rFonts w:ascii="Arial" w:cs="Arial" w:eastAsia="Arial" w:hAnsi="Arial"/>
          <w:sz w:val="22"/>
          <w:szCs w:val="22"/>
          <w:b w:val="1"/>
          <w:bCs w:val="1"/>
          <w:color w:val="auto"/>
        </w:rPr>
        <w:t>Exhibit A</w:t>
      </w:r>
    </w:p>
    <w:p>
      <w:pPr>
        <w:spacing w:after="0" w:line="207"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TRADEWEB MARKETS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2019 OMNIBUS EQUITY INCENTIVE PLAN</w:t>
      </w:r>
    </w:p>
    <w:p>
      <w:pPr>
        <w:jc w:val="center"/>
        <w:spacing w:after="0"/>
        <w:rPr>
          <w:sz w:val="20"/>
          <w:szCs w:val="20"/>
          <w:color w:val="auto"/>
        </w:rPr>
      </w:pPr>
      <w:r>
        <w:rPr>
          <w:rFonts w:ascii="Arial" w:cs="Arial" w:eastAsia="Arial" w:hAnsi="Arial"/>
          <w:sz w:val="22"/>
          <w:szCs w:val="22"/>
          <w:b w:val="1"/>
          <w:bCs w:val="1"/>
          <w:color w:val="auto"/>
        </w:rPr>
        <w:t>PRSU AWARD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(Version 2020)</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THIS PRSU AWARD AGREEMENT (this “</w:t>
      </w:r>
      <w:r>
        <w:rPr>
          <w:rFonts w:ascii="Arial" w:cs="Arial" w:eastAsia="Arial" w:hAnsi="Arial"/>
          <w:sz w:val="21"/>
          <w:szCs w:val="21"/>
          <w:u w:val="single" w:color="auto"/>
          <w:color w:val="auto"/>
        </w:rPr>
        <w:t>Award Agreement</w:t>
      </w:r>
      <w:r>
        <w:rPr>
          <w:rFonts w:ascii="Arial" w:cs="Arial" w:eastAsia="Arial" w:hAnsi="Arial"/>
          <w:sz w:val="21"/>
          <w:szCs w:val="21"/>
          <w:color w:val="auto"/>
        </w:rPr>
        <w:t>”) is entered into by and among Tradeweb Markets Inc. (the “</w:t>
      </w:r>
      <w:r>
        <w:rPr>
          <w:rFonts w:ascii="Arial" w:cs="Arial" w:eastAsia="Arial" w:hAnsi="Arial"/>
          <w:sz w:val="21"/>
          <w:szCs w:val="21"/>
          <w:u w:val="single" w:color="auto"/>
          <w:color w:val="auto"/>
        </w:rPr>
        <w:t>Company</w:t>
      </w:r>
      <w:r>
        <w:rPr>
          <w:rFonts w:ascii="Arial" w:cs="Arial" w:eastAsia="Arial" w:hAnsi="Arial"/>
          <w:sz w:val="21"/>
          <w:szCs w:val="21"/>
          <w:color w:val="auto"/>
        </w:rPr>
        <w:t>”) and the individual set forth on the signature page to that certain Notice of Grant (the “</w:t>
      </w:r>
      <w:r>
        <w:rPr>
          <w:rFonts w:ascii="Arial" w:cs="Arial" w:eastAsia="Arial" w:hAnsi="Arial"/>
          <w:sz w:val="21"/>
          <w:szCs w:val="21"/>
          <w:u w:val="single" w:color="auto"/>
          <w:color w:val="auto"/>
        </w:rPr>
        <w:t>Notice</w:t>
      </w:r>
      <w:r>
        <w:rPr>
          <w:rFonts w:ascii="Arial" w:cs="Arial" w:eastAsia="Arial" w:hAnsi="Arial"/>
          <w:sz w:val="21"/>
          <w:szCs w:val="21"/>
          <w:color w:val="auto"/>
        </w:rPr>
        <w:t>”) to which this Award Agreement is attached. The terms and conditions of the PRSUs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w:t>
      </w:r>
    </w:p>
    <w:p>
      <w:pPr>
        <w:spacing w:after="0" w:line="171" w:lineRule="exact"/>
        <w:rPr>
          <w:sz w:val="20"/>
          <w:szCs w:val="20"/>
          <w:color w:val="auto"/>
        </w:rPr>
      </w:pPr>
    </w:p>
    <w:p>
      <w:pPr>
        <w:ind w:left="1960" w:hanging="655"/>
        <w:spacing w:after="0"/>
        <w:tabs>
          <w:tab w:leader="none" w:pos="1960" w:val="left"/>
        </w:tabs>
        <w:numPr>
          <w:ilvl w:val="0"/>
          <w:numId w:val="133"/>
        </w:numPr>
        <w:rPr>
          <w:rFonts w:ascii="Arial" w:cs="Arial" w:eastAsia="Arial" w:hAnsi="Arial"/>
          <w:sz w:val="22"/>
          <w:szCs w:val="22"/>
          <w:b w:val="1"/>
          <w:bCs w:val="1"/>
          <w:color w:val="auto"/>
        </w:rPr>
      </w:pPr>
      <w:r>
        <w:rPr>
          <w:rFonts w:ascii="Arial" w:cs="Arial" w:eastAsia="Arial" w:hAnsi="Arial"/>
          <w:sz w:val="22"/>
          <w:szCs w:val="22"/>
          <w:b w:val="1"/>
          <w:bCs w:val="1"/>
          <w:color w:val="auto"/>
        </w:rPr>
        <w:t>No Right to Continued Employee Status or Consultant Service</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Nothing contained in this Award Agreement shall confer upon the Grantee the right to the continuation of his or her employment, or, in the case of a Consultant or Director, to the continuation of his or her service arrangement, nor shall anything herein interfere with the right of the Company or any of its Subsidiaries or other Affiliates to Terminate the Grantee.</w:t>
      </w:r>
    </w:p>
    <w:p>
      <w:pPr>
        <w:spacing w:after="0" w:line="206" w:lineRule="exact"/>
        <w:rPr>
          <w:sz w:val="20"/>
          <w:szCs w:val="20"/>
          <w:color w:val="auto"/>
        </w:rPr>
      </w:pPr>
    </w:p>
    <w:p>
      <w:pPr>
        <w:ind w:left="1940" w:hanging="635"/>
        <w:spacing w:after="0"/>
        <w:tabs>
          <w:tab w:leader="none" w:pos="1940" w:val="left"/>
        </w:tabs>
        <w:numPr>
          <w:ilvl w:val="0"/>
          <w:numId w:val="134"/>
        </w:numPr>
        <w:rPr>
          <w:rFonts w:ascii="Arial" w:cs="Arial" w:eastAsia="Arial" w:hAnsi="Arial"/>
          <w:sz w:val="22"/>
          <w:szCs w:val="22"/>
          <w:b w:val="1"/>
          <w:bCs w:val="1"/>
          <w:color w:val="auto"/>
        </w:rPr>
      </w:pPr>
      <w:r>
        <w:rPr>
          <w:rFonts w:ascii="Arial" w:cs="Arial" w:eastAsia="Arial" w:hAnsi="Arial"/>
          <w:sz w:val="22"/>
          <w:szCs w:val="22"/>
          <w:b w:val="1"/>
          <w:bCs w:val="1"/>
          <w:color w:val="auto"/>
        </w:rPr>
        <w:t>Term of PRSUs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This Award Agreement shall remain in effect until the PRSUs have fully vested and been settled or been forfeited by the Grantee as provided in this Award Agreement.</w:t>
      </w:r>
    </w:p>
    <w:p>
      <w:pPr>
        <w:spacing w:after="0" w:line="196" w:lineRule="exact"/>
        <w:rPr>
          <w:sz w:val="20"/>
          <w:szCs w:val="20"/>
          <w:color w:val="auto"/>
        </w:rPr>
      </w:pPr>
    </w:p>
    <w:p>
      <w:pPr>
        <w:ind w:left="1940" w:hanging="635"/>
        <w:spacing w:after="0"/>
        <w:tabs>
          <w:tab w:leader="none" w:pos="1940" w:val="left"/>
        </w:tabs>
        <w:numPr>
          <w:ilvl w:val="0"/>
          <w:numId w:val="135"/>
        </w:numPr>
        <w:rPr>
          <w:rFonts w:ascii="Arial" w:cs="Arial" w:eastAsia="Arial" w:hAnsi="Arial"/>
          <w:sz w:val="22"/>
          <w:szCs w:val="22"/>
          <w:b w:val="1"/>
          <w:bCs w:val="1"/>
          <w:color w:val="auto"/>
        </w:rPr>
      </w:pPr>
      <w:r>
        <w:rPr>
          <w:rFonts w:ascii="Arial" w:cs="Arial" w:eastAsia="Arial" w:hAnsi="Arial"/>
          <w:sz w:val="22"/>
          <w:szCs w:val="22"/>
          <w:b w:val="1"/>
          <w:bCs w:val="1"/>
          <w:color w:val="auto"/>
        </w:rPr>
        <w:t>Vesting of PRSUs</w:t>
      </w:r>
    </w:p>
    <w:p>
      <w:pPr>
        <w:spacing w:after="0" w:line="239" w:lineRule="exact"/>
        <w:rPr>
          <w:sz w:val="20"/>
          <w:szCs w:val="20"/>
          <w:color w:val="auto"/>
        </w:rPr>
      </w:pPr>
    </w:p>
    <w:p>
      <w:pPr>
        <w:jc w:val="both"/>
        <w:ind w:firstLine="1305"/>
        <w:spacing w:after="0" w:line="246" w:lineRule="auto"/>
        <w:tabs>
          <w:tab w:leader="none" w:pos="1947" w:val="left"/>
        </w:tabs>
        <w:numPr>
          <w:ilvl w:val="0"/>
          <w:numId w:val="136"/>
        </w:numPr>
        <w:rPr>
          <w:rFonts w:ascii="Arial" w:cs="Arial" w:eastAsia="Arial" w:hAnsi="Arial"/>
          <w:sz w:val="21"/>
          <w:szCs w:val="21"/>
          <w:color w:val="auto"/>
        </w:rPr>
      </w:pPr>
      <w:r>
        <w:rPr>
          <w:rFonts w:ascii="Arial" w:cs="Arial" w:eastAsia="Arial" w:hAnsi="Arial"/>
          <w:sz w:val="21"/>
          <w:szCs w:val="21"/>
          <w:color w:val="auto"/>
        </w:rPr>
        <w:t>Subject to the Grantee’s not having Terminated, except as specifically provided herein or in the Plan, the PRSUs granted hereunder will fully vest on the earliest to occur of (i) January 1, 2023, (ii) the Grantee’s Retirement and (iii) the occurrence of a Change in Control (such applicable date, the “</w:t>
      </w:r>
      <w:r>
        <w:rPr>
          <w:rFonts w:ascii="Arial" w:cs="Arial" w:eastAsia="Arial" w:hAnsi="Arial"/>
          <w:sz w:val="21"/>
          <w:szCs w:val="21"/>
          <w:u w:val="single" w:color="auto"/>
          <w:color w:val="auto"/>
        </w:rPr>
        <w:t>Vesting Date</w:t>
      </w:r>
      <w:r>
        <w:rPr>
          <w:rFonts w:ascii="Arial" w:cs="Arial" w:eastAsia="Arial" w:hAnsi="Arial"/>
          <w:sz w:val="21"/>
          <w:szCs w:val="21"/>
          <w:color w:val="auto"/>
        </w:rPr>
        <w:t>”). For purposes of this Award Agreement, “</w:t>
      </w:r>
      <w:r>
        <w:rPr>
          <w:rFonts w:ascii="Arial" w:cs="Arial" w:eastAsia="Arial" w:hAnsi="Arial"/>
          <w:sz w:val="21"/>
          <w:szCs w:val="21"/>
          <w:u w:val="single" w:color="auto"/>
          <w:color w:val="auto"/>
        </w:rPr>
        <w:t>Retirement</w:t>
      </w:r>
      <w:r>
        <w:rPr>
          <w:rFonts w:ascii="Arial" w:cs="Arial" w:eastAsia="Arial" w:hAnsi="Arial"/>
          <w:sz w:val="21"/>
          <w:szCs w:val="21"/>
          <w:color w:val="auto"/>
        </w:rPr>
        <w:t>” means a Grantee’s voluntary resignation upon six months’ notice to the Company for any reason after attaining a combination of (A) age 55 with at least 10 years of credited service or (B) age 65 with at least 5 years of credited service. PRSUs that have vested as described herein are referred to as “</w:t>
      </w:r>
      <w:r>
        <w:rPr>
          <w:rFonts w:ascii="Arial" w:cs="Arial" w:eastAsia="Arial" w:hAnsi="Arial"/>
          <w:sz w:val="21"/>
          <w:szCs w:val="21"/>
          <w:u w:val="single" w:color="auto"/>
          <w:color w:val="auto"/>
        </w:rPr>
        <w:t>Vested PRSUs</w:t>
      </w:r>
      <w:r>
        <w:rPr>
          <w:rFonts w:ascii="Arial" w:cs="Arial" w:eastAsia="Arial" w:hAnsi="Arial"/>
          <w:sz w:val="21"/>
          <w:szCs w:val="21"/>
          <w:color w:val="auto"/>
        </w:rPr>
        <w:t>.”</w:t>
      </w:r>
    </w:p>
    <w:p>
      <w:pPr>
        <w:spacing w:after="0" w:line="184" w:lineRule="exact"/>
        <w:rPr>
          <w:rFonts w:ascii="Arial" w:cs="Arial" w:eastAsia="Arial" w:hAnsi="Arial"/>
          <w:sz w:val="21"/>
          <w:szCs w:val="21"/>
          <w:color w:val="auto"/>
        </w:rPr>
      </w:pPr>
    </w:p>
    <w:p>
      <w:pPr>
        <w:jc w:val="both"/>
        <w:ind w:firstLine="1305"/>
        <w:spacing w:after="0" w:line="277" w:lineRule="auto"/>
        <w:tabs>
          <w:tab w:leader="none" w:pos="1939" w:val="left"/>
        </w:tabs>
        <w:numPr>
          <w:ilvl w:val="0"/>
          <w:numId w:val="136"/>
        </w:numPr>
        <w:rPr>
          <w:rFonts w:ascii="Arial" w:cs="Arial" w:eastAsia="Arial" w:hAnsi="Arial"/>
          <w:sz w:val="19"/>
          <w:szCs w:val="19"/>
          <w:color w:val="auto"/>
        </w:rPr>
      </w:pPr>
      <w:r>
        <w:rPr>
          <w:rFonts w:ascii="Arial" w:cs="Arial" w:eastAsia="Arial" w:hAnsi="Arial"/>
          <w:sz w:val="19"/>
          <w:szCs w:val="19"/>
          <w:color w:val="auto"/>
        </w:rPr>
        <w:t>If the Grantee Terminates before the Vesting Date (other than on account of Retirement), no amounts will be payable hereunder unless the Grantee is Terminated by the Company without Cause within 180 days before the “Settlement Date” (as defined below), or on account of his or her death or Disability, in which case the Grantee or the Grantee’s estate will be entitled to retain a pro rated number of PRSUs, which shall remain eligible for settlement in accordance with Section 5 below (including application of any “Performance Modifier,” as defined below). For purposes of the foregoing, the pro rated number of PRSUs the Grantee or the Grantee’s estate shall be entitled to retain shall be calculated by multiplying the total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589915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00" w:name="page101"/>
    <w:bookmarkEnd w:id="100"/>
    <w:p>
      <w:pPr>
        <w:jc w:val="both"/>
        <w:spacing w:after="0"/>
        <w:rPr>
          <w:sz w:val="20"/>
          <w:szCs w:val="20"/>
          <w:color w:val="auto"/>
        </w:rPr>
      </w:pPr>
      <w:r>
        <w:rPr>
          <w:rFonts w:ascii="Arial" w:cs="Arial" w:eastAsia="Arial" w:hAnsi="Arial"/>
          <w:sz w:val="22"/>
          <w:szCs w:val="22"/>
          <w:color w:val="auto"/>
        </w:rPr>
        <w:t>of PRSUs awarded hereunder by a fraction, the numerator of which is the number of days worked since January 1, 2020 and the denominator of which is the total number of days in the normal vesting period (i.e., the number of days between January 1, 2020 and January 1, 2023).</w:t>
      </w:r>
    </w:p>
    <w:p>
      <w:pPr>
        <w:sectPr>
          <w:pgSz w:w="11900" w:h="16838" w:orient="portrait"/>
          <w:cols w:equalWidth="0" w:num="1">
            <w:col w:w="9920"/>
          </w:cols>
          <w:pgMar w:left="980" w:top="118" w:right="999" w:bottom="1440" w:gutter="0" w:footer="0" w:header="0"/>
        </w:sectPr>
      </w:pP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any time prior to the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Vested PRSUs).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firstLine="32"/>
        <w:spacing w:after="0" w:line="328" w:lineRule="auto"/>
        <w:rPr>
          <w:sz w:val="20"/>
          <w:szCs w:val="20"/>
          <w:color w:val="auto"/>
        </w:rPr>
      </w:pPr>
      <w:r>
        <w:rPr>
          <w:rFonts w:ascii="Arial" w:cs="Arial" w:eastAsia="Arial" w:hAnsi="Arial"/>
          <w:sz w:val="19"/>
          <w:szCs w:val="19"/>
          <w:color w:val="auto"/>
        </w:rPr>
        <w:t>Notwithstanding anything herein, if a Grantee is Terminated by the Company for Cause at Settlement Date, the Grantee shall forfeit all rights hereunder (including with respect to</w:t>
      </w:r>
    </w:p>
    <w:p>
      <w:pPr>
        <w:spacing w:after="0" w:line="341" w:lineRule="exact"/>
        <w:rPr>
          <w:sz w:val="20"/>
          <w:szCs w:val="20"/>
          <w:color w:val="auto"/>
        </w:rPr>
      </w:pPr>
    </w:p>
    <w:p>
      <w:pPr>
        <w:sectPr>
          <w:pgSz w:w="11900" w:h="16838" w:orient="portrait"/>
          <w:cols w:equalWidth="0" w:num="2">
            <w:col w:w="1880" w:space="80"/>
            <w:col w:w="7960"/>
          </w:cols>
          <w:pgMar w:left="980" w:top="118" w:right="999" w:bottom="1440" w:gutter="0" w:footer="0" w:header="0"/>
          <w:type w:val="continuous"/>
        </w:sectPr>
      </w:pPr>
    </w:p>
    <w:p>
      <w:pPr>
        <w:ind w:left="1960" w:hanging="655"/>
        <w:spacing w:after="0"/>
        <w:tabs>
          <w:tab w:leader="none" w:pos="1960" w:val="left"/>
        </w:tabs>
        <w:numPr>
          <w:ilvl w:val="0"/>
          <w:numId w:val="137"/>
        </w:numPr>
        <w:rPr>
          <w:rFonts w:ascii="Arial" w:cs="Arial" w:eastAsia="Arial" w:hAnsi="Arial"/>
          <w:sz w:val="22"/>
          <w:szCs w:val="22"/>
          <w:b w:val="1"/>
          <w:bCs w:val="1"/>
          <w:color w:val="auto"/>
        </w:rPr>
      </w:pPr>
      <w:r>
        <w:rPr>
          <w:rFonts w:ascii="Arial" w:cs="Arial" w:eastAsia="Arial" w:hAnsi="Arial"/>
          <w:sz w:val="22"/>
          <w:szCs w:val="22"/>
          <w:b w:val="1"/>
          <w:bCs w:val="1"/>
          <w:color w:val="auto"/>
        </w:rPr>
        <w:t>Dividend Equivalent Rights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PRSUs granted hereunder will accumulate dividend equivalent rights in respect of any dividends paid on Shares (on a one Share to one PRSU basis) from January 1, 2020 through the Settlement Date (as defined below). To the extent the PRSUs that gave rise to any dividend equivalent rights are forfeited pursuant to this Award or the Plan, those dividend equivalent rights will also be forfeited. The aggregate dollar amount of dividend equivalent rights accumulated under this Section 4 and not forfeited shall be added to, and be settled at the same time as the related PRSUs pursuant to Section 5 below.</w:t>
      </w:r>
    </w:p>
    <w:p>
      <w:pPr>
        <w:spacing w:after="0" w:line="198" w:lineRule="exact"/>
        <w:rPr>
          <w:sz w:val="20"/>
          <w:szCs w:val="20"/>
          <w:color w:val="auto"/>
        </w:rPr>
      </w:pPr>
    </w:p>
    <w:p>
      <w:pPr>
        <w:ind w:left="1960" w:hanging="655"/>
        <w:spacing w:after="0"/>
        <w:tabs>
          <w:tab w:leader="none" w:pos="1960" w:val="left"/>
        </w:tabs>
        <w:numPr>
          <w:ilvl w:val="0"/>
          <w:numId w:val="138"/>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PRSUs</w:t>
      </w:r>
    </w:p>
    <w:p>
      <w:pPr>
        <w:spacing w:after="0" w:line="239" w:lineRule="exact"/>
        <w:rPr>
          <w:sz w:val="20"/>
          <w:szCs w:val="20"/>
          <w:color w:val="auto"/>
        </w:rPr>
      </w:pPr>
    </w:p>
    <w:p>
      <w:pPr>
        <w:jc w:val="both"/>
        <w:ind w:firstLine="1305"/>
        <w:spacing w:after="0" w:line="271" w:lineRule="auto"/>
        <w:tabs>
          <w:tab w:leader="none" w:pos="1979" w:val="left"/>
        </w:tabs>
        <w:numPr>
          <w:ilvl w:val="1"/>
          <w:numId w:val="139"/>
        </w:numPr>
        <w:rPr>
          <w:rFonts w:ascii="Arial" w:cs="Arial" w:eastAsia="Arial" w:hAnsi="Arial"/>
          <w:sz w:val="19"/>
          <w:szCs w:val="19"/>
          <w:color w:val="auto"/>
        </w:rPr>
      </w:pPr>
      <w:r>
        <w:rPr>
          <w:rFonts w:ascii="Arial" w:cs="Arial" w:eastAsia="Arial" w:hAnsi="Arial"/>
          <w:sz w:val="19"/>
          <w:szCs w:val="19"/>
          <w:color w:val="auto"/>
        </w:rPr>
        <w:t>This Award shall entitle the Grantee to receive a number of Shares equal to the Settlement Number (as defined below), less a number of Shares having an aggregate Fair Market Value equal to the withholding and employment taxes associated with the settlement of the PRSUs. The “</w:t>
      </w:r>
      <w:r>
        <w:rPr>
          <w:rFonts w:ascii="Arial" w:cs="Arial" w:eastAsia="Arial" w:hAnsi="Arial"/>
          <w:sz w:val="19"/>
          <w:szCs w:val="19"/>
          <w:u w:val="single" w:color="auto"/>
          <w:color w:val="auto"/>
        </w:rPr>
        <w:t>Settlement Number</w:t>
      </w:r>
      <w:r>
        <w:rPr>
          <w:rFonts w:ascii="Arial" w:cs="Arial" w:eastAsia="Arial" w:hAnsi="Arial"/>
          <w:sz w:val="19"/>
          <w:szCs w:val="19"/>
          <w:color w:val="auto"/>
        </w:rPr>
        <w:t>” is equal to the sum of (i) the product of the number of Vested PRSUs multiplied by the Performance Modifier plus</w:t>
      </w:r>
    </w:p>
    <w:p>
      <w:pPr>
        <w:spacing w:after="0" w:line="3" w:lineRule="exact"/>
        <w:rPr>
          <w:rFonts w:ascii="Arial" w:cs="Arial" w:eastAsia="Arial" w:hAnsi="Arial"/>
          <w:sz w:val="19"/>
          <w:szCs w:val="19"/>
          <w:color w:val="auto"/>
        </w:rPr>
      </w:pPr>
    </w:p>
    <w:p>
      <w:pPr>
        <w:jc w:val="both"/>
        <w:ind w:firstLine="9"/>
        <w:spacing w:after="0" w:line="243" w:lineRule="auto"/>
        <w:tabs>
          <w:tab w:leader="none" w:pos="318" w:val="left"/>
        </w:tabs>
        <w:numPr>
          <w:ilvl w:val="0"/>
          <w:numId w:val="140"/>
        </w:numPr>
        <w:rPr>
          <w:rFonts w:ascii="Arial" w:cs="Arial" w:eastAsia="Arial" w:hAnsi="Arial"/>
          <w:sz w:val="21"/>
          <w:szCs w:val="21"/>
          <w:color w:val="auto"/>
        </w:rPr>
      </w:pPr>
      <w:r>
        <w:rPr>
          <w:rFonts w:ascii="Arial" w:cs="Arial" w:eastAsia="Arial" w:hAnsi="Arial"/>
          <w:sz w:val="21"/>
          <w:szCs w:val="21"/>
          <w:color w:val="auto"/>
        </w:rPr>
        <w:t>the number of Shares that results from the quotient of (a) the product of any dividend equivalent rights payable pursuant to Section 4 above multiplied by the Performance Modifier, divided by (b) the Fair Market Value as of the Settlement Date. As used in this Award Agreement, “</w:t>
      </w:r>
      <w:r>
        <w:rPr>
          <w:rFonts w:ascii="Arial" w:cs="Arial" w:eastAsia="Arial" w:hAnsi="Arial"/>
          <w:sz w:val="21"/>
          <w:szCs w:val="21"/>
          <w:u w:val="single" w:color="auto"/>
          <w:color w:val="auto"/>
        </w:rPr>
        <w:t>Performance Modifier</w:t>
      </w:r>
      <w:r>
        <w:rPr>
          <w:rFonts w:ascii="Arial" w:cs="Arial" w:eastAsia="Arial" w:hAnsi="Arial"/>
          <w:sz w:val="21"/>
          <w:szCs w:val="21"/>
          <w:color w:val="auto"/>
        </w:rPr>
        <w:t xml:space="preserve">” means that certain percentage range established by the Board in the calendar year following the calendar year in which the Date of Grant occurs, after consultation with the Company’s Chief Executive Officer, to be based on the Company’s EPS calculation (or other performance metrics approved by the Board) applicable to the year in which the Date of Grant occurs;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a Change in Control occurs prior to the establishment of the Performance Modifier, the Performance Modifier shall be 100%.</w:t>
      </w:r>
    </w:p>
    <w:p>
      <w:pPr>
        <w:spacing w:after="0" w:line="185" w:lineRule="exact"/>
        <w:rPr>
          <w:rFonts w:ascii="Arial" w:cs="Arial" w:eastAsia="Arial" w:hAnsi="Arial"/>
          <w:sz w:val="21"/>
          <w:szCs w:val="21"/>
          <w:color w:val="auto"/>
        </w:rPr>
      </w:pPr>
    </w:p>
    <w:p>
      <w:pPr>
        <w:jc w:val="both"/>
        <w:ind w:firstLine="1305"/>
        <w:spacing w:after="0" w:line="277" w:lineRule="auto"/>
        <w:tabs>
          <w:tab w:leader="none" w:pos="1963" w:val="left"/>
        </w:tabs>
        <w:numPr>
          <w:ilvl w:val="1"/>
          <w:numId w:val="140"/>
        </w:numPr>
        <w:rPr>
          <w:rFonts w:ascii="Arial" w:cs="Arial" w:eastAsia="Arial" w:hAnsi="Arial"/>
          <w:sz w:val="19"/>
          <w:szCs w:val="19"/>
          <w:color w:val="auto"/>
        </w:rPr>
      </w:pPr>
      <w:r>
        <w:rPr>
          <w:rFonts w:ascii="Arial" w:cs="Arial" w:eastAsia="Arial" w:hAnsi="Arial"/>
          <w:sz w:val="19"/>
          <w:szCs w:val="19"/>
          <w:color w:val="auto"/>
        </w:rPr>
        <w:t>The settlement described in this Section 5 shall occur on the Settlement Date. For purposes of this Award Agreement, the “</w:t>
      </w:r>
      <w:r>
        <w:rPr>
          <w:rFonts w:ascii="Arial" w:cs="Arial" w:eastAsia="Arial" w:hAnsi="Arial"/>
          <w:sz w:val="19"/>
          <w:szCs w:val="19"/>
          <w:u w:val="single" w:color="auto"/>
          <w:color w:val="auto"/>
        </w:rPr>
        <w:t>Settlement Date</w:t>
      </w:r>
      <w:r>
        <w:rPr>
          <w:rFonts w:ascii="Arial" w:cs="Arial" w:eastAsia="Arial" w:hAnsi="Arial"/>
          <w:sz w:val="19"/>
          <w:szCs w:val="19"/>
          <w:color w:val="auto"/>
        </w:rPr>
        <w:t xml:space="preserve">” means January 2, 2023;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“Qualified Change in Control” (as defined below) occurs prior to such date, settlement shall occur at the time(s) and in the same form of consideration as the consideration delivered to the Company’s stockholders in connection with such transaction, to the extent permitted by Code Section 409A. For purposes of the foregoing, a “</w:t>
      </w:r>
      <w:r>
        <w:rPr>
          <w:rFonts w:ascii="Arial" w:cs="Arial" w:eastAsia="Arial" w:hAnsi="Arial"/>
          <w:sz w:val="19"/>
          <w:szCs w:val="19"/>
          <w:u w:val="single" w:color="auto"/>
          <w:color w:val="auto"/>
        </w:rPr>
        <w:t>Qualified Change in</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Control</w:t>
      </w:r>
      <w:r>
        <w:rPr>
          <w:rFonts w:ascii="Arial" w:cs="Arial" w:eastAsia="Arial" w:hAnsi="Arial"/>
          <w:sz w:val="19"/>
          <w:szCs w:val="19"/>
          <w:color w:val="auto"/>
        </w:rPr>
        <w:t>” is a Change in Control that also constitutes a change of ownership or effective control of, or in the ownership of a substantial portion of the assets of, the Company for purposes of Code Section 409A.</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type w:val="continuous"/>
        </w:sectPr>
      </w:pPr>
    </w:p>
    <w:bookmarkStart w:id="101" w:name="page102"/>
    <w:bookmarkEnd w:id="101"/>
    <w:p>
      <w:pPr>
        <w:ind w:left="1960" w:hanging="655"/>
        <w:spacing w:after="0"/>
        <w:tabs>
          <w:tab w:leader="none" w:pos="1960" w:val="left"/>
        </w:tabs>
        <w:numPr>
          <w:ilvl w:val="0"/>
          <w:numId w:val="141"/>
        </w:numPr>
        <w:rPr>
          <w:rFonts w:ascii="Arial" w:cs="Arial" w:eastAsia="Arial" w:hAnsi="Arial"/>
          <w:sz w:val="22"/>
          <w:szCs w:val="22"/>
          <w:b w:val="1"/>
          <w:bCs w:val="1"/>
          <w:color w:val="auto"/>
        </w:rPr>
      </w:pPr>
      <w:r>
        <w:rPr>
          <w:rFonts w:ascii="Arial" w:cs="Arial" w:eastAsia="Arial" w:hAnsi="Arial"/>
          <w:sz w:val="22"/>
          <w:szCs w:val="22"/>
          <w:b w:val="1"/>
          <w:bCs w:val="1"/>
          <w:color w:val="auto"/>
        </w:rPr>
        <w:t>Restrictive Covenants</w:t>
      </w:r>
    </w:p>
    <w:p>
      <w:pPr>
        <w:spacing w:after="0" w:line="240"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By signing the Notice, the Grantee acknowledges that he or she has entered into a Restricted Covenant Agreement with the Company on or about the date hereof which supersedes any prior restrictive covenant agreements entered into by the Grantee and the Company (if any).</w:t>
      </w:r>
    </w:p>
    <w:p>
      <w:pPr>
        <w:spacing w:after="0" w:line="207" w:lineRule="exact"/>
        <w:rPr>
          <w:sz w:val="20"/>
          <w:szCs w:val="20"/>
          <w:color w:val="auto"/>
        </w:rPr>
      </w:pPr>
    </w:p>
    <w:p>
      <w:pPr>
        <w:ind w:left="1960" w:hanging="655"/>
        <w:spacing w:after="0"/>
        <w:tabs>
          <w:tab w:leader="none" w:pos="1960" w:val="left"/>
        </w:tabs>
        <w:numPr>
          <w:ilvl w:val="0"/>
          <w:numId w:val="142"/>
        </w:numPr>
        <w:rPr>
          <w:rFonts w:ascii="Arial" w:cs="Arial" w:eastAsia="Arial" w:hAnsi="Arial"/>
          <w:sz w:val="22"/>
          <w:szCs w:val="22"/>
          <w:b w:val="1"/>
          <w:bCs w:val="1"/>
          <w:color w:val="auto"/>
        </w:rPr>
      </w:pPr>
      <w:r>
        <w:rPr>
          <w:rFonts w:ascii="Arial" w:cs="Arial" w:eastAsia="Arial" w:hAnsi="Arial"/>
          <w:sz w:val="22"/>
          <w:szCs w:val="22"/>
          <w:b w:val="1"/>
          <w:bCs w:val="1"/>
          <w:color w:val="auto"/>
        </w:rPr>
        <w:t>Prohibited Activities</w:t>
      </w:r>
    </w:p>
    <w:p>
      <w:pPr>
        <w:spacing w:after="0" w:line="239" w:lineRule="exact"/>
        <w:rPr>
          <w:sz w:val="20"/>
          <w:szCs w:val="20"/>
          <w:color w:val="auto"/>
        </w:rPr>
      </w:pPr>
    </w:p>
    <w:p>
      <w:pPr>
        <w:jc w:val="both"/>
        <w:ind w:firstLine="1305"/>
        <w:spacing w:after="0" w:line="279" w:lineRule="auto"/>
        <w:tabs>
          <w:tab w:leader="none" w:pos="2116"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No Sale or Transfer</w:t>
      </w:r>
      <w:r>
        <w:rPr>
          <w:rFonts w:ascii="Arial" w:cs="Arial" w:eastAsia="Arial" w:hAnsi="Arial"/>
          <w:sz w:val="19"/>
          <w:szCs w:val="19"/>
          <w:color w:val="auto"/>
        </w:rPr>
        <w:t xml:space="preserve">. Unless otherwise required by law, the PRSUs shall not be (i) sold, transferred or otherwise disposed of, (ii) pledged or otherwise hypothecated or (iii) subject to attachment, execution or levy of any kind, other than by will or by the laws of descent or distribution;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transferred PRSUs will be 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177" w:lineRule="exact"/>
        <w:rPr>
          <w:rFonts w:ascii="Arial" w:cs="Arial" w:eastAsia="Arial" w:hAnsi="Arial"/>
          <w:sz w:val="19"/>
          <w:szCs w:val="19"/>
          <w:color w:val="auto"/>
        </w:rPr>
      </w:pPr>
    </w:p>
    <w:p>
      <w:pPr>
        <w:jc w:val="both"/>
        <w:ind w:firstLine="1305"/>
        <w:spacing w:after="0" w:line="270" w:lineRule="auto"/>
        <w:tabs>
          <w:tab w:leader="none" w:pos="2155"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Right to Terminate PRSUs and Recovery</w:t>
      </w:r>
      <w:r>
        <w:rPr>
          <w:rFonts w:ascii="Arial" w:cs="Arial" w:eastAsia="Arial" w:hAnsi="Arial"/>
          <w:sz w:val="19"/>
          <w:szCs w:val="19"/>
          <w:color w:val="auto"/>
        </w:rPr>
        <w:t>. The Grantee understands and agrees that the Company has granted the PRSUs to the Grantee to reward the Grantee for the Grantee’s future efforts and loyalty to the Company and its Affiliates by giving the Grantee the opportunity to participate in the potential future appreciation of the Company. Accordingly, if (a) the Grantee materially violates the Grantee’s obligations relating to the non-disclosure or non-use of confidential or proprietary information under any Restrictive Agreement to which the Grantee is a party, or (b) the Grantee materially breaches or violates the Grantee’s obligations relating to non-disparagement under any Restrictive Agreement to which the Grantee is a party, or (c) the Grantee engages in any activity prohibited by this Section 7 of this Award Agreement, or (d) the Grantee materially breaches or violates any non-solicitation obligations under any Restrictive Agreement to which the Grantee is a party, or (e) the Grantee is convicted of a felony against the Company or any of its Affiliates or (f) the Grantee breaches or violates any non-competition obligations under any Restrictive Agreement to which the Grantee is a party (as applicable), then, in addition to any other rights and remedies available to the Company, the Company shall be entitled, at its option, exercisable by written notice, to terminate the PRSUs (including the Vested PRSUs) without consideration, which shall be of no further force and effect. “</w:t>
      </w:r>
      <w:r>
        <w:rPr>
          <w:rFonts w:ascii="Arial" w:cs="Arial" w:eastAsia="Arial" w:hAnsi="Arial"/>
          <w:sz w:val="19"/>
          <w:szCs w:val="19"/>
          <w:u w:val="single" w:color="auto"/>
          <w:color w:val="auto"/>
        </w:rPr>
        <w:t>Restrictive Agreement</w:t>
      </w:r>
      <w:r>
        <w:rPr>
          <w:rFonts w:ascii="Arial" w:cs="Arial" w:eastAsia="Arial" w:hAnsi="Arial"/>
          <w:sz w:val="19"/>
          <w:szCs w:val="19"/>
          <w:color w:val="auto"/>
        </w:rPr>
        <w:t xml:space="preserve">” shall mean (i) for any Grantee who is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a resident of the State of California, any agreement between the Company or any Subsidiary and the Grantee that contains non-competition, non-solicitation, non-hire, non-disparagement, or confidentiality restrictions applicable to the Grantee and (ii) for any Grantee who is a resident of the State of California, any agreement between the Company or any Subsidiary and the Grantee that contains non-solicitation, non-hire, non-disparagement, or confidentiality restrictions applicable to the Grantee.</w:t>
      </w:r>
    </w:p>
    <w:p>
      <w:pPr>
        <w:spacing w:after="0" w:line="189" w:lineRule="exact"/>
        <w:rPr>
          <w:rFonts w:ascii="Arial" w:cs="Arial" w:eastAsia="Arial" w:hAnsi="Arial"/>
          <w:sz w:val="19"/>
          <w:szCs w:val="19"/>
          <w:color w:val="auto"/>
        </w:rPr>
      </w:pPr>
    </w:p>
    <w:p>
      <w:pPr>
        <w:jc w:val="both"/>
        <w:ind w:firstLine="1305"/>
        <w:spacing w:after="0" w:line="238" w:lineRule="auto"/>
        <w:tabs>
          <w:tab w:leader="none" w:pos="1981"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Other Remedies</w:t>
      </w:r>
      <w:r>
        <w:rPr>
          <w:rFonts w:ascii="Arial" w:cs="Arial" w:eastAsia="Arial" w:hAnsi="Arial"/>
          <w:sz w:val="22"/>
          <w:szCs w:val="22"/>
          <w:color w:val="auto"/>
        </w:rPr>
        <w:t>. The Grantee specifically acknowledges and agrees that its remedies under this Section 7 shall not prevent the Company or any Subsidiary from seeking injunctive or other equitable relief in connection with the Grantee’s breach of any Restrictive Agreement. In the event that the provisions of this Section 7 should ever be deemed to exceed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02" w:name="page103"/>
    <w:bookmarkEnd w:id="102"/>
    <w:p>
      <w:pPr>
        <w:spacing w:after="0" w:line="251" w:lineRule="auto"/>
        <w:rPr>
          <w:sz w:val="20"/>
          <w:szCs w:val="20"/>
          <w:color w:val="auto"/>
        </w:rPr>
      </w:pPr>
      <w:r>
        <w:rPr>
          <w:rFonts w:ascii="Arial" w:cs="Arial" w:eastAsia="Arial" w:hAnsi="Arial"/>
          <w:sz w:val="22"/>
          <w:szCs w:val="22"/>
          <w:color w:val="auto"/>
        </w:rPr>
        <w:t>the limitation provided by applicable law, then the Grantee and the Company agree that such provisions shall be reformed to set forth the maximum limitations permitted.</w:t>
      </w:r>
    </w:p>
    <w:p>
      <w:pPr>
        <w:spacing w:after="0" w:line="194" w:lineRule="exact"/>
        <w:rPr>
          <w:sz w:val="20"/>
          <w:szCs w:val="20"/>
          <w:color w:val="auto"/>
        </w:rPr>
      </w:pPr>
    </w:p>
    <w:p>
      <w:pPr>
        <w:ind w:left="1960" w:hanging="655"/>
        <w:spacing w:after="0"/>
        <w:tabs>
          <w:tab w:leader="none" w:pos="1960" w:val="left"/>
        </w:tabs>
        <w:numPr>
          <w:ilvl w:val="0"/>
          <w:numId w:val="144"/>
        </w:numPr>
        <w:rPr>
          <w:rFonts w:ascii="Arial" w:cs="Arial" w:eastAsia="Arial" w:hAnsi="Arial"/>
          <w:sz w:val="22"/>
          <w:szCs w:val="22"/>
          <w:b w:val="1"/>
          <w:bCs w:val="1"/>
          <w:color w:val="auto"/>
        </w:rPr>
      </w:pPr>
      <w:r>
        <w:rPr>
          <w:rFonts w:ascii="Arial" w:cs="Arial" w:eastAsia="Arial" w:hAnsi="Arial"/>
          <w:sz w:val="22"/>
          <w:szCs w:val="22"/>
          <w:b w:val="1"/>
          <w:bCs w:val="1"/>
          <w:color w:val="auto"/>
        </w:rPr>
        <w:t>No Rights as Stockholder</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Grantee shall have no rights as a stockholder with respect to the Shares covered by the PRSUs until the effective date of issuance of the Shares and the entry of the Grantee’s name as a shareholder of record on the books of the Company following delivery of the Shares in settlement of the PRSUs.</w:t>
      </w:r>
    </w:p>
    <w:p>
      <w:pPr>
        <w:spacing w:after="0" w:line="190" w:lineRule="exact"/>
        <w:rPr>
          <w:sz w:val="20"/>
          <w:szCs w:val="20"/>
          <w:color w:val="auto"/>
        </w:rPr>
      </w:pPr>
    </w:p>
    <w:p>
      <w:pPr>
        <w:ind w:left="1940" w:hanging="635"/>
        <w:spacing w:after="0"/>
        <w:tabs>
          <w:tab w:leader="none" w:pos="1940"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color w:val="auto"/>
        </w:rPr>
        <w:t>Withholding</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All payments made pursuant to this Award Agreement shall be subject to all applicable U.S. federal, state and local and applicable non-U.S. tax, social security and similar withholdings. The Grantee shall be solely responsible for the payment of all taxes relating to the payment or provision of any amounts or benefits hereunder. The Company shall have the right and is hereby authorized to withhold, any applicable withholding taxes in respect of the PRSUs, or any payment or transfer under, or with respect to, the PRSUs and to take such other action as may be necessary in the reasonable opinion of the Board to satisfy all obligations for the payment of such withholding taxes.</w:t>
      </w:r>
    </w:p>
    <w:p>
      <w:pPr>
        <w:spacing w:after="0" w:line="212" w:lineRule="exact"/>
        <w:rPr>
          <w:sz w:val="20"/>
          <w:szCs w:val="20"/>
          <w:color w:val="auto"/>
        </w:rPr>
      </w:pPr>
    </w:p>
    <w:p>
      <w:pPr>
        <w:ind w:left="1960" w:hanging="655"/>
        <w:spacing w:after="0"/>
        <w:tabs>
          <w:tab w:leader="none" w:pos="1960"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color w:val="auto"/>
        </w:rPr>
        <w:t>Securities Laws</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Upon the acquisition of any Shares pursuant to the settlement of the PRSUs, the Grantee will make such written representations, warranties, and agreements as the Committee may reasonably request in order to comply with securities laws or with this Award Agreement. The Grantee hereby agrees not to offer, sell or otherwise attempt to dispose of any Shares issued to the Grantee upon settlement of the PRSUs in any way which would: (x) require the Company to file any registration statement with the Securities and Exchange Commission (or any similar filing under state law or the laws of any other county) or to amend or supplement any such filing or (y) violate or cause the Company to violate the Securities Act of 1933, as amended, the Securities Exchange Act of 1934, as amended, the rules and regulations promulgated thereunder, or any other Federal, state or local law, or the laws of any other country. The Company reserves the right to place restrictions on any Shares the Grantee may receive as a result of the settlement of the PRSUs.</w:t>
      </w:r>
    </w:p>
    <w:p>
      <w:pPr>
        <w:spacing w:after="0" w:line="182" w:lineRule="exact"/>
        <w:rPr>
          <w:sz w:val="20"/>
          <w:szCs w:val="20"/>
          <w:color w:val="auto"/>
        </w:rPr>
      </w:pPr>
    </w:p>
    <w:p>
      <w:pPr>
        <w:ind w:left="1940" w:hanging="635"/>
        <w:spacing w:after="0"/>
        <w:tabs>
          <w:tab w:leader="none" w:pos="1940"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color w:val="auto"/>
        </w:rPr>
        <w:t>Modification, Amendment, and Termination of PRSUs</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Except as set forth in Section 13(b)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3" w:name="page104"/>
    <w:bookmarkEnd w:id="103"/>
    <w:p>
      <w:pPr>
        <w:ind w:left="1960" w:hanging="655"/>
        <w:spacing w:after="0"/>
        <w:tabs>
          <w:tab w:leader="none" w:pos="1960"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Unless otherwise provided herein, any notices or other communication given or made pursuant to the Notice, this Award Agreement or the Plan shall be in writing and shall be deemed to have been duly given (i) as of the date delivered, if personally delivered (including receipted courier service) or overnight delivery service, with confirmation of receipt; (ii) on the date of delivery by email to the address indicated or through an electronic administrative system designated by the Company; (iii) one (1) business day after being sent by reputable commercial overnight delivery service courier, with confirmation of receipt; or (iv) three (3) business days after being mailed by registered or certified mail, return receipt requested, postage prepaid and addressed to the intended recipient as set forth below:</w:t>
      </w:r>
    </w:p>
    <w:p>
      <w:pPr>
        <w:spacing w:after="0" w:line="207" w:lineRule="exact"/>
        <w:rPr>
          <w:sz w:val="20"/>
          <w:szCs w:val="20"/>
          <w:color w:val="auto"/>
        </w:rPr>
      </w:pPr>
    </w:p>
    <w:p>
      <w:pPr>
        <w:ind w:left="1980" w:hanging="675"/>
        <w:spacing w:after="0"/>
        <w:tabs>
          <w:tab w:leader="none" w:pos="198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If to the Company at the address below:</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Tradeweb Markets Inc.</w:t>
      </w:r>
    </w:p>
    <w:p>
      <w:pPr>
        <w:ind w:left="1960"/>
        <w:spacing w:after="0" w:line="238" w:lineRule="auto"/>
        <w:rPr>
          <w:sz w:val="20"/>
          <w:szCs w:val="20"/>
          <w:color w:val="auto"/>
        </w:rPr>
      </w:pPr>
      <w:r>
        <w:rPr>
          <w:rFonts w:ascii="Arial" w:cs="Arial" w:eastAsia="Arial" w:hAnsi="Arial"/>
          <w:sz w:val="22"/>
          <w:szCs w:val="22"/>
          <w:color w:val="auto"/>
        </w:rPr>
        <w:t>1177 Avenue of the Americas</w:t>
      </w:r>
    </w:p>
    <w:p>
      <w:pPr>
        <w:ind w:left="1960"/>
        <w:spacing w:after="0" w:line="230" w:lineRule="auto"/>
        <w:rPr>
          <w:sz w:val="20"/>
          <w:szCs w:val="20"/>
          <w:color w:val="auto"/>
        </w:rPr>
      </w:pPr>
      <w:r>
        <w:rPr>
          <w:rFonts w:ascii="Arial" w:cs="Arial" w:eastAsia="Arial" w:hAnsi="Arial"/>
          <w:sz w:val="22"/>
          <w:szCs w:val="22"/>
          <w:color w:val="auto"/>
        </w:rPr>
        <w:t>New York, New York 10036</w:t>
      </w:r>
    </w:p>
    <w:p>
      <w:pPr>
        <w:ind w:left="1960"/>
        <w:spacing w:after="0" w:line="231" w:lineRule="auto"/>
        <w:rPr>
          <w:sz w:val="20"/>
          <w:szCs w:val="20"/>
          <w:color w:val="auto"/>
        </w:rPr>
      </w:pPr>
      <w:r>
        <w:rPr>
          <w:rFonts w:ascii="Arial" w:cs="Arial" w:eastAsia="Arial" w:hAnsi="Arial"/>
          <w:sz w:val="22"/>
          <w:szCs w:val="22"/>
          <w:color w:val="auto"/>
        </w:rPr>
        <w:t>Attention: Douglas Friedman, General Counsel</w:t>
      </w:r>
    </w:p>
    <w:p>
      <w:pPr>
        <w:ind w:left="1960"/>
        <w:spacing w:after="0"/>
        <w:rPr>
          <w:sz w:val="20"/>
          <w:szCs w:val="20"/>
          <w:color w:val="auto"/>
        </w:rPr>
      </w:pPr>
      <w:r>
        <w:rPr>
          <w:rFonts w:ascii="Arial" w:cs="Arial" w:eastAsia="Arial" w:hAnsi="Arial"/>
          <w:sz w:val="22"/>
          <w:szCs w:val="22"/>
          <w:color w:val="auto"/>
        </w:rPr>
        <w:t>Email: Douglas.Friedman@tradeweb.com</w:t>
      </w:r>
    </w:p>
    <w:p>
      <w:pPr>
        <w:spacing w:after="0" w:line="215" w:lineRule="exact"/>
        <w:rPr>
          <w:sz w:val="20"/>
          <w:szCs w:val="20"/>
          <w:color w:val="auto"/>
        </w:rPr>
      </w:pPr>
    </w:p>
    <w:p>
      <w:pPr>
        <w:ind w:left="1980" w:hanging="675"/>
        <w:spacing w:after="0"/>
        <w:tabs>
          <w:tab w:leader="none" w:pos="198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If to the Grantee, at the most recent address or email contained in the Company’s records.</w:t>
      </w:r>
    </w:p>
    <w:p>
      <w:pPr>
        <w:spacing w:after="0" w:line="262" w:lineRule="exact"/>
        <w:rPr>
          <w:sz w:val="20"/>
          <w:szCs w:val="20"/>
          <w:color w:val="auto"/>
        </w:rPr>
      </w:pPr>
    </w:p>
    <w:p>
      <w:pPr>
        <w:ind w:left="1940" w:hanging="635"/>
        <w:spacing w:after="0"/>
        <w:tabs>
          <w:tab w:leader="none" w:pos="1940" w:val="left"/>
        </w:tabs>
        <w:numPr>
          <w:ilvl w:val="0"/>
          <w:numId w:val="151"/>
        </w:numPr>
        <w:rPr>
          <w:rFonts w:ascii="Arial" w:cs="Arial" w:eastAsia="Arial" w:hAnsi="Arial"/>
          <w:sz w:val="22"/>
          <w:szCs w:val="22"/>
          <w:b w:val="1"/>
          <w:bCs w:val="1"/>
          <w:color w:val="auto"/>
        </w:rPr>
      </w:pPr>
      <w:r>
        <w:rPr>
          <w:rFonts w:ascii="Arial" w:cs="Arial" w:eastAsia="Arial" w:hAnsi="Arial"/>
          <w:sz w:val="22"/>
          <w:szCs w:val="22"/>
          <w:b w:val="1"/>
          <w:bCs w:val="1"/>
          <w:color w:val="auto"/>
        </w:rPr>
        <w:t>Award Agreement Subject to Plan and Applicable Law</w:t>
      </w:r>
    </w:p>
    <w:p>
      <w:pPr>
        <w:spacing w:after="0" w:line="239" w:lineRule="exact"/>
        <w:rPr>
          <w:sz w:val="20"/>
          <w:szCs w:val="20"/>
          <w:color w:val="auto"/>
        </w:rPr>
      </w:pPr>
    </w:p>
    <w:p>
      <w:pPr>
        <w:jc w:val="both"/>
        <w:ind w:firstLine="1305"/>
        <w:spacing w:after="0" w:line="246" w:lineRule="auto"/>
        <w:tabs>
          <w:tab w:leader="none" w:pos="2072" w:val="left"/>
        </w:tabs>
        <w:numPr>
          <w:ilvl w:val="0"/>
          <w:numId w:val="152"/>
        </w:numPr>
        <w:rPr>
          <w:rFonts w:ascii="Arial" w:cs="Arial" w:eastAsia="Arial" w:hAnsi="Arial"/>
          <w:sz w:val="21"/>
          <w:szCs w:val="21"/>
          <w:color w:val="auto"/>
        </w:rPr>
      </w:pPr>
      <w:r>
        <w:rPr>
          <w:rFonts w:ascii="Arial" w:cs="Arial" w:eastAsia="Arial" w:hAnsi="Arial"/>
          <w:sz w:val="21"/>
          <w:szCs w:val="21"/>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211" w:lineRule="exact"/>
        <w:rPr>
          <w:rFonts w:ascii="Arial" w:cs="Arial" w:eastAsia="Arial" w:hAnsi="Arial"/>
          <w:sz w:val="21"/>
          <w:szCs w:val="21"/>
          <w:color w:val="auto"/>
        </w:rPr>
      </w:pPr>
    </w:p>
    <w:p>
      <w:pPr>
        <w:jc w:val="both"/>
        <w:ind w:firstLine="1305"/>
        <w:spacing w:after="0" w:line="249" w:lineRule="auto"/>
        <w:tabs>
          <w:tab w:leader="none" w:pos="1988" w:val="left"/>
        </w:tabs>
        <w:numPr>
          <w:ilvl w:val="0"/>
          <w:numId w:val="152"/>
        </w:numPr>
        <w:rPr>
          <w:rFonts w:ascii="Arial" w:cs="Arial" w:eastAsia="Arial" w:hAnsi="Arial"/>
          <w:sz w:val="21"/>
          <w:szCs w:val="21"/>
          <w:color w:val="auto"/>
        </w:rPr>
      </w:pPr>
      <w:r>
        <w:rPr>
          <w:rFonts w:ascii="Arial" w:cs="Arial" w:eastAsia="Arial" w:hAnsi="Arial"/>
          <w:sz w:val="21"/>
          <w:szCs w:val="21"/>
          <w:color w:val="auto"/>
        </w:rPr>
        <w:t>For the avoidance of doubt, with respect to any Grantee resident outside of the U.S., if the application of the vesting provisions as set forth in Section 3 hereof are invalid or impracticable under applicable local law, the terms of Section 3 hereof shall either be amended or be deemed not to apply to such Grantee, as determined in the sole discretion of the Committee. All determinations made and actions taken with respect to this Section 13(b) shall be made in the sole discretion of the Committee.</w:t>
      </w:r>
    </w:p>
    <w:p>
      <w:pPr>
        <w:spacing w:after="0" w:line="205" w:lineRule="exact"/>
        <w:rPr>
          <w:rFonts w:ascii="Arial" w:cs="Arial" w:eastAsia="Arial" w:hAnsi="Arial"/>
          <w:sz w:val="21"/>
          <w:szCs w:val="21"/>
          <w:color w:val="auto"/>
        </w:rPr>
      </w:pPr>
    </w:p>
    <w:p>
      <w:pPr>
        <w:jc w:val="both"/>
        <w:ind w:firstLine="1305"/>
        <w:spacing w:after="0" w:line="238" w:lineRule="auto"/>
        <w:tabs>
          <w:tab w:leader="none" w:pos="205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04" w:name="page105"/>
    <w:bookmarkEnd w:id="104"/>
    <w:p>
      <w:pPr>
        <w:ind w:left="1960" w:hanging="655"/>
        <w:spacing w:after="0"/>
        <w:tabs>
          <w:tab w:leader="none" w:pos="1960" w:val="left"/>
        </w:tabs>
        <w:numPr>
          <w:ilvl w:val="0"/>
          <w:numId w:val="153"/>
        </w:numPr>
        <w:rPr>
          <w:rFonts w:ascii="Arial" w:cs="Arial" w:eastAsia="Arial" w:hAnsi="Arial"/>
          <w:sz w:val="22"/>
          <w:szCs w:val="22"/>
          <w:b w:val="1"/>
          <w:bCs w:val="1"/>
          <w:color w:val="auto"/>
        </w:rPr>
      </w:pPr>
      <w:r>
        <w:rPr>
          <w:rFonts w:ascii="Arial" w:cs="Arial" w:eastAsia="Arial" w:hAnsi="Arial"/>
          <w:sz w:val="22"/>
          <w:szCs w:val="22"/>
          <w:b w:val="1"/>
          <w:bCs w:val="1"/>
          <w:color w:val="auto"/>
        </w:rPr>
        <w:t>Section 409A</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PRSUs are intended to be compliant with Section 409A of the Code and, accordingly, to the maximum extent permitted, this Award Agreement shall be interpreted in a manner consistent therewith. Nothing contained herein shall constitute any representation or warranty by the Company regarding compliance 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w:t>
      </w:r>
    </w:p>
    <w:p>
      <w:pPr>
        <w:spacing w:after="0" w:line="205" w:lineRule="exact"/>
        <w:rPr>
          <w:sz w:val="20"/>
          <w:szCs w:val="20"/>
          <w:color w:val="auto"/>
        </w:rPr>
      </w:pPr>
    </w:p>
    <w:p>
      <w:pPr>
        <w:ind w:left="1960" w:hanging="655"/>
        <w:spacing w:after="0"/>
        <w:tabs>
          <w:tab w:leader="none" w:pos="196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Headings and Capitalized Terms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pacing w:after="0" w:line="206" w:lineRule="exact"/>
        <w:rPr>
          <w:sz w:val="20"/>
          <w:szCs w:val="20"/>
          <w:color w:val="auto"/>
        </w:rPr>
      </w:pPr>
    </w:p>
    <w:p>
      <w:pPr>
        <w:ind w:left="1960" w:hanging="655"/>
        <w:spacing w:after="0"/>
        <w:tabs>
          <w:tab w:leader="none" w:pos="1960"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 and Reformation</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 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168" w:lineRule="exact"/>
        <w:rPr>
          <w:sz w:val="20"/>
          <w:szCs w:val="20"/>
          <w:color w:val="auto"/>
        </w:rPr>
      </w:pPr>
    </w:p>
    <w:p>
      <w:pPr>
        <w:ind w:left="1960" w:hanging="655"/>
        <w:spacing w:after="0"/>
        <w:tabs>
          <w:tab w:leader="none" w:pos="1960"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color w:val="auto"/>
        </w:rPr>
        <w:t>Binding Effect</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This Award Agreement shall be binding upon the parties hereto, together with their personal executors, administrator, successors, personal representatives, heirs and permitted assigns.</w:t>
      </w:r>
    </w:p>
    <w:p>
      <w:pPr>
        <w:spacing w:after="0" w:line="196" w:lineRule="exact"/>
        <w:rPr>
          <w:sz w:val="20"/>
          <w:szCs w:val="20"/>
          <w:color w:val="auto"/>
        </w:rPr>
      </w:pPr>
    </w:p>
    <w:p>
      <w:pPr>
        <w:ind w:left="1960" w:hanging="655"/>
        <w:spacing w:after="0"/>
        <w:tabs>
          <w:tab w:leader="none" w:pos="1960" w:val="left"/>
        </w:tabs>
        <w:numPr>
          <w:ilvl w:val="0"/>
          <w:numId w:val="157"/>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206" w:lineRule="exact"/>
        <w:rPr>
          <w:sz w:val="20"/>
          <w:szCs w:val="20"/>
          <w:color w:val="auto"/>
        </w:rPr>
      </w:pPr>
    </w:p>
    <w:p>
      <w:pPr>
        <w:ind w:left="1940" w:hanging="635"/>
        <w:spacing w:after="0"/>
        <w:tabs>
          <w:tab w:leader="none" w:pos="1940"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color w:val="auto"/>
        </w:rPr>
        <w:t>Waiver</w:t>
      </w:r>
    </w:p>
    <w:p>
      <w:pPr>
        <w:spacing w:after="0" w:line="239"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05" w:name="page106"/>
    <w:bookmarkEnd w:id="105"/>
    <w:p>
      <w:pPr>
        <w:spacing w:after="0" w:line="251" w:lineRule="auto"/>
        <w:rPr>
          <w:sz w:val="20"/>
          <w:szCs w:val="20"/>
          <w:color w:val="auto"/>
        </w:rPr>
      </w:pPr>
      <w:r>
        <w:rPr>
          <w:rFonts w:ascii="Arial" w:cs="Arial" w:eastAsia="Arial" w:hAnsi="Arial"/>
          <w:sz w:val="22"/>
          <w:szCs w:val="22"/>
          <w:color w:val="auto"/>
        </w:rPr>
        <w:t>exercise any such right shall not deprive the party of the right to take action at any time while or after such breach or condition giving rise to such rights continues.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6" w:name="page107"/>
    <w:bookmarkEnd w:id="106"/>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Lee Olesky, certify that:</w:t>
      </w:r>
    </w:p>
    <w:p>
      <w:pPr>
        <w:spacing w:after="0" w:line="171" w:lineRule="exact"/>
        <w:rPr>
          <w:sz w:val="20"/>
          <w:szCs w:val="20"/>
          <w:color w:val="auto"/>
        </w:rPr>
      </w:pPr>
    </w:p>
    <w:p>
      <w:pPr>
        <w:ind w:left="360" w:right="179" w:hanging="316"/>
        <w:spacing w:after="0" w:line="277" w:lineRule="auto"/>
        <w:tabs>
          <w:tab w:leader="none" w:pos="37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March 31, 2020 of Tradeweb Markets Inc.;</w:t>
      </w:r>
    </w:p>
    <w:p>
      <w:pPr>
        <w:spacing w:after="0" w:line="116" w:lineRule="exact"/>
        <w:rPr>
          <w:rFonts w:ascii="Arial" w:cs="Arial" w:eastAsia="Arial" w:hAnsi="Arial"/>
          <w:sz w:val="18"/>
          <w:szCs w:val="18"/>
          <w:color w:val="auto"/>
        </w:rPr>
      </w:pPr>
    </w:p>
    <w:p>
      <w:pPr>
        <w:jc w:val="both"/>
        <w:ind w:left="360" w:right="99" w:hanging="316"/>
        <w:spacing w:after="0" w:line="263" w:lineRule="auto"/>
        <w:tabs>
          <w:tab w:leader="none" w:pos="37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60" w:right="59" w:hanging="316"/>
        <w:spacing w:after="0" w:line="263" w:lineRule="auto"/>
        <w:tabs>
          <w:tab w:leader="none" w:pos="37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360" w:right="219" w:hanging="316"/>
        <w:spacing w:after="0" w:line="308" w:lineRule="auto"/>
        <w:tabs>
          <w:tab w:leader="none" w:pos="378"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1" w:lineRule="exact"/>
        <w:rPr>
          <w:rFonts w:ascii="Arial" w:cs="Arial" w:eastAsia="Arial" w:hAnsi="Arial"/>
          <w:sz w:val="17"/>
          <w:szCs w:val="17"/>
          <w:color w:val="auto"/>
        </w:rPr>
      </w:pPr>
    </w:p>
    <w:p>
      <w:pPr>
        <w:ind w:left="700" w:right="339" w:hanging="319"/>
        <w:spacing w:after="0" w:line="259" w:lineRule="auto"/>
        <w:tabs>
          <w:tab w:leader="none" w:pos="70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720" w:hanging="339"/>
        <w:spacing w:after="0"/>
        <w:tabs>
          <w:tab w:leader="none" w:pos="7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90" w:lineRule="exact"/>
        <w:rPr>
          <w:rFonts w:ascii="Arial" w:cs="Arial" w:eastAsia="Arial" w:hAnsi="Arial"/>
          <w:sz w:val="18"/>
          <w:szCs w:val="18"/>
          <w:color w:val="auto"/>
        </w:rPr>
      </w:pPr>
    </w:p>
    <w:p>
      <w:pPr>
        <w:jc w:val="both"/>
        <w:ind w:left="700" w:right="199" w:hanging="319"/>
        <w:spacing w:after="0" w:line="263" w:lineRule="auto"/>
        <w:tabs>
          <w:tab w:leader="none" w:pos="70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ind w:left="700" w:right="79" w:hanging="319"/>
        <w:spacing w:after="0" w:line="259" w:lineRule="auto"/>
        <w:tabs>
          <w:tab w:leader="none" w:pos="71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jc w:val="both"/>
        <w:ind w:left="360" w:right="299" w:hanging="316"/>
        <w:spacing w:after="0" w:line="263" w:lineRule="auto"/>
        <w:tabs>
          <w:tab w:leader="none" w:pos="37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8"/>
          <w:szCs w:val="18"/>
          <w:color w:val="auto"/>
        </w:rPr>
      </w:pPr>
    </w:p>
    <w:p>
      <w:pPr>
        <w:ind w:left="700" w:right="139" w:hanging="319"/>
        <w:spacing w:after="0" w:line="263" w:lineRule="auto"/>
        <w:tabs>
          <w:tab w:leader="none" w:pos="70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700" w:right="199" w:hanging="319"/>
        <w:spacing w:after="0" w:line="277" w:lineRule="auto"/>
        <w:tabs>
          <w:tab w:leader="none" w:pos="71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May 12, 2020</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Lee Olesky</w:t>
            </w:r>
          </w:p>
        </w:tc>
      </w:tr>
      <w:tr>
        <w:trPr>
          <w:trHeight w:val="195"/>
        </w:trPr>
        <w:tc>
          <w:tcPr>
            <w:tcW w:w="446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Lee Olesky</w:t>
            </w:r>
          </w:p>
        </w:tc>
      </w:tr>
      <w:tr>
        <w:trPr>
          <w:trHeight w:val="230"/>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776"/>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7" w:name="page108"/>
    <w:bookmarkEnd w:id="107"/>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38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171"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Robert Warshaw, certify that:</w:t>
      </w:r>
    </w:p>
    <w:p>
      <w:pPr>
        <w:spacing w:after="0" w:line="171" w:lineRule="exact"/>
        <w:rPr>
          <w:sz w:val="20"/>
          <w:szCs w:val="20"/>
          <w:color w:val="auto"/>
        </w:rPr>
      </w:pPr>
    </w:p>
    <w:p>
      <w:pPr>
        <w:ind w:left="360" w:right="179" w:hanging="316"/>
        <w:spacing w:after="0" w:line="277" w:lineRule="auto"/>
        <w:tabs>
          <w:tab w:leader="none" w:pos="37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March 31, 2020 of Tradeweb Markets Inc.;</w:t>
      </w:r>
    </w:p>
    <w:p>
      <w:pPr>
        <w:spacing w:after="0" w:line="116" w:lineRule="exact"/>
        <w:rPr>
          <w:rFonts w:ascii="Arial" w:cs="Arial" w:eastAsia="Arial" w:hAnsi="Arial"/>
          <w:sz w:val="18"/>
          <w:szCs w:val="18"/>
          <w:color w:val="auto"/>
        </w:rPr>
      </w:pPr>
    </w:p>
    <w:p>
      <w:pPr>
        <w:jc w:val="both"/>
        <w:ind w:left="360" w:right="99" w:hanging="316"/>
        <w:spacing w:after="0" w:line="263" w:lineRule="auto"/>
        <w:tabs>
          <w:tab w:leader="none" w:pos="37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60" w:right="59" w:hanging="316"/>
        <w:spacing w:after="0" w:line="263" w:lineRule="auto"/>
        <w:tabs>
          <w:tab w:leader="none" w:pos="37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360" w:right="219" w:hanging="316"/>
        <w:spacing w:after="0" w:line="308" w:lineRule="auto"/>
        <w:tabs>
          <w:tab w:leader="none" w:pos="37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1" w:lineRule="exact"/>
        <w:rPr>
          <w:rFonts w:ascii="Arial" w:cs="Arial" w:eastAsia="Arial" w:hAnsi="Arial"/>
          <w:sz w:val="17"/>
          <w:szCs w:val="17"/>
          <w:color w:val="auto"/>
        </w:rPr>
      </w:pPr>
    </w:p>
    <w:p>
      <w:pPr>
        <w:ind w:left="700" w:right="339" w:hanging="319"/>
        <w:spacing w:after="0" w:line="259" w:lineRule="auto"/>
        <w:tabs>
          <w:tab w:leader="none" w:pos="70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720" w:hanging="339"/>
        <w:spacing w:after="0"/>
        <w:tabs>
          <w:tab w:leader="none" w:pos="7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90" w:lineRule="exact"/>
        <w:rPr>
          <w:rFonts w:ascii="Arial" w:cs="Arial" w:eastAsia="Arial" w:hAnsi="Arial"/>
          <w:sz w:val="18"/>
          <w:szCs w:val="18"/>
          <w:color w:val="auto"/>
        </w:rPr>
      </w:pPr>
    </w:p>
    <w:p>
      <w:pPr>
        <w:jc w:val="both"/>
        <w:ind w:left="700" w:right="199" w:hanging="319"/>
        <w:spacing w:after="0" w:line="263" w:lineRule="auto"/>
        <w:tabs>
          <w:tab w:leader="none" w:pos="70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ind w:left="700" w:right="79" w:hanging="319"/>
        <w:spacing w:after="0" w:line="259" w:lineRule="auto"/>
        <w:tabs>
          <w:tab w:leader="none" w:pos="71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jc w:val="both"/>
        <w:ind w:left="360" w:right="299" w:hanging="316"/>
        <w:spacing w:after="0" w:line="263" w:lineRule="auto"/>
        <w:tabs>
          <w:tab w:leader="none" w:pos="37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8"/>
          <w:szCs w:val="18"/>
          <w:color w:val="auto"/>
        </w:rPr>
      </w:pPr>
    </w:p>
    <w:p>
      <w:pPr>
        <w:ind w:left="700" w:right="139" w:hanging="319"/>
        <w:spacing w:after="0" w:line="263" w:lineRule="auto"/>
        <w:tabs>
          <w:tab w:leader="none" w:pos="70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700" w:right="199" w:hanging="319"/>
        <w:spacing w:after="0" w:line="277" w:lineRule="auto"/>
        <w:tabs>
          <w:tab w:leader="none" w:pos="71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May 12, 2020</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Warshaw</w:t>
            </w:r>
          </w:p>
        </w:tc>
      </w:tr>
      <w:tr>
        <w:trPr>
          <w:trHeight w:val="195"/>
        </w:trPr>
        <w:tc>
          <w:tcPr>
            <w:tcW w:w="446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Robert Warshaw</w:t>
            </w:r>
          </w:p>
        </w:tc>
      </w:tr>
      <w:tr>
        <w:trPr>
          <w:trHeight w:val="230"/>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6"/>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8" w:name="page109"/>
    <w:bookmarkEnd w:id="108"/>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In connection with the Quarterly Report on Form 10-Q of Tradeweb Markets Inc. (the “Company”) for the fiscal quarter ended March 31, 2020, as filed with the Securities and Exchange Commission on the date hereof (the “Report”), Lee Olesky, Chief Executive Officer of the Company, hereby certifies, pursuant to 18 U.S.C. Section 1350, as adopted pursuant to Section 906 of the Sarbanes-Oxley Act of 2002, that, to his knowledge:</w:t>
      </w:r>
    </w:p>
    <w:p>
      <w:pPr>
        <w:spacing w:after="0" w:line="52" w:lineRule="exact"/>
        <w:rPr>
          <w:sz w:val="20"/>
          <w:szCs w:val="20"/>
          <w:color w:val="auto"/>
        </w:rPr>
      </w:pPr>
    </w:p>
    <w:p>
      <w:pPr>
        <w:ind w:left="860" w:right="499" w:hanging="447"/>
        <w:spacing w:after="0" w:line="277" w:lineRule="auto"/>
        <w:tabs>
          <w:tab w:leader="none" w:pos="89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35" w:lineRule="exact"/>
        <w:rPr>
          <w:rFonts w:ascii="Arial" w:cs="Arial" w:eastAsia="Arial" w:hAnsi="Arial"/>
          <w:sz w:val="18"/>
          <w:szCs w:val="18"/>
          <w:color w:val="auto"/>
        </w:rPr>
      </w:pPr>
    </w:p>
    <w:p>
      <w:pPr>
        <w:ind w:left="860" w:right="419" w:hanging="447"/>
        <w:spacing w:after="0" w:line="277" w:lineRule="auto"/>
        <w:tabs>
          <w:tab w:leader="none" w:pos="89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May 12, 2020</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Lee Olesky</w:t>
            </w:r>
          </w:p>
        </w:tc>
      </w:tr>
      <w:tr>
        <w:trPr>
          <w:trHeight w:val="195"/>
        </w:trPr>
        <w:tc>
          <w:tcPr>
            <w:tcW w:w="446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Lee Olesky</w:t>
            </w:r>
          </w:p>
        </w:tc>
      </w:tr>
      <w:tr>
        <w:trPr>
          <w:trHeight w:val="230"/>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776"/>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9" w:name="page110"/>
    <w:bookmarkEnd w:id="109"/>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ind w:left="40" w:right="319"/>
        <w:spacing w:after="0" w:line="279" w:lineRule="auto"/>
        <w:rPr>
          <w:sz w:val="20"/>
          <w:szCs w:val="20"/>
          <w:color w:val="auto"/>
        </w:rPr>
      </w:pPr>
      <w:r>
        <w:rPr>
          <w:rFonts w:ascii="Arial" w:cs="Arial" w:eastAsia="Arial" w:hAnsi="Arial"/>
          <w:sz w:val="17"/>
          <w:szCs w:val="17"/>
          <w:color w:val="auto"/>
        </w:rPr>
        <w:t>In connection with the Quarterly Report on Form 10-Q of Tradeweb Markets Inc. (the “Company”) for the fiscal quarter ended March 31, 2020 as filed with the Securities and Exchange Commission on the date hereof (the “Report”), Robert Warshaw, Chief Financial Officer of the Company, hereby certifies, pursuant to 18 U.S.C. Section 1350, as adopted pursuant to Section 906 of the Sarbanes-Oxley Act of 2002, that, to his knowledge:</w:t>
      </w:r>
    </w:p>
    <w:p>
      <w:pPr>
        <w:spacing w:after="0" w:line="36" w:lineRule="exact"/>
        <w:rPr>
          <w:sz w:val="20"/>
          <w:szCs w:val="20"/>
          <w:color w:val="auto"/>
        </w:rPr>
      </w:pPr>
    </w:p>
    <w:p>
      <w:pPr>
        <w:ind w:left="860" w:right="499" w:hanging="447"/>
        <w:spacing w:after="0" w:line="277" w:lineRule="auto"/>
        <w:tabs>
          <w:tab w:leader="none" w:pos="89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35" w:lineRule="exact"/>
        <w:rPr>
          <w:rFonts w:ascii="Arial" w:cs="Arial" w:eastAsia="Arial" w:hAnsi="Arial"/>
          <w:sz w:val="18"/>
          <w:szCs w:val="18"/>
          <w:color w:val="auto"/>
        </w:rPr>
      </w:pPr>
    </w:p>
    <w:p>
      <w:pPr>
        <w:ind w:left="860" w:right="419" w:hanging="447"/>
        <w:spacing w:after="0" w:line="277" w:lineRule="auto"/>
        <w:tabs>
          <w:tab w:leader="none" w:pos="89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May 12, 2020</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Warshaw</w:t>
            </w:r>
          </w:p>
        </w:tc>
      </w:tr>
      <w:tr>
        <w:trPr>
          <w:trHeight w:val="195"/>
        </w:trPr>
        <w:tc>
          <w:tcPr>
            <w:tcW w:w="446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Robert Warshaw</w:t>
            </w:r>
          </w:p>
        </w:tc>
      </w:tr>
      <w:tr>
        <w:trPr>
          <w:trHeight w:val="230"/>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6"/>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
      <w:numFmt w:val="bullet"/>
      <w:start w:val="1"/>
    </w:lvl>
  </w:abstractNum>
  <w:abstractNum w:abstractNumId="5">
    <w:nsid w:val="100F59DC"/>
    <w:multiLevelType w:val="hybridMultilevel"/>
    <w:lvl w:ilvl="0">
      <w:lvlJc w:val="left"/>
      <w:lvlText w:val="(%1)"/>
      <w:numFmt w:val="decimal"/>
      <w:start w:val="1"/>
    </w:lvl>
    <w:lvl w:ilvl="1">
      <w:lvlJc w:val="left"/>
      <w:lvlText w:val="%2)"/>
      <w:numFmt w:val="lowerLetter"/>
      <w:start w:val="1"/>
    </w:lvl>
  </w:abstractNum>
  <w:abstractNum w:abstractNumId="6">
    <w:nsid w:val="7FB7E0AA"/>
    <w:multiLevelType w:val="hybridMultilevel"/>
    <w:lvl w:ilvl="0">
      <w:lvlJc w:val="left"/>
      <w:lvlText w:val="%1."/>
      <w:numFmt w:val="decimal"/>
      <w:start w:val="1"/>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1)"/>
      <w:numFmt w:val="lowerRoman"/>
      <w:start w:val="3"/>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1."/>
      <w:numFmt w:val="decimal"/>
      <w:start w:val="2"/>
    </w:lvl>
  </w:abstractNum>
  <w:abstractNum w:abstractNumId="13">
    <w:nsid w:val="1716703B"/>
    <w:multiLevelType w:val="hybridMultilevel"/>
    <w:lvl w:ilvl="0">
      <w:lvlJc w:val="left"/>
      <w:lvlText w:val="%1."/>
      <w:numFmt w:val="decimal"/>
      <w:start w:val="360"/>
    </w:lvl>
  </w:abstractNum>
  <w:abstractNum w:abstractNumId="14">
    <w:nsid w:val="14E17E33"/>
    <w:multiLevelType w:val="hybridMultilevel"/>
    <w:lvl w:ilvl="0">
      <w:lvlJc w:val="left"/>
      <w:lvlText w:val="(%1)"/>
      <w:numFmt w:val="lowerRoman"/>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1"/>
      <w:numFmt w:val="decimal"/>
      <w:start w:val="1"/>
    </w:lvl>
    <w:lvl w:ilvl="1">
      <w:lvlJc w:val="left"/>
      <w:lvlText w:val="·"/>
      <w:numFmt w:val="bullet"/>
      <w:start w:val="1"/>
    </w:lvl>
    <w:lvl w:ilvl="2">
      <w:lvlJc w:val="left"/>
      <w:lvlText w:val="%3."/>
      <w:numFmt w:val="lowerRoman"/>
      <w:start w:val="1"/>
    </w:lvl>
  </w:abstractNum>
  <w:abstractNum w:abstractNumId="17">
    <w:nsid w:val="68EBC550"/>
    <w:multiLevelType w:val="hybridMultilevel"/>
    <w:lvl w:ilvl="0">
      <w:lvlJc w:val="left"/>
      <w:lvlText w:val="%1."/>
      <w:numFmt w:val="decimal"/>
      <w:start w:val="3"/>
    </w:lvl>
    <w:lvl w:ilvl="1">
      <w:lvlJc w:val="left"/>
      <w:lvlText w:val="·"/>
      <w:numFmt w:val="bullet"/>
      <w:start w:val="1"/>
    </w:lvl>
    <w:lvl w:ilvl="2">
      <w:lvlJc w:val="left"/>
      <w:lvlText w:val="%3"/>
      <w:numFmt w:val="lowerRoman"/>
      <w:start w:val="1"/>
    </w:lvl>
  </w:abstractNum>
  <w:abstractNum w:abstractNumId="18">
    <w:nsid w:val="2DF6D648"/>
    <w:multiLevelType w:val="hybridMultilevel"/>
    <w:lvl w:ilvl="0">
      <w:lvlJc w:val="left"/>
      <w:lvlText w:val="%1."/>
      <w:numFmt w:val="decimal"/>
      <w:start w:val="4"/>
    </w:lvl>
  </w:abstractNum>
  <w:abstractNum w:abstractNumId="19">
    <w:nsid w:val="46B7D447"/>
    <w:multiLevelType w:val="hybridMultilevel"/>
    <w:lvl w:ilvl="0">
      <w:lvlJc w:val="left"/>
      <w:lvlText w:val="%1."/>
      <w:numFmt w:val="decimal"/>
      <w:start w:val="5"/>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1."/>
      <w:numFmt w:val="decimal"/>
      <w:start w:val="6"/>
    </w:lvl>
  </w:abstractNum>
  <w:abstractNum w:abstractNumId="22">
    <w:nsid w:val="57FC4FBB"/>
    <w:multiLevelType w:val="hybridMultilevel"/>
    <w:lvl w:ilvl="0">
      <w:lvlJc w:val="left"/>
      <w:lvlText w:val="%1."/>
      <w:numFmt w:val="decimal"/>
      <w:start w:val="7"/>
    </w:lvl>
  </w:abstractNum>
  <w:abstractNum w:abstractNumId="23">
    <w:nsid w:val="CC1016F"/>
    <w:multiLevelType w:val="hybridMultilevel"/>
    <w:lvl w:ilvl="0">
      <w:lvlJc w:val="left"/>
      <w:lvlText w:val="%1."/>
      <w:numFmt w:val="decimal"/>
      <w:start w:val="8"/>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1."/>
      <w:numFmt w:val="decimal"/>
      <w:start w:val="9"/>
    </w:lvl>
  </w:abstractNum>
  <w:abstractNum w:abstractNumId="27">
    <w:nsid w:val="7F01579B"/>
    <w:multiLevelType w:val="hybridMultilevel"/>
    <w:lvl w:ilvl="0">
      <w:lvlJc w:val="left"/>
      <w:lvlText w:val="%1."/>
      <w:numFmt w:val="decimal"/>
      <w:start w:val="10"/>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1."/>
      <w:numFmt w:val="decimal"/>
      <w:start w:val="11"/>
    </w:lvl>
  </w:abstractNum>
  <w:abstractNum w:abstractNumId="31">
    <w:nsid w:val="50801EE1"/>
    <w:multiLevelType w:val="hybridMultilevel"/>
    <w:lvl w:ilvl="0">
      <w:lvlJc w:val="left"/>
      <w:lvlText w:val="(%1)"/>
      <w:numFmt w:val="decimal"/>
      <w:start w:val="1"/>
    </w:lvl>
  </w:abstractNum>
  <w:abstractNum w:abstractNumId="32">
    <w:nsid w:val="488AC1A"/>
    <w:multiLevelType w:val="hybridMultilevel"/>
    <w:lvl w:ilvl="0">
      <w:lvlJc w:val="left"/>
      <w:lvlText w:val="%1."/>
      <w:numFmt w:val="decimal"/>
      <w:start w:val="12"/>
    </w:lvl>
  </w:abstractNum>
  <w:abstractNum w:abstractNumId="33">
    <w:nsid w:val="5FB8011C"/>
    <w:multiLevelType w:val="hybridMultilevel"/>
    <w:lvl w:ilvl="0">
      <w:lvlJc w:val="left"/>
      <w:lvlText w:val="%1."/>
      <w:numFmt w:val="decimal"/>
      <w:start w:val="13"/>
    </w:lvl>
  </w:abstractNum>
  <w:abstractNum w:abstractNumId="34">
    <w:nsid w:val="6AA78F7F"/>
    <w:multiLevelType w:val="hybridMultilevel"/>
    <w:lvl w:ilvl="0">
      <w:lvlJc w:val="left"/>
      <w:lvlText w:val="%1."/>
      <w:numFmt w:val="decimal"/>
      <w:start w:val="1"/>
    </w:lvl>
  </w:abstractNum>
  <w:abstractNum w:abstractNumId="35">
    <w:nsid w:val="7672BD23"/>
    <w:multiLevelType w:val="hybridMultilevel"/>
    <w:lvl w:ilvl="0">
      <w:lvlJc w:val="left"/>
      <w:lvlText w:val="%1."/>
      <w:numFmt w:val="decimal"/>
      <w:start w:val="14"/>
    </w:lvl>
  </w:abstractNum>
  <w:abstractNum w:abstractNumId="36">
    <w:nsid w:val="6FC75AF8"/>
    <w:multiLevelType w:val="hybridMultilevel"/>
    <w:lvl w:ilvl="0">
      <w:lvlJc w:val="left"/>
      <w:lvlText w:val="(%1)"/>
      <w:numFmt w:val="lowerLetter"/>
      <w:start w:val="2"/>
    </w:lvl>
  </w:abstractNum>
  <w:abstractNum w:abstractNumId="37">
    <w:nsid w:val="6A5F7029"/>
    <w:multiLevelType w:val="hybridMultilevel"/>
    <w:lvl w:ilvl="0">
      <w:lvlJc w:val="left"/>
      <w:lvlText w:val="%1."/>
      <w:numFmt w:val="decimal"/>
      <w:start w:val="15"/>
    </w:lvl>
  </w:abstractNum>
  <w:abstractNum w:abstractNumId="38">
    <w:nsid w:val="7D5E18F8"/>
    <w:multiLevelType w:val="hybridMultilevel"/>
    <w:lvl w:ilvl="0">
      <w:lvlJc w:val="left"/>
      <w:lvlText w:val="(%1)"/>
      <w:numFmt w:val="decimal"/>
      <w:start w:val="1"/>
    </w:lvl>
  </w:abstractNum>
  <w:abstractNum w:abstractNumId="39">
    <w:nsid w:val="5F3534A4"/>
    <w:multiLevelType w:val="hybridMultilevel"/>
    <w:lvl w:ilvl="0">
      <w:lvlJc w:val="left"/>
      <w:lvlText w:val="%1."/>
      <w:numFmt w:val="decimal"/>
      <w:start w:val="16"/>
    </w:lvl>
  </w:abstractNum>
  <w:abstractNum w:abstractNumId="40">
    <w:nsid w:val="73A1821B"/>
    <w:multiLevelType w:val="hybridMultilevel"/>
    <w:lvl w:ilvl="0">
      <w:lvlJc w:val="left"/>
      <w:lvlText w:val="%1."/>
      <w:numFmt w:val="decimal"/>
      <w:start w:val="17"/>
    </w:lvl>
  </w:abstractNum>
  <w:abstractNum w:abstractNumId="41">
    <w:nsid w:val="7DE67713"/>
    <w:multiLevelType w:val="hybridMultilevel"/>
    <w:lvl w:ilvl="0">
      <w:lvlJc w:val="left"/>
      <w:lvlText w:val="%1."/>
      <w:numFmt w:val="decimal"/>
      <w:start w:val="18"/>
    </w:lvl>
  </w:abstractNum>
  <w:abstractNum w:abstractNumId="42">
    <w:nsid w:val="555C55B5"/>
    <w:multiLevelType w:val="hybridMultilevel"/>
    <w:lvl w:ilvl="0">
      <w:lvlJc w:val="left"/>
      <w:lvlText w:val="(%1)"/>
      <w:numFmt w:val="decimal"/>
      <w:start w:val="1"/>
    </w:lvl>
  </w:abstractNum>
  <w:abstractNum w:abstractNumId="43">
    <w:nsid w:val="3FA62ACA"/>
    <w:multiLevelType w:val="hybridMultilevel"/>
    <w:lvl w:ilvl="0">
      <w:lvlJc w:val="left"/>
      <w:lvlText w:val="·"/>
      <w:numFmt w:val="bullet"/>
      <w:start w:val="1"/>
    </w:lvl>
  </w:abstractNum>
  <w:abstractNum w:abstractNumId="44">
    <w:nsid w:val="14FCE74E"/>
    <w:multiLevelType w:val="hybridMultilevel"/>
    <w:lvl w:ilvl="0">
      <w:lvlJc w:val="left"/>
      <w:lvlText w:val="(%1)"/>
      <w:numFmt w:val="decimal"/>
      <w:start w:val="1"/>
    </w:lvl>
  </w:abstractNum>
  <w:abstractNum w:abstractNumId="45">
    <w:nsid w:val="6A3DD3E8"/>
    <w:multiLevelType w:val="hybridMultilevel"/>
    <w:lvl w:ilvl="0">
      <w:lvlJc w:val="left"/>
      <w:lvlText w:val="(%1)"/>
      <w:numFmt w:val="decimal"/>
      <w:start w:val="1"/>
    </w:lvl>
    <w:lvl w:ilvl="1">
      <w:lvlJc w:val="left"/>
      <w:lvlText w:val="(%2)"/>
      <w:numFmt w:val="lowerLetter"/>
      <w:start w:val="1"/>
    </w:lvl>
  </w:abstractNum>
  <w:abstractNum w:abstractNumId="46">
    <w:nsid w:val="71C91298"/>
    <w:multiLevelType w:val="hybridMultilevel"/>
    <w:lvl w:ilvl="0">
      <w:lvlJc w:val="left"/>
      <w:lvlText w:val="(%1)"/>
      <w:numFmt w:val="decimal"/>
      <w:start w:val="2"/>
    </w:lvl>
  </w:abstractNum>
  <w:abstractNum w:abstractNumId="47">
    <w:nsid w:val="9DAF632"/>
    <w:multiLevelType w:val="hybridMultilevel"/>
    <w:lvl w:ilvl="0">
      <w:lvlJc w:val="left"/>
      <w:lvlText w:val="(%1)"/>
      <w:numFmt w:val="decimal"/>
      <w:start w:val="1"/>
    </w:lvl>
  </w:abstractNum>
  <w:abstractNum w:abstractNumId="48">
    <w:nsid w:val="53299938"/>
    <w:multiLevelType w:val="hybridMultilevel"/>
    <w:lvl w:ilvl="0">
      <w:lvlJc w:val="left"/>
      <w:lvlText w:val="·"/>
      <w:numFmt w:val="bullet"/>
      <w:start w:val="1"/>
    </w:lvl>
  </w:abstractNum>
  <w:abstractNum w:abstractNumId="49">
    <w:nsid w:val="1FBFE8E0"/>
    <w:multiLevelType w:val="hybridMultilevel"/>
    <w:lvl w:ilvl="0">
      <w:lvlJc w:val="left"/>
      <w:lvlText w:val="·"/>
      <w:numFmt w:val="bullet"/>
      <w:start w:val="1"/>
    </w:lvl>
  </w:abstractNum>
  <w:abstractNum w:abstractNumId="50">
    <w:nsid w:val="5092CA79"/>
    <w:multiLevelType w:val="hybridMultilevel"/>
    <w:lvl w:ilvl="0">
      <w:lvlJc w:val="left"/>
      <w:lvlText w:val="(%1)"/>
      <w:numFmt w:val="decimal"/>
      <w:start w:val="1"/>
    </w:lvl>
  </w:abstractNum>
  <w:abstractNum w:abstractNumId="51">
    <w:nsid w:val="1D545C4D"/>
    <w:multiLevelType w:val="hybridMultilevel"/>
    <w:lvl w:ilvl="0">
      <w:lvlJc w:val="left"/>
      <w:lvlText w:val="(%1)"/>
      <w:numFmt w:val="decimal"/>
      <w:start w:val="2"/>
    </w:lvl>
  </w:abstractNum>
  <w:abstractNum w:abstractNumId="52">
    <w:nsid w:val="59ADEA3D"/>
    <w:multiLevelType w:val="hybridMultilevel"/>
    <w:lvl w:ilvl="0">
      <w:lvlJc w:val="left"/>
      <w:lvlText w:val="%1."/>
      <w:numFmt w:val="decimal"/>
      <w:start w:val="1"/>
    </w:lvl>
  </w:abstractNum>
  <w:abstractNum w:abstractNumId="53">
    <w:nsid w:val="288F1A34"/>
    <w:multiLevelType w:val="hybridMultilevel"/>
    <w:lvl w:ilvl="0">
      <w:lvlJc w:val="left"/>
      <w:lvlText w:val="%1."/>
      <w:numFmt w:val="decimal"/>
      <w:start w:val="2"/>
    </w:lvl>
  </w:abstractNum>
  <w:abstractNum w:abstractNumId="54">
    <w:nsid w:val="2A155DBC"/>
    <w:multiLevelType w:val="hybridMultilevel"/>
    <w:lvl w:ilvl="0">
      <w:lvlJc w:val="left"/>
      <w:lvlText w:val="%1."/>
      <w:numFmt w:val="decimal"/>
      <w:start w:val="3"/>
    </w:lvl>
  </w:abstractNum>
  <w:abstractNum w:abstractNumId="55">
    <w:nsid w:val="1D9F6E5F"/>
    <w:multiLevelType w:val="hybridMultilevel"/>
    <w:lvl w:ilvl="0">
      <w:lvlJc w:val="left"/>
      <w:lvlText w:val="%1"/>
      <w:numFmt w:val="lowerLetter"/>
      <w:start w:val="1"/>
    </w:lvl>
    <w:lvl w:ilvl="1">
      <w:lvlJc w:val="left"/>
      <w:lvlText w:val="(%2)"/>
      <w:numFmt w:val="lowerLetter"/>
      <w:start w:val="1"/>
    </w:lvl>
  </w:abstractNum>
  <w:abstractNum w:abstractNumId="56">
    <w:nsid w:val="97E1B4E"/>
    <w:multiLevelType w:val="hybridMultilevel"/>
    <w:lvl w:ilvl="0">
      <w:lvlJc w:val="left"/>
      <w:lvlText w:val="(%1)"/>
      <w:numFmt w:val="lowerLetter"/>
      <w:start w:val="2"/>
    </w:lvl>
    <w:lvl w:ilvl="1">
      <w:lvlJc w:val="left"/>
      <w:lvlText w:val="%2"/>
      <w:numFmt w:val="lowerLetter"/>
      <w:start w:val="1"/>
    </w:lvl>
  </w:abstractNum>
  <w:abstractNum w:abstractNumId="57">
    <w:nsid w:val="51088277"/>
    <w:multiLevelType w:val="hybridMultilevel"/>
    <w:lvl w:ilvl="0">
      <w:lvlJc w:val="left"/>
      <w:lvlText w:val="%1."/>
      <w:numFmt w:val="decimal"/>
      <w:start w:val="4"/>
    </w:lvl>
  </w:abstractNum>
  <w:abstractNum w:abstractNumId="58">
    <w:nsid w:val="1CA0C5FA"/>
    <w:multiLevelType w:val="hybridMultilevel"/>
    <w:lvl w:ilvl="0">
      <w:lvlJc w:val="left"/>
      <w:lvlText w:val="%1."/>
      <w:numFmt w:val="decimal"/>
      <w:start w:val="5"/>
    </w:lvl>
  </w:abstractNum>
  <w:abstractNum w:abstractNumId="59">
    <w:nsid w:val="53584BCB"/>
    <w:multiLevelType w:val="hybridMultilevel"/>
    <w:lvl w:ilvl="0">
      <w:lvlJc w:val="left"/>
      <w:lvlText w:val="%1."/>
      <w:numFmt w:val="decimal"/>
      <w:start w:val="6"/>
    </w:lvl>
  </w:abstractNum>
  <w:abstractNum w:abstractNumId="60">
    <w:nsid w:val="415E286C"/>
    <w:multiLevelType w:val="hybridMultilevel"/>
    <w:lvl w:ilvl="0">
      <w:lvlJc w:val="left"/>
      <w:lvlText w:val="%1."/>
      <w:numFmt w:val="decimal"/>
      <w:start w:val="7"/>
    </w:lvl>
  </w:abstractNum>
  <w:abstractNum w:abstractNumId="61">
    <w:nsid w:val="7C58FD05"/>
    <w:multiLevelType w:val="hybridMultilevel"/>
    <w:lvl w:ilvl="0">
      <w:lvlJc w:val="left"/>
      <w:lvlText w:val="%1"/>
      <w:numFmt w:val="lowerLetter"/>
      <w:start w:val="1"/>
    </w:lvl>
    <w:lvl w:ilvl="1">
      <w:lvlJc w:val="left"/>
      <w:lvlText w:val="(%2)"/>
      <w:numFmt w:val="lowerLetter"/>
      <w:start w:val="1"/>
    </w:lvl>
  </w:abstractNum>
  <w:abstractNum w:abstractNumId="62">
    <w:nsid w:val="23D86AAC"/>
    <w:multiLevelType w:val="hybridMultilevel"/>
    <w:lvl w:ilvl="0">
      <w:lvlJc w:val="left"/>
      <w:lvlText w:val="(%1)"/>
      <w:numFmt w:val="lowerLetter"/>
      <w:start w:val="6"/>
    </w:lvl>
    <w:lvl w:ilvl="1">
      <w:lvlJc w:val="left"/>
      <w:lvlText w:val="(%2)"/>
      <w:numFmt w:val="lowerLetter"/>
      <w:start w:val="3"/>
    </w:lvl>
  </w:abstractNum>
  <w:abstractNum w:abstractNumId="63">
    <w:nsid w:val="45E6D486"/>
    <w:multiLevelType w:val="hybridMultilevel"/>
    <w:lvl w:ilvl="0">
      <w:lvlJc w:val="left"/>
      <w:lvlText w:val="%1."/>
      <w:numFmt w:val="decimal"/>
      <w:start w:val="8"/>
    </w:lvl>
  </w:abstractNum>
  <w:abstractNum w:abstractNumId="64">
    <w:nsid w:val="5C10FE21"/>
    <w:multiLevelType w:val="hybridMultilevel"/>
    <w:lvl w:ilvl="0">
      <w:lvlJc w:val="left"/>
      <w:lvlText w:val="%1."/>
      <w:numFmt w:val="decimal"/>
      <w:start w:val="9"/>
    </w:lvl>
  </w:abstractNum>
  <w:abstractNum w:abstractNumId="65">
    <w:nsid w:val="E7FFA2B"/>
    <w:multiLevelType w:val="hybridMultilevel"/>
    <w:lvl w:ilvl="0">
      <w:lvlJc w:val="left"/>
      <w:lvlText w:val="%1."/>
      <w:numFmt w:val="decimal"/>
      <w:start w:val="10"/>
    </w:lvl>
  </w:abstractNum>
  <w:abstractNum w:abstractNumId="66">
    <w:nsid w:val="3C5991AA"/>
    <w:multiLevelType w:val="hybridMultilevel"/>
    <w:lvl w:ilvl="0">
      <w:lvlJc w:val="left"/>
      <w:lvlText w:val="%1."/>
      <w:numFmt w:val="decimal"/>
      <w:start w:val="11"/>
    </w:lvl>
  </w:abstractNum>
  <w:abstractNum w:abstractNumId="67">
    <w:nsid w:val="4BD8591A"/>
    <w:multiLevelType w:val="hybridMultilevel"/>
    <w:lvl w:ilvl="0">
      <w:lvlJc w:val="left"/>
      <w:lvlText w:val="%1."/>
      <w:numFmt w:val="decimal"/>
      <w:start w:val="12"/>
    </w:lvl>
  </w:abstractNum>
  <w:abstractNum w:abstractNumId="68">
    <w:nsid w:val="78DF6A55"/>
    <w:multiLevelType w:val="hybridMultilevel"/>
    <w:lvl w:ilvl="0">
      <w:lvlJc w:val="left"/>
      <w:lvlText w:val="(%1)"/>
      <w:numFmt w:val="lowerLetter"/>
      <w:start w:val="1"/>
    </w:lvl>
  </w:abstractNum>
  <w:abstractNum w:abstractNumId="69">
    <w:nsid w:val="39B7AAA2"/>
    <w:multiLevelType w:val="hybridMultilevel"/>
    <w:lvl w:ilvl="0">
      <w:lvlJc w:val="left"/>
      <w:lvlText w:val="(%1)"/>
      <w:numFmt w:val="lowerLetter"/>
      <w:start w:val="2"/>
    </w:lvl>
  </w:abstractNum>
  <w:abstractNum w:abstractNumId="70">
    <w:nsid w:val="2B0D8DBE"/>
    <w:multiLevelType w:val="hybridMultilevel"/>
    <w:lvl w:ilvl="0">
      <w:lvlJc w:val="left"/>
      <w:lvlText w:val="%1."/>
      <w:numFmt w:val="decimal"/>
      <w:start w:val="13"/>
    </w:lvl>
  </w:abstractNum>
  <w:abstractNum w:abstractNumId="71">
    <w:nsid w:val="6C80EC70"/>
    <w:multiLevelType w:val="hybridMultilevel"/>
    <w:lvl w:ilvl="0">
      <w:lvlJc w:val="left"/>
      <w:lvlText w:val="(%1)"/>
      <w:numFmt w:val="lowerLetter"/>
      <w:start w:val="1"/>
    </w:lvl>
  </w:abstractNum>
  <w:abstractNum w:abstractNumId="72">
    <w:nsid w:val="379E21B5"/>
    <w:multiLevelType w:val="hybridMultilevel"/>
    <w:lvl w:ilvl="0">
      <w:lvlJc w:val="left"/>
      <w:lvlText w:val="%1."/>
      <w:numFmt w:val="decimal"/>
      <w:start w:val="14"/>
    </w:lvl>
  </w:abstractNum>
  <w:abstractNum w:abstractNumId="73">
    <w:nsid w:val="69E373"/>
    <w:multiLevelType w:val="hybridMultilevel"/>
    <w:lvl w:ilvl="0">
      <w:lvlJc w:val="left"/>
      <w:lvlText w:val="%1."/>
      <w:numFmt w:val="decimal"/>
      <w:start w:val="15"/>
    </w:lvl>
  </w:abstractNum>
  <w:abstractNum w:abstractNumId="74">
    <w:nsid w:val="2C27173B"/>
    <w:multiLevelType w:val="hybridMultilevel"/>
    <w:lvl w:ilvl="0">
      <w:lvlJc w:val="left"/>
      <w:lvlText w:val="%1."/>
      <w:numFmt w:val="decimal"/>
      <w:start w:val="16"/>
    </w:lvl>
  </w:abstractNum>
  <w:abstractNum w:abstractNumId="75">
    <w:nsid w:val="4C9B0904"/>
    <w:multiLevelType w:val="hybridMultilevel"/>
    <w:lvl w:ilvl="0">
      <w:lvlJc w:val="left"/>
      <w:lvlText w:val="%1."/>
      <w:numFmt w:val="decimal"/>
      <w:start w:val="17"/>
    </w:lvl>
  </w:abstractNum>
  <w:abstractNum w:abstractNumId="76">
    <w:nsid w:val="6AA7B75C"/>
    <w:multiLevelType w:val="hybridMultilevel"/>
    <w:lvl w:ilvl="0">
      <w:lvlJc w:val="left"/>
      <w:lvlText w:val="%1."/>
      <w:numFmt w:val="decimal"/>
      <w:start w:val="18"/>
    </w:lvl>
  </w:abstractNum>
  <w:abstractNum w:abstractNumId="77">
    <w:nsid w:val="1DF029D3"/>
    <w:multiLevelType w:val="hybridMultilevel"/>
    <w:lvl w:ilvl="0">
      <w:lvlJc w:val="left"/>
      <w:lvlText w:val="%1."/>
      <w:numFmt w:val="decimal"/>
      <w:start w:val="19"/>
    </w:lvl>
  </w:abstractNum>
  <w:abstractNum w:abstractNumId="78">
    <w:nsid w:val="5675FF36"/>
    <w:multiLevelType w:val="hybridMultilevel"/>
    <w:lvl w:ilvl="0">
      <w:lvlJc w:val="left"/>
      <w:lvlText w:val="["/>
      <w:numFmt w:val="bullet"/>
      <w:start w:val="1"/>
    </w:lvl>
  </w:abstractNum>
  <w:abstractNum w:abstractNumId="79">
    <w:nsid w:val="3DD15094"/>
    <w:multiLevelType w:val="hybridMultilevel"/>
    <w:lvl w:ilvl="0">
      <w:lvlJc w:val="left"/>
      <w:lvlText w:val="%1."/>
      <w:numFmt w:val="decimal"/>
      <w:start w:val="1"/>
    </w:lvl>
  </w:abstractNum>
  <w:abstractNum w:abstractNumId="80">
    <w:nsid w:val="3DB012B3"/>
    <w:multiLevelType w:val="hybridMultilevel"/>
    <w:lvl w:ilvl="0">
      <w:lvlJc w:val="left"/>
      <w:lvlText w:val="%1."/>
      <w:numFmt w:val="decimal"/>
      <w:start w:val="2"/>
    </w:lvl>
  </w:abstractNum>
  <w:abstractNum w:abstractNumId="81">
    <w:nsid w:val="2708C9AF"/>
    <w:multiLevelType w:val="hybridMultilevel"/>
    <w:lvl w:ilvl="0">
      <w:lvlJc w:val="left"/>
      <w:lvlText w:val="%1."/>
      <w:numFmt w:val="decimal"/>
      <w:start w:val="3"/>
    </w:lvl>
  </w:abstractNum>
  <w:abstractNum w:abstractNumId="82">
    <w:nsid w:val="5B25ACE2"/>
    <w:multiLevelType w:val="hybridMultilevel"/>
    <w:lvl w:ilvl="0">
      <w:lvlJc w:val="left"/>
      <w:lvlText w:val="(%1)"/>
      <w:numFmt w:val="lowerLetter"/>
      <w:start w:val="1"/>
    </w:lvl>
  </w:abstractNum>
  <w:abstractNum w:abstractNumId="83">
    <w:nsid w:val="175DFCF0"/>
    <w:multiLevelType w:val="hybridMultilevel"/>
    <w:lvl w:ilvl="0">
      <w:lvlJc w:val="left"/>
      <w:lvlText w:val="%1."/>
      <w:numFmt w:val="decimal"/>
      <w:start w:val="4"/>
    </w:lvl>
  </w:abstractNum>
  <w:abstractNum w:abstractNumId="84">
    <w:nsid w:val="4F97E3E4"/>
    <w:multiLevelType w:val="hybridMultilevel"/>
    <w:lvl w:ilvl="0">
      <w:lvlJc w:val="left"/>
      <w:lvlText w:val="%1."/>
      <w:numFmt w:val="decimal"/>
      <w:start w:val="5"/>
    </w:lvl>
  </w:abstractNum>
  <w:abstractNum w:abstractNumId="85">
    <w:nsid w:val="53B0A9E"/>
    <w:multiLevelType w:val="hybridMultilevel"/>
    <w:lvl w:ilvl="0">
      <w:lvlJc w:val="left"/>
      <w:lvlText w:val="%1."/>
      <w:numFmt w:val="decimal"/>
      <w:start w:val="6"/>
    </w:lvl>
  </w:abstractNum>
  <w:abstractNum w:abstractNumId="86">
    <w:nsid w:val="34FD6B4F"/>
    <w:multiLevelType w:val="hybridMultilevel"/>
    <w:lvl w:ilvl="0">
      <w:lvlJc w:val="left"/>
      <w:lvlText w:val="%1."/>
      <w:numFmt w:val="decimal"/>
      <w:start w:val="7"/>
    </w:lvl>
  </w:abstractNum>
  <w:abstractNum w:abstractNumId="87">
    <w:nsid w:val="5915FF32"/>
    <w:multiLevelType w:val="hybridMultilevel"/>
    <w:lvl w:ilvl="0">
      <w:lvlJc w:val="left"/>
      <w:lvlText w:val="%1"/>
      <w:numFmt w:val="lowerLetter"/>
      <w:start w:val="1"/>
    </w:lvl>
    <w:lvl w:ilvl="1">
      <w:lvlJc w:val="left"/>
      <w:lvlText w:val="(%2)"/>
      <w:numFmt w:val="lowerLetter"/>
      <w:start w:val="1"/>
    </w:lvl>
  </w:abstractNum>
  <w:abstractNum w:abstractNumId="88">
    <w:nsid w:val="56438D15"/>
    <w:multiLevelType w:val="hybridMultilevel"/>
    <w:lvl w:ilvl="0">
      <w:lvlJc w:val="left"/>
      <w:lvlText w:val="(%1)"/>
      <w:numFmt w:val="lowerLetter"/>
      <w:start w:val="6"/>
    </w:lvl>
    <w:lvl w:ilvl="1">
      <w:lvlJc w:val="left"/>
      <w:lvlText w:val="(%2)"/>
      <w:numFmt w:val="lowerLetter"/>
      <w:start w:val="3"/>
    </w:lvl>
  </w:abstractNum>
  <w:abstractNum w:abstractNumId="89">
    <w:nsid w:val="519E3149"/>
    <w:multiLevelType w:val="hybridMultilevel"/>
    <w:lvl w:ilvl="0">
      <w:lvlJc w:val="left"/>
      <w:lvlText w:val="%1."/>
      <w:numFmt w:val="decimal"/>
      <w:start w:val="8"/>
    </w:lvl>
  </w:abstractNum>
  <w:abstractNum w:abstractNumId="90">
    <w:nsid w:val="2C6E4AFD"/>
    <w:multiLevelType w:val="hybridMultilevel"/>
    <w:lvl w:ilvl="0">
      <w:lvlJc w:val="left"/>
      <w:lvlText w:val="%1."/>
      <w:numFmt w:val="decimal"/>
      <w:start w:val="9"/>
    </w:lvl>
  </w:abstractNum>
  <w:abstractNum w:abstractNumId="91">
    <w:nsid w:val="17A1B582"/>
    <w:multiLevelType w:val="hybridMultilevel"/>
    <w:lvl w:ilvl="0">
      <w:lvlJc w:val="left"/>
      <w:lvlText w:val="%1."/>
      <w:numFmt w:val="decimal"/>
      <w:start w:val="10"/>
    </w:lvl>
  </w:abstractNum>
  <w:abstractNum w:abstractNumId="92">
    <w:nsid w:val="4DF72E4E"/>
    <w:multiLevelType w:val="hybridMultilevel"/>
    <w:lvl w:ilvl="0">
      <w:lvlJc w:val="left"/>
      <w:lvlText w:val="%1."/>
      <w:numFmt w:val="decimal"/>
      <w:start w:val="11"/>
    </w:lvl>
  </w:abstractNum>
  <w:abstractNum w:abstractNumId="93">
    <w:nsid w:val="5046B5A9"/>
    <w:multiLevelType w:val="hybridMultilevel"/>
    <w:lvl w:ilvl="0">
      <w:lvlJc w:val="left"/>
      <w:lvlText w:val="%1."/>
      <w:numFmt w:val="decimal"/>
      <w:start w:val="12"/>
    </w:lvl>
  </w:abstractNum>
  <w:abstractNum w:abstractNumId="94">
    <w:nsid w:val="5D888A08"/>
    <w:multiLevelType w:val="hybridMultilevel"/>
    <w:lvl w:ilvl="0">
      <w:lvlJc w:val="left"/>
      <w:lvlText w:val="(%1)"/>
      <w:numFmt w:val="lowerLetter"/>
      <w:start w:val="1"/>
    </w:lvl>
  </w:abstractNum>
  <w:abstractNum w:abstractNumId="95">
    <w:nsid w:val="2A082C70"/>
    <w:multiLevelType w:val="hybridMultilevel"/>
    <w:lvl w:ilvl="0">
      <w:lvlJc w:val="left"/>
      <w:lvlText w:val="(%1)"/>
      <w:numFmt w:val="lowerLetter"/>
      <w:start w:val="2"/>
    </w:lvl>
  </w:abstractNum>
  <w:abstractNum w:abstractNumId="96">
    <w:nsid w:val="5EC6AFD4"/>
    <w:multiLevelType w:val="hybridMultilevel"/>
    <w:lvl w:ilvl="0">
      <w:lvlJc w:val="left"/>
      <w:lvlText w:val="%1."/>
      <w:numFmt w:val="decimal"/>
      <w:start w:val="13"/>
    </w:lvl>
  </w:abstractNum>
  <w:abstractNum w:abstractNumId="97">
    <w:nsid w:val="19E21BB2"/>
    <w:multiLevelType w:val="hybridMultilevel"/>
    <w:lvl w:ilvl="0">
      <w:lvlJc w:val="left"/>
      <w:lvlText w:val="(%1)"/>
      <w:numFmt w:val="lowerLetter"/>
      <w:start w:val="1"/>
    </w:lvl>
  </w:abstractNum>
  <w:abstractNum w:abstractNumId="98">
    <w:nsid w:val="75E0858A"/>
    <w:multiLevelType w:val="hybridMultilevel"/>
    <w:lvl w:ilvl="0">
      <w:lvlJc w:val="left"/>
      <w:lvlText w:val="%1."/>
      <w:numFmt w:val="decimal"/>
      <w:start w:val="14"/>
    </w:lvl>
  </w:abstractNum>
  <w:abstractNum w:abstractNumId="99">
    <w:nsid w:val="57A61A29"/>
    <w:multiLevelType w:val="hybridMultilevel"/>
    <w:lvl w:ilvl="0">
      <w:lvlJc w:val="left"/>
      <w:lvlText w:val="%1."/>
      <w:numFmt w:val="decimal"/>
      <w:start w:val="15"/>
    </w:lvl>
  </w:abstractNum>
  <w:abstractNum w:abstractNumId="100">
    <w:nsid w:val="5399C654"/>
    <w:multiLevelType w:val="hybridMultilevel"/>
    <w:lvl w:ilvl="0">
      <w:lvlJc w:val="left"/>
      <w:lvlText w:val="%1."/>
      <w:numFmt w:val="decimal"/>
      <w:start w:val="16"/>
    </w:lvl>
  </w:abstractNum>
  <w:abstractNum w:abstractNumId="101">
    <w:nsid w:val="20EE1348"/>
    <w:multiLevelType w:val="hybridMultilevel"/>
    <w:lvl w:ilvl="0">
      <w:lvlJc w:val="left"/>
      <w:lvlText w:val="%1."/>
      <w:numFmt w:val="decimal"/>
      <w:start w:val="17"/>
    </w:lvl>
  </w:abstractNum>
  <w:abstractNum w:abstractNumId="102">
    <w:nsid w:val="4427069A"/>
    <w:multiLevelType w:val="hybridMultilevel"/>
    <w:lvl w:ilvl="0">
      <w:lvlJc w:val="left"/>
      <w:lvlText w:val="%1."/>
      <w:numFmt w:val="decimal"/>
      <w:start w:val="18"/>
    </w:lvl>
  </w:abstractNum>
  <w:abstractNum w:abstractNumId="103">
    <w:nsid w:val="B37E80A"/>
    <w:multiLevelType w:val="hybridMultilevel"/>
    <w:lvl w:ilvl="0">
      <w:lvlJc w:val="left"/>
      <w:lvlText w:val="%1."/>
      <w:numFmt w:val="decimal"/>
      <w:start w:val="19"/>
    </w:lvl>
  </w:abstractNum>
  <w:abstractNum w:abstractNumId="104">
    <w:nsid w:val="2157F6BC"/>
    <w:multiLevelType w:val="hybridMultilevel"/>
    <w:lvl w:ilvl="0">
      <w:lvlJc w:val="left"/>
      <w:lvlText w:val="["/>
      <w:numFmt w:val="bullet"/>
      <w:start w:val="1"/>
    </w:lvl>
  </w:abstractNum>
  <w:abstractNum w:abstractNumId="105">
    <w:nsid w:val="704E1DD5"/>
    <w:multiLevelType w:val="hybridMultilevel"/>
    <w:lvl w:ilvl="0">
      <w:lvlJc w:val="left"/>
      <w:lvlText w:val="%1."/>
      <w:numFmt w:val="decimal"/>
      <w:start w:val="1"/>
    </w:lvl>
  </w:abstractNum>
  <w:abstractNum w:abstractNumId="106">
    <w:nsid w:val="57D2F10E"/>
    <w:multiLevelType w:val="hybridMultilevel"/>
    <w:lvl w:ilvl="0">
      <w:lvlJc w:val="left"/>
      <w:lvlText w:val="%1."/>
      <w:numFmt w:val="decimal"/>
      <w:start w:val="2"/>
    </w:lvl>
  </w:abstractNum>
  <w:abstractNum w:abstractNumId="107">
    <w:nsid w:val="BFFAE18"/>
    <w:multiLevelType w:val="hybridMultilevel"/>
    <w:lvl w:ilvl="0">
      <w:lvlJc w:val="left"/>
      <w:lvlText w:val="%1."/>
      <w:numFmt w:val="decimal"/>
      <w:start w:val="3"/>
    </w:lvl>
  </w:abstractNum>
  <w:abstractNum w:abstractNumId="108">
    <w:nsid w:val="E3E47A8"/>
    <w:multiLevelType w:val="hybridMultilevel"/>
    <w:lvl w:ilvl="0">
      <w:lvlJc w:val="left"/>
      <w:lvlText w:val="(%1)"/>
      <w:numFmt w:val="lowerLetter"/>
      <w:start w:val="1"/>
    </w:lvl>
  </w:abstractNum>
  <w:abstractNum w:abstractNumId="109">
    <w:nsid w:val="2E48F044"/>
    <w:multiLevelType w:val="hybridMultilevel"/>
    <w:lvl w:ilvl="0">
      <w:lvlJc w:val="left"/>
      <w:lvlText w:val="%1."/>
      <w:numFmt w:val="decimal"/>
      <w:start w:val="4"/>
    </w:lvl>
  </w:abstractNum>
  <w:abstractNum w:abstractNumId="110">
    <w:nsid w:val="49D0FEAC"/>
    <w:multiLevelType w:val="hybridMultilevel"/>
    <w:lvl w:ilvl="0">
      <w:lvlJc w:val="left"/>
      <w:lvlText w:val="%1."/>
      <w:numFmt w:val="decimal"/>
      <w:start w:val="5"/>
    </w:lvl>
  </w:abstractNum>
  <w:abstractNum w:abstractNumId="111">
    <w:nsid w:val="4BEE5A5B"/>
    <w:multiLevelType w:val="hybridMultilevel"/>
    <w:lvl w:ilvl="0">
      <w:lvlJc w:val="left"/>
      <w:lvlText w:val="%1"/>
      <w:numFmt w:val="lowerLetter"/>
      <w:start w:val="1"/>
    </w:lvl>
    <w:lvl w:ilvl="1">
      <w:lvlJc w:val="left"/>
      <w:lvlText w:val="(%2)"/>
      <w:numFmt w:val="lowerLetter"/>
      <w:start w:val="1"/>
    </w:lvl>
  </w:abstractNum>
  <w:abstractNum w:abstractNumId="112">
    <w:nsid w:val="5551B9F3"/>
    <w:multiLevelType w:val="hybridMultilevel"/>
    <w:lvl w:ilvl="0">
      <w:lvlJc w:val="left"/>
      <w:lvlText w:val="(%1)"/>
      <w:numFmt w:val="lowerLetter"/>
      <w:start w:val="35"/>
    </w:lvl>
    <w:lvl w:ilvl="1">
      <w:lvlJc w:val="left"/>
      <w:lvlText w:val="(%2)"/>
      <w:numFmt w:val="lowerLetter"/>
      <w:start w:val="2"/>
    </w:lvl>
  </w:abstractNum>
  <w:abstractNum w:abstractNumId="113">
    <w:nsid w:val="24F6AB8E"/>
    <w:multiLevelType w:val="hybridMultilevel"/>
    <w:lvl w:ilvl="0">
      <w:lvlJc w:val="left"/>
      <w:lvlText w:val="%1."/>
      <w:numFmt w:val="decimal"/>
      <w:start w:val="6"/>
    </w:lvl>
  </w:abstractNum>
  <w:abstractNum w:abstractNumId="114">
    <w:nsid w:val="634C574C"/>
    <w:multiLevelType w:val="hybridMultilevel"/>
    <w:lvl w:ilvl="0">
      <w:lvlJc w:val="left"/>
      <w:lvlText w:val="%1."/>
      <w:numFmt w:val="decimal"/>
      <w:start w:val="7"/>
    </w:lvl>
  </w:abstractNum>
  <w:abstractNum w:abstractNumId="115">
    <w:nsid w:val="24E99DD7"/>
    <w:multiLevelType w:val="hybridMultilevel"/>
    <w:lvl w:ilvl="0">
      <w:lvlJc w:val="left"/>
      <w:lvlText w:val="(%1)"/>
      <w:numFmt w:val="lowerLetter"/>
      <w:start w:val="1"/>
    </w:lvl>
  </w:abstractNum>
  <w:abstractNum w:abstractNumId="116">
    <w:nsid w:val="2A31B62D"/>
    <w:multiLevelType w:val="hybridMultilevel"/>
    <w:lvl w:ilvl="0">
      <w:lvlJc w:val="left"/>
      <w:lvlText w:val="%1."/>
      <w:numFmt w:val="decimal"/>
      <w:start w:val="8"/>
    </w:lvl>
  </w:abstractNum>
  <w:abstractNum w:abstractNumId="117">
    <w:nsid w:val="1849C29B"/>
    <w:multiLevelType w:val="hybridMultilevel"/>
    <w:lvl w:ilvl="0">
      <w:lvlJc w:val="left"/>
      <w:lvlText w:val="%1."/>
      <w:numFmt w:val="decimal"/>
      <w:start w:val="9"/>
    </w:lvl>
  </w:abstractNum>
  <w:abstractNum w:abstractNumId="118">
    <w:nsid w:val="7DFF9D09"/>
    <w:multiLevelType w:val="hybridMultilevel"/>
    <w:lvl w:ilvl="0">
      <w:lvlJc w:val="left"/>
      <w:lvlText w:val="%1."/>
      <w:numFmt w:val="decimal"/>
      <w:start w:val="10"/>
    </w:lvl>
  </w:abstractNum>
  <w:abstractNum w:abstractNumId="119">
    <w:nsid w:val="754342"/>
    <w:multiLevelType w:val="hybridMultilevel"/>
    <w:lvl w:ilvl="0">
      <w:lvlJc w:val="left"/>
      <w:lvlText w:val="%1."/>
      <w:numFmt w:val="decimal"/>
      <w:start w:val="11"/>
    </w:lvl>
  </w:abstractNum>
  <w:abstractNum w:abstractNumId="120">
    <w:nsid w:val="69E7F3E5"/>
    <w:multiLevelType w:val="hybridMultilevel"/>
    <w:lvl w:ilvl="0">
      <w:lvlJc w:val="left"/>
      <w:lvlText w:val="%1."/>
      <w:numFmt w:val="decimal"/>
      <w:start w:val="12"/>
    </w:lvl>
  </w:abstractNum>
  <w:abstractNum w:abstractNumId="121">
    <w:nsid w:val="2A6DE806"/>
    <w:multiLevelType w:val="hybridMultilevel"/>
    <w:lvl w:ilvl="0">
      <w:lvlJc w:val="left"/>
      <w:lvlText w:val="(%1)"/>
      <w:numFmt w:val="lowerLetter"/>
      <w:start w:val="1"/>
    </w:lvl>
  </w:abstractNum>
  <w:abstractNum w:abstractNumId="122">
    <w:nsid w:val="1816F8C4"/>
    <w:multiLevelType w:val="hybridMultilevel"/>
    <w:lvl w:ilvl="0">
      <w:lvlJc w:val="left"/>
      <w:lvlText w:val="(%1)"/>
      <w:numFmt w:val="lowerLetter"/>
      <w:start w:val="2"/>
    </w:lvl>
  </w:abstractNum>
  <w:abstractNum w:abstractNumId="123">
    <w:nsid w:val="37DF2233"/>
    <w:multiLevelType w:val="hybridMultilevel"/>
    <w:lvl w:ilvl="0">
      <w:lvlJc w:val="left"/>
      <w:lvlText w:val="%1."/>
      <w:numFmt w:val="decimal"/>
      <w:start w:val="13"/>
    </w:lvl>
  </w:abstractNum>
  <w:abstractNum w:abstractNumId="124">
    <w:nsid w:val="7AB49DAF"/>
    <w:multiLevelType w:val="hybridMultilevel"/>
    <w:lvl w:ilvl="0">
      <w:lvlJc w:val="left"/>
      <w:lvlText w:val="(%1)"/>
      <w:numFmt w:val="lowerLetter"/>
      <w:start w:val="1"/>
    </w:lvl>
  </w:abstractNum>
  <w:abstractNum w:abstractNumId="125">
    <w:nsid w:val="759F82CD"/>
    <w:multiLevelType w:val="hybridMultilevel"/>
    <w:lvl w:ilvl="0">
      <w:lvlJc w:val="left"/>
      <w:lvlText w:val="%1."/>
      <w:numFmt w:val="decimal"/>
      <w:start w:val="14"/>
    </w:lvl>
  </w:abstractNum>
  <w:abstractNum w:abstractNumId="126">
    <w:nsid w:val="61E74EA3"/>
    <w:multiLevelType w:val="hybridMultilevel"/>
    <w:lvl w:ilvl="0">
      <w:lvlJc w:val="left"/>
      <w:lvlText w:val="%1."/>
      <w:numFmt w:val="decimal"/>
      <w:start w:val="15"/>
    </w:lvl>
  </w:abstractNum>
  <w:abstractNum w:abstractNumId="127">
    <w:nsid w:val="597B4D84"/>
    <w:multiLevelType w:val="hybridMultilevel"/>
    <w:lvl w:ilvl="0">
      <w:lvlJc w:val="left"/>
      <w:lvlText w:val="%1."/>
      <w:numFmt w:val="decimal"/>
      <w:start w:val="16"/>
    </w:lvl>
  </w:abstractNum>
  <w:abstractNum w:abstractNumId="128">
    <w:nsid w:val="F819E7F"/>
    <w:multiLevelType w:val="hybridMultilevel"/>
    <w:lvl w:ilvl="0">
      <w:lvlJc w:val="left"/>
      <w:lvlText w:val="%1."/>
      <w:numFmt w:val="decimal"/>
      <w:start w:val="17"/>
    </w:lvl>
  </w:abstractNum>
  <w:abstractNum w:abstractNumId="129">
    <w:nsid w:val="57C7D42D"/>
    <w:multiLevelType w:val="hybridMultilevel"/>
    <w:lvl w:ilvl="0">
      <w:lvlJc w:val="left"/>
      <w:lvlText w:val="%1."/>
      <w:numFmt w:val="decimal"/>
      <w:start w:val="18"/>
    </w:lvl>
  </w:abstractNum>
  <w:abstractNum w:abstractNumId="130">
    <w:nsid w:val="312167AD"/>
    <w:multiLevelType w:val="hybridMultilevel"/>
    <w:lvl w:ilvl="0">
      <w:lvlJc w:val="left"/>
      <w:lvlText w:val="%1."/>
      <w:numFmt w:val="decimal"/>
      <w:start w:val="19"/>
    </w:lvl>
  </w:abstractNum>
  <w:abstractNum w:abstractNumId="131">
    <w:nsid w:val="631B64D4"/>
    <w:multiLevelType w:val="hybridMultilevel"/>
    <w:lvl w:ilvl="0">
      <w:lvlJc w:val="left"/>
      <w:lvlText w:val="["/>
      <w:numFmt w:val="bullet"/>
      <w:start w:val="1"/>
    </w:lvl>
  </w:abstractNum>
  <w:abstractNum w:abstractNumId="132">
    <w:nsid w:val="78B5E776"/>
    <w:multiLevelType w:val="hybridMultilevel"/>
    <w:lvl w:ilvl="0">
      <w:lvlJc w:val="left"/>
      <w:lvlText w:val="%1."/>
      <w:numFmt w:val="decimal"/>
      <w:start w:val="1"/>
    </w:lvl>
  </w:abstractNum>
  <w:abstractNum w:abstractNumId="133">
    <w:nsid w:val="75486E47"/>
    <w:multiLevelType w:val="hybridMultilevel"/>
    <w:lvl w:ilvl="0">
      <w:lvlJc w:val="left"/>
      <w:lvlText w:val="%1."/>
      <w:numFmt w:val="decimal"/>
      <w:start w:val="2"/>
    </w:lvl>
  </w:abstractNum>
  <w:abstractNum w:abstractNumId="134">
    <w:nsid w:val="6E534CDE"/>
    <w:multiLevelType w:val="hybridMultilevel"/>
    <w:lvl w:ilvl="0">
      <w:lvlJc w:val="left"/>
      <w:lvlText w:val="%1."/>
      <w:numFmt w:val="decimal"/>
      <w:start w:val="3"/>
    </w:lvl>
  </w:abstractNum>
  <w:abstractNum w:abstractNumId="135">
    <w:nsid w:val="1A0DDE32"/>
    <w:multiLevelType w:val="hybridMultilevel"/>
    <w:lvl w:ilvl="0">
      <w:lvlJc w:val="left"/>
      <w:lvlText w:val="(%1)"/>
      <w:numFmt w:val="lowerLetter"/>
      <w:start w:val="1"/>
    </w:lvl>
  </w:abstractNum>
  <w:abstractNum w:abstractNumId="136">
    <w:nsid w:val="65968C1C"/>
    <w:multiLevelType w:val="hybridMultilevel"/>
    <w:lvl w:ilvl="0">
      <w:lvlJc w:val="left"/>
      <w:lvlText w:val="%1."/>
      <w:numFmt w:val="decimal"/>
      <w:start w:val="4"/>
    </w:lvl>
  </w:abstractNum>
  <w:abstractNum w:abstractNumId="137">
    <w:nsid w:val="46263DEC"/>
    <w:multiLevelType w:val="hybridMultilevel"/>
    <w:lvl w:ilvl="0">
      <w:lvlJc w:val="left"/>
      <w:lvlText w:val="%1."/>
      <w:numFmt w:val="decimal"/>
      <w:start w:val="5"/>
    </w:lvl>
  </w:abstractNum>
  <w:abstractNum w:abstractNumId="138">
    <w:nsid w:val="260D8C4A"/>
    <w:multiLevelType w:val="hybridMultilevel"/>
    <w:lvl w:ilvl="0">
      <w:lvlJc w:val="left"/>
      <w:lvlText w:val="%1"/>
      <w:numFmt w:val="lowerLetter"/>
      <w:start w:val="1"/>
    </w:lvl>
    <w:lvl w:ilvl="1">
      <w:lvlJc w:val="left"/>
      <w:lvlText w:val="(%2)"/>
      <w:numFmt w:val="lowerLetter"/>
      <w:start w:val="1"/>
    </w:lvl>
  </w:abstractNum>
  <w:abstractNum w:abstractNumId="139">
    <w:nsid w:val="73D4D3C4"/>
    <w:multiLevelType w:val="hybridMultilevel"/>
    <w:lvl w:ilvl="0">
      <w:lvlJc w:val="left"/>
      <w:lvlText w:val="(%1)"/>
      <w:numFmt w:val="lowerLetter"/>
      <w:start w:val="35"/>
    </w:lvl>
    <w:lvl w:ilvl="1">
      <w:lvlJc w:val="left"/>
      <w:lvlText w:val="(%2)"/>
      <w:numFmt w:val="lowerLetter"/>
      <w:start w:val="2"/>
    </w:lvl>
  </w:abstractNum>
  <w:abstractNum w:abstractNumId="140">
    <w:nsid w:val="746F2E30"/>
    <w:multiLevelType w:val="hybridMultilevel"/>
    <w:lvl w:ilvl="0">
      <w:lvlJc w:val="left"/>
      <w:lvlText w:val="%1."/>
      <w:numFmt w:val="decimal"/>
      <w:start w:val="6"/>
    </w:lvl>
  </w:abstractNum>
  <w:abstractNum w:abstractNumId="141">
    <w:nsid w:val="6FDE8AF6"/>
    <w:multiLevelType w:val="hybridMultilevel"/>
    <w:lvl w:ilvl="0">
      <w:lvlJc w:val="left"/>
      <w:lvlText w:val="%1."/>
      <w:numFmt w:val="decimal"/>
      <w:start w:val="7"/>
    </w:lvl>
  </w:abstractNum>
  <w:abstractNum w:abstractNumId="142">
    <w:nsid w:val="3FC32E20"/>
    <w:multiLevelType w:val="hybridMultilevel"/>
    <w:lvl w:ilvl="0">
      <w:lvlJc w:val="left"/>
      <w:lvlText w:val="(%1)"/>
      <w:numFmt w:val="lowerLetter"/>
      <w:start w:val="1"/>
    </w:lvl>
  </w:abstractNum>
  <w:abstractNum w:abstractNumId="143">
    <w:nsid w:val="49C0E823"/>
    <w:multiLevelType w:val="hybridMultilevel"/>
    <w:lvl w:ilvl="0">
      <w:lvlJc w:val="left"/>
      <w:lvlText w:val="%1."/>
      <w:numFmt w:val="decimal"/>
      <w:start w:val="8"/>
    </w:lvl>
  </w:abstractNum>
  <w:abstractNum w:abstractNumId="144">
    <w:nsid w:val="14D53685"/>
    <w:multiLevelType w:val="hybridMultilevel"/>
    <w:lvl w:ilvl="0">
      <w:lvlJc w:val="left"/>
      <w:lvlText w:val="%1."/>
      <w:numFmt w:val="decimal"/>
      <w:start w:val="9"/>
    </w:lvl>
  </w:abstractNum>
  <w:abstractNum w:abstractNumId="145">
    <w:nsid w:val="230F856C"/>
    <w:multiLevelType w:val="hybridMultilevel"/>
    <w:lvl w:ilvl="0">
      <w:lvlJc w:val="left"/>
      <w:lvlText w:val="%1."/>
      <w:numFmt w:val="decimal"/>
      <w:start w:val="10"/>
    </w:lvl>
  </w:abstractNum>
  <w:abstractNum w:abstractNumId="146">
    <w:nsid w:val="6EAA85FB"/>
    <w:multiLevelType w:val="hybridMultilevel"/>
    <w:lvl w:ilvl="0">
      <w:lvlJc w:val="left"/>
      <w:lvlText w:val="%1."/>
      <w:numFmt w:val="decimal"/>
      <w:start w:val="11"/>
    </w:lvl>
  </w:abstractNum>
  <w:abstractNum w:abstractNumId="147">
    <w:nsid w:val="3F06ECB2"/>
    <w:multiLevelType w:val="hybridMultilevel"/>
    <w:lvl w:ilvl="0">
      <w:lvlJc w:val="left"/>
      <w:lvlText w:val="%1."/>
      <w:numFmt w:val="decimal"/>
      <w:start w:val="12"/>
    </w:lvl>
  </w:abstractNum>
  <w:abstractNum w:abstractNumId="148">
    <w:nsid w:val="3B594807"/>
    <w:multiLevelType w:val="hybridMultilevel"/>
    <w:lvl w:ilvl="0">
      <w:lvlJc w:val="left"/>
      <w:lvlText w:val="(%1)"/>
      <w:numFmt w:val="lowerLetter"/>
      <w:start w:val="1"/>
    </w:lvl>
  </w:abstractNum>
  <w:abstractNum w:abstractNumId="149">
    <w:nsid w:val="6CAA2304"/>
    <w:multiLevelType w:val="hybridMultilevel"/>
    <w:lvl w:ilvl="0">
      <w:lvlJc w:val="left"/>
      <w:lvlText w:val="(%1)"/>
      <w:numFmt w:val="lowerLetter"/>
      <w:start w:val="2"/>
    </w:lvl>
  </w:abstractNum>
  <w:abstractNum w:abstractNumId="150">
    <w:nsid w:val="3F7C2FF4"/>
    <w:multiLevelType w:val="hybridMultilevel"/>
    <w:lvl w:ilvl="0">
      <w:lvlJc w:val="left"/>
      <w:lvlText w:val="%1."/>
      <w:numFmt w:val="decimal"/>
      <w:start w:val="13"/>
    </w:lvl>
  </w:abstractNum>
  <w:abstractNum w:abstractNumId="151">
    <w:nsid w:val="25413BEC"/>
    <w:multiLevelType w:val="hybridMultilevel"/>
    <w:lvl w:ilvl="0">
      <w:lvlJc w:val="left"/>
      <w:lvlText w:val="(%1)"/>
      <w:numFmt w:val="lowerLetter"/>
      <w:start w:val="1"/>
    </w:lvl>
  </w:abstractNum>
  <w:abstractNum w:abstractNumId="152">
    <w:nsid w:val="17180B0B"/>
    <w:multiLevelType w:val="hybridMultilevel"/>
    <w:lvl w:ilvl="0">
      <w:lvlJc w:val="left"/>
      <w:lvlText w:val="%1."/>
      <w:numFmt w:val="decimal"/>
      <w:start w:val="14"/>
    </w:lvl>
  </w:abstractNum>
  <w:abstractNum w:abstractNumId="153">
    <w:nsid w:val="579328B9"/>
    <w:multiLevelType w:val="hybridMultilevel"/>
    <w:lvl w:ilvl="0">
      <w:lvlJc w:val="left"/>
      <w:lvlText w:val="%1."/>
      <w:numFmt w:val="decimal"/>
      <w:start w:val="15"/>
    </w:lvl>
  </w:abstractNum>
  <w:abstractNum w:abstractNumId="154">
    <w:nsid w:val="5D205E20"/>
    <w:multiLevelType w:val="hybridMultilevel"/>
    <w:lvl w:ilvl="0">
      <w:lvlJc w:val="left"/>
      <w:lvlText w:val="%1."/>
      <w:numFmt w:val="decimal"/>
      <w:start w:val="16"/>
    </w:lvl>
  </w:abstractNum>
  <w:abstractNum w:abstractNumId="155">
    <w:nsid w:val="11CCA8BA"/>
    <w:multiLevelType w:val="hybridMultilevel"/>
    <w:lvl w:ilvl="0">
      <w:lvlJc w:val="left"/>
      <w:lvlText w:val="%1."/>
      <w:numFmt w:val="decimal"/>
      <w:start w:val="17"/>
    </w:lvl>
  </w:abstractNum>
  <w:abstractNum w:abstractNumId="156">
    <w:nsid w:val="4D32AB86"/>
    <w:multiLevelType w:val="hybridMultilevel"/>
    <w:lvl w:ilvl="0">
      <w:lvlJc w:val="left"/>
      <w:lvlText w:val="%1."/>
      <w:numFmt w:val="decimal"/>
      <w:start w:val="18"/>
    </w:lvl>
  </w:abstractNum>
  <w:abstractNum w:abstractNumId="157">
    <w:nsid w:val="3F07ACC3"/>
    <w:multiLevelType w:val="hybridMultilevel"/>
    <w:lvl w:ilvl="0">
      <w:lvlJc w:val="left"/>
      <w:lvlText w:val="%1."/>
      <w:numFmt w:val="decimal"/>
      <w:start w:val="19"/>
    </w:lvl>
  </w:abstractNum>
  <w:abstractNum w:abstractNumId="158">
    <w:nsid w:val="6B47F63E"/>
    <w:multiLevelType w:val="hybridMultilevel"/>
    <w:lvl w:ilvl="0">
      <w:lvlJc w:val="left"/>
      <w:lvlText w:val="%1."/>
      <w:numFmt w:val="decimal"/>
      <w:start w:val="1"/>
    </w:lvl>
    <w:lvl w:ilvl="1">
      <w:lvlJc w:val="left"/>
      <w:lvlText w:val="%2."/>
      <w:numFmt w:val="lowerLetter"/>
      <w:start w:val="1"/>
    </w:lvl>
  </w:abstractNum>
  <w:abstractNum w:abstractNumId="159">
    <w:nsid w:val="5CB44A05"/>
    <w:multiLevelType w:val="hybridMultilevel"/>
    <w:lvl w:ilvl="0">
      <w:lvlJc w:val="left"/>
      <w:lvlText w:val="%1."/>
      <w:numFmt w:val="decimal"/>
      <w:start w:val="1"/>
    </w:lvl>
    <w:lvl w:ilvl="1">
      <w:lvlJc w:val="left"/>
      <w:lvlText w:val="%2."/>
      <w:numFmt w:val="lowerLetter"/>
      <w:start w:val="1"/>
    </w:lvl>
  </w:abstractNum>
  <w:abstractNum w:abstractNumId="160">
    <w:nsid w:val="16CF80F1"/>
    <w:multiLevelType w:val="hybridMultilevel"/>
    <w:lvl w:ilvl="0">
      <w:lvlJc w:val="left"/>
      <w:lvlText w:val="(%1)"/>
      <w:numFmt w:val="decimal"/>
      <w:start w:val="1"/>
    </w:lvl>
  </w:abstractNum>
  <w:abstractNum w:abstractNumId="161">
    <w:nsid w:val="1C695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2020-05-12T15:26:09Z</dcterms:created>
  <dcterms:modified xsi:type="dcterms:W3CDTF">2020-05-12T15:26:09Z</dcterms:modified>
</cp:coreProperties>
</file>