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74295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4"/>
          <w:szCs w:val="24"/>
          <w:color w:val="auto"/>
        </w:rPr>
      </w:pPr>
    </w:p>
    <w:p>
      <w:pPr>
        <w:ind w:left="240" w:hanging="237"/>
        <w:spacing w:after="0"/>
        <w:tabs>
          <w:tab w:leader="none" w:pos="2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3600" w:right="660" w:hanging="3597"/>
        <w:spacing w:after="0" w:line="328" w:lineRule="auto"/>
        <w:tabs>
          <w:tab w:leader="none" w:pos="24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001-38860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117475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5"/>
                <w:szCs w:val="5"/>
                <w:color w:val="auto"/>
                <w:w w:val="91"/>
              </w:rPr>
              <w:t>\</w:t>
            </w:r>
            <w:r>
              <w:rPr>
                <w:rFonts w:ascii="Arial" w:cs="Arial" w:eastAsia="Arial" w:hAnsi="Arial"/>
                <w:sz w:val="18"/>
                <w:szCs w:val="18"/>
                <w:b w:val="1"/>
                <w:bCs w:val="1"/>
                <w:color w:val="auto"/>
                <w:w w:val="91"/>
              </w:rPr>
              <w:t>Delaware</w:t>
            </w:r>
          </w:p>
        </w:tc>
        <w:tc>
          <w:tcPr>
            <w:tcW w:w="2020" w:type="dxa"/>
            <w:vAlign w:val="bottom"/>
          </w:tcPr>
          <w:p>
            <w:pPr>
              <w:spacing w:after="0"/>
              <w:rPr>
                <w:sz w:val="20"/>
                <w:szCs w:val="20"/>
                <w:color w:val="auto"/>
              </w:rPr>
            </w:pPr>
          </w:p>
        </w:tc>
        <w:tc>
          <w:tcPr>
            <w:tcW w:w="3800" w:type="dxa"/>
            <w:vAlign w:val="bottom"/>
            <w:gridSpan w:val="2"/>
          </w:tcPr>
          <w:p>
            <w:pPr>
              <w:jc w:val="center"/>
              <w:ind w:right="1010"/>
              <w:spacing w:after="0"/>
              <w:rPr>
                <w:sz w:val="20"/>
                <w:szCs w:val="20"/>
                <w:color w:val="auto"/>
              </w:rPr>
            </w:pPr>
            <w:r>
              <w:rPr>
                <w:rFonts w:ascii="Arial" w:cs="Arial" w:eastAsia="Arial" w:hAnsi="Arial"/>
                <w:sz w:val="18"/>
                <w:szCs w:val="18"/>
                <w:b w:val="1"/>
                <w:bCs w:val="1"/>
                <w:color w:val="auto"/>
                <w:w w:val="89"/>
              </w:rPr>
              <w:t>83-2456358</w:t>
            </w:r>
          </w:p>
        </w:tc>
      </w:tr>
      <w:tr>
        <w:trPr>
          <w:trHeight w:val="230"/>
        </w:trPr>
        <w:tc>
          <w:tcPr>
            <w:tcW w:w="20" w:type="dxa"/>
            <w:vAlign w:val="bottom"/>
          </w:tcPr>
          <w:p>
            <w:pPr>
              <w:spacing w:after="0"/>
              <w:rPr>
                <w:sz w:val="20"/>
                <w:szCs w:val="20"/>
                <w:color w:val="auto"/>
              </w:rPr>
            </w:pPr>
          </w:p>
        </w:tc>
        <w:tc>
          <w:tcPr>
            <w:tcW w:w="6240" w:type="dxa"/>
            <w:vAlign w:val="bottom"/>
            <w:gridSpan w:val="3"/>
          </w:tcPr>
          <w:p>
            <w:pPr>
              <w:jc w:val="center"/>
              <w:ind w:right="125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3800" w:type="dxa"/>
            <w:vAlign w:val="bottom"/>
            <w:gridSpan w:val="2"/>
          </w:tcPr>
          <w:p>
            <w:pPr>
              <w:jc w:val="center"/>
              <w:ind w:right="101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20" w:type="dxa"/>
            <w:vAlign w:val="bottom"/>
          </w:tcPr>
          <w:p>
            <w:pPr>
              <w:spacing w:after="0"/>
              <w:rPr>
                <w:sz w:val="24"/>
                <w:szCs w:val="24"/>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18"/>
                <w:szCs w:val="18"/>
                <w:b w:val="1"/>
                <w:bCs w:val="1"/>
                <w:color w:val="auto"/>
                <w:w w:val="88"/>
              </w:rPr>
              <w:t>1177 Avenue of the Americas</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20" w:type="dxa"/>
            <w:vAlign w:val="bottom"/>
            <w:gridSpan w:val="2"/>
          </w:tcPr>
          <w:p>
            <w:pPr>
              <w:jc w:val="center"/>
              <w:ind w:left="598"/>
              <w:spacing w:after="0" w:line="193" w:lineRule="exact"/>
              <w:rPr>
                <w:sz w:val="20"/>
                <w:szCs w:val="20"/>
                <w:color w:val="auto"/>
              </w:rPr>
            </w:pPr>
            <w:r>
              <w:rPr>
                <w:rFonts w:ascii="Arial" w:cs="Arial" w:eastAsia="Arial" w:hAnsi="Arial"/>
                <w:sz w:val="18"/>
                <w:szCs w:val="18"/>
                <w:b w:val="1"/>
                <w:bCs w:val="1"/>
                <w:color w:val="auto"/>
                <w:w w:val="93"/>
              </w:rPr>
              <w:t>New York, New York</w:t>
            </w:r>
          </w:p>
        </w:tc>
        <w:tc>
          <w:tcPr>
            <w:tcW w:w="2020" w:type="dxa"/>
            <w:vAlign w:val="bottom"/>
          </w:tcPr>
          <w:p>
            <w:pPr>
              <w:spacing w:after="0"/>
              <w:rPr>
                <w:sz w:val="16"/>
                <w:szCs w:val="16"/>
                <w:color w:val="auto"/>
              </w:rPr>
            </w:pPr>
          </w:p>
        </w:tc>
        <w:tc>
          <w:tcPr>
            <w:tcW w:w="3800" w:type="dxa"/>
            <w:vAlign w:val="bottom"/>
            <w:gridSpan w:val="2"/>
          </w:tcPr>
          <w:p>
            <w:pPr>
              <w:jc w:val="center"/>
              <w:ind w:right="1050"/>
              <w:spacing w:after="0" w:line="193" w:lineRule="exact"/>
              <w:rPr>
                <w:sz w:val="20"/>
                <w:szCs w:val="20"/>
                <w:color w:val="auto"/>
              </w:rPr>
            </w:pPr>
            <w:r>
              <w:rPr>
                <w:rFonts w:ascii="Arial" w:cs="Arial" w:eastAsia="Arial" w:hAnsi="Arial"/>
                <w:sz w:val="18"/>
                <w:szCs w:val="18"/>
                <w:b w:val="1"/>
                <w:bCs w:val="1"/>
                <w:color w:val="auto"/>
                <w:w w:val="91"/>
              </w:rPr>
              <w:t>10036</w:t>
            </w:r>
          </w:p>
        </w:tc>
      </w:tr>
      <w:tr>
        <w:trPr>
          <w:trHeight w:val="230"/>
        </w:trPr>
        <w:tc>
          <w:tcPr>
            <w:tcW w:w="20" w:type="dxa"/>
            <w:vAlign w:val="bottom"/>
          </w:tcPr>
          <w:p>
            <w:pPr>
              <w:spacing w:after="0"/>
              <w:rPr>
                <w:sz w:val="20"/>
                <w:szCs w:val="20"/>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jc w:val="center"/>
              <w:ind w:right="1210"/>
              <w:spacing w:after="0"/>
              <w:rPr>
                <w:sz w:val="20"/>
                <w:szCs w:val="20"/>
                <w:color w:val="auto"/>
              </w:rPr>
            </w:pPr>
            <w:r>
              <w:rPr>
                <w:rFonts w:ascii="Arial" w:cs="Arial" w:eastAsia="Arial" w:hAnsi="Arial"/>
                <w:sz w:val="18"/>
                <w:szCs w:val="18"/>
                <w:color w:val="auto"/>
                <w:w w:val="94"/>
              </w:rPr>
              <w:t>(Zip Code)</w:t>
            </w:r>
          </w:p>
        </w:tc>
      </w:tr>
      <w:tr>
        <w:trPr>
          <w:trHeight w:val="269"/>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tcPr>
          <w:p>
            <w:pPr>
              <w:jc w:val="right"/>
              <w:ind w:right="570"/>
              <w:spacing w:after="0"/>
              <w:rPr>
                <w:sz w:val="20"/>
                <w:szCs w:val="20"/>
                <w:color w:val="auto"/>
              </w:rPr>
            </w:pPr>
            <w:r>
              <w:rPr>
                <w:rFonts w:ascii="Arial" w:cs="Arial" w:eastAsia="Arial" w:hAnsi="Arial"/>
                <w:sz w:val="18"/>
                <w:szCs w:val="18"/>
                <w:b w:val="1"/>
                <w:bCs w:val="1"/>
                <w:color w:val="auto"/>
              </w:rPr>
              <w:t>(646) 430-6000</w:t>
            </w:r>
          </w:p>
        </w:tc>
        <w:tc>
          <w:tcPr>
            <w:tcW w:w="1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1004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18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4" w:lineRule="exact"/>
        <w:rPr>
          <w:sz w:val="24"/>
          <w:szCs w:val="24"/>
          <w:color w:val="auto"/>
        </w:rPr>
      </w:pPr>
    </w:p>
    <w:p>
      <w:pPr>
        <w:ind w:right="240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5" w:lineRule="exact"/>
        <w:rPr>
          <w:sz w:val="24"/>
          <w:szCs w:val="24"/>
          <w:color w:val="auto"/>
        </w:rPr>
      </w:pPr>
    </w:p>
    <w:p>
      <w:pPr>
        <w:jc w:val="both"/>
        <w:ind w:right="1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ind w:right="4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5" w:lineRule="exact"/>
        <w:rPr>
          <w:sz w:val="24"/>
          <w:szCs w:val="24"/>
          <w:color w:val="auto"/>
        </w:rPr>
      </w:pPr>
    </w:p>
    <w:p>
      <w:pPr>
        <w:ind w:right="22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0"/>
          </w:cols>
          <w:pgMar w:left="920" w:top="233" w:right="899" w:bottom="1440" w:gutter="0" w:footer="0" w:header="0"/>
        </w:sectPr>
      </w:pPr>
    </w:p>
    <w:p>
      <w:pPr>
        <w:spacing w:after="0" w:line="291" w:lineRule="exact"/>
        <w:rPr>
          <w:sz w:val="24"/>
          <w:szCs w:val="24"/>
          <w:color w:val="auto"/>
        </w:rPr>
      </w:pPr>
    </w:p>
    <w:p>
      <w:pPr>
        <w:ind w:left="20" w:right="80"/>
        <w:spacing w:after="0" w:line="291"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85" w:lineRule="exact"/>
        <w:rPr>
          <w:sz w:val="24"/>
          <w:szCs w:val="24"/>
          <w:color w:val="auto"/>
        </w:rPr>
      </w:pPr>
    </w:p>
    <w:p>
      <w:pPr>
        <w:sectPr>
          <w:pgSz w:w="11900" w:h="16838" w:orient="portrait"/>
          <w:cols w:equalWidth="0" w:num="6">
            <w:col w:w="1680" w:space="720"/>
            <w:col w:w="280" w:space="720"/>
            <w:col w:w="1660" w:space="720"/>
            <w:col w:w="240" w:space="720"/>
            <w:col w:w="1640" w:space="720"/>
            <w:col w:w="980"/>
          </w:cols>
          <w:pgMar w:left="920" w:top="233" w:right="899" w:bottom="1440" w:gutter="0" w:footer="0" w:header="0"/>
          <w:type w:val="continuous"/>
        </w:sectPr>
      </w:pPr>
    </w:p>
    <w:p>
      <w:pPr>
        <w:ind w:right="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77" w:lineRule="exact"/>
        <w:rPr>
          <w:sz w:val="24"/>
          <w:szCs w:val="24"/>
          <w:color w:val="auto"/>
        </w:rPr>
      </w:pPr>
    </w:p>
    <w:p>
      <w:pPr>
        <w:ind w:right="160"/>
        <w:spacing w:after="0"/>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Class A common stock on the NASDAQ Global Select Market on June 28, 2019, was approximately $4.5 billion</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20" w:type="dxa"/>
            <w:vAlign w:val="bottom"/>
            <w:gridSpan w:val="2"/>
          </w:tcPr>
          <w:p>
            <w:pPr>
              <w:ind w:left="2480"/>
              <w:spacing w:after="0" w:line="156" w:lineRule="exact"/>
              <w:rPr>
                <w:sz w:val="20"/>
                <w:szCs w:val="20"/>
                <w:color w:val="auto"/>
              </w:rPr>
            </w:pPr>
            <w:r>
              <w:rPr>
                <w:rFonts w:ascii="Arial" w:cs="Arial" w:eastAsia="Arial" w:hAnsi="Arial"/>
                <w:sz w:val="14"/>
                <w:szCs w:val="14"/>
                <w:color w:val="auto"/>
              </w:rPr>
              <w:t>Class of Stock</w:t>
            </w:r>
          </w:p>
        </w:tc>
        <w:tc>
          <w:tcPr>
            <w:tcW w:w="4140" w:type="dxa"/>
            <w:vAlign w:val="bottom"/>
          </w:tcPr>
          <w:p>
            <w:pPr>
              <w:jc w:val="right"/>
              <w:ind w:right="748"/>
              <w:spacing w:after="0" w:line="156" w:lineRule="exact"/>
              <w:rPr>
                <w:sz w:val="20"/>
                <w:szCs w:val="20"/>
                <w:color w:val="auto"/>
              </w:rPr>
            </w:pPr>
            <w:r>
              <w:rPr>
                <w:rFonts w:ascii="Arial" w:cs="Arial" w:eastAsia="Arial" w:hAnsi="Arial"/>
                <w:sz w:val="14"/>
                <w:szCs w:val="14"/>
                <w:color w:val="auto"/>
              </w:rPr>
              <w:t>Shares Outstanding as of February 14, 2020</w:t>
            </w:r>
          </w:p>
        </w:tc>
      </w:tr>
      <w:tr>
        <w:trPr>
          <w:trHeight w:val="123"/>
        </w:trPr>
        <w:tc>
          <w:tcPr>
            <w:tcW w:w="20" w:type="dxa"/>
            <w:vAlign w:val="bottom"/>
          </w:tcPr>
          <w:p>
            <w:pPr>
              <w:spacing w:after="0"/>
              <w:rPr>
                <w:sz w:val="10"/>
                <w:szCs w:val="10"/>
                <w:color w:val="auto"/>
              </w:rPr>
            </w:pPr>
          </w:p>
        </w:tc>
        <w:tc>
          <w:tcPr>
            <w:tcW w:w="58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Class A Common Stock, par value $0.00001 per share</w:t>
            </w:r>
          </w:p>
        </w:tc>
        <w:tc>
          <w:tcPr>
            <w:tcW w:w="80" w:type="dxa"/>
            <w:vAlign w:val="bottom"/>
          </w:tcPr>
          <w:p>
            <w:pPr>
              <w:spacing w:after="0"/>
              <w:rPr>
                <w:sz w:val="10"/>
                <w:szCs w:val="10"/>
                <w:color w:val="auto"/>
              </w:rPr>
            </w:pPr>
          </w:p>
        </w:tc>
        <w:tc>
          <w:tcPr>
            <w:tcW w:w="4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70,212,713]</w:t>
            </w:r>
          </w:p>
        </w:tc>
      </w:tr>
      <w:tr>
        <w:trPr>
          <w:trHeight w:val="149"/>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Class B Common Stock, par value $0.00001 per share</w:t>
            </w:r>
          </w:p>
        </w:tc>
        <w:tc>
          <w:tcPr>
            <w:tcW w:w="4140" w:type="dxa"/>
            <w:vAlign w:val="bottom"/>
          </w:tcPr>
          <w:p>
            <w:pPr>
              <w:jc w:val="right"/>
              <w:spacing w:after="0" w:line="149" w:lineRule="exact"/>
              <w:rPr>
                <w:sz w:val="20"/>
                <w:szCs w:val="20"/>
                <w:color w:val="auto"/>
              </w:rPr>
            </w:pPr>
            <w:r>
              <w:rPr>
                <w:rFonts w:ascii="Arial" w:cs="Arial" w:eastAsia="Arial" w:hAnsi="Arial"/>
                <w:sz w:val="14"/>
                <w:szCs w:val="14"/>
                <w:color w:val="auto"/>
              </w:rPr>
              <w:t>96,933,192</w:t>
            </w:r>
          </w:p>
        </w:tc>
      </w:tr>
      <w:tr>
        <w:trPr>
          <w:trHeight w:val="149"/>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Class C Common Stock, par value $0.00001 per share</w:t>
            </w:r>
          </w:p>
        </w:tc>
        <w:tc>
          <w:tcPr>
            <w:tcW w:w="4140" w:type="dxa"/>
            <w:vAlign w:val="bottom"/>
          </w:tcPr>
          <w:p>
            <w:pPr>
              <w:jc w:val="right"/>
              <w:spacing w:after="0" w:line="149" w:lineRule="exact"/>
              <w:rPr>
                <w:sz w:val="20"/>
                <w:szCs w:val="20"/>
                <w:color w:val="auto"/>
              </w:rPr>
            </w:pPr>
            <w:r>
              <w:rPr>
                <w:rFonts w:ascii="Arial" w:cs="Arial" w:eastAsia="Arial" w:hAnsi="Arial"/>
                <w:sz w:val="14"/>
                <w:szCs w:val="14"/>
                <w:color w:val="auto"/>
              </w:rPr>
              <w:t>7,389,983</w:t>
            </w:r>
          </w:p>
        </w:tc>
      </w:tr>
      <w:tr>
        <w:trPr>
          <w:trHeight w:val="182"/>
        </w:trPr>
        <w:tc>
          <w:tcPr>
            <w:tcW w:w="5940" w:type="dxa"/>
            <w:vAlign w:val="bottom"/>
            <w:gridSpan w:val="3"/>
          </w:tcPr>
          <w:p>
            <w:pPr>
              <w:spacing w:after="0"/>
              <w:rPr>
                <w:sz w:val="20"/>
                <w:szCs w:val="20"/>
                <w:color w:val="auto"/>
              </w:rPr>
            </w:pPr>
            <w:r>
              <w:rPr>
                <w:rFonts w:ascii="Arial" w:cs="Arial" w:eastAsia="Arial" w:hAnsi="Arial"/>
                <w:sz w:val="14"/>
                <w:szCs w:val="14"/>
                <w:color w:val="auto"/>
              </w:rPr>
              <w:t>Class D Common Stock, par value $0.00001 per share</w:t>
            </w:r>
          </w:p>
        </w:tc>
        <w:tc>
          <w:tcPr>
            <w:tcW w:w="4140" w:type="dxa"/>
            <w:vAlign w:val="bottom"/>
          </w:tcPr>
          <w:p>
            <w:pPr>
              <w:jc w:val="right"/>
              <w:spacing w:after="0"/>
              <w:rPr>
                <w:sz w:val="20"/>
                <w:szCs w:val="20"/>
                <w:color w:val="auto"/>
              </w:rPr>
            </w:pPr>
            <w:r>
              <w:rPr>
                <w:rFonts w:ascii="Arial" w:cs="Arial" w:eastAsia="Arial" w:hAnsi="Arial"/>
                <w:sz w:val="14"/>
                <w:szCs w:val="14"/>
                <w:color w:val="auto"/>
              </w:rPr>
              <w:t>49,873,346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38873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pacing w:after="0" w:line="15"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Part III of this Annual Report on Form 10-K incorporates by reference portions of the Registrant’s Proxy Statement for its 2020 Annual Meeting of Stockholders. The Proxy Statement will be filed with the Securities and Exchange Commission within the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679450</wp:posOffset>
            </wp:positionV>
            <wp:extent cx="6388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80"/>
          </w:cols>
          <w:pgMar w:left="920" w:top="233" w:right="8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20" w:type="dxa"/>
            <w:vAlign w:val="bottom"/>
            <w:gridSpan w:val="3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9"/>
          </w:tcPr>
          <w:p>
            <w:pPr>
              <w:jc w:val="center"/>
              <w:ind w:right="2100"/>
              <w:spacing w:after="0"/>
              <w:rPr>
                <w:sz w:val="20"/>
                <w:szCs w:val="20"/>
                <w:color w:val="auto"/>
              </w:rPr>
            </w:pPr>
            <w:r>
              <w:rPr>
                <w:rFonts w:ascii="Arial" w:cs="Arial" w:eastAsia="Arial" w:hAnsi="Arial"/>
                <w:sz w:val="18"/>
                <w:szCs w:val="18"/>
                <w:b w:val="1"/>
                <w:bCs w:val="1"/>
                <w:color w:val="auto"/>
              </w:rPr>
              <w:t>TRADEWEB MARKETS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9"/>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20" w:type="dxa"/>
            <w:vAlign w:val="bottom"/>
            <w:gridSpan w:val="34"/>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8220" w:type="dxa"/>
            <w:vAlign w:val="bottom"/>
            <w:gridSpan w:val="34"/>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72"/>
        </w:trPr>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10">
              <w:r>
                <w:rPr>
                  <w:rFonts w:ascii="Arial" w:cs="Arial" w:eastAsia="Arial" w:hAnsi="Arial"/>
                  <w:sz w:val="18"/>
                  <w:szCs w:val="18"/>
                  <w:b w:val="1"/>
                  <w:bCs w:val="1"/>
                  <w:color w:val="0000EE"/>
                  <w:w w:val="98"/>
                </w:rPr>
                <w:t>PART I</w:t>
              </w:r>
            </w:hyperlink>
          </w:p>
        </w:tc>
        <w:tc>
          <w:tcPr>
            <w:tcW w:w="384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rFonts w:ascii="Arial" w:cs="Arial" w:eastAsia="Arial" w:hAnsi="Arial"/>
                <w:sz w:val="18"/>
                <w:szCs w:val="18"/>
                <w:color w:val="0000EE"/>
                <w:w w:val="76"/>
              </w:rPr>
            </w:pPr>
            <w:hyperlink w:anchor="page10">
              <w:r>
                <w:rPr>
                  <w:rFonts w:ascii="Arial" w:cs="Arial" w:eastAsia="Arial" w:hAnsi="Arial"/>
                  <w:sz w:val="18"/>
                  <w:szCs w:val="18"/>
                  <w:color w:val="0000EE"/>
                  <w:w w:val="76"/>
                </w:rPr>
                <w:t>Item 1.</w:t>
              </w:r>
            </w:hyperlink>
          </w:p>
        </w:tc>
        <w:tc>
          <w:tcPr>
            <w:tcW w:w="300" w:type="dxa"/>
            <w:vAlign w:val="bottom"/>
            <w:gridSpan w:val="2"/>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Business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1B</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Item 2</w:t>
              </w:r>
            </w:hyperlink>
            <w:r>
              <w:rPr>
                <w:rFonts w:ascii="Arial" w:cs="Arial" w:eastAsia="Arial" w:hAnsi="Arial"/>
                <w:sz w:val="18"/>
                <w:szCs w:val="18"/>
                <w:color w:val="000000"/>
                <w:w w:val="94"/>
              </w:rPr>
              <w:t>.</w:t>
            </w:r>
          </w:p>
        </w:tc>
        <w:tc>
          <w:tcPr>
            <w:tcW w:w="200" w:type="dxa"/>
            <w:vAlign w:val="bottom"/>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Properties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68">
              <w:r>
                <w:rPr>
                  <w:rFonts w:ascii="Arial" w:cs="Arial" w:eastAsia="Arial" w:hAnsi="Arial"/>
                  <w:sz w:val="18"/>
                  <w:szCs w:val="18"/>
                  <w:color w:val="0000EE"/>
                </w:rPr>
                <w:t>Mine Safety Disclosures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5"/>
          </w:tcPr>
          <w:p>
            <w:pPr>
              <w:jc w:val="center"/>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w:t>
              </w:r>
            </w:hyperlink>
          </w:p>
        </w:tc>
        <w:tc>
          <w:tcPr>
            <w:tcW w:w="38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Market for Registrant’s Common Equity, Related Stockholder Matters and Issuer Purchases of Equity</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71">
              <w:r>
                <w:rPr>
                  <w:rFonts w:ascii="Arial" w:cs="Arial" w:eastAsia="Arial" w:hAnsi="Arial"/>
                  <w:sz w:val="18"/>
                  <w:szCs w:val="18"/>
                  <w:color w:val="0000EE"/>
                </w:rPr>
                <w:t>Selected Financial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76">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7A</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8</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14">
              <w:r>
                <w:rPr>
                  <w:rFonts w:ascii="Arial" w:cs="Arial" w:eastAsia="Arial" w:hAnsi="Arial"/>
                  <w:sz w:val="18"/>
                  <w:szCs w:val="18"/>
                  <w:color w:val="0000EE"/>
                </w:rPr>
                <w:t>Financial Statements and Supplementary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Item 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55">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Item 9A</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55">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Item 9B</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9"/>
          </w:tcPr>
          <w:p>
            <w:pPr>
              <w:jc w:val="center"/>
              <w:ind w:right="20"/>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PART III</w:t>
              </w:r>
            </w:hyperlink>
          </w:p>
        </w:tc>
        <w:tc>
          <w:tcPr>
            <w:tcW w:w="37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10</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Directors, Executive Officers and Corporate Governance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11</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12</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Securities Ownership of Certain Beneficial Owners and Management and Related Stockholder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13</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Related Transactions, and Director Independence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14</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Principal Accountant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16"/>
          </w:tcPr>
          <w:p>
            <w:pPr>
              <w:jc w:val="center"/>
              <w:ind w:right="3780"/>
              <w:spacing w:after="0" w:line="196" w:lineRule="exact"/>
              <w:rPr>
                <w:rFonts w:ascii="Arial" w:cs="Arial" w:eastAsia="Arial" w:hAnsi="Arial"/>
                <w:sz w:val="18"/>
                <w:szCs w:val="18"/>
                <w:b w:val="1"/>
                <w:bCs w:val="1"/>
                <w:color w:val="0000EE"/>
                <w:w w:val="98"/>
              </w:rPr>
            </w:pPr>
            <w:hyperlink w:anchor="page157">
              <w:r>
                <w:rPr>
                  <w:rFonts w:ascii="Arial" w:cs="Arial" w:eastAsia="Arial" w:hAnsi="Arial"/>
                  <w:sz w:val="18"/>
                  <w:szCs w:val="18"/>
                  <w:b w:val="1"/>
                  <w:bCs w:val="1"/>
                  <w:color w:val="0000EE"/>
                  <w:w w:val="98"/>
                </w:rPr>
                <w:t>PART IV</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15</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Exhibits and Financial Statement Schedules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20" w:type="dxa"/>
            <w:vAlign w:val="bottom"/>
            <w:gridSpan w:val="11"/>
            <w:shd w:val="clear" w:color="auto" w:fill="0000EE"/>
          </w:tcPr>
          <w:p>
            <w:pPr>
              <w:spacing w:after="0" w:line="20" w:lineRule="exact"/>
              <w:rPr>
                <w:sz w:val="1"/>
                <w:szCs w:val="1"/>
                <w:color w:val="auto"/>
              </w:rPr>
            </w:pPr>
          </w:p>
        </w:tc>
        <w:tc>
          <w:tcPr>
            <w:tcW w:w="430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Item 16</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Form 10-K Summary</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898"/>
        </w:trPr>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top w:val="single" w:sz="8" w:color="0000EE"/>
            </w:tcBorders>
            <w:gridSpan w:val="6"/>
          </w:tcPr>
          <w:p>
            <w:pPr>
              <w:spacing w:after="0"/>
              <w:rPr>
                <w:sz w:val="24"/>
                <w:szCs w:val="24"/>
                <w:color w:val="auto"/>
              </w:rPr>
            </w:pPr>
          </w:p>
        </w:tc>
        <w:tc>
          <w:tcPr>
            <w:tcW w:w="2560" w:type="dxa"/>
            <w:vAlign w:val="bottom"/>
            <w:gridSpan w:val="17"/>
          </w:tcPr>
          <w:p>
            <w:pPr>
              <w:jc w:val="center"/>
              <w:ind w:left="181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1—Organization to our audited consolidated financial statements included elsewhere in this Annual Report on Form 10-K.</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financial statements and other disclosures contained in this Annual Report on Form 10-K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7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audited consolidated financial statements and other financial disclosures included elsewhere in this Annual Report on Form 10-K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audited consolidated financial statements and other financial disclosures included elsewhere in this Annual Report on Form 10-K relating to periods beginning on April 1, 2019, and through and including December 31,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audited consolidated financial statements and other financial disclosures included elsewhere in this Annual Report on Form 10-K do not reflect what the results of operations, financial position or cash flows would have been had the Reorganization Transactions and the IPO taken place at the beginning of the periods presented.</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225" w:lineRule="exact"/>
        <w:rPr>
          <w:sz w:val="20"/>
          <w:szCs w:val="20"/>
          <w:color w:val="auto"/>
        </w:rPr>
      </w:pPr>
    </w:p>
    <w:p>
      <w:pPr>
        <w:ind w:left="660" w:right="100" w:hanging="333"/>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the “</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Tradeweb</w:t>
      </w:r>
      <w:r>
        <w:rPr>
          <w:rFonts w:ascii="Arial" w:cs="Arial" w:eastAsia="Arial" w:hAnsi="Arial"/>
          <w:sz w:val="17"/>
          <w:szCs w:val="17"/>
          <w:color w:val="auto"/>
        </w:rPr>
        <w:t>”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2" w:lineRule="exact"/>
        <w:rPr>
          <w:rFonts w:ascii="Arial" w:cs="Arial" w:eastAsia="Arial" w:hAnsi="Arial"/>
          <w:sz w:val="17"/>
          <w:szCs w:val="17"/>
          <w:color w:val="auto"/>
        </w:rPr>
      </w:pPr>
    </w:p>
    <w:p>
      <w:pPr>
        <w:ind w:left="660" w:right="120" w:hanging="333"/>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Bank Stockholders</w:t>
      </w:r>
      <w:r>
        <w:rPr>
          <w:rFonts w:ascii="Arial" w:cs="Arial" w:eastAsia="Arial" w:hAnsi="Arial"/>
          <w:sz w:val="17"/>
          <w:szCs w:val="17"/>
          <w:color w:val="auto"/>
        </w:rPr>
        <w:t>”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8" w:lineRule="exact"/>
        <w:rPr>
          <w:rFonts w:ascii="Arial" w:cs="Arial" w:eastAsia="Arial" w:hAnsi="Arial"/>
          <w:sz w:val="17"/>
          <w:szCs w:val="17"/>
          <w:color w:val="auto"/>
        </w:rPr>
      </w:pPr>
    </w:p>
    <w:p>
      <w:pPr>
        <w:ind w:left="660" w:right="80" w:hanging="333"/>
        <w:spacing w:after="0" w:line="273" w:lineRule="auto"/>
        <w:tabs>
          <w:tab w:leader="none" w:pos="674"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LLC Owners</w:t>
      </w:r>
      <w:r>
        <w:rPr>
          <w:rFonts w:ascii="Arial" w:cs="Arial" w:eastAsia="Arial" w:hAnsi="Arial"/>
          <w:sz w:val="17"/>
          <w:szCs w:val="17"/>
          <w:color w:val="auto"/>
        </w:rPr>
        <w:t>” refer collectively to (i) those Original LLC Owners, including the Refinitiv LLC Owner (as defined below), certain of the Bank Stockholders and members of management, that continued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20"/>
        <w:spacing w:after="0" w:line="308" w:lineRule="auto"/>
        <w:rPr>
          <w:sz w:val="20"/>
          <w:szCs w:val="20"/>
          <w:color w:val="auto"/>
        </w:rPr>
      </w:pPr>
      <w:r>
        <w:rPr>
          <w:rFonts w:ascii="Arial" w:cs="Arial" w:eastAsia="Arial" w:hAnsi="Arial"/>
          <w:sz w:val="17"/>
          <w:szCs w:val="17"/>
          <w:color w:val="auto"/>
        </w:rPr>
        <w:t>the Tax Receivable Agreement (as defined below), also includes those Original LLC Owners, including certain Bank Stockholders, that disposed of all of their LLC Interests for cash in connection with the IPO.</w:t>
      </w:r>
    </w:p>
    <w:p>
      <w:pPr>
        <w:spacing w:after="0" w:line="147" w:lineRule="exact"/>
        <w:rPr>
          <w:sz w:val="20"/>
          <w:szCs w:val="20"/>
          <w:color w:val="auto"/>
        </w:rPr>
      </w:pPr>
    </w:p>
    <w:p>
      <w:pPr>
        <w:jc w:val="both"/>
        <w:ind w:left="660" w:hanging="333"/>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 Group</w:t>
      </w:r>
      <w:r>
        <w:rPr>
          <w:rFonts w:ascii="Arial" w:cs="Arial" w:eastAsia="Arial" w:hAnsi="Arial"/>
          <w:sz w:val="16"/>
          <w:szCs w:val="16"/>
          <w:color w:val="auto"/>
        </w:rPr>
        <w:t>”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46" w:lineRule="exact"/>
        <w:rPr>
          <w:rFonts w:ascii="Arial" w:cs="Arial" w:eastAsia="Arial" w:hAnsi="Arial"/>
          <w:sz w:val="16"/>
          <w:szCs w:val="16"/>
          <w:color w:val="auto"/>
        </w:rPr>
      </w:pPr>
    </w:p>
    <w:p>
      <w:pPr>
        <w:ind w:left="660" w:right="18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LLC Interests</w:t>
      </w:r>
      <w:r>
        <w:rPr>
          <w:rFonts w:ascii="Arial" w:cs="Arial" w:eastAsia="Arial" w:hAnsi="Arial"/>
          <w:sz w:val="18"/>
          <w:szCs w:val="18"/>
          <w:color w:val="auto"/>
        </w:rPr>
        <w:t>”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LSEG Transaction</w:t>
      </w:r>
      <w:r>
        <w:rPr>
          <w:rFonts w:ascii="Arial" w:cs="Arial" w:eastAsia="Arial" w:hAnsi="Arial"/>
          <w:sz w:val="18"/>
          <w:szCs w:val="18"/>
          <w:color w:val="auto"/>
        </w:rPr>
        <w:t>” refer to the pending acquisition of the Refinitiv business by London Stock Exchange Group plc in an all share transaction for a total enterprise value of approximately $27 billion.</w:t>
      </w:r>
    </w:p>
    <w:p>
      <w:pPr>
        <w:spacing w:after="0" w:line="170" w:lineRule="exact"/>
        <w:rPr>
          <w:rFonts w:ascii="Arial" w:cs="Arial" w:eastAsia="Arial" w:hAnsi="Arial"/>
          <w:sz w:val="18"/>
          <w:szCs w:val="18"/>
          <w:color w:val="auto"/>
        </w:rPr>
      </w:pPr>
    </w:p>
    <w:p>
      <w:pPr>
        <w:ind w:left="660" w:right="20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LLC Owners</w:t>
      </w:r>
      <w:r>
        <w:rPr>
          <w:rFonts w:ascii="Arial" w:cs="Arial" w:eastAsia="Arial" w:hAnsi="Arial"/>
          <w:sz w:val="18"/>
          <w:szCs w:val="18"/>
          <w:color w:val="auto"/>
        </w:rPr>
        <w:t>” refer to the owners of TWM LLC prior to the Reorganization Transactions (including the Refinitiv Owners, the Bank Stockholders and members of management).</w:t>
      </w:r>
    </w:p>
    <w:p>
      <w:pPr>
        <w:spacing w:after="0" w:line="170" w:lineRule="exact"/>
        <w:rPr>
          <w:rFonts w:ascii="Arial" w:cs="Arial" w:eastAsia="Arial" w:hAnsi="Arial"/>
          <w:sz w:val="18"/>
          <w:szCs w:val="18"/>
          <w:color w:val="auto"/>
        </w:rPr>
      </w:pPr>
    </w:p>
    <w:p>
      <w:pPr>
        <w:ind w:left="660" w:right="140" w:hanging="333"/>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w:t>
      </w:r>
      <w:r>
        <w:rPr>
          <w:rFonts w:ascii="Arial" w:cs="Arial" w:eastAsia="Arial" w:hAnsi="Arial"/>
          <w:sz w:val="17"/>
          <w:szCs w:val="17"/>
          <w:color w:val="auto"/>
        </w:rPr>
        <w:t>”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71" w:lineRule="exact"/>
        <w:rPr>
          <w:rFonts w:ascii="Arial" w:cs="Arial" w:eastAsia="Arial" w:hAnsi="Arial"/>
          <w:sz w:val="17"/>
          <w:szCs w:val="17"/>
          <w:color w:val="auto"/>
        </w:rPr>
      </w:pPr>
    </w:p>
    <w:p>
      <w:pPr>
        <w:ind w:left="660" w:right="20" w:hanging="333"/>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 Direct Owner</w:t>
      </w:r>
      <w:r>
        <w:rPr>
          <w:rFonts w:ascii="Arial" w:cs="Arial" w:eastAsia="Arial" w:hAnsi="Arial"/>
          <w:sz w:val="17"/>
          <w:szCs w:val="17"/>
          <w:color w:val="auto"/>
        </w:rPr>
        <w:t>” refer (i) prior to June 28, 2019, to a direct subsidiary of Refinitiv that owned interests in an entity that held membership interests of TWM LLC and received shares of our Class B common stock in exchange for the contribution of such entity to Tradeweb Markets Inc., which we refer to as the “Refinitiv Contribution,” in connection with the completion of the Reorganization Transactions and (ii) on and after June 28, 2019, to an indirect subsidiary of Refinitiv that owns shares of our Class B common stock, which shares were contributed by the direct subsidiary of Refinitiv referred to in the foregoing clause (i).</w:t>
      </w:r>
    </w:p>
    <w:p>
      <w:pPr>
        <w:spacing w:after="0" w:line="178" w:lineRule="exact"/>
        <w:rPr>
          <w:rFonts w:ascii="Arial" w:cs="Arial" w:eastAsia="Arial" w:hAnsi="Arial"/>
          <w:sz w:val="17"/>
          <w:szCs w:val="17"/>
          <w:color w:val="auto"/>
        </w:rPr>
      </w:pPr>
    </w:p>
    <w:p>
      <w:pPr>
        <w:ind w:left="660" w:right="40" w:hanging="333"/>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 LLC Owner</w:t>
      </w:r>
      <w:r>
        <w:rPr>
          <w:rFonts w:ascii="Arial" w:cs="Arial" w:eastAsia="Arial" w:hAnsi="Arial"/>
          <w:sz w:val="17"/>
          <w:szCs w:val="17"/>
          <w:color w:val="auto"/>
        </w:rPr>
        <w:t>” refer to an indirect subsidiary of Refinitiv that, prior to the Reorganization Transactions, owned membership interests of TWM LLC and that continues to own LLC Interests after the completion of the IPO and Reorganization Transactions, that received shares of our Class D common stock in connection with the completion of the Reorganization Transactions, and that may redeem or exchange its LLC Interests for shares of our Class A common stock or Class B common stock.</w:t>
      </w:r>
    </w:p>
    <w:p>
      <w:pPr>
        <w:spacing w:after="0" w:line="172" w:lineRule="exact"/>
        <w:rPr>
          <w:rFonts w:ascii="Arial" w:cs="Arial" w:eastAsia="Arial" w:hAnsi="Arial"/>
          <w:sz w:val="17"/>
          <w:szCs w:val="17"/>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Refinitiv Owners</w:t>
      </w:r>
      <w:r>
        <w:rPr>
          <w:rFonts w:ascii="Arial" w:cs="Arial" w:eastAsia="Arial" w:hAnsi="Arial"/>
          <w:sz w:val="18"/>
          <w:szCs w:val="18"/>
          <w:color w:val="auto"/>
        </w:rPr>
        <w:t>” refer collectively to the Refinitiv Direct Owner and the Refinitiv LLC Owner.</w:t>
      </w:r>
    </w:p>
    <w:p>
      <w:pPr>
        <w:spacing w:after="0" w:line="225" w:lineRule="exact"/>
        <w:rPr>
          <w:rFonts w:ascii="Arial" w:cs="Arial" w:eastAsia="Arial" w:hAnsi="Arial"/>
          <w:sz w:val="18"/>
          <w:szCs w:val="18"/>
          <w:color w:val="auto"/>
        </w:rPr>
      </w:pPr>
    </w:p>
    <w:p>
      <w:pPr>
        <w:jc w:val="both"/>
        <w:ind w:left="660" w:right="20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Refinitiv Transaction</w:t>
      </w:r>
      <w:r>
        <w:rPr>
          <w:rFonts w:ascii="Arial" w:cs="Arial" w:eastAsia="Arial" w:hAnsi="Arial"/>
          <w:sz w:val="18"/>
          <w:szCs w:val="18"/>
          <w:color w:val="auto"/>
        </w:rPr>
        <w:t>”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81"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Thomson Reuters</w:t>
      </w:r>
      <w:r>
        <w:rPr>
          <w:rFonts w:ascii="Arial" w:cs="Arial" w:eastAsia="Arial" w:hAnsi="Arial"/>
          <w:sz w:val="18"/>
          <w:szCs w:val="18"/>
          <w:color w:val="auto"/>
        </w:rPr>
        <w:t>” refer to Thomson Reuters Corporation, which indirectly holds a 45% ownership interest in Refinitiv.</w:t>
      </w:r>
    </w:p>
    <w:p>
      <w:pPr>
        <w:spacing w:after="0" w:line="1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we are required to present separately the financial information for the periods beginning on October 1, 2018, and through and including December 31, 2019, which we refer to as the “Successor period,” and the financial information for the periods prior to, and including, September 30, 2018, which we refer to as the “Predecessor period.”</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financial information presented in this Annual Report on Form 10-K and the audited consolidated financial statements included in this Annual Report on Form 10-K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Annual Report on Form 10-K.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Part II, Item 7. – “Management’s Discussion and Analysis of Financial Condition and Results of Operations — Effect of Pushdown Accounting on our Financial Statements.”</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References in this Annual Report on Form 10-K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MARKET AND INDUSTRY DATA</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18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w:t>
      </w:r>
    </w:p>
    <w:p>
      <w:pPr>
        <w:sectPr>
          <w:pgSz w:w="11900" w:h="16838" w:orient="portrait"/>
          <w:cols w:equalWidth="0" w:num="1">
            <w:col w:w="9060"/>
          </w:cols>
          <w:pgMar w:left="1420" w:top="125"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CERTAIN TRADEMARKS, TRADE NAMES AND SERVICE MARKS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w:t>
      </w:r>
      <w:r>
        <w:rPr>
          <w:rFonts w:ascii="Arial" w:cs="Arial" w:eastAsia="Arial" w:hAnsi="Arial"/>
          <w:sz w:val="7"/>
          <w:szCs w:val="7"/>
          <w:color w:val="auto"/>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This Annual Report on Form 10-K contains “non-GAAP financial measures,” which are financial measures that are not calculated and presented in accordance with GAAP.</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81" w:lineRule="exact"/>
        <w:rPr>
          <w:sz w:val="20"/>
          <w:szCs w:val="20"/>
          <w:color w:val="auto"/>
        </w:rPr>
      </w:pPr>
    </w:p>
    <w:p>
      <w:pPr>
        <w:ind w:left="660" w:right="20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statement disclosing the purposes for which the registrant’s management uses the non-GAAP financial measure.</w:t>
      </w:r>
    </w:p>
    <w:p>
      <w:pPr>
        <w:spacing w:after="0" w:line="24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Operations—Non-GAAP Financial Measures.” Adjusted EBITDA margin and Adjusted EBIT margin are defined as Adjusted EBITDA and Adjusted EBIT, respectively, divided by gross revenue for the applicable period.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w:t>
      </w:r>
    </w:p>
    <w:p>
      <w:pPr>
        <w:spacing w:after="0" w:line="183"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81" w:lineRule="exact"/>
        <w:rPr>
          <w:sz w:val="20"/>
          <w:szCs w:val="20"/>
          <w:color w:val="auto"/>
        </w:rPr>
      </w:pPr>
    </w:p>
    <w:p>
      <w:pPr>
        <w:ind w:left="660" w:right="10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70" w:lineRule="exact"/>
        <w:rPr>
          <w:rFonts w:ascii="Arial" w:cs="Arial" w:eastAsia="Arial" w:hAnsi="Arial"/>
          <w:sz w:val="18"/>
          <w:szCs w:val="18"/>
          <w:color w:val="auto"/>
        </w:rPr>
      </w:pPr>
    </w:p>
    <w:p>
      <w:pPr>
        <w:ind w:left="660" w:right="22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changes in our working capital needs;</w:t>
      </w:r>
    </w:p>
    <w:p>
      <w:pPr>
        <w:spacing w:after="0" w:line="170" w:lineRule="exact"/>
        <w:rPr>
          <w:rFonts w:ascii="Arial" w:cs="Arial" w:eastAsia="Arial" w:hAnsi="Arial"/>
          <w:sz w:val="18"/>
          <w:szCs w:val="18"/>
          <w:color w:val="auto"/>
        </w:rPr>
      </w:pPr>
    </w:p>
    <w:p>
      <w:pPr>
        <w:ind w:left="660" w:right="4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70" w:lineRule="exact"/>
        <w:rPr>
          <w:rFonts w:ascii="Arial" w:cs="Arial" w:eastAsia="Arial" w:hAnsi="Arial"/>
          <w:sz w:val="18"/>
          <w:szCs w:val="18"/>
          <w:color w:val="auto"/>
        </w:rPr>
      </w:pPr>
    </w:p>
    <w:p>
      <w:pPr>
        <w:ind w:left="660" w:right="12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70" w:lineRule="exact"/>
        <w:rPr>
          <w:rFonts w:ascii="Arial" w:cs="Arial" w:eastAsia="Arial" w:hAnsi="Arial"/>
          <w:sz w:val="18"/>
          <w:szCs w:val="18"/>
          <w:color w:val="auto"/>
        </w:rPr>
      </w:pPr>
    </w:p>
    <w:p>
      <w:pPr>
        <w:ind w:left="660" w:right="20" w:hanging="333"/>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71" w:lineRule="exact"/>
        <w:rPr>
          <w:rFonts w:ascii="Arial" w:cs="Arial" w:eastAsia="Arial" w:hAnsi="Arial"/>
          <w:sz w:val="17"/>
          <w:szCs w:val="17"/>
          <w:color w:val="auto"/>
        </w:rPr>
      </w:pPr>
    </w:p>
    <w:p>
      <w:pPr>
        <w:ind w:left="660" w:right="22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81" w:lineRule="exact"/>
        <w:rPr>
          <w:rFonts w:ascii="Arial" w:cs="Arial" w:eastAsia="Arial" w:hAnsi="Arial"/>
          <w:sz w:val="18"/>
          <w:szCs w:val="18"/>
          <w:color w:val="auto"/>
        </w:rPr>
      </w:pPr>
    </w:p>
    <w:p>
      <w:pPr>
        <w:jc w:val="both"/>
        <w:ind w:left="660" w:right="32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81" w:lineRule="exact"/>
        <w:rPr>
          <w:rFonts w:ascii="Arial" w:cs="Arial" w:eastAsia="Arial" w:hAnsi="Arial"/>
          <w:sz w:val="18"/>
          <w:szCs w:val="18"/>
          <w:color w:val="auto"/>
        </w:rPr>
      </w:pPr>
    </w:p>
    <w:p>
      <w:pPr>
        <w:jc w:val="both"/>
        <w:ind w:left="660" w:right="24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81"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Annual Report on Form 10-K under Part I, Item 1. – “Business,” Part I, Item 1A.</w:t>
      </w:r>
    </w:p>
    <w:p>
      <w:pPr>
        <w:spacing w:after="0" w:line="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 “Risk Factors” and Part II, Item 7. – “Management’s Discussion and Analysis of Financial Condition and Results of Operations” are forward-looking statements.</w:t>
      </w:r>
    </w:p>
    <w:p>
      <w:pPr>
        <w:spacing w:after="0" w:line="18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66"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economic, political, social and market conditions and the impact of these changes on trading volumes;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dealer clients, including those that are also current or former stockholders;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right="38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jc w:val="both"/>
        <w:ind w:left="660" w:right="40" w:hanging="333"/>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46" w:lineRule="exact"/>
        <w:rPr>
          <w:rFonts w:ascii="Arial" w:cs="Arial" w:eastAsia="Arial" w:hAnsi="Arial"/>
          <w:sz w:val="16"/>
          <w:szCs w:val="16"/>
          <w:color w:val="auto"/>
        </w:rPr>
      </w:pPr>
    </w:p>
    <w:p>
      <w:pPr>
        <w:jc w:val="both"/>
        <w:ind w:left="660" w:right="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8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 “Risk Factors.”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Annual Report on Form 10-K are not guarantees of future performance and our actual results of operations, financial condition or liquidity, and the development of the industry and markets in which we operate, may differ materially from the forward-looking statements contained in this Annual Report on Form 10-K. In addition, even if our results of operations, financial condition or liquidity, and events in the industry and markets in which we operate, are consistent with the forward-looking statements contained in this Annual Report on Form 10-K, they may not be predictive of results or developments in future periods.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year ended December 31, 2019 of over $720 billion across more than 40 products</w:t>
      </w:r>
      <w:r>
        <w:rPr>
          <w:rFonts w:ascii="Arial" w:cs="Arial" w:eastAsia="Arial" w:hAnsi="Arial"/>
          <w:sz w:val="16"/>
          <w:szCs w:val="16"/>
          <w:color w:val="231F20"/>
        </w:rPr>
        <w:t>.</w:t>
      </w:r>
    </w:p>
    <w:p>
      <w:pPr>
        <w:spacing w:after="0" w:line="16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and across multiple client sectors, geographic regions, asset classes, product groups, trading protocols and trade lifecycle solutions</w:t>
      </w: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124460</wp:posOffset>
            </wp:positionV>
            <wp:extent cx="2813050" cy="1852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130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r>
        <w:rPr>
          <w:rFonts w:ascii="Arial" w:cs="Arial" w:eastAsia="Arial" w:hAnsi="Arial"/>
          <w:sz w:val="18"/>
          <w:szCs w:val="18"/>
          <w:color w:val="231F20"/>
        </w:rPr>
        <w:t>.</w:t>
      </w:r>
    </w:p>
    <w:p>
      <w:pPr>
        <w:spacing w:after="0" w:line="18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and continue to invest in, a scalable,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r>
        <w:rPr>
          <w:rFonts w:ascii="Arial" w:cs="Arial" w:eastAsia="Arial" w:hAnsi="Arial"/>
          <w:sz w:val="18"/>
          <w:szCs w:val="18"/>
          <w:color w:val="231F20"/>
        </w:rPr>
        <w:t>.</w:t>
      </w:r>
    </w:p>
    <w:p>
      <w:pPr>
        <w:spacing w:after="0" w:line="19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2019, we had annual compound average daily trading volume growth of</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13.7% and annual compound gross revenue growth of 12.3%. For the year ended December 31, 2019 and the combined year ended December 31, 2018, 43.6% and 48.0% of our gross revenues, respectively, were fixed. For the year ended December 31, 2019 our variable revenues and fixed revenues each increased as compared to the combined prior year period.</w:t>
      </w:r>
    </w:p>
    <w:p>
      <w:pPr>
        <w:spacing w:after="0" w:line="15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the year ended December 31, 2019 and the combined year ended December 31, 2018, respectively, our gross revenue was $775.6 million and $684.4 million, an increase of 13.3%. For the year ended December 31, 2019, the 2018 Successor Period and the 2018 Predecessor Period, respectively, our net income was $173.0 million, $29.3 million and $130.2 million, our Adjusted EBITDA was $353.2 million, $65.3 million and $214.1 million, with an Adjusted EBITDA margin of 45.5%, 36.6% and 42.3%, and our Adjusted Net Income was $230.9 million, $40.8 million and $137.3 million. For the definitions of Adjusted EBITDA, Adjusted EBITDA margin and Adjusted Net Income and reconciliations to their most directly comparable financial measures presented in accordance with GAAP, see Part II, Item 7. – “Management’s Discussion and Analysis of Financial Condition and Results of Operations—Non-GAAP Financial Measures.”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31F20"/>
        </w:rPr>
        <w:t>Our Evolution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r>
        <w:rPr>
          <w:rFonts w:ascii="Arial" w:cs="Arial" w:eastAsia="Arial" w:hAnsi="Arial"/>
          <w:sz w:val="16"/>
          <w:szCs w:val="16"/>
          <w:color w:val="231F20"/>
        </w:rPr>
        <w:t>.</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r>
        <w:rPr>
          <w:rFonts w:ascii="Arial" w:cs="Arial" w:eastAsia="Arial" w:hAnsi="Arial"/>
          <w:sz w:val="17"/>
          <w:szCs w:val="17"/>
          <w:color w:val="231F20"/>
        </w:rPr>
        <w:t>.</w:t>
      </w:r>
    </w:p>
    <w:p>
      <w:pPr>
        <w:spacing w:after="0" w:line="17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r>
        <w:rPr>
          <w:rFonts w:ascii="Arial" w:cs="Arial" w:eastAsia="Arial" w:hAnsi="Arial"/>
          <w:sz w:val="17"/>
          <w:szCs w:val="17"/>
          <w:color w:val="231F20"/>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$6.3 trillion through December 31, 2019, according to industry sources and management estimates.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 w:type="dxa"/>
            <w:vAlign w:val="bottom"/>
            <w:tcBorders>
              <w:top w:val="single" w:sz="8" w:color="231F20"/>
            </w:tcBorders>
            <w:shd w:val="clear" w:color="auto" w:fill="E9EAEB"/>
          </w:tcPr>
          <w:p>
            <w:pPr>
              <w:ind w:left="80"/>
              <w:spacing w:after="0"/>
              <w:rPr>
                <w:sz w:val="20"/>
                <w:szCs w:val="20"/>
                <w:color w:val="auto"/>
              </w:rPr>
            </w:pPr>
            <w:r>
              <w:rPr>
                <w:rFonts w:ascii="Arial" w:cs="Arial" w:eastAsia="Arial" w:hAnsi="Arial"/>
                <w:sz w:val="10"/>
                <w:szCs w:val="10"/>
                <w:b w:val="1"/>
                <w:bCs w:val="1"/>
                <w:color w:val="231F20"/>
              </w:rPr>
              <w:t>PHYSICAL</w:t>
            </w:r>
          </w:p>
        </w:tc>
        <w:tc>
          <w:tcPr>
            <w:tcW w:w="100" w:type="dxa"/>
            <w:vAlign w:val="bottom"/>
            <w:tcBorders>
              <w:top w:val="single" w:sz="8" w:color="231F20"/>
              <w:right w:val="single" w:sz="8" w:color="231F20"/>
            </w:tcBorders>
            <w:shd w:val="clear" w:color="auto" w:fill="E9EAEB"/>
          </w:tcPr>
          <w:p>
            <w:pPr>
              <w:spacing w:after="0"/>
              <w:rPr>
                <w:sz w:val="10"/>
                <w:szCs w:val="10"/>
                <w:color w:val="auto"/>
              </w:rPr>
            </w:pPr>
          </w:p>
        </w:tc>
        <w:tc>
          <w:tcPr>
            <w:tcW w:w="900" w:type="dxa"/>
            <w:vAlign w:val="bottom"/>
            <w:tcBorders>
              <w:top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1996</w:t>
            </w:r>
          </w:p>
        </w:tc>
        <w:tc>
          <w:tcPr>
            <w:tcW w:w="220" w:type="dxa"/>
            <w:vAlign w:val="bottom"/>
            <w:tcBorders>
              <w:top w:val="single" w:sz="8" w:color="231F20"/>
              <w:right w:val="single" w:sz="8" w:color="231F20"/>
            </w:tcBorders>
            <w:shd w:val="clear" w:color="auto" w:fill="F3F3F3"/>
          </w:tcPr>
          <w:p>
            <w:pPr>
              <w:spacing w:after="0"/>
              <w:rPr>
                <w:sz w:val="10"/>
                <w:szCs w:val="10"/>
                <w:color w:val="auto"/>
              </w:rPr>
            </w:pPr>
          </w:p>
        </w:tc>
        <w:tc>
          <w:tcPr>
            <w:tcW w:w="40" w:type="dxa"/>
            <w:vAlign w:val="bottom"/>
            <w:tcBorders>
              <w:top w:val="single" w:sz="8" w:color="231F20"/>
            </w:tcBorders>
            <w:shd w:val="clear" w:color="auto" w:fill="F3F3F3"/>
          </w:tcPr>
          <w:p>
            <w:pPr>
              <w:spacing w:after="0"/>
              <w:rPr>
                <w:sz w:val="10"/>
                <w:szCs w:val="10"/>
                <w:color w:val="auto"/>
              </w:rPr>
            </w:pPr>
          </w:p>
        </w:tc>
        <w:tc>
          <w:tcPr>
            <w:tcW w:w="1140" w:type="dxa"/>
            <w:vAlign w:val="bottom"/>
            <w:tcBorders>
              <w:top w:val="single" w:sz="8" w:color="231F20"/>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2000</w:t>
            </w:r>
          </w:p>
        </w:tc>
        <w:tc>
          <w:tcPr>
            <w:tcW w:w="20" w:type="dxa"/>
            <w:vAlign w:val="bottom"/>
            <w:tcBorders>
              <w:top w:val="single" w:sz="8" w:color="231F20"/>
            </w:tcBorders>
            <w:shd w:val="clear" w:color="auto" w:fill="F3F3F3"/>
          </w:tcPr>
          <w:p>
            <w:pPr>
              <w:spacing w:after="0"/>
              <w:rPr>
                <w:sz w:val="10"/>
                <w:szCs w:val="10"/>
                <w:color w:val="auto"/>
              </w:rPr>
            </w:pPr>
          </w:p>
        </w:tc>
        <w:tc>
          <w:tcPr>
            <w:tcW w:w="1380" w:type="dxa"/>
            <w:vAlign w:val="bottom"/>
            <w:tcBorders>
              <w:top w:val="single" w:sz="8" w:color="231F20"/>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2005</w:t>
            </w:r>
          </w:p>
        </w:tc>
        <w:tc>
          <w:tcPr>
            <w:tcW w:w="1220" w:type="dxa"/>
            <w:vAlign w:val="bottom"/>
            <w:tcBorders>
              <w:top w:val="single" w:sz="8" w:color="231F20"/>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2011</w:t>
            </w:r>
          </w:p>
        </w:tc>
        <w:tc>
          <w:tcPr>
            <w:tcW w:w="1200" w:type="dxa"/>
            <w:vAlign w:val="bottom"/>
            <w:tcBorders>
              <w:top w:val="single" w:sz="8" w:color="231F20"/>
              <w:right w:val="single" w:sz="8" w:color="231F20"/>
            </w:tcBorders>
            <w:shd w:val="clear" w:color="auto" w:fill="F3F3F3"/>
          </w:tcPr>
          <w:p>
            <w:pPr>
              <w:spacing w:after="0"/>
              <w:rPr>
                <w:sz w:val="10"/>
                <w:szCs w:val="10"/>
                <w:color w:val="auto"/>
              </w:rPr>
            </w:pPr>
          </w:p>
        </w:tc>
        <w:tc>
          <w:tcPr>
            <w:tcW w:w="1380" w:type="dxa"/>
            <w:vAlign w:val="bottom"/>
            <w:tcBorders>
              <w:top w:val="single" w:sz="8" w:color="231F20"/>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2018</w:t>
            </w:r>
          </w:p>
        </w:tc>
        <w:tc>
          <w:tcPr>
            <w:tcW w:w="600" w:type="dxa"/>
            <w:vAlign w:val="bottom"/>
            <w:tcBorders>
              <w:top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2019</w:t>
            </w:r>
          </w:p>
        </w:tc>
        <w:tc>
          <w:tcPr>
            <w:tcW w:w="0" w:type="dxa"/>
            <w:vAlign w:val="bottom"/>
          </w:tcPr>
          <w:p>
            <w:pPr>
              <w:spacing w:after="0"/>
              <w:rPr>
                <w:sz w:val="1"/>
                <w:szCs w:val="1"/>
                <w:color w:val="auto"/>
              </w:rPr>
            </w:pPr>
          </w:p>
        </w:tc>
      </w:tr>
      <w:tr>
        <w:trPr>
          <w:trHeight w:val="54"/>
        </w:trPr>
        <w:tc>
          <w:tcPr>
            <w:tcW w:w="860" w:type="dxa"/>
            <w:vAlign w:val="bottom"/>
            <w:shd w:val="clear" w:color="auto" w:fill="E9EAEB"/>
          </w:tcPr>
          <w:p>
            <w:pPr>
              <w:ind w:left="80"/>
              <w:spacing w:after="0" w:line="54" w:lineRule="exact"/>
              <w:rPr>
                <w:sz w:val="20"/>
                <w:szCs w:val="20"/>
                <w:color w:val="auto"/>
              </w:rPr>
            </w:pPr>
            <w:r>
              <w:rPr>
                <w:rFonts w:ascii="Arial" w:cs="Arial" w:eastAsia="Arial" w:hAnsi="Arial"/>
                <w:sz w:val="6"/>
                <w:szCs w:val="6"/>
                <w:b w:val="1"/>
                <w:bCs w:val="1"/>
                <w:color w:val="231F20"/>
              </w:rPr>
              <w:t>PRESENCE &amp;</w:t>
            </w:r>
          </w:p>
        </w:tc>
        <w:tc>
          <w:tcPr>
            <w:tcW w:w="100" w:type="dxa"/>
            <w:vAlign w:val="bottom"/>
            <w:tcBorders>
              <w:right w:val="single" w:sz="8" w:color="231F20"/>
            </w:tcBorders>
            <w:shd w:val="clear" w:color="auto" w:fill="E9EAEB"/>
          </w:tcPr>
          <w:p>
            <w:pPr>
              <w:spacing w:after="0"/>
              <w:rPr>
                <w:sz w:val="4"/>
                <w:szCs w:val="4"/>
                <w:color w:val="auto"/>
              </w:rPr>
            </w:pPr>
          </w:p>
        </w:tc>
        <w:tc>
          <w:tcPr>
            <w:tcW w:w="9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Original business</w:t>
            </w:r>
          </w:p>
        </w:tc>
        <w:tc>
          <w:tcPr>
            <w:tcW w:w="220" w:type="dxa"/>
            <w:vAlign w:val="bottom"/>
            <w:tcBorders>
              <w:right w:val="single" w:sz="8" w:color="231F20"/>
            </w:tcBorders>
            <w:shd w:val="clear" w:color="auto" w:fill="F3F3F3"/>
          </w:tcPr>
          <w:p>
            <w:pPr>
              <w:spacing w:after="0"/>
              <w:rPr>
                <w:sz w:val="4"/>
                <w:szCs w:val="4"/>
                <w:color w:val="auto"/>
              </w:rPr>
            </w:pPr>
          </w:p>
        </w:tc>
        <w:tc>
          <w:tcPr>
            <w:tcW w:w="40" w:type="dxa"/>
            <w:vAlign w:val="bottom"/>
            <w:shd w:val="clear" w:color="auto" w:fill="F3F3F3"/>
          </w:tcPr>
          <w:p>
            <w:pPr>
              <w:spacing w:after="0"/>
              <w:rPr>
                <w:sz w:val="4"/>
                <w:szCs w:val="4"/>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Expanded into Europe</w:t>
            </w:r>
          </w:p>
        </w:tc>
        <w:tc>
          <w:tcPr>
            <w:tcW w:w="20" w:type="dxa"/>
            <w:vAlign w:val="bottom"/>
            <w:shd w:val="clear" w:color="auto" w:fill="F3F3F3"/>
          </w:tcPr>
          <w:p>
            <w:pPr>
              <w:spacing w:after="0"/>
              <w:rPr>
                <w:sz w:val="4"/>
                <w:szCs w:val="4"/>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Opened Tokyo office</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Acquired Rafferty</w:t>
            </w:r>
          </w:p>
        </w:tc>
        <w:tc>
          <w:tcPr>
            <w:tcW w:w="1200" w:type="dxa"/>
            <w:vAlign w:val="bottom"/>
            <w:tcBorders>
              <w:right w:val="single" w:sz="8" w:color="231F20"/>
            </w:tcBorders>
            <w:shd w:val="clear" w:color="auto" w:fill="F3F3F3"/>
          </w:tcPr>
          <w:p>
            <w:pPr>
              <w:spacing w:after="0"/>
              <w:rPr>
                <w:sz w:val="4"/>
                <w:szCs w:val="4"/>
                <w:color w:val="auto"/>
              </w:rPr>
            </w:pPr>
          </w:p>
        </w:tc>
        <w:tc>
          <w:tcPr>
            <w:tcW w:w="138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Opened Amsterdam and</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Completed</w:t>
            </w:r>
          </w:p>
        </w:tc>
        <w:tc>
          <w:tcPr>
            <w:tcW w:w="0" w:type="dxa"/>
            <w:vAlign w:val="bottom"/>
          </w:tcPr>
          <w:p>
            <w:pPr>
              <w:spacing w:after="0"/>
              <w:rPr>
                <w:sz w:val="1"/>
                <w:szCs w:val="1"/>
                <w:color w:val="auto"/>
              </w:rPr>
            </w:pPr>
          </w:p>
        </w:tc>
      </w:tr>
      <w:tr>
        <w:trPr>
          <w:trHeight w:val="95"/>
        </w:trPr>
        <w:tc>
          <w:tcPr>
            <w:tcW w:w="860" w:type="dxa"/>
            <w:vAlign w:val="bottom"/>
            <w:shd w:val="clear" w:color="auto" w:fill="E9EAEB"/>
          </w:tcPr>
          <w:p>
            <w:pPr>
              <w:ind w:left="80"/>
              <w:spacing w:after="0" w:line="95" w:lineRule="exact"/>
              <w:rPr>
                <w:sz w:val="20"/>
                <w:szCs w:val="20"/>
                <w:color w:val="auto"/>
              </w:rPr>
            </w:pPr>
            <w:r>
              <w:rPr>
                <w:rFonts w:ascii="Arial" w:cs="Arial" w:eastAsia="Arial" w:hAnsi="Arial"/>
                <w:sz w:val="10"/>
                <w:szCs w:val="10"/>
                <w:b w:val="1"/>
                <w:bCs w:val="1"/>
                <w:color w:val="231F20"/>
              </w:rPr>
              <w:t>MAJOR</w:t>
            </w: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vMerge w:val="continue"/>
            <w:shd w:val="clear" w:color="auto" w:fill="F3F3F3"/>
          </w:tcPr>
          <w:p>
            <w:pPr>
              <w:spacing w:after="0"/>
              <w:rPr>
                <w:sz w:val="8"/>
                <w:szCs w:val="8"/>
                <w:color w:val="auto"/>
              </w:rPr>
            </w:pP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vMerge w:val="continue"/>
            <w:shd w:val="clear" w:color="auto" w:fill="F3F3F3"/>
          </w:tcPr>
          <w:p>
            <w:pPr>
              <w:spacing w:after="0"/>
              <w:rPr>
                <w:sz w:val="8"/>
                <w:szCs w:val="8"/>
                <w:color w:val="auto"/>
              </w:rPr>
            </w:pP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vMerge w:val="continue"/>
            <w:shd w:val="clear" w:color="auto" w:fill="F3F3F3"/>
          </w:tcPr>
          <w:p>
            <w:pPr>
              <w:spacing w:after="0"/>
              <w:rPr>
                <w:sz w:val="8"/>
                <w:szCs w:val="8"/>
                <w:color w:val="auto"/>
              </w:rPr>
            </w:pPr>
          </w:p>
        </w:tc>
        <w:tc>
          <w:tcPr>
            <w:tcW w:w="1220" w:type="dxa"/>
            <w:vAlign w:val="bottom"/>
            <w:tcBorders>
              <w:right w:val="single" w:sz="8" w:color="231F20"/>
            </w:tcBorders>
            <w:vMerge w:val="continue"/>
            <w:shd w:val="clear" w:color="auto" w:fill="F3F3F3"/>
          </w:tcPr>
          <w:p>
            <w:pPr>
              <w:spacing w:after="0"/>
              <w:rPr>
                <w:sz w:val="8"/>
                <w:szCs w:val="8"/>
                <w:color w:val="auto"/>
              </w:rPr>
            </w:pP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vMerge w:val="continue"/>
            <w:shd w:val="clear" w:color="auto" w:fill="F3F3F3"/>
          </w:tcPr>
          <w:p>
            <w:pPr>
              <w:spacing w:after="0"/>
              <w:rPr>
                <w:sz w:val="8"/>
                <w:szCs w:val="8"/>
                <w:color w:val="auto"/>
              </w:rPr>
            </w:pPr>
          </w:p>
        </w:tc>
        <w:tc>
          <w:tcPr>
            <w:tcW w:w="600" w:type="dxa"/>
            <w:vAlign w:val="bottom"/>
            <w:vMerge w:val="continue"/>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9EAEB"/>
          </w:tcPr>
          <w:p>
            <w:pPr>
              <w:ind w:left="80"/>
              <w:spacing w:after="0" w:line="68" w:lineRule="exact"/>
              <w:rPr>
                <w:sz w:val="20"/>
                <w:szCs w:val="20"/>
                <w:color w:val="auto"/>
              </w:rPr>
            </w:pPr>
            <w:r>
              <w:rPr>
                <w:rFonts w:ascii="Arial" w:cs="Arial" w:eastAsia="Arial" w:hAnsi="Arial"/>
                <w:sz w:val="7"/>
                <w:szCs w:val="7"/>
                <w:b w:val="1"/>
                <w:bCs w:val="1"/>
                <w:color w:val="231F20"/>
              </w:rPr>
              <w:t>TRANSACTIONS</w:t>
            </w:r>
          </w:p>
        </w:tc>
        <w:tc>
          <w:tcPr>
            <w:tcW w:w="100" w:type="dxa"/>
            <w:vAlign w:val="bottom"/>
            <w:tcBorders>
              <w:right w:val="single" w:sz="8" w:color="231F20"/>
            </w:tcBorders>
            <w:shd w:val="clear" w:color="auto" w:fill="E9EAEB"/>
          </w:tcPr>
          <w:p>
            <w:pPr>
              <w:spacing w:after="0"/>
              <w:rPr>
                <w:sz w:val="5"/>
                <w:szCs w:val="5"/>
                <w:color w:val="auto"/>
              </w:rPr>
            </w:pPr>
          </w:p>
        </w:tc>
        <w:tc>
          <w:tcPr>
            <w:tcW w:w="900" w:type="dxa"/>
            <w:vAlign w:val="bottom"/>
            <w:shd w:val="clear" w:color="auto" w:fill="F3F3F3"/>
          </w:tcPr>
          <w:p>
            <w:pPr>
              <w:ind w:left="40"/>
              <w:spacing w:after="0" w:line="68" w:lineRule="exact"/>
              <w:rPr>
                <w:sz w:val="20"/>
                <w:szCs w:val="20"/>
                <w:color w:val="auto"/>
              </w:rPr>
            </w:pPr>
            <w:r>
              <w:rPr>
                <w:rFonts w:ascii="Arial" w:cs="Arial" w:eastAsia="Arial" w:hAnsi="Arial"/>
                <w:sz w:val="7"/>
                <w:szCs w:val="7"/>
                <w:color w:val="231F20"/>
              </w:rPr>
              <w:t>plan drafted</w:t>
            </w:r>
          </w:p>
        </w:tc>
        <w:tc>
          <w:tcPr>
            <w:tcW w:w="220" w:type="dxa"/>
            <w:vAlign w:val="bottom"/>
            <w:tcBorders>
              <w:right w:val="single" w:sz="8" w:color="231F20"/>
            </w:tcBorders>
            <w:shd w:val="clear" w:color="auto" w:fill="F3F3F3"/>
          </w:tcPr>
          <w:p>
            <w:pPr>
              <w:spacing w:after="0"/>
              <w:rPr>
                <w:sz w:val="5"/>
                <w:szCs w:val="5"/>
                <w:color w:val="auto"/>
              </w:rPr>
            </w:pPr>
          </w:p>
        </w:tc>
        <w:tc>
          <w:tcPr>
            <w:tcW w:w="40" w:type="dxa"/>
            <w:vAlign w:val="bottom"/>
            <w:shd w:val="clear" w:color="auto" w:fill="F3F3F3"/>
          </w:tcPr>
          <w:p>
            <w:pPr>
              <w:spacing w:after="0"/>
              <w:rPr>
                <w:sz w:val="5"/>
                <w:szCs w:val="5"/>
                <w:color w:val="auto"/>
              </w:rPr>
            </w:pPr>
          </w:p>
        </w:tc>
        <w:tc>
          <w:tcPr>
            <w:tcW w:w="1140" w:type="dxa"/>
            <w:vAlign w:val="bottom"/>
            <w:tcBorders>
              <w:right w:val="single" w:sz="8" w:color="231F20"/>
            </w:tcBorders>
            <w:shd w:val="clear" w:color="auto" w:fill="F3F3F3"/>
          </w:tcPr>
          <w:p>
            <w:pPr>
              <w:ind w:left="20"/>
              <w:spacing w:after="0" w:line="68" w:lineRule="exact"/>
              <w:rPr>
                <w:sz w:val="20"/>
                <w:szCs w:val="20"/>
                <w:color w:val="auto"/>
              </w:rPr>
            </w:pPr>
            <w:r>
              <w:rPr>
                <w:rFonts w:ascii="Arial" w:cs="Arial" w:eastAsia="Arial" w:hAnsi="Arial"/>
                <w:sz w:val="7"/>
                <w:szCs w:val="7"/>
                <w:color w:val="231F20"/>
              </w:rPr>
              <w:t>with opening of London</w:t>
            </w:r>
          </w:p>
        </w:tc>
        <w:tc>
          <w:tcPr>
            <w:tcW w:w="20" w:type="dxa"/>
            <w:vAlign w:val="bottom"/>
            <w:shd w:val="clear" w:color="auto" w:fill="F3F3F3"/>
          </w:tcPr>
          <w:p>
            <w:pPr>
              <w:spacing w:after="0"/>
              <w:rPr>
                <w:sz w:val="5"/>
                <w:szCs w:val="5"/>
                <w:color w:val="auto"/>
              </w:rPr>
            </w:pPr>
          </w:p>
        </w:tc>
        <w:tc>
          <w:tcPr>
            <w:tcW w:w="1380" w:type="dxa"/>
            <w:vAlign w:val="bottom"/>
            <w:tcBorders>
              <w:right w:val="single" w:sz="8" w:color="231F20"/>
            </w:tcBorders>
            <w:shd w:val="clear" w:color="auto" w:fill="F3F3F3"/>
          </w:tcPr>
          <w:p>
            <w:pPr>
              <w:spacing w:after="0"/>
              <w:rPr>
                <w:sz w:val="5"/>
                <w:szCs w:val="5"/>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Capital Markets</w:t>
            </w:r>
          </w:p>
        </w:tc>
        <w:tc>
          <w:tcPr>
            <w:tcW w:w="1200" w:type="dxa"/>
            <w:vAlign w:val="bottom"/>
            <w:tcBorders>
              <w:right w:val="single" w:sz="8" w:color="231F20"/>
            </w:tcBorders>
            <w:shd w:val="clear" w:color="auto" w:fill="F3F3F3"/>
          </w:tcPr>
          <w:p>
            <w:pPr>
              <w:spacing w:after="0"/>
              <w:rPr>
                <w:sz w:val="5"/>
                <w:szCs w:val="5"/>
                <w:color w:val="auto"/>
              </w:rPr>
            </w:pPr>
          </w:p>
        </w:tc>
        <w:tc>
          <w:tcPr>
            <w:tcW w:w="1380" w:type="dxa"/>
            <w:vAlign w:val="bottom"/>
            <w:tcBorders>
              <w:right w:val="single" w:sz="8" w:color="231F20"/>
            </w:tcBorders>
            <w:shd w:val="clear" w:color="auto" w:fill="F3F3F3"/>
          </w:tcPr>
          <w:p>
            <w:pPr>
              <w:ind w:left="40"/>
              <w:spacing w:after="0" w:line="68" w:lineRule="exact"/>
              <w:rPr>
                <w:sz w:val="20"/>
                <w:szCs w:val="20"/>
                <w:color w:val="auto"/>
              </w:rPr>
            </w:pPr>
            <w:r>
              <w:rPr>
                <w:rFonts w:ascii="Arial" w:cs="Arial" w:eastAsia="Arial" w:hAnsi="Arial"/>
                <w:sz w:val="7"/>
                <w:szCs w:val="7"/>
                <w:color w:val="231F20"/>
              </w:rPr>
              <w:t>Shanghai offices</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IPO</w:t>
            </w:r>
          </w:p>
        </w:tc>
        <w:tc>
          <w:tcPr>
            <w:tcW w:w="0" w:type="dxa"/>
            <w:vAlign w:val="bottom"/>
          </w:tcPr>
          <w:p>
            <w:pPr>
              <w:spacing w:after="0"/>
              <w:rPr>
                <w:sz w:val="1"/>
                <w:szCs w:val="1"/>
                <w:color w:val="auto"/>
              </w:rPr>
            </w:pPr>
          </w:p>
        </w:tc>
      </w:tr>
      <w:tr>
        <w:trPr>
          <w:trHeight w:val="118"/>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1997</w:t>
            </w: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office</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b w:val="1"/>
                <w:bCs w:val="1"/>
                <w:color w:val="231F20"/>
              </w:rPr>
              <w:t>2006</w:t>
            </w: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continue"/>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vMerge w:val="continue"/>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b w:val="1"/>
                <w:bCs w:val="1"/>
                <w:color w:val="231F20"/>
              </w:rPr>
              <w:t>2004</w:t>
            </w: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vMerge w:val="continue"/>
            <w:shd w:val="clear" w:color="auto" w:fill="F3F3F3"/>
          </w:tcPr>
          <w:p>
            <w:pPr>
              <w:spacing w:after="0"/>
              <w:rPr>
                <w:sz w:val="2"/>
                <w:szCs w:val="2"/>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2013</w:t>
            </w: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1120" w:type="dxa"/>
            <w:vAlign w:val="bottom"/>
            <w:tcBorders>
              <w:right w:val="single" w:sz="8" w:color="231F20"/>
            </w:tcBorders>
            <w:gridSpan w:val="2"/>
            <w:shd w:val="clear" w:color="auto" w:fill="F3F3F3"/>
          </w:tcPr>
          <w:p>
            <w:pPr>
              <w:ind w:left="40"/>
              <w:spacing w:after="0"/>
              <w:rPr>
                <w:sz w:val="20"/>
                <w:szCs w:val="20"/>
                <w:color w:val="auto"/>
              </w:rPr>
            </w:pPr>
            <w:r>
              <w:rPr>
                <w:rFonts w:ascii="Arial" w:cs="Arial" w:eastAsia="Arial" w:hAnsi="Arial"/>
                <w:sz w:val="10"/>
                <w:szCs w:val="10"/>
                <w:color w:val="231F20"/>
              </w:rPr>
              <w:t>Tradeweb formed with</w:t>
            </w: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vMerge w:val="continue"/>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Acquired LeverTrade to enter</w:t>
            </w: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shd w:val="clear" w:color="auto" w:fill="E9EAEB"/>
          </w:tcPr>
          <w:p>
            <w:pPr>
              <w:spacing w:after="0"/>
              <w:rPr>
                <w:sz w:val="8"/>
                <w:szCs w:val="8"/>
                <w:color w:val="auto"/>
              </w:rPr>
            </w:pP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ind w:left="40"/>
              <w:spacing w:after="0" w:line="95" w:lineRule="exact"/>
              <w:rPr>
                <w:sz w:val="20"/>
                <w:szCs w:val="20"/>
                <w:color w:val="auto"/>
              </w:rPr>
            </w:pPr>
            <w:r>
              <w:rPr>
                <w:rFonts w:ascii="Arial" w:cs="Arial" w:eastAsia="Arial" w:hAnsi="Arial"/>
                <w:sz w:val="10"/>
                <w:szCs w:val="10"/>
                <w:color w:val="231F20"/>
              </w:rPr>
              <w:t>investment from</w:t>
            </w: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ind w:left="20"/>
              <w:spacing w:after="0" w:line="95" w:lineRule="exact"/>
              <w:rPr>
                <w:sz w:val="20"/>
                <w:szCs w:val="20"/>
                <w:color w:val="auto"/>
              </w:rPr>
            </w:pPr>
            <w:r>
              <w:rPr>
                <w:rFonts w:ascii="Arial" w:cs="Arial" w:eastAsia="Arial" w:hAnsi="Arial"/>
                <w:sz w:val="10"/>
                <w:szCs w:val="10"/>
                <w:color w:val="231F20"/>
              </w:rPr>
              <w:t>Expanded into Asia with</w:t>
            </w: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ind w:left="20"/>
              <w:spacing w:after="0" w:line="95" w:lineRule="exact"/>
              <w:rPr>
                <w:sz w:val="20"/>
                <w:szCs w:val="20"/>
                <w:color w:val="auto"/>
              </w:rPr>
            </w:pPr>
            <w:r>
              <w:rPr>
                <w:rFonts w:ascii="Arial" w:cs="Arial" w:eastAsia="Arial" w:hAnsi="Arial"/>
                <w:sz w:val="10"/>
                <w:szCs w:val="10"/>
                <w:color w:val="231F20"/>
              </w:rPr>
              <w:t>Retail client sector</w:t>
            </w:r>
          </w:p>
        </w:tc>
        <w:tc>
          <w:tcPr>
            <w:tcW w:w="1220" w:type="dxa"/>
            <w:vAlign w:val="bottom"/>
            <w:tcBorders>
              <w:right w:val="single" w:sz="8" w:color="231F20"/>
            </w:tcBorders>
            <w:shd w:val="clear" w:color="auto" w:fill="F3F3F3"/>
          </w:tcPr>
          <w:p>
            <w:pPr>
              <w:ind w:left="40"/>
              <w:spacing w:after="0" w:line="95" w:lineRule="exact"/>
              <w:rPr>
                <w:sz w:val="20"/>
                <w:szCs w:val="20"/>
                <w:color w:val="auto"/>
              </w:rPr>
            </w:pPr>
            <w:r>
              <w:rPr>
                <w:rFonts w:ascii="Arial" w:cs="Arial" w:eastAsia="Arial" w:hAnsi="Arial"/>
                <w:sz w:val="10"/>
                <w:szCs w:val="10"/>
                <w:color w:val="231F20"/>
              </w:rPr>
              <w:t>Acquired BondDesk to</w:t>
            </w: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600" w:type="dxa"/>
            <w:vAlign w:val="bottom"/>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4 banks in the U.S.</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opening of Singapore</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b w:val="1"/>
                <w:bCs w:val="1"/>
                <w:color w:val="231F20"/>
              </w:rPr>
              <w:t>2008</w:t>
            </w: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expand Retail client sector</w:t>
            </w:r>
          </w:p>
        </w:tc>
        <w:tc>
          <w:tcPr>
            <w:tcW w:w="1200" w:type="dxa"/>
            <w:vAlign w:val="bottom"/>
            <w:tcBorders>
              <w:right w:val="single" w:sz="8" w:color="231F20"/>
            </w:tcBorders>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and Hong Kong offices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Acquired Hillard Farber &amp; Co.</w:t>
            </w: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presence</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vMerge w:val="continue"/>
            <w:shd w:val="clear" w:color="auto" w:fill="F3F3F3"/>
          </w:tcPr>
          <w:p>
            <w:pPr>
              <w:spacing w:after="0"/>
              <w:rPr>
                <w:sz w:val="2"/>
                <w:szCs w:val="2"/>
                <w:color w:val="auto"/>
              </w:rPr>
            </w:pPr>
          </w:p>
        </w:tc>
        <w:tc>
          <w:tcPr>
            <w:tcW w:w="1220" w:type="dxa"/>
            <w:vAlign w:val="bottom"/>
            <w:tcBorders>
              <w:right w:val="single" w:sz="8" w:color="231F20"/>
            </w:tcBorders>
            <w:shd w:val="clear" w:color="auto" w:fill="F3F3F3"/>
          </w:tcPr>
          <w:p>
            <w:pPr>
              <w:spacing w:after="0"/>
              <w:rPr>
                <w:sz w:val="2"/>
                <w:szCs w:val="2"/>
                <w:color w:val="auto"/>
              </w:rPr>
            </w:pP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Inc. to enter Wholesale client</w:t>
            </w:r>
          </w:p>
        </w:tc>
        <w:tc>
          <w:tcPr>
            <w:tcW w:w="1220" w:type="dxa"/>
            <w:vAlign w:val="bottom"/>
            <w:tcBorders>
              <w:right w:val="single" w:sz="8" w:color="231F20"/>
            </w:tcBorders>
            <w:shd w:val="clear" w:color="auto" w:fill="F3F3F3"/>
          </w:tcPr>
          <w:p>
            <w:pPr>
              <w:spacing w:after="0"/>
              <w:rPr>
                <w:sz w:val="7"/>
                <w:szCs w:val="7"/>
                <w:color w:val="auto"/>
              </w:rPr>
            </w:pPr>
          </w:p>
        </w:tc>
        <w:tc>
          <w:tcPr>
            <w:tcW w:w="1200" w:type="dxa"/>
            <w:vAlign w:val="bottom"/>
            <w:tcBorders>
              <w:right w:val="single" w:sz="8" w:color="231F20"/>
            </w:tcBorders>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sector</w:t>
            </w:r>
          </w:p>
        </w:tc>
        <w:tc>
          <w:tcPr>
            <w:tcW w:w="1220" w:type="dxa"/>
            <w:vAlign w:val="bottom"/>
            <w:tcBorders>
              <w:right w:val="single" w:sz="8" w:color="231F20"/>
            </w:tcBorders>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389"/>
        </w:trPr>
        <w:tc>
          <w:tcPr>
            <w:tcW w:w="860" w:type="dxa"/>
            <w:vAlign w:val="bottom"/>
            <w:tcBorders>
              <w:bottom w:val="single" w:sz="8" w:color="231F20"/>
            </w:tcBorders>
            <w:shd w:val="clear" w:color="auto" w:fill="E9EAEB"/>
          </w:tcPr>
          <w:p>
            <w:pPr>
              <w:spacing w:after="0"/>
              <w:rPr>
                <w:sz w:val="24"/>
                <w:szCs w:val="24"/>
                <w:color w:val="auto"/>
              </w:rPr>
            </w:pPr>
          </w:p>
        </w:tc>
        <w:tc>
          <w:tcPr>
            <w:tcW w:w="100" w:type="dxa"/>
            <w:vAlign w:val="bottom"/>
            <w:tcBorders>
              <w:bottom w:val="single" w:sz="8" w:color="231F20"/>
              <w:right w:val="single" w:sz="8" w:color="231F20"/>
            </w:tcBorders>
            <w:shd w:val="clear" w:color="auto" w:fill="E9EAEB"/>
          </w:tcPr>
          <w:p>
            <w:pPr>
              <w:spacing w:after="0"/>
              <w:rPr>
                <w:sz w:val="24"/>
                <w:szCs w:val="24"/>
                <w:color w:val="auto"/>
              </w:rPr>
            </w:pPr>
          </w:p>
        </w:tc>
        <w:tc>
          <w:tcPr>
            <w:tcW w:w="900" w:type="dxa"/>
            <w:vAlign w:val="bottom"/>
            <w:tcBorders>
              <w:bottom w:val="single" w:sz="8" w:color="231F20"/>
            </w:tcBorders>
            <w:shd w:val="clear" w:color="auto" w:fill="F3F3F3"/>
          </w:tcPr>
          <w:p>
            <w:pPr>
              <w:spacing w:after="0"/>
              <w:rPr>
                <w:sz w:val="24"/>
                <w:szCs w:val="24"/>
                <w:color w:val="auto"/>
              </w:rPr>
            </w:pPr>
          </w:p>
        </w:tc>
        <w:tc>
          <w:tcPr>
            <w:tcW w:w="220" w:type="dxa"/>
            <w:vAlign w:val="bottom"/>
            <w:tcBorders>
              <w:bottom w:val="single" w:sz="8" w:color="231F20"/>
              <w:right w:val="single" w:sz="8" w:color="231F20"/>
            </w:tcBorders>
            <w:shd w:val="clear" w:color="auto" w:fill="F3F3F3"/>
          </w:tcPr>
          <w:p>
            <w:pPr>
              <w:spacing w:after="0"/>
              <w:rPr>
                <w:sz w:val="24"/>
                <w:szCs w:val="24"/>
                <w:color w:val="auto"/>
              </w:rPr>
            </w:pPr>
          </w:p>
        </w:tc>
        <w:tc>
          <w:tcPr>
            <w:tcW w:w="40" w:type="dxa"/>
            <w:vAlign w:val="bottom"/>
            <w:tcBorders>
              <w:bottom w:val="single" w:sz="8" w:color="231F20"/>
            </w:tcBorders>
            <w:shd w:val="clear" w:color="auto" w:fill="F3F3F3"/>
          </w:tcPr>
          <w:p>
            <w:pPr>
              <w:spacing w:after="0"/>
              <w:rPr>
                <w:sz w:val="24"/>
                <w:szCs w:val="24"/>
                <w:color w:val="auto"/>
              </w:rPr>
            </w:pPr>
          </w:p>
        </w:tc>
        <w:tc>
          <w:tcPr>
            <w:tcW w:w="1140" w:type="dxa"/>
            <w:vAlign w:val="bottom"/>
            <w:tcBorders>
              <w:bottom w:val="single" w:sz="8" w:color="231F20"/>
              <w:right w:val="single" w:sz="8" w:color="231F20"/>
            </w:tcBorders>
            <w:shd w:val="clear" w:color="auto" w:fill="F3F3F3"/>
          </w:tcPr>
          <w:p>
            <w:pPr>
              <w:spacing w:after="0"/>
              <w:rPr>
                <w:sz w:val="24"/>
                <w:szCs w:val="24"/>
                <w:color w:val="auto"/>
              </w:rPr>
            </w:pPr>
          </w:p>
        </w:tc>
        <w:tc>
          <w:tcPr>
            <w:tcW w:w="20" w:type="dxa"/>
            <w:vAlign w:val="bottom"/>
            <w:tcBorders>
              <w:bottom w:val="single" w:sz="8" w:color="231F20"/>
            </w:tcBorders>
            <w:shd w:val="clear" w:color="auto" w:fill="F3F3F3"/>
          </w:tcPr>
          <w:p>
            <w:pPr>
              <w:spacing w:after="0"/>
              <w:rPr>
                <w:sz w:val="24"/>
                <w:szCs w:val="24"/>
                <w:color w:val="auto"/>
              </w:rPr>
            </w:pPr>
          </w:p>
        </w:tc>
        <w:tc>
          <w:tcPr>
            <w:tcW w:w="1380" w:type="dxa"/>
            <w:vAlign w:val="bottom"/>
            <w:tcBorders>
              <w:bottom w:val="single" w:sz="8" w:color="231F20"/>
              <w:right w:val="single" w:sz="8" w:color="231F20"/>
            </w:tcBorders>
            <w:shd w:val="clear" w:color="auto" w:fill="F3F3F3"/>
          </w:tcPr>
          <w:p>
            <w:pPr>
              <w:spacing w:after="0"/>
              <w:rPr>
                <w:sz w:val="24"/>
                <w:szCs w:val="24"/>
                <w:color w:val="auto"/>
              </w:rPr>
            </w:pPr>
          </w:p>
        </w:tc>
        <w:tc>
          <w:tcPr>
            <w:tcW w:w="1220" w:type="dxa"/>
            <w:vAlign w:val="bottom"/>
            <w:tcBorders>
              <w:bottom w:val="single" w:sz="8" w:color="231F20"/>
              <w:right w:val="single" w:sz="8" w:color="231F20"/>
            </w:tcBorders>
            <w:shd w:val="clear" w:color="auto" w:fill="F3F3F3"/>
          </w:tcPr>
          <w:p>
            <w:pPr>
              <w:spacing w:after="0"/>
              <w:rPr>
                <w:sz w:val="24"/>
                <w:szCs w:val="24"/>
                <w:color w:val="auto"/>
              </w:rPr>
            </w:pPr>
          </w:p>
        </w:tc>
        <w:tc>
          <w:tcPr>
            <w:tcW w:w="1200" w:type="dxa"/>
            <w:vAlign w:val="bottom"/>
            <w:tcBorders>
              <w:bottom w:val="single" w:sz="8" w:color="231F20"/>
              <w:right w:val="single" w:sz="8" w:color="231F20"/>
            </w:tcBorders>
            <w:shd w:val="clear" w:color="auto" w:fill="F3F3F3"/>
          </w:tcPr>
          <w:p>
            <w:pPr>
              <w:spacing w:after="0"/>
              <w:rPr>
                <w:sz w:val="24"/>
                <w:szCs w:val="24"/>
                <w:color w:val="auto"/>
              </w:rPr>
            </w:pPr>
          </w:p>
        </w:tc>
        <w:tc>
          <w:tcPr>
            <w:tcW w:w="1380" w:type="dxa"/>
            <w:vAlign w:val="bottom"/>
            <w:tcBorders>
              <w:bottom w:val="single" w:sz="8" w:color="231F20"/>
              <w:right w:val="single" w:sz="8" w:color="231F20"/>
            </w:tcBorders>
            <w:shd w:val="clear" w:color="auto" w:fill="F3F3F3"/>
          </w:tcPr>
          <w:p>
            <w:pPr>
              <w:spacing w:after="0"/>
              <w:rPr>
                <w:sz w:val="24"/>
                <w:szCs w:val="24"/>
                <w:color w:val="auto"/>
              </w:rPr>
            </w:pPr>
          </w:p>
        </w:tc>
        <w:tc>
          <w:tcPr>
            <w:tcW w:w="600" w:type="dxa"/>
            <w:vAlign w:val="bottom"/>
            <w:tcBorders>
              <w:bottom w:val="single" w:sz="8" w:color="231F20"/>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0" w:type="dxa"/>
            <w:vAlign w:val="bottom"/>
            <w:shd w:val="clear" w:color="auto" w:fill="E9EAEB"/>
          </w:tcPr>
          <w:p>
            <w:pPr>
              <w:ind w:left="80"/>
              <w:spacing w:after="0" w:line="102" w:lineRule="exact"/>
              <w:rPr>
                <w:sz w:val="20"/>
                <w:szCs w:val="20"/>
                <w:color w:val="auto"/>
              </w:rPr>
            </w:pPr>
            <w:r>
              <w:rPr>
                <w:rFonts w:ascii="Arial" w:cs="Arial" w:eastAsia="Arial" w:hAnsi="Arial"/>
                <w:sz w:val="10"/>
                <w:szCs w:val="10"/>
                <w:b w:val="1"/>
                <w:bCs w:val="1"/>
                <w:color w:val="231F20"/>
              </w:rPr>
              <w:t>MAJOR</w:t>
            </w: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1998</w:t>
            </w: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ind w:left="20"/>
              <w:spacing w:after="0" w:line="102" w:lineRule="exact"/>
              <w:rPr>
                <w:sz w:val="20"/>
                <w:szCs w:val="20"/>
                <w:color w:val="auto"/>
              </w:rPr>
            </w:pPr>
            <w:r>
              <w:rPr>
                <w:rFonts w:ascii="Arial" w:cs="Arial" w:eastAsia="Arial" w:hAnsi="Arial"/>
                <w:sz w:val="10"/>
                <w:szCs w:val="10"/>
                <w:b w:val="1"/>
                <w:bCs w:val="1"/>
                <w:color w:val="231F20"/>
              </w:rPr>
              <w:t>2000</w:t>
            </w: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ind w:left="20"/>
              <w:spacing w:after="0" w:line="102" w:lineRule="exact"/>
              <w:rPr>
                <w:sz w:val="20"/>
                <w:szCs w:val="20"/>
                <w:color w:val="auto"/>
              </w:rPr>
            </w:pPr>
            <w:r>
              <w:rPr>
                <w:rFonts w:ascii="Arial" w:cs="Arial" w:eastAsia="Arial" w:hAnsi="Arial"/>
                <w:sz w:val="10"/>
                <w:szCs w:val="10"/>
                <w:b w:val="1"/>
                <w:bCs w:val="1"/>
                <w:color w:val="231F20"/>
              </w:rPr>
              <w:t>2005</w:t>
            </w:r>
          </w:p>
        </w:tc>
        <w:tc>
          <w:tcPr>
            <w:tcW w:w="122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2010</w:t>
            </w:r>
          </w:p>
        </w:tc>
        <w:tc>
          <w:tcPr>
            <w:tcW w:w="120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2016</w:t>
            </w:r>
          </w:p>
        </w:tc>
        <w:tc>
          <w:tcPr>
            <w:tcW w:w="138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2018</w:t>
            </w:r>
          </w:p>
        </w:tc>
        <w:tc>
          <w:tcPr>
            <w:tcW w:w="600" w:type="dxa"/>
            <w:vAlign w:val="bottom"/>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2019</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ind w:left="80"/>
              <w:spacing w:after="0" w:line="108" w:lineRule="exact"/>
              <w:rPr>
                <w:sz w:val="20"/>
                <w:szCs w:val="20"/>
                <w:color w:val="auto"/>
              </w:rPr>
            </w:pPr>
            <w:r>
              <w:rPr>
                <w:rFonts w:ascii="Arial" w:cs="Arial" w:eastAsia="Arial" w:hAnsi="Arial"/>
                <w:sz w:val="10"/>
                <w:szCs w:val="10"/>
                <w:b w:val="1"/>
                <w:bCs w:val="1"/>
                <w:color w:val="231F20"/>
              </w:rPr>
              <w:t>LAUNCHES</w:t>
            </w: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Entered Rates and</w:t>
            </w: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Launched European</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Launched interest rates</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Entered Equities with</w:t>
            </w:r>
          </w:p>
        </w:tc>
        <w:tc>
          <w:tcPr>
            <w:tcW w:w="120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U.S. ETFs</w:t>
            </w:r>
          </w:p>
        </w:tc>
        <w:tc>
          <w:tcPr>
            <w:tcW w:w="138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APA</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Launched</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launched first multi-</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government bonds</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swaps</w:t>
            </w:r>
          </w:p>
        </w:tc>
        <w:tc>
          <w:tcPr>
            <w:tcW w:w="1220" w:type="dxa"/>
            <w:vAlign w:val="bottom"/>
            <w:tcBorders>
              <w:right w:val="single" w:sz="8" w:color="231F20"/>
            </w:tcBorders>
            <w:vMerge w:val="continue"/>
            <w:shd w:val="clear" w:color="auto" w:fill="F3F3F3"/>
          </w:tcPr>
          <w:p>
            <w:pPr>
              <w:spacing w:after="0"/>
              <w:rPr>
                <w:sz w:val="7"/>
                <w:szCs w:val="7"/>
                <w:color w:val="auto"/>
              </w:rPr>
            </w:pPr>
          </w:p>
        </w:tc>
        <w:tc>
          <w:tcPr>
            <w:tcW w:w="1200" w:type="dxa"/>
            <w:vAlign w:val="bottom"/>
            <w:tcBorders>
              <w:right w:val="single" w:sz="8" w:color="231F20"/>
            </w:tcBorders>
            <w:vMerge w:val="continue"/>
            <w:shd w:val="clear" w:color="auto" w:fill="F3F3F3"/>
          </w:tcPr>
          <w:p>
            <w:pPr>
              <w:spacing w:after="0"/>
              <w:rPr>
                <w:sz w:val="7"/>
                <w:szCs w:val="7"/>
                <w:color w:val="auto"/>
              </w:rPr>
            </w:pPr>
          </w:p>
        </w:tc>
        <w:tc>
          <w:tcPr>
            <w:tcW w:w="1380" w:type="dxa"/>
            <w:vAlign w:val="bottom"/>
            <w:tcBorders>
              <w:right w:val="single" w:sz="8" w:color="231F20"/>
            </w:tcBorders>
            <w:vMerge w:val="continue"/>
            <w:shd w:val="clear" w:color="auto" w:fill="F3F3F3"/>
          </w:tcPr>
          <w:p>
            <w:pPr>
              <w:spacing w:after="0"/>
              <w:rPr>
                <w:sz w:val="7"/>
                <w:szCs w:val="7"/>
                <w:color w:val="auto"/>
              </w:rPr>
            </w:pPr>
          </w:p>
        </w:tc>
        <w:tc>
          <w:tcPr>
            <w:tcW w:w="600" w:type="dxa"/>
            <w:vAlign w:val="bottom"/>
            <w:vMerge w:val="continue"/>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dealer online RFQ</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European derivatives</w:t>
            </w:r>
          </w:p>
        </w:tc>
        <w:tc>
          <w:tcPr>
            <w:tcW w:w="120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2017</w:t>
            </w:r>
          </w:p>
        </w:tc>
        <w:tc>
          <w:tcPr>
            <w:tcW w:w="138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service</w:t>
            </w:r>
          </w:p>
        </w:tc>
        <w:tc>
          <w:tcPr>
            <w:tcW w:w="6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portfolio</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spacing w:after="0"/>
              <w:rPr>
                <w:sz w:val="9"/>
                <w:szCs w:val="9"/>
                <w:color w:val="auto"/>
              </w:rPr>
            </w:pP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w w:val="92"/>
              </w:rPr>
              <w:t>marketplace for U.S.</w:t>
            </w: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b w:val="1"/>
                <w:bCs w:val="1"/>
                <w:color w:val="231F20"/>
              </w:rPr>
              <w:t>2001</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Entered Credit with</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2012</w:t>
            </w:r>
          </w:p>
        </w:tc>
        <w:tc>
          <w:tcPr>
            <w:tcW w:w="1200" w:type="dxa"/>
            <w:vAlign w:val="bottom"/>
            <w:tcBorders>
              <w:right w:val="single" w:sz="8" w:color="231F20"/>
            </w:tcBorders>
            <w:vMerge w:val="continue"/>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6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trading for</w:t>
            </w:r>
          </w:p>
        </w:tc>
        <w:tc>
          <w:tcPr>
            <w:tcW w:w="0" w:type="dxa"/>
            <w:vAlign w:val="bottom"/>
          </w:tcPr>
          <w:p>
            <w:pPr>
              <w:spacing w:after="0"/>
              <w:rPr>
                <w:sz w:val="1"/>
                <w:szCs w:val="1"/>
                <w:color w:val="auto"/>
              </w:rPr>
            </w:pPr>
          </w:p>
        </w:tc>
      </w:tr>
      <w:tr>
        <w:trPr>
          <w:trHeight w:val="68"/>
        </w:trPr>
        <w:tc>
          <w:tcPr>
            <w:tcW w:w="860" w:type="dxa"/>
            <w:vAlign w:val="bottom"/>
            <w:shd w:val="clear" w:color="auto" w:fill="E9EAEB"/>
          </w:tcPr>
          <w:p>
            <w:pPr>
              <w:spacing w:after="0"/>
              <w:rPr>
                <w:sz w:val="5"/>
                <w:szCs w:val="5"/>
                <w:color w:val="auto"/>
              </w:rPr>
            </w:pPr>
          </w:p>
        </w:tc>
        <w:tc>
          <w:tcPr>
            <w:tcW w:w="100" w:type="dxa"/>
            <w:vAlign w:val="bottom"/>
            <w:tcBorders>
              <w:right w:val="single" w:sz="8" w:color="231F20"/>
            </w:tcBorders>
            <w:shd w:val="clear" w:color="auto" w:fill="E9EAEB"/>
          </w:tcPr>
          <w:p>
            <w:pPr>
              <w:spacing w:after="0"/>
              <w:rPr>
                <w:sz w:val="5"/>
                <w:szCs w:val="5"/>
                <w:color w:val="auto"/>
              </w:rPr>
            </w:pPr>
          </w:p>
        </w:tc>
        <w:tc>
          <w:tcPr>
            <w:tcW w:w="900" w:type="dxa"/>
            <w:vAlign w:val="bottom"/>
            <w:shd w:val="clear" w:color="auto" w:fill="F3F3F3"/>
          </w:tcPr>
          <w:p>
            <w:pPr>
              <w:ind w:left="40"/>
              <w:spacing w:after="0" w:line="68" w:lineRule="exact"/>
              <w:rPr>
                <w:sz w:val="20"/>
                <w:szCs w:val="20"/>
                <w:color w:val="auto"/>
              </w:rPr>
            </w:pPr>
            <w:r>
              <w:rPr>
                <w:rFonts w:ascii="Arial" w:cs="Arial" w:eastAsia="Arial" w:hAnsi="Arial"/>
                <w:sz w:val="7"/>
                <w:szCs w:val="7"/>
                <w:color w:val="231F20"/>
              </w:rPr>
              <w:t>Treasuries</w:t>
            </w:r>
          </w:p>
        </w:tc>
        <w:tc>
          <w:tcPr>
            <w:tcW w:w="220" w:type="dxa"/>
            <w:vAlign w:val="bottom"/>
            <w:tcBorders>
              <w:right w:val="single" w:sz="8" w:color="231F20"/>
            </w:tcBorders>
            <w:shd w:val="clear" w:color="auto" w:fill="F3F3F3"/>
          </w:tcPr>
          <w:p>
            <w:pPr>
              <w:spacing w:after="0"/>
              <w:rPr>
                <w:sz w:val="5"/>
                <w:szCs w:val="5"/>
                <w:color w:val="auto"/>
              </w:rPr>
            </w:pPr>
          </w:p>
        </w:tc>
        <w:tc>
          <w:tcPr>
            <w:tcW w:w="40" w:type="dxa"/>
            <w:vAlign w:val="bottom"/>
            <w:shd w:val="clear" w:color="auto" w:fill="F3F3F3"/>
          </w:tcPr>
          <w:p>
            <w:pPr>
              <w:spacing w:after="0"/>
              <w:rPr>
                <w:sz w:val="5"/>
                <w:szCs w:val="5"/>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Launched mortgage</w:t>
            </w:r>
          </w:p>
        </w:tc>
        <w:tc>
          <w:tcPr>
            <w:tcW w:w="20" w:type="dxa"/>
            <w:vAlign w:val="bottom"/>
            <w:shd w:val="clear" w:color="auto" w:fill="F3F3F3"/>
          </w:tcPr>
          <w:p>
            <w:pPr>
              <w:spacing w:after="0"/>
              <w:rPr>
                <w:sz w:val="5"/>
                <w:szCs w:val="5"/>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CDS indices</w:t>
            </w:r>
          </w:p>
        </w:tc>
        <w:tc>
          <w:tcPr>
            <w:tcW w:w="1220" w:type="dxa"/>
            <w:vAlign w:val="bottom"/>
            <w:tcBorders>
              <w:right w:val="single" w:sz="8" w:color="231F20"/>
            </w:tcBorders>
            <w:vMerge w:val="continue"/>
            <w:shd w:val="clear" w:color="auto" w:fill="F3F3F3"/>
          </w:tcPr>
          <w:p>
            <w:pPr>
              <w:spacing w:after="0"/>
              <w:rPr>
                <w:sz w:val="5"/>
                <w:szCs w:val="5"/>
                <w:color w:val="auto"/>
              </w:rPr>
            </w:pPr>
          </w:p>
        </w:tc>
        <w:tc>
          <w:tcPr>
            <w:tcW w:w="1200" w:type="dxa"/>
            <w:vAlign w:val="bottom"/>
            <w:tcBorders>
              <w:right w:val="single" w:sz="8" w:color="231F20"/>
            </w:tcBorders>
            <w:shd w:val="clear" w:color="auto" w:fill="F3F3F3"/>
          </w:tcPr>
          <w:p>
            <w:pPr>
              <w:ind w:left="40"/>
              <w:spacing w:after="0" w:line="68" w:lineRule="exact"/>
              <w:rPr>
                <w:sz w:val="20"/>
                <w:szCs w:val="20"/>
                <w:color w:val="auto"/>
              </w:rPr>
            </w:pPr>
            <w:r>
              <w:rPr>
                <w:rFonts w:ascii="Arial" w:cs="Arial" w:eastAsia="Arial" w:hAnsi="Arial"/>
                <w:sz w:val="7"/>
                <w:szCs w:val="7"/>
                <w:color w:val="231F20"/>
              </w:rPr>
              <w:t>First to provide</w:t>
            </w:r>
          </w:p>
        </w:tc>
        <w:tc>
          <w:tcPr>
            <w:tcW w:w="1380" w:type="dxa"/>
            <w:vAlign w:val="bottom"/>
            <w:tcBorders>
              <w:right w:val="single" w:sz="8" w:color="231F20"/>
            </w:tcBorders>
            <w:shd w:val="clear" w:color="auto" w:fill="F3F3F3"/>
          </w:tcPr>
          <w:p>
            <w:pPr>
              <w:spacing w:after="0"/>
              <w:rPr>
                <w:sz w:val="5"/>
                <w:szCs w:val="5"/>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corporate</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vMerge w:val="continue"/>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vMerge w:val="continue"/>
            <w:shd w:val="clear" w:color="auto" w:fill="F3F3F3"/>
          </w:tcPr>
          <w:p>
            <w:pPr>
              <w:spacing w:after="0"/>
              <w:rPr>
                <w:sz w:val="7"/>
                <w:szCs w:val="7"/>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European</w:t>
            </w: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international investors</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vMerge w:val="continue"/>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backed securities</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b w:val="1"/>
                <w:bCs w:val="1"/>
                <w:color w:val="231F20"/>
              </w:rPr>
              <w:t>2008</w:t>
            </w:r>
          </w:p>
        </w:tc>
        <w:tc>
          <w:tcPr>
            <w:tcW w:w="1220" w:type="dxa"/>
            <w:vAlign w:val="bottom"/>
            <w:tcBorders>
              <w:right w:val="single" w:sz="8" w:color="231F20"/>
            </w:tcBorders>
            <w:vMerge w:val="continue"/>
            <w:shd w:val="clear" w:color="auto" w:fill="F3F3F3"/>
          </w:tcPr>
          <w:p>
            <w:pPr>
              <w:spacing w:after="0"/>
              <w:rPr>
                <w:sz w:val="7"/>
                <w:szCs w:val="7"/>
                <w:color w:val="auto"/>
              </w:rPr>
            </w:pP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access to China bond</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bonds</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Launched market data</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Entered Wholesale market</w:t>
            </w: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ETFs</w:t>
            </w: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market through</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business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continue"/>
            <w:shd w:val="clear" w:color="auto" w:fill="F3F3F3"/>
          </w:tcPr>
          <w:p>
            <w:pPr>
              <w:spacing w:after="0"/>
              <w:rPr>
                <w:sz w:val="10"/>
                <w:szCs w:val="10"/>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2013</w:t>
            </w:r>
          </w:p>
        </w:tc>
        <w:tc>
          <w:tcPr>
            <w:tcW w:w="120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BondConnect</w:t>
            </w: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2003</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Launched Asian ETFs</w:t>
            </w: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Launched</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Entered Money Markets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Launched session</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fully</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spacing w:after="0"/>
              <w:rPr>
                <w:sz w:val="9"/>
                <w:szCs w:val="9"/>
                <w:color w:val="auto"/>
              </w:rPr>
            </w:pP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spacing w:after="0"/>
              <w:rPr>
                <w:sz w:val="9"/>
                <w:szCs w:val="9"/>
                <w:color w:val="auto"/>
              </w:rPr>
            </w:pP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w w:val="93"/>
              </w:rPr>
              <w:t>with U.S. agency discount</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1220" w:type="dxa"/>
            <w:vAlign w:val="bottom"/>
            <w:tcBorders>
              <w:right w:val="single" w:sz="8" w:color="231F20"/>
            </w:tcBorders>
            <w:shd w:val="clear" w:color="auto" w:fill="F3F3F3"/>
          </w:tcPr>
          <w:p>
            <w:pPr>
              <w:ind w:left="40"/>
              <w:spacing w:after="0" w:line="108" w:lineRule="exact"/>
              <w:rPr>
                <w:sz w:val="20"/>
                <w:szCs w:val="20"/>
                <w:color w:val="auto"/>
              </w:rPr>
            </w:pPr>
            <w:r>
              <w:rPr>
                <w:rFonts w:ascii="Arial" w:cs="Arial" w:eastAsia="Arial" w:hAnsi="Arial"/>
                <w:sz w:val="10"/>
                <w:szCs w:val="10"/>
                <w:color w:val="231F20"/>
              </w:rPr>
              <w:t>trading in Europe</w:t>
            </w:r>
          </w:p>
        </w:tc>
        <w:tc>
          <w:tcPr>
            <w:tcW w:w="1200" w:type="dxa"/>
            <w:vAlign w:val="bottom"/>
            <w:tcBorders>
              <w:right w:val="single" w:sz="8" w:color="231F20"/>
            </w:tcBorders>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6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electronic</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notes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2014</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multi-asset</w:t>
            </w:r>
          </w:p>
        </w:tc>
        <w:tc>
          <w:tcPr>
            <w:tcW w:w="0" w:type="dxa"/>
            <w:vAlign w:val="bottom"/>
          </w:tcPr>
          <w:p>
            <w:pPr>
              <w:spacing w:after="0"/>
              <w:rPr>
                <w:sz w:val="1"/>
                <w:szCs w:val="1"/>
                <w:color w:val="auto"/>
              </w:rPr>
            </w:pPr>
          </w:p>
        </w:tc>
      </w:tr>
      <w:tr>
        <w:trPr>
          <w:trHeight w:val="25"/>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U.S.</w:t>
            </w: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vMerge w:val="continue"/>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860" w:type="dxa"/>
            <w:vAlign w:val="bottom"/>
            <w:shd w:val="clear" w:color="auto" w:fill="E9EAEB"/>
          </w:tcPr>
          <w:p>
            <w:pPr>
              <w:spacing w:after="0"/>
              <w:rPr>
                <w:sz w:val="8"/>
                <w:szCs w:val="8"/>
                <w:color w:val="auto"/>
              </w:rPr>
            </w:pP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spacing w:after="0"/>
              <w:rPr>
                <w:sz w:val="8"/>
                <w:szCs w:val="8"/>
                <w:color w:val="auto"/>
              </w:rPr>
            </w:pP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spacing w:after="0"/>
              <w:rPr>
                <w:sz w:val="8"/>
                <w:szCs w:val="8"/>
                <w:color w:val="auto"/>
              </w:rPr>
            </w:pP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1220" w:type="dxa"/>
            <w:vAlign w:val="bottom"/>
            <w:tcBorders>
              <w:right w:val="single" w:sz="8" w:color="231F20"/>
            </w:tcBorders>
            <w:vMerge w:val="continue"/>
            <w:shd w:val="clear" w:color="auto" w:fill="F3F3F3"/>
          </w:tcPr>
          <w:p>
            <w:pPr>
              <w:spacing w:after="0"/>
              <w:rPr>
                <w:sz w:val="8"/>
                <w:szCs w:val="8"/>
                <w:color w:val="auto"/>
              </w:rPr>
            </w:pP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600" w:type="dxa"/>
            <w:vAlign w:val="bottom"/>
            <w:shd w:val="clear" w:color="auto" w:fill="F3F3F3"/>
          </w:tcPr>
          <w:p>
            <w:pPr>
              <w:ind w:left="40"/>
              <w:spacing w:after="0" w:line="96" w:lineRule="exact"/>
              <w:rPr>
                <w:sz w:val="20"/>
                <w:szCs w:val="20"/>
                <w:color w:val="auto"/>
              </w:rPr>
            </w:pPr>
            <w:r>
              <w:rPr>
                <w:rFonts w:ascii="Arial" w:cs="Arial" w:eastAsia="Arial" w:hAnsi="Arial"/>
                <w:sz w:val="10"/>
                <w:szCs w:val="10"/>
                <w:color w:val="231F20"/>
              </w:rPr>
              <w:t>package</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corporate bonds</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trading</w:t>
            </w:r>
          </w:p>
        </w:tc>
        <w:tc>
          <w:tcPr>
            <w:tcW w:w="0" w:type="dxa"/>
            <w:vAlign w:val="bottom"/>
          </w:tcPr>
          <w:p>
            <w:pPr>
              <w:spacing w:after="0"/>
              <w:rPr>
                <w:sz w:val="1"/>
                <w:szCs w:val="1"/>
                <w:color w:val="auto"/>
              </w:rPr>
            </w:pPr>
          </w:p>
        </w:tc>
      </w:tr>
      <w:tr>
        <w:trPr>
          <w:trHeight w:val="25"/>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1220" w:type="dxa"/>
            <w:vAlign w:val="bottom"/>
            <w:tcBorders>
              <w:right w:val="single" w:sz="8" w:color="231F20"/>
            </w:tcBorders>
            <w:shd w:val="clear" w:color="auto" w:fill="F3F3F3"/>
          </w:tcPr>
          <w:p>
            <w:pPr>
              <w:spacing w:after="0"/>
              <w:rPr>
                <w:sz w:val="2"/>
                <w:szCs w:val="2"/>
                <w:color w:val="auto"/>
              </w:rPr>
            </w:pP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vMerge w:val="continue"/>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functionality</w:t>
            </w:r>
          </w:p>
        </w:tc>
        <w:tc>
          <w:tcPr>
            <w:tcW w:w="0" w:type="dxa"/>
            <w:vAlign w:val="bottom"/>
          </w:tcPr>
          <w:p>
            <w:pPr>
              <w:spacing w:after="0"/>
              <w:rPr>
                <w:sz w:val="1"/>
                <w:szCs w:val="1"/>
                <w:color w:val="auto"/>
              </w:rPr>
            </w:pPr>
          </w:p>
        </w:tc>
      </w:tr>
      <w:tr>
        <w:trPr>
          <w:trHeight w:val="134"/>
        </w:trPr>
        <w:tc>
          <w:tcPr>
            <w:tcW w:w="860" w:type="dxa"/>
            <w:vAlign w:val="bottom"/>
            <w:shd w:val="clear" w:color="auto" w:fill="E9EAEB"/>
          </w:tcPr>
          <w:p>
            <w:pPr>
              <w:spacing w:after="0"/>
              <w:rPr>
                <w:sz w:val="11"/>
                <w:szCs w:val="11"/>
                <w:color w:val="auto"/>
              </w:rPr>
            </w:pPr>
          </w:p>
        </w:tc>
        <w:tc>
          <w:tcPr>
            <w:tcW w:w="100" w:type="dxa"/>
            <w:vAlign w:val="bottom"/>
            <w:tcBorders>
              <w:right w:val="single" w:sz="8" w:color="231F20"/>
            </w:tcBorders>
            <w:shd w:val="clear" w:color="auto" w:fill="E9EAEB"/>
          </w:tcPr>
          <w:p>
            <w:pPr>
              <w:spacing w:after="0"/>
              <w:rPr>
                <w:sz w:val="11"/>
                <w:szCs w:val="11"/>
                <w:color w:val="auto"/>
              </w:rPr>
            </w:pPr>
          </w:p>
        </w:tc>
        <w:tc>
          <w:tcPr>
            <w:tcW w:w="900" w:type="dxa"/>
            <w:vAlign w:val="bottom"/>
            <w:shd w:val="clear" w:color="auto" w:fill="F3F3F3"/>
          </w:tcPr>
          <w:p>
            <w:pPr>
              <w:spacing w:after="0"/>
              <w:rPr>
                <w:sz w:val="11"/>
                <w:szCs w:val="11"/>
                <w:color w:val="auto"/>
              </w:rPr>
            </w:pPr>
          </w:p>
        </w:tc>
        <w:tc>
          <w:tcPr>
            <w:tcW w:w="220" w:type="dxa"/>
            <w:vAlign w:val="bottom"/>
            <w:tcBorders>
              <w:right w:val="single" w:sz="8" w:color="231F20"/>
            </w:tcBorders>
            <w:shd w:val="clear" w:color="auto" w:fill="F3F3F3"/>
          </w:tcPr>
          <w:p>
            <w:pPr>
              <w:spacing w:after="0"/>
              <w:rPr>
                <w:sz w:val="11"/>
                <w:szCs w:val="11"/>
                <w:color w:val="auto"/>
              </w:rPr>
            </w:pPr>
          </w:p>
        </w:tc>
        <w:tc>
          <w:tcPr>
            <w:tcW w:w="40" w:type="dxa"/>
            <w:vAlign w:val="bottom"/>
            <w:shd w:val="clear" w:color="auto" w:fill="F3F3F3"/>
          </w:tcPr>
          <w:p>
            <w:pPr>
              <w:spacing w:after="0"/>
              <w:rPr>
                <w:sz w:val="11"/>
                <w:szCs w:val="11"/>
                <w:color w:val="auto"/>
              </w:rPr>
            </w:pPr>
          </w:p>
        </w:tc>
        <w:tc>
          <w:tcPr>
            <w:tcW w:w="1140" w:type="dxa"/>
            <w:vAlign w:val="bottom"/>
            <w:tcBorders>
              <w:right w:val="single" w:sz="8" w:color="231F20"/>
            </w:tcBorders>
            <w:shd w:val="clear" w:color="auto" w:fill="F3F3F3"/>
          </w:tcPr>
          <w:p>
            <w:pPr>
              <w:spacing w:after="0"/>
              <w:rPr>
                <w:sz w:val="11"/>
                <w:szCs w:val="11"/>
                <w:color w:val="auto"/>
              </w:rPr>
            </w:pPr>
          </w:p>
        </w:tc>
        <w:tc>
          <w:tcPr>
            <w:tcW w:w="20" w:type="dxa"/>
            <w:vAlign w:val="bottom"/>
            <w:shd w:val="clear" w:color="auto" w:fill="F3F3F3"/>
          </w:tcPr>
          <w:p>
            <w:pPr>
              <w:spacing w:after="0"/>
              <w:rPr>
                <w:sz w:val="11"/>
                <w:szCs w:val="11"/>
                <w:color w:val="auto"/>
              </w:rPr>
            </w:pPr>
          </w:p>
        </w:tc>
        <w:tc>
          <w:tcPr>
            <w:tcW w:w="1380" w:type="dxa"/>
            <w:vAlign w:val="bottom"/>
            <w:tcBorders>
              <w:right w:val="single" w:sz="8" w:color="231F20"/>
            </w:tcBorders>
            <w:shd w:val="clear" w:color="auto" w:fill="F3F3F3"/>
          </w:tcPr>
          <w:p>
            <w:pPr>
              <w:spacing w:after="0"/>
              <w:rPr>
                <w:sz w:val="11"/>
                <w:szCs w:val="11"/>
                <w:color w:val="auto"/>
              </w:rPr>
            </w:pPr>
          </w:p>
        </w:tc>
        <w:tc>
          <w:tcPr>
            <w:tcW w:w="1220" w:type="dxa"/>
            <w:vAlign w:val="bottom"/>
            <w:tcBorders>
              <w:right w:val="single" w:sz="8" w:color="231F20"/>
            </w:tcBorders>
            <w:shd w:val="clear" w:color="auto" w:fill="F3F3F3"/>
          </w:tcPr>
          <w:p>
            <w:pPr>
              <w:spacing w:after="0"/>
              <w:rPr>
                <w:sz w:val="11"/>
                <w:szCs w:val="11"/>
                <w:color w:val="auto"/>
              </w:rPr>
            </w:pPr>
          </w:p>
        </w:tc>
        <w:tc>
          <w:tcPr>
            <w:tcW w:w="1200" w:type="dxa"/>
            <w:vAlign w:val="bottom"/>
            <w:tcBorders>
              <w:right w:val="single" w:sz="8" w:color="231F20"/>
            </w:tcBorders>
            <w:shd w:val="clear" w:color="auto" w:fill="F3F3F3"/>
          </w:tcPr>
          <w:p>
            <w:pPr>
              <w:spacing w:after="0"/>
              <w:rPr>
                <w:sz w:val="11"/>
                <w:szCs w:val="11"/>
                <w:color w:val="auto"/>
              </w:rPr>
            </w:pPr>
          </w:p>
        </w:tc>
        <w:tc>
          <w:tcPr>
            <w:tcW w:w="1380" w:type="dxa"/>
            <w:vAlign w:val="bottom"/>
            <w:tcBorders>
              <w:right w:val="single" w:sz="8" w:color="231F20"/>
            </w:tcBorders>
            <w:shd w:val="clear" w:color="auto" w:fill="F3F3F3"/>
          </w:tcPr>
          <w:p>
            <w:pPr>
              <w:spacing w:after="0"/>
              <w:rPr>
                <w:sz w:val="11"/>
                <w:szCs w:val="11"/>
                <w:color w:val="auto"/>
              </w:rPr>
            </w:pPr>
          </w:p>
        </w:tc>
        <w:tc>
          <w:tcPr>
            <w:tcW w:w="600" w:type="dxa"/>
            <w:vAlign w:val="bottom"/>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860" w:type="dxa"/>
            <w:vAlign w:val="bottom"/>
            <w:shd w:val="clear" w:color="auto" w:fill="000000"/>
          </w:tcPr>
          <w:p>
            <w:pPr>
              <w:spacing w:after="0"/>
              <w:rPr>
                <w:sz w:val="20"/>
                <w:szCs w:val="20"/>
                <w:color w:val="auto"/>
              </w:rPr>
            </w:pPr>
          </w:p>
        </w:tc>
        <w:tc>
          <w:tcPr>
            <w:tcW w:w="1000" w:type="dxa"/>
            <w:vAlign w:val="bottom"/>
            <w:gridSpan w:val="2"/>
            <w:shd w:val="clear" w:color="auto" w:fill="000000"/>
          </w:tcPr>
          <w:p>
            <w:pPr>
              <w:jc w:val="right"/>
              <w:ind w:right="754"/>
              <w:spacing w:after="0"/>
              <w:rPr>
                <w:sz w:val="20"/>
                <w:szCs w:val="20"/>
                <w:color w:val="auto"/>
              </w:rPr>
            </w:pPr>
            <w:r>
              <w:rPr>
                <w:rFonts w:ascii="Arial" w:cs="Arial" w:eastAsia="Arial" w:hAnsi="Arial"/>
                <w:sz w:val="10"/>
                <w:szCs w:val="10"/>
                <w:b w:val="1"/>
                <w:bCs w:val="1"/>
                <w:color w:val="FFFFFF"/>
                <w:w w:val="80"/>
              </w:rPr>
              <w:t>1996</w:t>
            </w:r>
          </w:p>
        </w:tc>
        <w:tc>
          <w:tcPr>
            <w:tcW w:w="260" w:type="dxa"/>
            <w:vAlign w:val="bottom"/>
            <w:gridSpan w:val="2"/>
            <w:shd w:val="clear" w:color="auto" w:fill="000000"/>
          </w:tcPr>
          <w:p>
            <w:pPr>
              <w:jc w:val="right"/>
              <w:ind w:right="20"/>
              <w:spacing w:after="0"/>
              <w:rPr>
                <w:sz w:val="20"/>
                <w:szCs w:val="20"/>
                <w:color w:val="auto"/>
              </w:rPr>
            </w:pPr>
            <w:r>
              <w:rPr>
                <w:rFonts w:ascii="Arial" w:cs="Arial" w:eastAsia="Arial" w:hAnsi="Arial"/>
                <w:sz w:val="10"/>
                <w:szCs w:val="10"/>
                <w:b w:val="1"/>
                <w:bCs w:val="1"/>
                <w:color w:val="FFFFFF"/>
                <w:w w:val="98"/>
              </w:rPr>
              <w:t>2000</w:t>
            </w:r>
          </w:p>
        </w:tc>
        <w:tc>
          <w:tcPr>
            <w:tcW w:w="1160" w:type="dxa"/>
            <w:vAlign w:val="bottom"/>
            <w:gridSpan w:val="2"/>
            <w:shd w:val="clear" w:color="auto" w:fill="000000"/>
          </w:tcPr>
          <w:p>
            <w:pPr>
              <w:ind w:left="940"/>
              <w:spacing w:after="0"/>
              <w:rPr>
                <w:sz w:val="20"/>
                <w:szCs w:val="20"/>
                <w:color w:val="auto"/>
              </w:rPr>
            </w:pPr>
            <w:r>
              <w:rPr>
                <w:rFonts w:ascii="Arial" w:cs="Arial" w:eastAsia="Arial" w:hAnsi="Arial"/>
                <w:sz w:val="10"/>
                <w:szCs w:val="10"/>
                <w:b w:val="1"/>
                <w:bCs w:val="1"/>
                <w:color w:val="FFFFFF"/>
                <w:w w:val="89"/>
              </w:rPr>
              <w:t>2005</w:t>
            </w:r>
          </w:p>
        </w:tc>
        <w:tc>
          <w:tcPr>
            <w:tcW w:w="1380" w:type="dxa"/>
            <w:vAlign w:val="bottom"/>
            <w:tcBorders>
              <w:right w:val="single" w:sz="8" w:color="auto"/>
            </w:tcBorders>
            <w:shd w:val="clear" w:color="auto" w:fill="000000"/>
          </w:tcPr>
          <w:p>
            <w:pPr>
              <w:ind w:left="1060"/>
              <w:spacing w:after="0"/>
              <w:rPr>
                <w:sz w:val="20"/>
                <w:szCs w:val="20"/>
                <w:color w:val="auto"/>
              </w:rPr>
            </w:pPr>
            <w:r>
              <w:rPr>
                <w:rFonts w:ascii="Arial" w:cs="Arial" w:eastAsia="Arial" w:hAnsi="Arial"/>
                <w:sz w:val="10"/>
                <w:szCs w:val="10"/>
                <w:b w:val="1"/>
                <w:bCs w:val="1"/>
                <w:color w:val="FFFFFF"/>
              </w:rPr>
              <w:t>2010</w:t>
            </w:r>
          </w:p>
        </w:tc>
        <w:tc>
          <w:tcPr>
            <w:tcW w:w="1220" w:type="dxa"/>
            <w:vAlign w:val="bottom"/>
            <w:tcBorders>
              <w:right w:val="single" w:sz="8" w:color="auto"/>
            </w:tcBorders>
            <w:shd w:val="clear" w:color="auto" w:fill="000000"/>
          </w:tcPr>
          <w:p>
            <w:pPr>
              <w:ind w:left="1000"/>
              <w:spacing w:after="0"/>
              <w:rPr>
                <w:sz w:val="20"/>
                <w:szCs w:val="20"/>
                <w:color w:val="auto"/>
              </w:rPr>
            </w:pPr>
            <w:r>
              <w:rPr>
                <w:rFonts w:ascii="Arial" w:cs="Arial" w:eastAsia="Arial" w:hAnsi="Arial"/>
                <w:sz w:val="10"/>
                <w:szCs w:val="10"/>
                <w:b w:val="1"/>
                <w:bCs w:val="1"/>
                <w:color w:val="FFFFFF"/>
                <w:w w:val="80"/>
              </w:rPr>
              <w:t>2015</w:t>
            </w:r>
          </w:p>
        </w:tc>
        <w:tc>
          <w:tcPr>
            <w:tcW w:w="1200" w:type="dxa"/>
            <w:vAlign w:val="bottom"/>
            <w:tcBorders>
              <w:right w:val="single" w:sz="8" w:color="auto"/>
            </w:tcBorders>
            <w:shd w:val="clear" w:color="auto" w:fill="000000"/>
          </w:tcPr>
          <w:p>
            <w:pPr>
              <w:ind w:left="960"/>
              <w:spacing w:after="0"/>
              <w:rPr>
                <w:sz w:val="20"/>
                <w:szCs w:val="20"/>
                <w:color w:val="auto"/>
              </w:rPr>
            </w:pPr>
            <w:r>
              <w:rPr>
                <w:rFonts w:ascii="Arial" w:cs="Arial" w:eastAsia="Arial" w:hAnsi="Arial"/>
                <w:sz w:val="10"/>
                <w:szCs w:val="10"/>
                <w:b w:val="1"/>
                <w:bCs w:val="1"/>
                <w:color w:val="FFFFFF"/>
                <w:w w:val="89"/>
              </w:rPr>
              <w:t>2018</w:t>
            </w:r>
          </w:p>
        </w:tc>
        <w:tc>
          <w:tcPr>
            <w:tcW w:w="1380" w:type="dxa"/>
            <w:vAlign w:val="bottom"/>
            <w:tcBorders>
              <w:right w:val="single" w:sz="8" w:color="auto"/>
            </w:tcBorders>
            <w:shd w:val="clear" w:color="auto" w:fill="000000"/>
          </w:tcPr>
          <w:p>
            <w:pPr>
              <w:ind w:left="880"/>
              <w:spacing w:after="0"/>
              <w:rPr>
                <w:sz w:val="20"/>
                <w:szCs w:val="20"/>
                <w:color w:val="auto"/>
              </w:rPr>
            </w:pPr>
            <w:r>
              <w:rPr>
                <w:rFonts w:ascii="Arial" w:cs="Arial" w:eastAsia="Arial" w:hAnsi="Arial"/>
                <w:sz w:val="10"/>
                <w:szCs w:val="10"/>
                <w:b w:val="1"/>
                <w:bCs w:val="1"/>
                <w:color w:val="FFFFFF"/>
              </w:rPr>
              <w:t>2019</w:t>
            </w:r>
          </w:p>
        </w:tc>
        <w:tc>
          <w:tcPr>
            <w:tcW w:w="60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60" w:type="dxa"/>
            <w:vAlign w:val="bottom"/>
            <w:shd w:val="clear" w:color="auto" w:fill="000000"/>
          </w:tcPr>
          <w:p>
            <w:pPr>
              <w:spacing w:after="0"/>
              <w:rPr>
                <w:sz w:val="8"/>
                <w:szCs w:val="8"/>
                <w:color w:val="auto"/>
              </w:rPr>
            </w:pPr>
          </w:p>
        </w:tc>
        <w:tc>
          <w:tcPr>
            <w:tcW w:w="100" w:type="dxa"/>
            <w:vAlign w:val="bottom"/>
            <w:tcBorders>
              <w:right w:val="single" w:sz="8" w:color="auto"/>
            </w:tcBorders>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220" w:type="dxa"/>
            <w:vAlign w:val="bottom"/>
            <w:tcBorders>
              <w:right w:val="single" w:sz="8" w:color="auto"/>
            </w:tcBorders>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1140" w:type="dxa"/>
            <w:vAlign w:val="bottom"/>
            <w:tcBorders>
              <w:right w:val="single" w:sz="8" w:color="auto"/>
            </w:tcBorders>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380" w:type="dxa"/>
            <w:vAlign w:val="bottom"/>
            <w:tcBorders>
              <w:right w:val="single" w:sz="8" w:color="auto"/>
            </w:tcBorders>
            <w:shd w:val="clear" w:color="auto" w:fill="000000"/>
          </w:tcPr>
          <w:p>
            <w:pPr>
              <w:spacing w:after="0"/>
              <w:rPr>
                <w:sz w:val="8"/>
                <w:szCs w:val="8"/>
                <w:color w:val="auto"/>
              </w:rPr>
            </w:pPr>
          </w:p>
        </w:tc>
        <w:tc>
          <w:tcPr>
            <w:tcW w:w="1220" w:type="dxa"/>
            <w:vAlign w:val="bottom"/>
            <w:tcBorders>
              <w:right w:val="single" w:sz="8" w:color="auto"/>
            </w:tcBorders>
            <w:shd w:val="clear" w:color="auto" w:fill="000000"/>
          </w:tcPr>
          <w:p>
            <w:pPr>
              <w:spacing w:after="0"/>
              <w:rPr>
                <w:sz w:val="8"/>
                <w:szCs w:val="8"/>
                <w:color w:val="auto"/>
              </w:rPr>
            </w:pPr>
          </w:p>
        </w:tc>
        <w:tc>
          <w:tcPr>
            <w:tcW w:w="1200" w:type="dxa"/>
            <w:vAlign w:val="bottom"/>
            <w:tcBorders>
              <w:right w:val="single" w:sz="8" w:color="auto"/>
            </w:tcBorders>
            <w:shd w:val="clear" w:color="auto" w:fill="000000"/>
          </w:tcPr>
          <w:p>
            <w:pPr>
              <w:spacing w:after="0"/>
              <w:rPr>
                <w:sz w:val="8"/>
                <w:szCs w:val="8"/>
                <w:color w:val="auto"/>
              </w:rPr>
            </w:pPr>
          </w:p>
        </w:tc>
        <w:tc>
          <w:tcPr>
            <w:tcW w:w="1380" w:type="dxa"/>
            <w:vAlign w:val="bottom"/>
            <w:tcBorders>
              <w:right w:val="single" w:sz="8" w:color="auto"/>
            </w:tcBorders>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Market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Continued Growth of Global Markets</w:t>
      </w:r>
    </w:p>
    <w:p>
      <w:pPr>
        <w:spacing w:after="0" w:line="22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Based on industry sources and management estimates, the markets in which we participate are actively traded and growing, and we estimate that trading in rates, credit, ETFs and money markets generated average daily trading volumes of approximately $3.7 trillion, $0.1 trillion, $0.1 trillion and $2.3 trillion, respectively, during the year ended December 31, 2019 as compared to $2.1 trillion, $0.1 trillion, $0.1 trillion and $1.6 trillion, respectively, in 2015. As electronic trading in these markets continues to develop, we believe we are well positioned to increase our share of these markets over time. For the year ended December 31, 2019, calculated on the same basis as our calculation of our addressable markets, trading in certain of our rates, credit, ETFs and money markets products generated average daily trading volumes of $487 billion, $14 billion, $4 billion and $195 billion, respectively, and our average daily trading volumes for these product groups have increased by 25%, 32%, 12% and 23%, respectively, since 2015. Major market participants include large asset managers, hedge funds, central banks, banks and dealers, insurance companies, corporations, proprietary trading, brokerage and retail advisory firms, governments and retail investors</w:t>
      </w:r>
      <w:r>
        <w:rPr>
          <w:rFonts w:ascii="Arial" w:cs="Arial" w:eastAsia="Arial" w:hAnsi="Arial"/>
          <w:sz w:val="17"/>
          <w:szCs w:val="17"/>
          <w:color w:val="231F20"/>
        </w:rPr>
        <w:t>.</w:t>
      </w:r>
    </w:p>
    <w:p>
      <w:pPr>
        <w:spacing w:after="0" w:line="18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6% and 19%, respectively, since 2007, according to SIFMA and BIS. The U.S. and European ETF markets have each grown annually at nearly 20% since 2007, according to ETFGI. Continuing growth in these markets is expected to be driven by increasing global trading volumes, resulting from increased economic activity, new government and corporate debt issuances and the continued growth of passive investing. Markets have migrated to electronic trading platforms at different adoption rates — some gradually over time (e.g., government bonds and corporate bonds) and others on a more accelerated basis due to regulation (e.g., interest rate swaps).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24-hour trading day as market participants have become increasingly global and comprehensive, trading across multiple geographies, asset classes and currencies</w:t>
      </w:r>
      <w:r>
        <w:rPr>
          <w:rFonts w:ascii="Arial" w:cs="Arial" w:eastAsia="Arial" w:hAnsi="Arial"/>
          <w:sz w:val="18"/>
          <w:szCs w:val="18"/>
          <w:color w:val="231F2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Electronification of Trading</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r>
        <w:rPr>
          <w:rFonts w:ascii="Arial" w:cs="Arial" w:eastAsia="Arial" w:hAnsi="Arial"/>
          <w:sz w:val="18"/>
          <w:szCs w:val="18"/>
          <w:color w:val="231F20"/>
        </w:rPr>
        <w:t>.</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17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375 proprietary client integrations and over 30 vendor integrations, help our clients to improve the efficiency of their front, middle and back offices and provide them with the opportunity to adopt end-to-end straight-through processing.</w:t>
      </w:r>
    </w:p>
    <w:p>
      <w:pPr>
        <w:spacing w:after="0" w:line="16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35% to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18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Regulatory changes have also driven demand for electronification. The policy objectives of a number of post-2008 crisis reforms, such as the Dodd-Frank Wall Street Reform and Customer Protection Act (the “Dodd-Frank Act”), Basel III and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and, in 2019,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Unlocking the Value of Data for our Network</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r>
        <w:rPr>
          <w:rFonts w:ascii="Arial" w:cs="Arial" w:eastAsia="Arial" w:hAnsi="Arial"/>
          <w:sz w:val="16"/>
          <w:szCs w:val="16"/>
          <w:color w:val="231F2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Network of Clients, Products, Geographies and Protocols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18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over 65 countries. For both the year ended December 31, 2019 and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16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Culture of Collaborative Innovation</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r>
        <w:rPr>
          <w:rFonts w:ascii="Arial" w:cs="Arial" w:eastAsia="Arial" w:hAnsi="Arial"/>
          <w:sz w:val="17"/>
          <w:szCs w:val="17"/>
          <w:color w:val="231F20"/>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r>
        <w:rPr>
          <w:rFonts w:ascii="Arial" w:cs="Arial" w:eastAsia="Arial" w:hAnsi="Arial"/>
          <w:sz w:val="17"/>
          <w:szCs w:val="17"/>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Scalable and Flexible Technology</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r>
        <w:rPr>
          <w:rFonts w:ascii="Arial" w:cs="Arial" w:eastAsia="Arial" w:hAnsi="Arial"/>
          <w:sz w:val="16"/>
          <w:szCs w:val="16"/>
          <w:color w:val="231F20"/>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Global Regulatory Footprint and Domain Expertise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Platforms and Solutions Empowered by Data and Analytics</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2019, the percentage of trades executed by our institutional clients using our AiEX functionality was 23%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17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50,000 trades and over 1.0 billion pre-trade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updates daily, that we collect centrally and use as inputs to our pre-trade indicative pricing and analytics. We maintain a full history of inquiries and transactions, which means, for example, we have 20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18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Experienced Management Team</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Growth Strategies</w:t>
      </w:r>
    </w:p>
    <w:p>
      <w:pPr>
        <w:spacing w:after="0" w:line="22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w:t>
      </w:r>
    </w:p>
    <w:p>
      <w:pPr>
        <w:spacing w:after="0"/>
        <w:rPr>
          <w:sz w:val="20"/>
          <w:szCs w:val="20"/>
          <w:color w:val="auto"/>
        </w:rPr>
      </w:pPr>
      <w:r>
        <w:rPr>
          <w:rFonts w:ascii="Arial" w:cs="Arial" w:eastAsia="Arial" w:hAnsi="Arial"/>
          <w:sz w:val="18"/>
          <w:szCs w:val="18"/>
          <w:color w:val="auto"/>
        </w:rPr>
        <w:t xml:space="preserve">advance </w:t>
      </w:r>
      <w:r>
        <w:rPr>
          <w:rFonts w:ascii="Arial" w:cs="Arial" w:eastAsia="Arial" w:hAnsi="Arial"/>
          <w:sz w:val="18"/>
          <w:szCs w:val="18"/>
          <w:color w:val="231F20"/>
        </w:rPr>
        <w:t>our leadership position by focusing our efforts on the following growth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Continue to Grow Our Existing Markets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r>
        <w:rPr>
          <w:rFonts w:ascii="Arial" w:cs="Arial" w:eastAsia="Arial" w:hAnsi="Arial"/>
          <w:sz w:val="18"/>
          <w:szCs w:val="18"/>
          <w:color w:val="231F20"/>
        </w:rPr>
        <w: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Growth in Our Underlying Asset Classes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The underlying volumes in our asset classes continue to increase due to expanded government and corporate issuance.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equities and money markets asset classes has grown at a compound annual growth rate of 13% from 2015 through the year ended December 31, 2019. Select products that we believe have a high growth potential due to current market trends include global government bonds, interest rate derivatives, ETFs and credit cash products.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Growth in Our Market Share</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over 90% of our U.S. institutional high grade cash credit trades leverage our U.S. treasury marketplace for spotting. During the year ended December 31, 2019, net spotting accounted for over 25% of our overall U.S. high grade credit notional volume and over 13% of our U.S. high grade electronic credit volume</w:t>
      </w:r>
      <w:r>
        <w:rPr>
          <w:rFonts w:ascii="Arial" w:cs="Arial" w:eastAsia="Arial" w:hAnsi="Arial"/>
          <w:sz w:val="16"/>
          <w:szCs w:val="16"/>
          <w:color w:val="231F20"/>
        </w:rPr>
        <w: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Electronification of Our Markets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Expand Our Product Set and Reach</w:t>
      </w:r>
    </w:p>
    <w:p>
      <w:pPr>
        <w:spacing w:after="0" w:line="225"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invest to add new products and expand into new complementary markets as client demand and market trends evolve. We expanded into China in 2017 and offer our global clients access to the Chinese bond market through our initiative with BondConnect. We continue to focus on that initiative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over 65 countries, and we plan to expand our platforms and solutions into additional geographies. Our international strategy involves offering our existing products to new geographies and then adding local products. 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r>
        <w:rPr>
          <w:rFonts w:ascii="Arial" w:cs="Arial" w:eastAsia="Arial" w:hAnsi="Arial"/>
          <w:sz w:val="17"/>
          <w:szCs w:val="17"/>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Enhance Underlying Data and Analytics Capabilities to Develop Innovative Solutions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231F20"/>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pacing w:after="0" w:line="1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Pursue Strategic Acquisitions and Alliances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intend to continue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Client Sectors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$720 billion in average daily trading volume for the year ended December 31, 2019 across more than 40 products, and we have multi-year agreements with many of our significant dealer clients.</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dependent on our dealer clients, some of which are current and former stockholders, to support our marketplaces by providing liquidity on our trading platforms, and certain of our dealer clients may account for a significant portion of our trading volume. For the year ended December 31, 2019, the combined year ended December 31, 2018 and the year ended December 31, 2017, 44.8%, 42.2% and 41.3%, respectively, of our revenues were generated by the pre-IPO Bank Stockholders and their affiliates. Market knowledge and feedback from these dealer clients have also been important factors in the development of many of our offerings and solutions.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For example, in our institutional U.S. credit marketplace, we have integrated over $10 billion of live streaming retail liquidity. Given our technological capabilities, the diversity of our client sectors and the breadth of our products and trading protocols, we believe we are well positioned to capitalize on this emerging trend</w:t>
      </w:r>
      <w:r>
        <w:rPr>
          <w:rFonts w:ascii="Arial" w:cs="Arial" w:eastAsia="Arial" w:hAnsi="Arial"/>
          <w:sz w:val="17"/>
          <w:szCs w:val="17"/>
          <w:color w:val="231F2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Institutional</w:t>
      </w:r>
    </w:p>
    <w:p>
      <w:pPr>
        <w:spacing w:after="0" w:line="225"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over 90% of the world’s largest 100 asset managers, over 80% of the top 25 insurance companies and over 50 central banks/sovereign entities with more than 150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portfolio trading and inventory-based</w:t>
      </w:r>
      <w:r>
        <w:rPr>
          <w:rFonts w:ascii="Arial" w:cs="Arial" w:eastAsia="Arial" w:hAnsi="Arial"/>
          <w:sz w:val="17"/>
          <w:szCs w:val="17"/>
          <w:color w:val="231F20"/>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Wholesale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100 dealers actively trading on our electronic and hybrid markets. Nearly all of our electronic and hybrid dealer clients also trade on the Tradeweb Institutional and Tradeweb Direct platforms. Dealerweb’s leading markets include TBA MBS, global credit products,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2016</w:t>
      </w:r>
      <w:r>
        <w:rPr>
          <w:rFonts w:ascii="Arial" w:cs="Arial" w:eastAsia="Arial" w:hAnsi="Arial"/>
          <w:sz w:val="17"/>
          <w:szCs w:val="17"/>
          <w:color w:val="231F20"/>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Retail</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45,000 financial advisors at more than 200 retail brokerage and advisory firms. In addition, certain Tradeweb Direct clients provide access to approximately 60,000 retail clients through white-labeled, web-based front ends. Tradeweb Direct also provides access to its ATS to large and middle-market asset managers. Tradeweb Direct offers trading in a range of products, including U.S. corporate bonds, treasuries, municipal 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r>
        <w:rPr>
          <w:rFonts w:ascii="Arial" w:cs="Arial" w:eastAsia="Arial" w:hAnsi="Arial"/>
          <w:sz w:val="17"/>
          <w:szCs w:val="17"/>
          <w:color w:val="231F20"/>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Asset Classes and Products</w:t>
      </w:r>
    </w:p>
    <w:p>
      <w:pPr>
        <w:spacing w:after="0" w:line="22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For the year ended December 31, 2019, approximately 88% of our gross revenue was generated from fees and commissions earned from our asset class and product offerings. The primary source of the remainder of our gross revenue was generated from fees earned from our pre- and post-trade data and analytics solutions. See “— Our Solutions.”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efficient and transparent trading across a diverse range of asset classes</w:t>
      </w:r>
      <w:r>
        <w:rPr>
          <w:rFonts w:ascii="Arial" w:cs="Arial" w:eastAsia="Arial" w:hAnsi="Arial"/>
          <w:sz w:val="18"/>
          <w:szCs w:val="18"/>
          <w:color w:val="231F20"/>
        </w:rPr>
        <w:t>:</w:t>
      </w:r>
    </w:p>
    <w:p>
      <w:pPr>
        <w:spacing w:after="0" w:line="221" w:lineRule="exact"/>
        <w:rPr>
          <w:sz w:val="20"/>
          <w:szCs w:val="20"/>
          <w:color w:val="auto"/>
        </w:rPr>
      </w:pPr>
    </w:p>
    <w:p>
      <w:pPr>
        <w:ind w:left="660" w:right="320" w:hanging="333"/>
        <w:spacing w:after="0" w:line="347" w:lineRule="auto"/>
        <w:tabs>
          <w:tab w:leader="none" w:pos="466" w:val="left"/>
        </w:tabs>
        <w:numPr>
          <w:ilvl w:val="0"/>
          <w:numId w:val="10"/>
        </w:numPr>
        <w:rPr>
          <w:rFonts w:ascii="Arial" w:cs="Arial" w:eastAsia="Arial" w:hAnsi="Arial"/>
          <w:sz w:val="16"/>
          <w:szCs w:val="16"/>
          <w:color w:val="231F20"/>
        </w:rPr>
      </w:pPr>
      <w:r>
        <w:rPr>
          <w:rFonts w:ascii="Arial" w:cs="Arial" w:eastAsia="Arial" w:hAnsi="Arial"/>
          <w:sz w:val="16"/>
          <w:szCs w:val="16"/>
          <w:b w:val="1"/>
          <w:bCs w:val="1"/>
          <w:u w:val="single" w:color="auto"/>
          <w:color w:val="231F20"/>
        </w:rPr>
        <w:t>Rates (56% of 2019 gross revenue)</w:t>
      </w:r>
      <w:r>
        <w:rPr>
          <w:rFonts w:ascii="Arial" w:cs="Arial" w:eastAsia="Arial" w:hAnsi="Arial"/>
          <w:sz w:val="16"/>
          <w:szCs w:val="16"/>
          <w:color w:val="231F20"/>
        </w:rPr>
        <w:t>:</w:t>
      </w:r>
      <w:r>
        <w:rPr>
          <w:rFonts w:ascii="Arial" w:cs="Arial" w:eastAsia="Arial" w:hAnsi="Arial"/>
          <w:sz w:val="16"/>
          <w:szCs w:val="16"/>
          <w:b w:val="1"/>
          <w:bCs w:val="1"/>
          <w:color w:val="231F20"/>
        </w:rPr>
        <w:t xml:space="preserve"> </w:t>
      </w:r>
      <w:r>
        <w:rPr>
          <w:rFonts w:ascii="Arial" w:cs="Arial" w:eastAsia="Arial" w:hAnsi="Arial"/>
          <w:sz w:val="16"/>
          <w:szCs w:val="16"/>
          <w:color w:val="000000"/>
        </w:rPr>
        <w:t>We facilitate trading in a broad range of cash and derivatives rates products,</w:t>
      </w:r>
      <w:r>
        <w:rPr>
          <w:rFonts w:ascii="Arial" w:cs="Arial" w:eastAsia="Arial" w:hAnsi="Arial"/>
          <w:sz w:val="16"/>
          <w:szCs w:val="16"/>
          <w:b w:val="1"/>
          <w:bCs w:val="1"/>
          <w:color w:val="231F20"/>
        </w:rPr>
        <w:t xml:space="preserve"> </w:t>
      </w:r>
      <w:r>
        <w:rPr>
          <w:rFonts w:ascii="Arial" w:cs="Arial" w:eastAsia="Arial" w:hAnsi="Arial"/>
          <w:sz w:val="16"/>
          <w:szCs w:val="16"/>
          <w:color w:val="000000"/>
        </w:rPr>
        <w:t>including major government securities, such as U.S. treasury securities and European government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bonds, mortgage-backed securities, interest rate swaps and agency/supranational securities and other rates products</w:t>
      </w:r>
      <w:r>
        <w:rPr>
          <w:rFonts w:ascii="Arial" w:cs="Arial" w:eastAsia="Arial" w:hAnsi="Arial"/>
          <w:sz w:val="18"/>
          <w:szCs w:val="18"/>
          <w:color w:val="231F20"/>
        </w:rPr>
        <w:t>.</w:t>
      </w:r>
    </w:p>
    <w:p>
      <w:pPr>
        <w:spacing w:after="0" w:line="166" w:lineRule="exact"/>
        <w:rPr>
          <w:sz w:val="20"/>
          <w:szCs w:val="20"/>
          <w:color w:val="auto"/>
        </w:rPr>
      </w:pPr>
    </w:p>
    <w:p>
      <w:pPr>
        <w:ind w:left="660" w:right="280" w:hanging="333"/>
        <w:spacing w:after="0" w:line="289" w:lineRule="auto"/>
        <w:tabs>
          <w:tab w:leader="none" w:pos="466" w:val="left"/>
        </w:tabs>
        <w:numPr>
          <w:ilvl w:val="0"/>
          <w:numId w:val="11"/>
        </w:numPr>
        <w:rPr>
          <w:rFonts w:ascii="Arial" w:cs="Arial" w:eastAsia="Arial" w:hAnsi="Arial"/>
          <w:sz w:val="17"/>
          <w:szCs w:val="17"/>
          <w:color w:val="231F20"/>
        </w:rPr>
      </w:pPr>
      <w:r>
        <w:rPr>
          <w:rFonts w:ascii="Arial" w:cs="Arial" w:eastAsia="Arial" w:hAnsi="Arial"/>
          <w:sz w:val="17"/>
          <w:szCs w:val="17"/>
          <w:b w:val="1"/>
          <w:bCs w:val="1"/>
          <w:u w:val="single" w:color="auto"/>
          <w:color w:val="231F20"/>
        </w:rPr>
        <w:t>Credit (21% of 2019 gross revenue)</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We offer deep pools of liquidity for our clients in cash and derivatives credit</w:t>
      </w:r>
      <w:r>
        <w:rPr>
          <w:rFonts w:ascii="Arial" w:cs="Arial" w:eastAsia="Arial" w:hAnsi="Arial"/>
          <w:sz w:val="17"/>
          <w:szCs w:val="17"/>
          <w:b w:val="1"/>
          <w:bCs w:val="1"/>
          <w:color w:val="231F20"/>
        </w:rPr>
        <w:t xml:space="preserve"> </w:t>
      </w:r>
      <w:r>
        <w:rPr>
          <w:rFonts w:ascii="Arial" w:cs="Arial" w:eastAsia="Arial" w:hAnsi="Arial"/>
          <w:sz w:val="17"/>
          <w:szCs w:val="17"/>
          <w:color w:val="000000"/>
        </w:rPr>
        <w:t>products, including U.S. and European high grade and high yield bonds, China bonds, municipal bonds, index, single name and sovereign credit default swaps and other credit products</w:t>
      </w:r>
      <w:r>
        <w:rPr>
          <w:rFonts w:ascii="Arial" w:cs="Arial" w:eastAsia="Arial" w:hAnsi="Arial"/>
          <w:sz w:val="17"/>
          <w:szCs w:val="17"/>
          <w:color w:val="231F20"/>
        </w:rPr>
        <w:t>.</w:t>
      </w:r>
    </w:p>
    <w:p>
      <w:pPr>
        <w:spacing w:after="0" w:line="158" w:lineRule="exact"/>
        <w:rPr>
          <w:rFonts w:ascii="Arial" w:cs="Arial" w:eastAsia="Arial" w:hAnsi="Arial"/>
          <w:sz w:val="17"/>
          <w:szCs w:val="17"/>
          <w:color w:val="231F20"/>
        </w:rPr>
      </w:pPr>
    </w:p>
    <w:p>
      <w:pPr>
        <w:ind w:left="660" w:right="60" w:hanging="333"/>
        <w:spacing w:after="0" w:line="282" w:lineRule="auto"/>
        <w:tabs>
          <w:tab w:leader="none" w:pos="466" w:val="left"/>
        </w:tabs>
        <w:numPr>
          <w:ilvl w:val="0"/>
          <w:numId w:val="11"/>
        </w:numPr>
        <w:rPr>
          <w:rFonts w:ascii="Arial" w:cs="Arial" w:eastAsia="Arial" w:hAnsi="Arial"/>
          <w:sz w:val="18"/>
          <w:szCs w:val="18"/>
          <w:color w:val="231F20"/>
        </w:rPr>
      </w:pPr>
      <w:r>
        <w:rPr>
          <w:rFonts w:ascii="Arial" w:cs="Arial" w:eastAsia="Arial" w:hAnsi="Arial"/>
          <w:sz w:val="18"/>
          <w:szCs w:val="18"/>
          <w:b w:val="1"/>
          <w:bCs w:val="1"/>
          <w:u w:val="single" w:color="auto"/>
          <w:color w:val="231F20"/>
        </w:rPr>
        <w:t>Equities (6% of 2019 gross revenue)</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offer trading in a range of cash and derivatives equities products, including</w:t>
      </w:r>
      <w:r>
        <w:rPr>
          <w:rFonts w:ascii="Arial" w:cs="Arial" w:eastAsia="Arial" w:hAnsi="Arial"/>
          <w:sz w:val="18"/>
          <w:szCs w:val="18"/>
          <w:b w:val="1"/>
          <w:bCs w:val="1"/>
          <w:color w:val="231F20"/>
        </w:rPr>
        <w:t xml:space="preserve"> </w:t>
      </w:r>
      <w:r>
        <w:rPr>
          <w:rFonts w:ascii="Arial" w:cs="Arial" w:eastAsia="Arial" w:hAnsi="Arial"/>
          <w:sz w:val="18"/>
          <w:szCs w:val="18"/>
          <w:color w:val="000000"/>
        </w:rPr>
        <w:t>global ETFs, equity derivatives and other equities products</w:t>
      </w:r>
      <w:r>
        <w:rPr>
          <w:rFonts w:ascii="Arial" w:cs="Arial" w:eastAsia="Arial" w:hAnsi="Arial"/>
          <w:sz w:val="18"/>
          <w:szCs w:val="18"/>
          <w:color w:val="231F20"/>
        </w:rPr>
        <w:t>.</w:t>
      </w:r>
    </w:p>
    <w:p>
      <w:pPr>
        <w:spacing w:after="0" w:line="161" w:lineRule="exact"/>
        <w:rPr>
          <w:rFonts w:ascii="Arial" w:cs="Arial" w:eastAsia="Arial" w:hAnsi="Arial"/>
          <w:sz w:val="18"/>
          <w:szCs w:val="18"/>
          <w:color w:val="231F20"/>
        </w:rPr>
      </w:pPr>
    </w:p>
    <w:p>
      <w:pPr>
        <w:ind w:left="660" w:right="40" w:hanging="333"/>
        <w:spacing w:after="0" w:line="266" w:lineRule="auto"/>
        <w:tabs>
          <w:tab w:leader="none" w:pos="466" w:val="left"/>
        </w:tabs>
        <w:numPr>
          <w:ilvl w:val="0"/>
          <w:numId w:val="11"/>
        </w:numPr>
        <w:rPr>
          <w:rFonts w:ascii="Arial" w:cs="Arial" w:eastAsia="Arial" w:hAnsi="Arial"/>
          <w:sz w:val="18"/>
          <w:szCs w:val="18"/>
          <w:color w:val="231F20"/>
        </w:rPr>
      </w:pPr>
      <w:r>
        <w:rPr>
          <w:rFonts w:ascii="Arial" w:cs="Arial" w:eastAsia="Arial" w:hAnsi="Arial"/>
          <w:sz w:val="18"/>
          <w:szCs w:val="18"/>
          <w:b w:val="1"/>
          <w:bCs w:val="1"/>
          <w:u w:val="single" w:color="auto"/>
          <w:color w:val="231F20"/>
        </w:rPr>
        <w:t>Money Markets (5% of 2019 gross revenue)</w:t>
      </w:r>
      <w:r>
        <w:rPr>
          <w:rFonts w:ascii="Arial" w:cs="Arial" w:eastAsia="Arial" w:hAnsi="Arial"/>
          <w:sz w:val="18"/>
          <w:szCs w:val="18"/>
          <w:color w:val="231F20"/>
        </w:rPr>
        <w:t>: We offer trading in a broad range of cash money market products,</w:t>
      </w:r>
      <w:r>
        <w:rPr>
          <w:rFonts w:ascii="Arial" w:cs="Arial" w:eastAsia="Arial" w:hAnsi="Arial"/>
          <w:sz w:val="18"/>
          <w:szCs w:val="18"/>
          <w:b w:val="1"/>
          <w:bCs w:val="1"/>
          <w:color w:val="231F20"/>
        </w:rPr>
        <w:t xml:space="preserve"> </w:t>
      </w:r>
      <w:r>
        <w:rPr>
          <w:rFonts w:ascii="Arial" w:cs="Arial" w:eastAsia="Arial" w:hAnsi="Arial"/>
          <w:sz w:val="18"/>
          <w:szCs w:val="18"/>
          <w:color w:val="231F20"/>
        </w:rPr>
        <w:t>including commercial paper, agency discount notes, repurchase agreements, certificates of deposit and treasury bills and other money markets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123190</wp:posOffset>
            </wp:positionV>
            <wp:extent cx="5351145" cy="2907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114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Geographies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231F20"/>
        </w:rPr>
        <w:t>We have a global footprint, serving clients, including over 1,900 institutional liquidity-taking clients, in over 65 countries across the Americas, EMEA (Europe, Middle East and Africa) and APAC (Asia Pacific) regions and with offices in North America, Europe and Asia. By region: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t>
      </w:r>
      <w:r>
        <w:rPr>
          <w:rFonts w:ascii="Arial" w:cs="Arial" w:eastAsia="Arial" w:hAnsi="Arial"/>
          <w:sz w:val="18"/>
          <w:szCs w:val="18"/>
          <w:color w:val="000000"/>
        </w:rPr>
        <w:t>We serve over 900 clients in the Americas across North, Central and South America.</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t>
      </w:r>
      <w:r>
        <w:rPr>
          <w:rFonts w:ascii="Arial" w:cs="Arial" w:eastAsia="Arial" w:hAnsi="Arial"/>
          <w:sz w:val="18"/>
          <w:szCs w:val="18"/>
          <w:color w:val="000000"/>
        </w:rPr>
        <w:t>We serve over 700 clients in EMEA across Europe, the Middle East and North Africa.</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serve over 300 clients in APAC across Asia, the Pacific, Oceania and the Indian sub-continent.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we currently support trading across 25 currencies globally</w:t>
      </w:r>
      <w:r>
        <w:rPr>
          <w:rFonts w:ascii="Arial" w:cs="Arial" w:eastAsia="Arial" w:hAnsi="Arial"/>
          <w:sz w:val="18"/>
          <w:szCs w:val="18"/>
          <w:color w:val="231F20"/>
        </w:rPr>
        <w:t>.</w:t>
      </w:r>
    </w:p>
    <w:p>
      <w:pPr>
        <w:spacing w:after="0" w:line="22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We believe our platforms, technology and solutions have made trading in markets globally more efficient and transparent. Furthermore, our expertise in multiple jurisdictions positions us as a partner of choice as our clients expand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their trading operations to new geographies. As the global markets move to electronic trading, we expect to be at the forefront of this change</w:t>
      </w:r>
      <w:r>
        <w:rPr>
          <w:rFonts w:ascii="Arial" w:cs="Arial" w:eastAsia="Arial" w:hAnsi="Arial"/>
          <w:sz w:val="18"/>
          <w:szCs w:val="18"/>
          <w:color w:val="231F20"/>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Solutions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r>
        <w:rPr>
          <w:rFonts w:ascii="Arial" w:cs="Arial" w:eastAsia="Arial" w:hAnsi="Arial"/>
          <w:sz w:val="18"/>
          <w:szCs w:val="18"/>
          <w:color w:val="231F20"/>
        </w:rPr>
        <w:t>.</w:t>
      </w:r>
    </w:p>
    <w:p>
      <w:pPr>
        <w:spacing w:after="0" w:line="166" w:lineRule="exact"/>
        <w:rPr>
          <w:sz w:val="20"/>
          <w:szCs w:val="20"/>
          <w:color w:val="auto"/>
        </w:rPr>
      </w:pPr>
    </w:p>
    <w:p>
      <w:pPr>
        <w:ind w:left="660" w:right="20" w:hanging="333"/>
        <w:spacing w:after="0" w:line="291" w:lineRule="auto"/>
        <w:tabs>
          <w:tab w:leader="none" w:pos="466" w:val="left"/>
        </w:tabs>
        <w:numPr>
          <w:ilvl w:val="0"/>
          <w:numId w:val="12"/>
        </w:numPr>
        <w:rPr>
          <w:rFonts w:ascii="Arial" w:cs="Arial" w:eastAsia="Arial" w:hAnsi="Arial"/>
          <w:sz w:val="16"/>
          <w:szCs w:val="16"/>
          <w:color w:val="231F20"/>
        </w:rPr>
      </w:pPr>
      <w:r>
        <w:rPr>
          <w:rFonts w:ascii="Arial" w:cs="Arial" w:eastAsia="Arial" w:hAnsi="Arial"/>
          <w:sz w:val="16"/>
          <w:szCs w:val="16"/>
          <w:b w:val="1"/>
          <w:bCs w:val="1"/>
          <w:u w:val="single" w:color="auto"/>
          <w:color w:val="231F20"/>
        </w:rPr>
        <w:t>Pre-Trade Data and Analytics</w:t>
      </w:r>
      <w:r>
        <w:rPr>
          <w:rFonts w:ascii="Arial" w:cs="Arial" w:eastAsia="Arial" w:hAnsi="Arial"/>
          <w:sz w:val="16"/>
          <w:szCs w:val="16"/>
          <w:color w:val="231F20"/>
        </w:rPr>
        <w:t>:</w:t>
      </w:r>
      <w:r>
        <w:rPr>
          <w:rFonts w:ascii="Arial" w:cs="Arial" w:eastAsia="Arial" w:hAnsi="Arial"/>
          <w:sz w:val="16"/>
          <w:szCs w:val="16"/>
          <w:b w:val="1"/>
          <w:bCs w:val="1"/>
          <w:color w:val="231F20"/>
        </w:rPr>
        <w:t xml:space="preserve"> </w:t>
      </w:r>
      <w:r>
        <w:rPr>
          <w:rFonts w:ascii="Arial" w:cs="Arial" w:eastAsia="Arial" w:hAnsi="Arial"/>
          <w:sz w:val="16"/>
          <w:szCs w:val="16"/>
          <w:color w:val="000000"/>
        </w:rPr>
        <w:t>We provide clients with accurate, real-time market data and streaming price updates</w:t>
      </w:r>
      <w:r>
        <w:rPr>
          <w:rFonts w:ascii="Arial" w:cs="Arial" w:eastAsia="Arial" w:hAnsi="Arial"/>
          <w:sz w:val="16"/>
          <w:szCs w:val="16"/>
          <w:b w:val="1"/>
          <w:bCs w:val="1"/>
          <w:color w:val="231F20"/>
        </w:rPr>
        <w:t xml:space="preserve"> </w:t>
      </w:r>
      <w:r>
        <w:rPr>
          <w:rFonts w:ascii="Arial" w:cs="Arial" w:eastAsia="Arial" w:hAnsi="Arial"/>
          <w:sz w:val="16"/>
          <w:szCs w:val="16"/>
          <w:color w:val="000000"/>
        </w:rPr>
        <w:t>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approximately 19,000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r>
        <w:rPr>
          <w:rFonts w:ascii="Arial" w:cs="Arial" w:eastAsia="Arial" w:hAnsi="Arial"/>
          <w:sz w:val="16"/>
          <w:szCs w:val="16"/>
          <w:color w:val="231F20"/>
        </w:rPr>
        <w:t>.</w:t>
      </w:r>
    </w:p>
    <w:p>
      <w:pPr>
        <w:spacing w:after="0" w:line="164" w:lineRule="exact"/>
        <w:rPr>
          <w:sz w:val="20"/>
          <w:szCs w:val="20"/>
          <w:color w:val="auto"/>
        </w:rPr>
      </w:pPr>
    </w:p>
    <w:p>
      <w:pPr>
        <w:ind w:left="660" w:right="400" w:firstLine="122"/>
        <w:spacing w:after="0" w:line="264" w:lineRule="auto"/>
        <w:rPr>
          <w:sz w:val="20"/>
          <w:szCs w:val="20"/>
          <w:color w:val="auto"/>
        </w:rPr>
      </w:pPr>
      <w:r>
        <w:rPr>
          <w:rFonts w:ascii="Arial" w:cs="Arial" w:eastAsia="Arial" w:hAnsi="Arial"/>
          <w:sz w:val="18"/>
          <w:szCs w:val="18"/>
          <w:color w:val="auto"/>
        </w:rPr>
        <w:t>In addition, we provide Refinitiv with certain real-time market data feeds for multiple fixed income and derivatives products under an exclusive license pursuant to which Refinitiv redistributes such market data to its customers on its Eikon platform and through direct feeds</w:t>
      </w:r>
      <w:r>
        <w:rPr>
          <w:rFonts w:ascii="Arial" w:cs="Arial" w:eastAsia="Arial" w:hAnsi="Arial"/>
          <w:sz w:val="18"/>
          <w:szCs w:val="18"/>
          <w:color w:val="231F20"/>
        </w:rPr>
        <w:t>.</w:t>
      </w:r>
    </w:p>
    <w:p>
      <w:pPr>
        <w:spacing w:after="0" w:line="177" w:lineRule="exact"/>
        <w:rPr>
          <w:sz w:val="20"/>
          <w:szCs w:val="20"/>
          <w:color w:val="auto"/>
        </w:rPr>
      </w:pPr>
    </w:p>
    <w:p>
      <w:pPr>
        <w:ind w:left="660" w:right="340" w:hanging="333"/>
        <w:spacing w:after="0" w:line="261" w:lineRule="auto"/>
        <w:tabs>
          <w:tab w:leader="none" w:pos="466" w:val="left"/>
        </w:tabs>
        <w:numPr>
          <w:ilvl w:val="0"/>
          <w:numId w:val="13"/>
        </w:numPr>
        <w:rPr>
          <w:rFonts w:ascii="Arial" w:cs="Arial" w:eastAsia="Arial" w:hAnsi="Arial"/>
          <w:sz w:val="18"/>
          <w:szCs w:val="18"/>
          <w:color w:val="231F20"/>
        </w:rPr>
      </w:pPr>
      <w:r>
        <w:rPr>
          <w:rFonts w:ascii="Arial" w:cs="Arial" w:eastAsia="Arial" w:hAnsi="Arial"/>
          <w:sz w:val="18"/>
          <w:szCs w:val="18"/>
          <w:b w:val="1"/>
          <w:bCs w:val="1"/>
          <w:u w:val="single" w:color="auto"/>
          <w:color w:val="231F20"/>
        </w:rPr>
        <w:t>Trade Execution</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Trade execution is at the core of our business. We provide marketplaces and tools that facilitate</w:t>
      </w:r>
      <w:r>
        <w:rPr>
          <w:rFonts w:ascii="Arial" w:cs="Arial" w:eastAsia="Arial" w:hAnsi="Arial"/>
          <w:sz w:val="18"/>
          <w:szCs w:val="18"/>
          <w:b w:val="1"/>
          <w:bCs w:val="1"/>
          <w:color w:val="231F20"/>
        </w:rPr>
        <w:t xml:space="preserve"> </w:t>
      </w:r>
      <w:r>
        <w:rPr>
          <w:rFonts w:ascii="Arial" w:cs="Arial" w:eastAsia="Arial" w:hAnsi="Arial"/>
          <w:sz w:val="18"/>
          <w:szCs w:val="18"/>
          <w:color w:val="000000"/>
        </w:rPr>
        <w:t>trading by our clients and streamline their related workflows. Our market specialists and technology team work closely with our clients to continuously innovate and improve their trading practices. The trading protocols we currently offer on our platforms include</w:t>
      </w:r>
      <w:r>
        <w:rPr>
          <w:rFonts w:ascii="Arial" w:cs="Arial" w:eastAsia="Arial" w:hAnsi="Arial"/>
          <w:sz w:val="18"/>
          <w:szCs w:val="18"/>
          <w:color w:val="231F20"/>
        </w:rPr>
        <w:t>:</w:t>
      </w:r>
    </w:p>
    <w:p>
      <w:pPr>
        <w:spacing w:after="0" w:line="184" w:lineRule="exact"/>
        <w:rPr>
          <w:rFonts w:ascii="Arial" w:cs="Arial" w:eastAsia="Arial" w:hAnsi="Arial"/>
          <w:sz w:val="18"/>
          <w:szCs w:val="18"/>
          <w:color w:val="231F20"/>
        </w:rPr>
      </w:pPr>
    </w:p>
    <w:p>
      <w:pPr>
        <w:ind w:left="980" w:right="60" w:hanging="329"/>
        <w:spacing w:after="0" w:line="255" w:lineRule="auto"/>
        <w:tabs>
          <w:tab w:leader="none" w:pos="1151" w:val="left"/>
        </w:tabs>
        <w:numPr>
          <w:ilvl w:val="1"/>
          <w:numId w:val="13"/>
        </w:numPr>
        <w:rPr>
          <w:rFonts w:ascii="Arial" w:cs="Arial" w:eastAsia="Arial" w:hAnsi="Arial"/>
          <w:sz w:val="18"/>
          <w:szCs w:val="18"/>
          <w:color w:val="231F20"/>
        </w:rPr>
      </w:pPr>
      <w:r>
        <w:rPr>
          <w:rFonts w:ascii="Arial" w:cs="Arial" w:eastAsia="Arial" w:hAnsi="Arial"/>
          <w:sz w:val="18"/>
          <w:szCs w:val="18"/>
          <w:i w:val="1"/>
          <w:iCs w:val="1"/>
          <w:u w:val="single" w:color="auto"/>
          <w:color w:val="231F20"/>
        </w:rPr>
        <w:t>Request-for-quote.</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multi-dealer request-for-quote, or RFQ, protocol provides institutional clients with</w:t>
      </w:r>
      <w:r>
        <w:rPr>
          <w:rFonts w:ascii="Arial" w:cs="Arial" w:eastAsia="Arial" w:hAnsi="Arial"/>
          <w:sz w:val="18"/>
          <w:szCs w:val="18"/>
          <w:i w:val="1"/>
          <w:iCs w:val="1"/>
          <w:color w:val="231F20"/>
        </w:rPr>
        <w:t xml:space="preserve"> </w:t>
      </w:r>
      <w:r>
        <w:rPr>
          <w:rFonts w:ascii="Arial" w:cs="Arial" w:eastAsia="Arial" w:hAnsi="Arial"/>
          <w:sz w:val="18"/>
          <w:szCs w:val="18"/>
          <w:color w:val="000000"/>
        </w:rPr>
        <w:t>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r>
        <w:rPr>
          <w:rFonts w:ascii="Arial" w:cs="Arial" w:eastAsia="Arial" w:hAnsi="Arial"/>
          <w:sz w:val="18"/>
          <w:szCs w:val="18"/>
          <w:color w:val="231F20"/>
        </w:rPr>
        <w:t>.</w:t>
      </w:r>
    </w:p>
    <w:p>
      <w:pPr>
        <w:spacing w:after="0" w:line="193" w:lineRule="exact"/>
        <w:rPr>
          <w:rFonts w:ascii="Arial" w:cs="Arial" w:eastAsia="Arial" w:hAnsi="Arial"/>
          <w:sz w:val="18"/>
          <w:szCs w:val="18"/>
          <w:color w:val="231F20"/>
        </w:rPr>
      </w:pPr>
    </w:p>
    <w:p>
      <w:pPr>
        <w:ind w:left="980" w:hanging="329"/>
        <w:spacing w:after="0" w:line="257" w:lineRule="auto"/>
        <w:tabs>
          <w:tab w:leader="none" w:pos="1151" w:val="left"/>
        </w:tabs>
        <w:numPr>
          <w:ilvl w:val="1"/>
          <w:numId w:val="13"/>
        </w:numPr>
        <w:rPr>
          <w:rFonts w:ascii="Arial" w:cs="Arial" w:eastAsia="Arial" w:hAnsi="Arial"/>
          <w:sz w:val="18"/>
          <w:szCs w:val="18"/>
          <w:color w:val="231F20"/>
        </w:rPr>
      </w:pPr>
      <w:r>
        <w:rPr>
          <w:rFonts w:ascii="Arial" w:cs="Arial" w:eastAsia="Arial" w:hAnsi="Arial"/>
          <w:sz w:val="18"/>
          <w:szCs w:val="18"/>
          <w:i w:val="1"/>
          <w:iCs w:val="1"/>
          <w:u w:val="single" w:color="auto"/>
          <w:color w:val="231F20"/>
        </w:rPr>
        <w:t>Request-for-market.</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request-for-market, or RFM, protocol provides institutional clients with the ability to</w:t>
      </w:r>
      <w:r>
        <w:rPr>
          <w:rFonts w:ascii="Arial" w:cs="Arial" w:eastAsia="Arial" w:hAnsi="Arial"/>
          <w:sz w:val="18"/>
          <w:szCs w:val="18"/>
          <w:i w:val="1"/>
          <w:iCs w:val="1"/>
          <w:color w:val="231F20"/>
        </w:rPr>
        <w:t xml:space="preserve"> </w:t>
      </w:r>
      <w:r>
        <w:rPr>
          <w:rFonts w:ascii="Arial" w:cs="Arial" w:eastAsia="Arial" w:hAnsi="Arial"/>
          <w:sz w:val="18"/>
          <w:szCs w:val="18"/>
          <w:color w:val="000000"/>
        </w:rPr>
        <w:t>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r>
        <w:rPr>
          <w:rFonts w:ascii="Arial" w:cs="Arial" w:eastAsia="Arial" w:hAnsi="Arial"/>
          <w:sz w:val="18"/>
          <w:szCs w:val="18"/>
          <w:color w:val="231F20"/>
        </w:rPr>
        <w:t>.</w:t>
      </w:r>
    </w:p>
    <w:p>
      <w:pPr>
        <w:spacing w:after="0" w:line="188" w:lineRule="exact"/>
        <w:rPr>
          <w:rFonts w:ascii="Arial" w:cs="Arial" w:eastAsia="Arial" w:hAnsi="Arial"/>
          <w:sz w:val="18"/>
          <w:szCs w:val="18"/>
          <w:color w:val="231F20"/>
        </w:rPr>
      </w:pPr>
    </w:p>
    <w:p>
      <w:pPr>
        <w:ind w:left="980" w:right="660" w:hanging="329"/>
        <w:spacing w:after="0" w:line="342" w:lineRule="auto"/>
        <w:tabs>
          <w:tab w:leader="none" w:pos="1151" w:val="left"/>
        </w:tabs>
        <w:numPr>
          <w:ilvl w:val="1"/>
          <w:numId w:val="13"/>
        </w:numPr>
        <w:rPr>
          <w:rFonts w:ascii="Arial" w:cs="Arial" w:eastAsia="Arial" w:hAnsi="Arial"/>
          <w:sz w:val="16"/>
          <w:szCs w:val="16"/>
          <w:color w:val="231F20"/>
        </w:rPr>
      </w:pPr>
      <w:r>
        <w:rPr>
          <w:rFonts w:ascii="Arial" w:cs="Arial" w:eastAsia="Arial" w:hAnsi="Arial"/>
          <w:sz w:val="16"/>
          <w:szCs w:val="16"/>
          <w:i w:val="1"/>
          <w:iCs w:val="1"/>
          <w:u w:val="single" w:color="auto"/>
          <w:color w:val="231F20"/>
        </w:rPr>
        <w:t>Request-for-stream.</w:t>
      </w:r>
      <w:r>
        <w:rPr>
          <w:rFonts w:ascii="Arial" w:cs="Arial" w:eastAsia="Arial" w:hAnsi="Arial"/>
          <w:sz w:val="16"/>
          <w:szCs w:val="16"/>
          <w:i w:val="1"/>
          <w:iCs w:val="1"/>
          <w:color w:val="231F20"/>
        </w:rPr>
        <w:t xml:space="preserve"> </w:t>
      </w:r>
      <w:r>
        <w:rPr>
          <w:rFonts w:ascii="Arial" w:cs="Arial" w:eastAsia="Arial" w:hAnsi="Arial"/>
          <w:sz w:val="16"/>
          <w:szCs w:val="16"/>
          <w:color w:val="000000"/>
        </w:rPr>
        <w:t>Our request-for-stream, or RFS, protocol allows multiple dealers to show clients</w:t>
      </w:r>
      <w:r>
        <w:rPr>
          <w:rFonts w:ascii="Arial" w:cs="Arial" w:eastAsia="Arial" w:hAnsi="Arial"/>
          <w:sz w:val="16"/>
          <w:szCs w:val="16"/>
          <w:i w:val="1"/>
          <w:iCs w:val="1"/>
          <w:color w:val="231F20"/>
        </w:rPr>
        <w:t xml:space="preserve"> </w:t>
      </w:r>
      <w:r>
        <w:rPr>
          <w:rFonts w:ascii="Arial" w:cs="Arial" w:eastAsia="Arial" w:hAnsi="Arial"/>
          <w:sz w:val="16"/>
          <w:szCs w:val="16"/>
          <w:color w:val="000000"/>
        </w:rPr>
        <w:t>continuously updating rates, in line with market movements, during a client’s request window</w:t>
      </w:r>
      <w:r>
        <w:rPr>
          <w:rFonts w:ascii="Arial" w:cs="Arial" w:eastAsia="Arial" w:hAnsi="Arial"/>
          <w:sz w:val="16"/>
          <w:szCs w:val="16"/>
          <w:color w:val="231F20"/>
        </w:rPr>
        <w:t>.</w:t>
      </w:r>
    </w:p>
    <w:p>
      <w:pPr>
        <w:spacing w:after="0" w:line="123" w:lineRule="exact"/>
        <w:rPr>
          <w:rFonts w:ascii="Arial" w:cs="Arial" w:eastAsia="Arial" w:hAnsi="Arial"/>
          <w:sz w:val="16"/>
          <w:szCs w:val="16"/>
          <w:color w:val="231F20"/>
        </w:rPr>
      </w:pPr>
    </w:p>
    <w:p>
      <w:pPr>
        <w:ind w:left="980" w:right="220" w:hanging="329"/>
        <w:spacing w:after="0" w:line="259" w:lineRule="auto"/>
        <w:tabs>
          <w:tab w:leader="none" w:pos="1151" w:val="left"/>
        </w:tabs>
        <w:numPr>
          <w:ilvl w:val="1"/>
          <w:numId w:val="13"/>
        </w:numPr>
        <w:rPr>
          <w:rFonts w:ascii="Arial" w:cs="Arial" w:eastAsia="Arial" w:hAnsi="Arial"/>
          <w:sz w:val="18"/>
          <w:szCs w:val="18"/>
          <w:color w:val="231F20"/>
        </w:rPr>
      </w:pPr>
      <w:r>
        <w:rPr>
          <w:rFonts w:ascii="Arial" w:cs="Arial" w:eastAsia="Arial" w:hAnsi="Arial"/>
          <w:sz w:val="18"/>
          <w:szCs w:val="18"/>
          <w:i w:val="1"/>
          <w:iCs w:val="1"/>
          <w:u w:val="single" w:color="auto"/>
          <w:color w:val="231F20"/>
        </w:rPr>
        <w:t>List trading.</w:t>
      </w:r>
      <w:r>
        <w:rPr>
          <w:rFonts w:ascii="Arial" w:cs="Arial" w:eastAsia="Arial" w:hAnsi="Arial"/>
          <w:sz w:val="18"/>
          <w:szCs w:val="18"/>
          <w:i w:val="1"/>
          <w:iCs w:val="1"/>
          <w:color w:val="231F20"/>
        </w:rPr>
        <w:t xml:space="preserve"> </w:t>
      </w:r>
      <w:r>
        <w:rPr>
          <w:rFonts w:ascii="Arial" w:cs="Arial" w:eastAsia="Arial" w:hAnsi="Arial"/>
          <w:sz w:val="18"/>
          <w:szCs w:val="18"/>
          <w:color w:val="000000"/>
        </w:rPr>
        <w:t>Used by clients with multiple transactions to complete, our list trading protocol is a highly</w:t>
      </w:r>
      <w:r>
        <w:rPr>
          <w:rFonts w:ascii="Arial" w:cs="Arial" w:eastAsia="Arial" w:hAnsi="Arial"/>
          <w:sz w:val="18"/>
          <w:szCs w:val="18"/>
          <w:i w:val="1"/>
          <w:iCs w:val="1"/>
          <w:color w:val="231F20"/>
        </w:rPr>
        <w:t xml:space="preserve"> </w:t>
      </w:r>
      <w:r>
        <w:rPr>
          <w:rFonts w:ascii="Arial" w:cs="Arial" w:eastAsia="Arial" w:hAnsi="Arial"/>
          <w:sz w:val="18"/>
          <w:szCs w:val="18"/>
          <w:color w:val="000000"/>
        </w:rPr>
        <w:t>efficient workflow tool. By executing many trades at once, clients can request prices from multiple dealers to extract the best price and complete the hedging of the trades at one time, saving significant manual effort compared to executing on the telephone</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ind w:left="980" w:right="440" w:hanging="329"/>
        <w:spacing w:after="0" w:line="302" w:lineRule="auto"/>
        <w:tabs>
          <w:tab w:leader="none" w:pos="1151" w:val="left"/>
        </w:tabs>
        <w:numPr>
          <w:ilvl w:val="1"/>
          <w:numId w:val="13"/>
        </w:numPr>
        <w:rPr>
          <w:rFonts w:ascii="Arial" w:cs="Arial" w:eastAsia="Arial" w:hAnsi="Arial"/>
          <w:sz w:val="16"/>
          <w:szCs w:val="16"/>
          <w:color w:val="231F20"/>
        </w:rPr>
      </w:pPr>
      <w:r>
        <w:rPr>
          <w:rFonts w:ascii="Arial" w:cs="Arial" w:eastAsia="Arial" w:hAnsi="Arial"/>
          <w:sz w:val="16"/>
          <w:szCs w:val="16"/>
          <w:i w:val="1"/>
          <w:iCs w:val="1"/>
          <w:u w:val="single" w:color="auto"/>
          <w:color w:val="231F20"/>
        </w:rPr>
        <w:t>Compression</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Clients utilize our interest rate swap compression tool as an efficient means to reduce the</w:t>
      </w:r>
      <w:r>
        <w:rPr>
          <w:rFonts w:ascii="Arial" w:cs="Arial" w:eastAsia="Arial" w:hAnsi="Arial"/>
          <w:sz w:val="16"/>
          <w:szCs w:val="16"/>
          <w:i w:val="1"/>
          <w:iCs w:val="1"/>
          <w:color w:val="231F20"/>
        </w:rPr>
        <w:t xml:space="preserve"> </w:t>
      </w:r>
      <w:r>
        <w:rPr>
          <w:rFonts w:ascii="Arial" w:cs="Arial" w:eastAsia="Arial" w:hAnsi="Arial"/>
          <w:sz w:val="16"/>
          <w:szCs w:val="16"/>
          <w:color w:val="000000"/>
        </w:rPr>
        <w:t>number of line items they have 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risk and clearing costs. The Tradeweb compression tool is flexible and versatile in design allowing clients to adapt the tool to their workflow and customize for granular swaps</w:t>
      </w:r>
      <w:r>
        <w:rPr>
          <w:rFonts w:ascii="Arial" w:cs="Arial" w:eastAsia="Arial" w:hAnsi="Arial"/>
          <w:sz w:val="18"/>
          <w:szCs w:val="18"/>
          <w:color w:val="231F20"/>
        </w:rPr>
        <w:t>.</w:t>
      </w:r>
    </w:p>
    <w:p>
      <w:pPr>
        <w:spacing w:after="0" w:line="170" w:lineRule="exact"/>
        <w:rPr>
          <w:sz w:val="20"/>
          <w:szCs w:val="20"/>
          <w:color w:val="auto"/>
        </w:rPr>
      </w:pPr>
    </w:p>
    <w:p>
      <w:pPr>
        <w:ind w:left="980" w:hanging="329"/>
        <w:spacing w:after="0" w:line="291" w:lineRule="auto"/>
        <w:tabs>
          <w:tab w:leader="none" w:pos="1151" w:val="left"/>
        </w:tabs>
        <w:numPr>
          <w:ilvl w:val="0"/>
          <w:numId w:val="14"/>
        </w:numPr>
        <w:rPr>
          <w:rFonts w:ascii="Arial" w:cs="Arial" w:eastAsia="Arial" w:hAnsi="Arial"/>
          <w:sz w:val="16"/>
          <w:szCs w:val="16"/>
          <w:color w:val="231F20"/>
        </w:rPr>
      </w:pPr>
      <w:r>
        <w:rPr>
          <w:rFonts w:ascii="Arial" w:cs="Arial" w:eastAsia="Arial" w:hAnsi="Arial"/>
          <w:sz w:val="16"/>
          <w:szCs w:val="16"/>
          <w:i w:val="1"/>
          <w:iCs w:val="1"/>
          <w:u w:val="single" w:color="auto"/>
          <w:color w:val="231F20"/>
        </w:rPr>
        <w:t>Blast all-to-all.</w:t>
      </w:r>
      <w:r>
        <w:rPr>
          <w:rFonts w:ascii="Arial" w:cs="Arial" w:eastAsia="Arial" w:hAnsi="Arial"/>
          <w:sz w:val="16"/>
          <w:szCs w:val="16"/>
          <w:i w:val="1"/>
          <w:iCs w:val="1"/>
          <w:color w:val="231F20"/>
        </w:rPr>
        <w:t xml:space="preserve"> </w:t>
      </w:r>
      <w:r>
        <w:rPr>
          <w:rFonts w:ascii="Arial" w:cs="Arial" w:eastAsia="Arial" w:hAnsi="Arial"/>
          <w:sz w:val="16"/>
          <w:szCs w:val="16"/>
          <w:color w:val="000000"/>
        </w:rPr>
        <w:t>Our Blast all-to-all, or A2A, protocol allows clients to send RFQ trade inquiries to all market</w:t>
      </w:r>
      <w:r>
        <w:rPr>
          <w:rFonts w:ascii="Arial" w:cs="Arial" w:eastAsia="Arial" w:hAnsi="Arial"/>
          <w:sz w:val="16"/>
          <w:szCs w:val="16"/>
          <w:i w:val="1"/>
          <w:iCs w:val="1"/>
          <w:color w:val="231F20"/>
        </w:rPr>
        <w:t xml:space="preserve"> </w:t>
      </w:r>
      <w:r>
        <w:rPr>
          <w:rFonts w:ascii="Arial" w:cs="Arial" w:eastAsia="Arial" w:hAnsi="Arial"/>
          <w:sz w:val="16"/>
          <w:szCs w:val="16"/>
          <w:color w:val="000000"/>
        </w:rPr>
        <w:t>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r>
        <w:rPr>
          <w:rFonts w:ascii="Arial" w:cs="Arial" w:eastAsia="Arial" w:hAnsi="Arial"/>
          <w:sz w:val="16"/>
          <w:szCs w:val="16"/>
          <w:color w:val="231F20"/>
        </w:rPr>
        <w:t>.</w:t>
      </w:r>
    </w:p>
    <w:p>
      <w:pPr>
        <w:spacing w:after="0" w:line="167" w:lineRule="exact"/>
        <w:rPr>
          <w:rFonts w:ascii="Arial" w:cs="Arial" w:eastAsia="Arial" w:hAnsi="Arial"/>
          <w:sz w:val="16"/>
          <w:szCs w:val="16"/>
          <w:color w:val="231F20"/>
        </w:rPr>
      </w:pPr>
    </w:p>
    <w:p>
      <w:pPr>
        <w:ind w:left="980" w:right="80" w:hanging="329"/>
        <w:spacing w:after="0" w:line="312" w:lineRule="auto"/>
        <w:tabs>
          <w:tab w:leader="none" w:pos="1151" w:val="left"/>
        </w:tabs>
        <w:numPr>
          <w:ilvl w:val="0"/>
          <w:numId w:val="14"/>
        </w:numPr>
        <w:rPr>
          <w:rFonts w:ascii="Arial" w:cs="Arial" w:eastAsia="Arial" w:hAnsi="Arial"/>
          <w:sz w:val="16"/>
          <w:szCs w:val="16"/>
          <w:color w:val="231F20"/>
        </w:rPr>
      </w:pPr>
      <w:r>
        <w:rPr>
          <w:rFonts w:ascii="Arial" w:cs="Arial" w:eastAsia="Arial" w:hAnsi="Arial"/>
          <w:sz w:val="16"/>
          <w:szCs w:val="16"/>
          <w:i w:val="1"/>
          <w:iCs w:val="1"/>
          <w:u w:val="single" w:color="auto"/>
          <w:color w:val="231F20"/>
        </w:rPr>
        <w:t>Click-to-trade.</w:t>
      </w:r>
      <w:r>
        <w:rPr>
          <w:rFonts w:ascii="Arial" w:cs="Arial" w:eastAsia="Arial" w:hAnsi="Arial"/>
          <w:sz w:val="16"/>
          <w:szCs w:val="16"/>
          <w:i w:val="1"/>
          <w:iCs w:val="1"/>
          <w:color w:val="231F20"/>
        </w:rPr>
        <w:t xml:space="preserve"> </w:t>
      </w:r>
      <w:r>
        <w:rPr>
          <w:rFonts w:ascii="Arial" w:cs="Arial" w:eastAsia="Arial" w:hAnsi="Arial"/>
          <w:sz w:val="16"/>
          <w:szCs w:val="16"/>
          <w:color w:val="000000"/>
        </w:rPr>
        <w:t>Our click-to-trade, or CTT, protocol enables a liquidity-taking client to view a set of prices in</w:t>
      </w:r>
      <w:r>
        <w:rPr>
          <w:rFonts w:ascii="Arial" w:cs="Arial" w:eastAsia="Arial" w:hAnsi="Arial"/>
          <w:sz w:val="16"/>
          <w:szCs w:val="16"/>
          <w:i w:val="1"/>
          <w:iCs w:val="1"/>
          <w:color w:val="231F20"/>
        </w:rPr>
        <w:t xml:space="preserve"> </w:t>
      </w:r>
      <w:r>
        <w:rPr>
          <w:rFonts w:ascii="Arial" w:cs="Arial" w:eastAsia="Arial" w:hAnsi="Arial"/>
          <w:sz w:val="16"/>
          <w:szCs w:val="16"/>
          <w:color w:val="000000"/>
        </w:rPr>
        <w:t>real-time and click on the price and the dealer with whom they wish to execute. This trading protocol is especially popular with clients that are looking to view a range of executable, real-time prices across dealers</w:t>
      </w:r>
      <w:r>
        <w:rPr>
          <w:rFonts w:ascii="Arial" w:cs="Arial" w:eastAsia="Arial" w:hAnsi="Arial"/>
          <w:sz w:val="16"/>
          <w:szCs w:val="16"/>
          <w:color w:val="231F20"/>
        </w:rPr>
        <w:t>.</w:t>
      </w:r>
    </w:p>
    <w:p>
      <w:pPr>
        <w:spacing w:after="0" w:line="146" w:lineRule="exact"/>
        <w:rPr>
          <w:rFonts w:ascii="Arial" w:cs="Arial" w:eastAsia="Arial" w:hAnsi="Arial"/>
          <w:sz w:val="16"/>
          <w:szCs w:val="16"/>
          <w:color w:val="231F20"/>
        </w:rPr>
      </w:pPr>
    </w:p>
    <w:p>
      <w:pPr>
        <w:ind w:left="980" w:right="420" w:hanging="329"/>
        <w:spacing w:after="0" w:line="342" w:lineRule="auto"/>
        <w:tabs>
          <w:tab w:leader="none" w:pos="1151" w:val="left"/>
        </w:tabs>
        <w:numPr>
          <w:ilvl w:val="0"/>
          <w:numId w:val="14"/>
        </w:numPr>
        <w:rPr>
          <w:rFonts w:ascii="Arial" w:cs="Arial" w:eastAsia="Arial" w:hAnsi="Arial"/>
          <w:sz w:val="16"/>
          <w:szCs w:val="16"/>
          <w:color w:val="231F20"/>
        </w:rPr>
      </w:pPr>
      <w:r>
        <w:rPr>
          <w:rFonts w:ascii="Arial" w:cs="Arial" w:eastAsia="Arial" w:hAnsi="Arial"/>
          <w:sz w:val="16"/>
          <w:szCs w:val="16"/>
          <w:i w:val="1"/>
          <w:iCs w:val="1"/>
          <w:u w:val="single" w:color="auto"/>
          <w:color w:val="231F20"/>
        </w:rPr>
        <w:t>Portfolio Trading</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To support rebalancing of passive portfolios and ETFs, our portfolio trading solution</w:t>
      </w:r>
      <w:r>
        <w:rPr>
          <w:rFonts w:ascii="Arial" w:cs="Arial" w:eastAsia="Arial" w:hAnsi="Arial"/>
          <w:sz w:val="16"/>
          <w:szCs w:val="16"/>
          <w:i w:val="1"/>
          <w:iCs w:val="1"/>
          <w:color w:val="231F20"/>
        </w:rPr>
        <w:t xml:space="preserve"> </w:t>
      </w:r>
      <w:r>
        <w:rPr>
          <w:rFonts w:ascii="Arial" w:cs="Arial" w:eastAsia="Arial" w:hAnsi="Arial"/>
          <w:sz w:val="16"/>
          <w:szCs w:val="16"/>
          <w:color w:val="000000"/>
        </w:rPr>
        <w:t>allows clients to obtain competitive prices and trade on net present value on a full basket of securities</w:t>
      </w:r>
      <w:r>
        <w:rPr>
          <w:rFonts w:ascii="Arial" w:cs="Arial" w:eastAsia="Arial" w:hAnsi="Arial"/>
          <w:sz w:val="16"/>
          <w:szCs w:val="16"/>
          <w:color w:val="231F20"/>
        </w:rPr>
        <w:t>.</w:t>
      </w:r>
    </w:p>
    <w:p>
      <w:pPr>
        <w:spacing w:after="0" w:line="123" w:lineRule="exact"/>
        <w:rPr>
          <w:rFonts w:ascii="Arial" w:cs="Arial" w:eastAsia="Arial" w:hAnsi="Arial"/>
          <w:sz w:val="16"/>
          <w:szCs w:val="16"/>
          <w:color w:val="231F20"/>
        </w:rPr>
      </w:pPr>
    </w:p>
    <w:p>
      <w:pPr>
        <w:ind w:left="980" w:right="140" w:hanging="329"/>
        <w:spacing w:after="0" w:line="257" w:lineRule="auto"/>
        <w:tabs>
          <w:tab w:leader="none" w:pos="1151" w:val="left"/>
        </w:tabs>
        <w:numPr>
          <w:ilvl w:val="0"/>
          <w:numId w:val="14"/>
        </w:numPr>
        <w:rPr>
          <w:rFonts w:ascii="Arial" w:cs="Arial" w:eastAsia="Arial" w:hAnsi="Arial"/>
          <w:sz w:val="18"/>
          <w:szCs w:val="18"/>
          <w:color w:val="231F20"/>
        </w:rPr>
      </w:pPr>
      <w:r>
        <w:rPr>
          <w:rFonts w:ascii="Arial" w:cs="Arial" w:eastAsia="Arial" w:hAnsi="Arial"/>
          <w:sz w:val="18"/>
          <w:szCs w:val="18"/>
          <w:i w:val="1"/>
          <w:iCs w:val="1"/>
          <w:u w:val="single" w:color="auto"/>
          <w:color w:val="231F20"/>
        </w:rPr>
        <w:t>Session-based</w:t>
      </w:r>
      <w:r>
        <w:rPr>
          <w:rFonts w:ascii="Arial" w:cs="Arial" w:eastAsia="Arial" w:hAnsi="Arial"/>
          <w:sz w:val="18"/>
          <w:szCs w:val="18"/>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000000"/>
        </w:rPr>
        <w:t>Sweep, our session-based trading protocol, allows clients to manage inventory and balance</w:t>
      </w:r>
      <w:r>
        <w:rPr>
          <w:rFonts w:ascii="Arial" w:cs="Arial" w:eastAsia="Arial" w:hAnsi="Arial"/>
          <w:sz w:val="18"/>
          <w:szCs w:val="18"/>
          <w:i w:val="1"/>
          <w:iCs w:val="1"/>
          <w:color w:val="231F20"/>
        </w:rPr>
        <w:t xml:space="preserve"> </w:t>
      </w:r>
      <w:r>
        <w:rPr>
          <w:rFonts w:ascii="Arial" w:cs="Arial" w:eastAsia="Arial" w:hAnsi="Arial"/>
          <w:sz w:val="18"/>
          <w:szCs w:val="18"/>
          <w:color w:val="000000"/>
        </w:rPr>
        <w:t>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r>
        <w:rPr>
          <w:rFonts w:ascii="Arial" w:cs="Arial" w:eastAsia="Arial" w:hAnsi="Arial"/>
          <w:sz w:val="18"/>
          <w:szCs w:val="18"/>
          <w:color w:val="231F20"/>
        </w:rPr>
        <w:t>.</w:t>
      </w:r>
    </w:p>
    <w:p>
      <w:pPr>
        <w:spacing w:after="0" w:line="188" w:lineRule="exact"/>
        <w:rPr>
          <w:rFonts w:ascii="Arial" w:cs="Arial" w:eastAsia="Arial" w:hAnsi="Arial"/>
          <w:sz w:val="18"/>
          <w:szCs w:val="18"/>
          <w:color w:val="231F20"/>
        </w:rPr>
      </w:pPr>
    </w:p>
    <w:p>
      <w:pPr>
        <w:ind w:left="980" w:right="120" w:hanging="329"/>
        <w:spacing w:after="0" w:line="264" w:lineRule="auto"/>
        <w:tabs>
          <w:tab w:leader="none" w:pos="1151" w:val="left"/>
        </w:tabs>
        <w:numPr>
          <w:ilvl w:val="0"/>
          <w:numId w:val="14"/>
        </w:numPr>
        <w:rPr>
          <w:rFonts w:ascii="Arial" w:cs="Arial" w:eastAsia="Arial" w:hAnsi="Arial"/>
          <w:sz w:val="18"/>
          <w:szCs w:val="18"/>
          <w:color w:val="231F20"/>
        </w:rPr>
      </w:pPr>
      <w:r>
        <w:rPr>
          <w:rFonts w:ascii="Arial" w:cs="Arial" w:eastAsia="Arial" w:hAnsi="Arial"/>
          <w:sz w:val="18"/>
          <w:szCs w:val="18"/>
          <w:i w:val="1"/>
          <w:iCs w:val="1"/>
          <w:u w:val="single" w:color="auto"/>
          <w:color w:val="231F20"/>
        </w:rPr>
        <w:t>Central Limit Order Book.</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central limit order book, or CLOB, is a continuous electronic protocol that</w:t>
      </w:r>
      <w:r>
        <w:rPr>
          <w:rFonts w:ascii="Arial" w:cs="Arial" w:eastAsia="Arial" w:hAnsi="Arial"/>
          <w:sz w:val="18"/>
          <w:szCs w:val="18"/>
          <w:i w:val="1"/>
          <w:iCs w:val="1"/>
          <w:color w:val="231F20"/>
        </w:rPr>
        <w:t xml:space="preserve"> </w:t>
      </w:r>
      <w:r>
        <w:rPr>
          <w:rFonts w:ascii="Arial" w:cs="Arial" w:eastAsia="Arial" w:hAnsi="Arial"/>
          <w:sz w:val="18"/>
          <w:szCs w:val="18"/>
          <w:color w:val="000000"/>
        </w:rPr>
        <w:t>allows clients to trade on firm bids and offers from other market participants, as well as enter their own resting bids and offers for display to the market participants, typically anonymously</w:t>
      </w:r>
      <w:r>
        <w:rPr>
          <w:rFonts w:ascii="Arial" w:cs="Arial" w:eastAsia="Arial" w:hAnsi="Arial"/>
          <w:sz w:val="18"/>
          <w:szCs w:val="18"/>
          <w:color w:val="231F20"/>
        </w:rPr>
        <w:t>.</w:t>
      </w:r>
    </w:p>
    <w:p>
      <w:pPr>
        <w:spacing w:after="0" w:line="181" w:lineRule="exact"/>
        <w:rPr>
          <w:rFonts w:ascii="Arial" w:cs="Arial" w:eastAsia="Arial" w:hAnsi="Arial"/>
          <w:sz w:val="18"/>
          <w:szCs w:val="18"/>
          <w:color w:val="231F20"/>
        </w:rPr>
      </w:pPr>
    </w:p>
    <w:p>
      <w:pPr>
        <w:ind w:left="980" w:right="80" w:hanging="329"/>
        <w:spacing w:after="0" w:line="276" w:lineRule="auto"/>
        <w:tabs>
          <w:tab w:leader="none" w:pos="1151" w:val="left"/>
        </w:tabs>
        <w:numPr>
          <w:ilvl w:val="0"/>
          <w:numId w:val="14"/>
        </w:numPr>
        <w:rPr>
          <w:rFonts w:ascii="Arial" w:cs="Arial" w:eastAsia="Arial" w:hAnsi="Arial"/>
          <w:sz w:val="17"/>
          <w:szCs w:val="17"/>
          <w:color w:val="231F20"/>
        </w:rPr>
      </w:pPr>
      <w:r>
        <w:rPr>
          <w:rFonts w:ascii="Arial" w:cs="Arial" w:eastAsia="Arial" w:hAnsi="Arial"/>
          <w:sz w:val="17"/>
          <w:szCs w:val="17"/>
          <w:i w:val="1"/>
          <w:iCs w:val="1"/>
          <w:u w:val="single" w:color="auto"/>
          <w:color w:val="231F20"/>
        </w:rPr>
        <w:t>Directed streams.</w:t>
      </w:r>
      <w:r>
        <w:rPr>
          <w:rFonts w:ascii="Arial" w:cs="Arial" w:eastAsia="Arial" w:hAnsi="Arial"/>
          <w:sz w:val="17"/>
          <w:szCs w:val="17"/>
          <w:i w:val="1"/>
          <w:iCs w:val="1"/>
          <w:color w:val="231F20"/>
        </w:rPr>
        <w:t xml:space="preserve"> </w:t>
      </w:r>
      <w:r>
        <w:rPr>
          <w:rFonts w:ascii="Arial" w:cs="Arial" w:eastAsia="Arial" w:hAnsi="Arial"/>
          <w:sz w:val="17"/>
          <w:szCs w:val="17"/>
          <w:color w:val="000000"/>
        </w:rPr>
        <w:t>Our directed streams protocol, which is currently used by our wholesale clients 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r>
        <w:rPr>
          <w:rFonts w:ascii="Arial" w:cs="Arial" w:eastAsia="Arial" w:hAnsi="Arial"/>
          <w:sz w:val="17"/>
          <w:szCs w:val="17"/>
          <w:color w:val="231F20"/>
        </w:rPr>
        <w:t>.</w:t>
      </w:r>
    </w:p>
    <w:p>
      <w:pPr>
        <w:spacing w:after="0" w:line="172" w:lineRule="exact"/>
        <w:rPr>
          <w:rFonts w:ascii="Arial" w:cs="Arial" w:eastAsia="Arial" w:hAnsi="Arial"/>
          <w:sz w:val="17"/>
          <w:szCs w:val="17"/>
          <w:color w:val="231F20"/>
        </w:rPr>
      </w:pPr>
    </w:p>
    <w:p>
      <w:pPr>
        <w:ind w:left="980" w:right="220" w:hanging="329"/>
        <w:spacing w:after="0" w:line="257" w:lineRule="auto"/>
        <w:tabs>
          <w:tab w:leader="none" w:pos="1151" w:val="left"/>
        </w:tabs>
        <w:numPr>
          <w:ilvl w:val="0"/>
          <w:numId w:val="14"/>
        </w:numPr>
        <w:rPr>
          <w:rFonts w:ascii="Arial" w:cs="Arial" w:eastAsia="Arial" w:hAnsi="Arial"/>
          <w:sz w:val="18"/>
          <w:szCs w:val="18"/>
          <w:color w:val="231F20"/>
        </w:rPr>
      </w:pPr>
      <w:r>
        <w:rPr>
          <w:rFonts w:ascii="Arial" w:cs="Arial" w:eastAsia="Arial" w:hAnsi="Arial"/>
          <w:sz w:val="18"/>
          <w:szCs w:val="18"/>
          <w:i w:val="1"/>
          <w:iCs w:val="1"/>
          <w:u w:val="single" w:color="auto"/>
          <w:color w:val="231F20"/>
        </w:rPr>
        <w:t>Inventory-based.</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inventory-based protocol allows liquidity-providing clients to submit a range of bids</w:t>
      </w:r>
      <w:r>
        <w:rPr>
          <w:rFonts w:ascii="Arial" w:cs="Arial" w:eastAsia="Arial" w:hAnsi="Arial"/>
          <w:sz w:val="18"/>
          <w:szCs w:val="18"/>
          <w:i w:val="1"/>
          <w:iCs w:val="1"/>
          <w:color w:val="231F20"/>
        </w:rPr>
        <w:t xml:space="preserve"> </w:t>
      </w:r>
      <w:r>
        <w:rPr>
          <w:rFonts w:ascii="Arial" w:cs="Arial" w:eastAsia="Arial" w:hAnsi="Arial"/>
          <w:sz w:val="18"/>
          <w:szCs w:val="18"/>
          <w:color w:val="000000"/>
        </w:rPr>
        <w:t>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r>
        <w:rPr>
          <w:rFonts w:ascii="Arial" w:cs="Arial" w:eastAsia="Arial" w:hAnsi="Arial"/>
          <w:sz w:val="18"/>
          <w:szCs w:val="18"/>
          <w:color w:val="231F20"/>
        </w:rPr>
        <w:t>.</w:t>
      </w:r>
    </w:p>
    <w:p>
      <w:pPr>
        <w:spacing w:after="0" w:line="188" w:lineRule="exact"/>
        <w:rPr>
          <w:rFonts w:ascii="Arial" w:cs="Arial" w:eastAsia="Arial" w:hAnsi="Arial"/>
          <w:sz w:val="18"/>
          <w:szCs w:val="18"/>
          <w:color w:val="231F20"/>
        </w:rPr>
      </w:pPr>
    </w:p>
    <w:p>
      <w:pPr>
        <w:ind w:left="980" w:right="80" w:hanging="329"/>
        <w:spacing w:after="0" w:line="312" w:lineRule="auto"/>
        <w:tabs>
          <w:tab w:leader="none" w:pos="1151" w:val="left"/>
        </w:tabs>
        <w:numPr>
          <w:ilvl w:val="0"/>
          <w:numId w:val="14"/>
        </w:numPr>
        <w:rPr>
          <w:rFonts w:ascii="Arial" w:cs="Arial" w:eastAsia="Arial" w:hAnsi="Arial"/>
          <w:sz w:val="16"/>
          <w:szCs w:val="16"/>
          <w:color w:val="231F20"/>
        </w:rPr>
      </w:pPr>
      <w:r>
        <w:rPr>
          <w:rFonts w:ascii="Arial" w:cs="Arial" w:eastAsia="Arial" w:hAnsi="Arial"/>
          <w:sz w:val="16"/>
          <w:szCs w:val="16"/>
          <w:i w:val="1"/>
          <w:iCs w:val="1"/>
          <w:u w:val="single" w:color="auto"/>
          <w:color w:val="231F20"/>
        </w:rPr>
        <w:t>Voice.</w:t>
      </w:r>
      <w:r>
        <w:rPr>
          <w:rFonts w:ascii="Arial" w:cs="Arial" w:eastAsia="Arial" w:hAnsi="Arial"/>
          <w:sz w:val="16"/>
          <w:szCs w:val="16"/>
          <w:i w:val="1"/>
          <w:iCs w:val="1"/>
          <w:color w:val="231F20"/>
        </w:rPr>
        <w:t xml:space="preserve"> </w:t>
      </w:r>
      <w:r>
        <w:rPr>
          <w:rFonts w:ascii="Arial" w:cs="Arial" w:eastAsia="Arial" w:hAnsi="Arial"/>
          <w:sz w:val="16"/>
          <w:szCs w:val="16"/>
          <w:color w:val="231F20"/>
        </w:rPr>
        <w:t>Voice-brokered products in our wholesale client sector include, among other products, U.S. treasuries,</w:t>
      </w:r>
      <w:r>
        <w:rPr>
          <w:rFonts w:ascii="Arial" w:cs="Arial" w:eastAsia="Arial" w:hAnsi="Arial"/>
          <w:sz w:val="16"/>
          <w:szCs w:val="16"/>
          <w:i w:val="1"/>
          <w:iCs w:val="1"/>
          <w:color w:val="231F20"/>
        </w:rPr>
        <w:t xml:space="preserve"> </w:t>
      </w:r>
      <w:r>
        <w:rPr>
          <w:rFonts w:ascii="Arial" w:cs="Arial" w:eastAsia="Arial" w:hAnsi="Arial"/>
          <w:sz w:val="16"/>
          <w:szCs w:val="16"/>
          <w:color w:val="231F20"/>
        </w:rPr>
        <w:t>MBS, municipal bonds and repurchase agreements. Our voice brokers provide anonymity and insight for sell side traders and give us valuable high-touch relationships and market understanding and access.</w:t>
      </w:r>
    </w:p>
    <w:p>
      <w:pPr>
        <w:spacing w:after="0" w:line="147"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r>
        <w:rPr>
          <w:rFonts w:ascii="Arial" w:cs="Arial" w:eastAsia="Arial" w:hAnsi="Arial"/>
          <w:sz w:val="17"/>
          <w:szCs w:val="17"/>
          <w:color w:val="231F20"/>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333"/>
        <w:spacing w:after="0" w:line="271" w:lineRule="auto"/>
        <w:tabs>
          <w:tab w:leader="none" w:pos="466" w:val="left"/>
        </w:tabs>
        <w:numPr>
          <w:ilvl w:val="0"/>
          <w:numId w:val="15"/>
        </w:numPr>
        <w:rPr>
          <w:rFonts w:ascii="Arial" w:cs="Arial" w:eastAsia="Arial" w:hAnsi="Arial"/>
          <w:sz w:val="17"/>
          <w:szCs w:val="17"/>
          <w:color w:val="231F20"/>
        </w:rPr>
      </w:pPr>
      <w:r>
        <w:rPr>
          <w:rFonts w:ascii="Arial" w:cs="Arial" w:eastAsia="Arial" w:hAnsi="Arial"/>
          <w:sz w:val="17"/>
          <w:szCs w:val="17"/>
          <w:b w:val="1"/>
          <w:bCs w:val="1"/>
          <w:u w:val="single" w:color="auto"/>
          <w:color w:val="231F20"/>
        </w:rPr>
        <w:t>Trade Processing</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Our trade processing technology allows our clients to increase productivity, reduce risk and</w:t>
      </w:r>
      <w:r>
        <w:rPr>
          <w:rFonts w:ascii="Arial" w:cs="Arial" w:eastAsia="Arial" w:hAnsi="Arial"/>
          <w:sz w:val="17"/>
          <w:szCs w:val="17"/>
          <w:b w:val="1"/>
          <w:bCs w:val="1"/>
          <w:color w:val="231F20"/>
        </w:rPr>
        <w:t xml:space="preserve"> </w:t>
      </w:r>
      <w:r>
        <w:rPr>
          <w:rFonts w:ascii="Arial" w:cs="Arial" w:eastAsia="Arial" w:hAnsi="Arial"/>
          <w:sz w:val="17"/>
          <w:szCs w:val="17"/>
          <w:color w:val="000000"/>
        </w:rPr>
        <w:t>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r>
        <w:rPr>
          <w:rFonts w:ascii="Arial" w:cs="Arial" w:eastAsia="Arial" w:hAnsi="Arial"/>
          <w:sz w:val="17"/>
          <w:szCs w:val="17"/>
          <w:color w:val="231F20"/>
        </w:rPr>
        <w:t>.</w:t>
      </w:r>
    </w:p>
    <w:p>
      <w:pPr>
        <w:spacing w:after="0" w:line="174" w:lineRule="exact"/>
        <w:rPr>
          <w:rFonts w:ascii="Arial" w:cs="Arial" w:eastAsia="Arial" w:hAnsi="Arial"/>
          <w:sz w:val="17"/>
          <w:szCs w:val="17"/>
          <w:color w:val="231F20"/>
        </w:rPr>
      </w:pPr>
    </w:p>
    <w:p>
      <w:pPr>
        <w:ind w:left="660" w:right="20" w:hanging="333"/>
        <w:spacing w:after="0" w:line="290" w:lineRule="auto"/>
        <w:tabs>
          <w:tab w:leader="none" w:pos="466" w:val="left"/>
        </w:tabs>
        <w:numPr>
          <w:ilvl w:val="0"/>
          <w:numId w:val="15"/>
        </w:numPr>
        <w:rPr>
          <w:rFonts w:ascii="Arial" w:cs="Arial" w:eastAsia="Arial" w:hAnsi="Arial"/>
          <w:sz w:val="16"/>
          <w:szCs w:val="16"/>
          <w:color w:val="231F20"/>
        </w:rPr>
      </w:pPr>
      <w:r>
        <w:rPr>
          <w:rFonts w:ascii="Arial" w:cs="Arial" w:eastAsia="Arial" w:hAnsi="Arial"/>
          <w:sz w:val="16"/>
          <w:szCs w:val="16"/>
          <w:b w:val="1"/>
          <w:bCs w:val="1"/>
          <w:u w:val="single" w:color="auto"/>
          <w:color w:val="231F20"/>
        </w:rPr>
        <w:t>Post-Trade Data, Analytics and Reporting</w:t>
      </w:r>
      <w:r>
        <w:rPr>
          <w:rFonts w:ascii="Arial" w:cs="Arial" w:eastAsia="Arial" w:hAnsi="Arial"/>
          <w:sz w:val="16"/>
          <w:szCs w:val="16"/>
          <w:color w:val="231F20"/>
        </w:rPr>
        <w:t>:</w:t>
      </w:r>
      <w:r>
        <w:rPr>
          <w:rFonts w:ascii="Arial" w:cs="Arial" w:eastAsia="Arial" w:hAnsi="Arial"/>
          <w:sz w:val="16"/>
          <w:szCs w:val="16"/>
          <w:b w:val="1"/>
          <w:bCs w:val="1"/>
          <w:color w:val="231F20"/>
        </w:rPr>
        <w:t xml:space="preserve"> </w:t>
      </w:r>
      <w:r>
        <w:rPr>
          <w:rFonts w:ascii="Arial" w:cs="Arial" w:eastAsia="Arial" w:hAnsi="Arial"/>
          <w:sz w:val="16"/>
          <w:szCs w:val="16"/>
          <w:color w:val="000000"/>
        </w:rPr>
        <w:t>Our comprehensive post-trade services include transaction cost analysis,</w:t>
      </w:r>
      <w:r>
        <w:rPr>
          <w:rFonts w:ascii="Arial" w:cs="Arial" w:eastAsia="Arial" w:hAnsi="Arial"/>
          <w:sz w:val="16"/>
          <w:szCs w:val="16"/>
          <w:b w:val="1"/>
          <w:bCs w:val="1"/>
          <w:color w:val="231F20"/>
        </w:rPr>
        <w:t xml:space="preserve"> </w:t>
      </w:r>
      <w:r>
        <w:rPr>
          <w:rFonts w:ascii="Arial" w:cs="Arial" w:eastAsia="Arial" w:hAnsi="Arial"/>
          <w:sz w:val="16"/>
          <w:szCs w:val="16"/>
          <w:color w:val="000000"/>
        </w:rPr>
        <w:t>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r>
        <w:rPr>
          <w:rFonts w:ascii="Arial" w:cs="Arial" w:eastAsia="Arial" w:hAnsi="Arial"/>
          <w:sz w:val="16"/>
          <w:szCs w:val="16"/>
          <w:color w:val="231F20"/>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Strategic Alliances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r>
        <w:rPr>
          <w:rFonts w:ascii="Arial" w:cs="Arial" w:eastAsia="Arial" w:hAnsi="Arial"/>
          <w:sz w:val="17"/>
          <w:szCs w:val="17"/>
          <w:color w:val="231F20"/>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r>
        <w:rPr>
          <w:rFonts w:ascii="Arial" w:cs="Arial" w:eastAsia="Arial" w:hAnsi="Arial"/>
          <w:sz w:val="17"/>
          <w:szCs w:val="17"/>
          <w:color w:val="231F20"/>
        </w:rPr>
        <w:t>.</w:t>
      </w:r>
    </w:p>
    <w:p>
      <w:pPr>
        <w:spacing w:after="0" w:line="17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r>
        <w:rPr>
          <w:rFonts w:ascii="Arial" w:cs="Arial" w:eastAsia="Arial" w:hAnsi="Arial"/>
          <w:sz w:val="17"/>
          <w:szCs w:val="17"/>
          <w:color w:val="231F20"/>
        </w:rPr>
        <w:t>.</w:t>
      </w:r>
    </w:p>
    <w:p>
      <w:pPr>
        <w:spacing w:after="0" w:line="17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r>
        <w:rPr>
          <w:rFonts w:ascii="Arial" w:cs="Arial" w:eastAsia="Arial" w:hAnsi="Arial"/>
          <w:sz w:val="18"/>
          <w:szCs w:val="18"/>
          <w:color w:val="231F20"/>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r>
        <w:rPr>
          <w:rFonts w:ascii="Arial" w:cs="Arial" w:eastAsia="Arial" w:hAnsi="Arial"/>
          <w:sz w:val="18"/>
          <w:szCs w:val="18"/>
          <w:color w:val="231F20"/>
        </w:rPr>
        <w:t>:</w:t>
      </w:r>
    </w:p>
    <w:p>
      <w:pPr>
        <w:spacing w:after="0" w:line="177" w:lineRule="exact"/>
        <w:rPr>
          <w:sz w:val="20"/>
          <w:szCs w:val="20"/>
          <w:color w:val="auto"/>
        </w:rPr>
      </w:pPr>
    </w:p>
    <w:p>
      <w:pPr>
        <w:ind w:left="660" w:right="100" w:hanging="333"/>
        <w:spacing w:after="0" w:line="255" w:lineRule="auto"/>
        <w:tabs>
          <w:tab w:leader="none" w:pos="466" w:val="left"/>
        </w:tabs>
        <w:numPr>
          <w:ilvl w:val="0"/>
          <w:numId w:val="16"/>
        </w:numPr>
        <w:rPr>
          <w:rFonts w:ascii="Arial" w:cs="Arial" w:eastAsia="Arial" w:hAnsi="Arial"/>
          <w:sz w:val="18"/>
          <w:szCs w:val="18"/>
          <w:color w:val="231F20"/>
        </w:rPr>
      </w:pPr>
      <w:r>
        <w:rPr>
          <w:rFonts w:ascii="Arial" w:cs="Arial" w:eastAsia="Arial" w:hAnsi="Arial"/>
          <w:sz w:val="18"/>
          <w:szCs w:val="18"/>
          <w:b w:val="1"/>
          <w:bCs w:val="1"/>
          <w:u w:val="single" w:color="auto"/>
          <w:color w:val="231F20"/>
        </w:rPr>
        <w:t>Other electronic trading platforms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compete with a number of other electronic trading venues. These include</w:t>
      </w:r>
      <w:r>
        <w:rPr>
          <w:rFonts w:ascii="Arial" w:cs="Arial" w:eastAsia="Arial" w:hAnsi="Arial"/>
          <w:sz w:val="18"/>
          <w:szCs w:val="18"/>
          <w:b w:val="1"/>
          <w:bCs w:val="1"/>
          <w:color w:val="231F20"/>
        </w:rPr>
        <w:t xml:space="preserve"> </w:t>
      </w:r>
      <w:r>
        <w:rPr>
          <w:rFonts w:ascii="Arial" w:cs="Arial" w:eastAsia="Arial" w:hAnsi="Arial"/>
          <w:sz w:val="18"/>
          <w:szCs w:val="18"/>
          <w:color w:val="000000"/>
        </w:rPr>
        <w:t>MarketAxess, Bloomberg, LSEG (MTS BondsPro), Intercontinental Exchange (“ICE”) (Bondpoint, TMC Bonds, Creditex) and others in the credit and municipal markets; Bloomberg, LSEG (MTS BondVision), Nasdaq (Nasdaq Fixed Income), CME Group (NEX Group), BGC Partners (Fenics) and others in the rates and derivatives markets; and ITG (RFQ-hub) that was acquired by Virtu and Bloomberg in the equities and ETF markets. Additionally, new platform providers have entered the market, such as Trumid, LiquidityEdge, which MarketAxess recently acquired, and Liquidnet</w:t>
      </w:r>
      <w:r>
        <w:rPr>
          <w:rFonts w:ascii="Arial" w:cs="Arial" w:eastAsia="Arial" w:hAnsi="Arial"/>
          <w:sz w:val="18"/>
          <w:szCs w:val="18"/>
          <w:color w:val="231F20"/>
        </w:rPr>
        <w:t>.</w:t>
      </w:r>
    </w:p>
    <w:p>
      <w:pPr>
        <w:spacing w:after="0" w:line="189" w:lineRule="exact"/>
        <w:rPr>
          <w:rFonts w:ascii="Arial" w:cs="Arial" w:eastAsia="Arial" w:hAnsi="Arial"/>
          <w:sz w:val="18"/>
          <w:szCs w:val="18"/>
          <w:color w:val="231F20"/>
        </w:rPr>
      </w:pPr>
    </w:p>
    <w:p>
      <w:pPr>
        <w:ind w:left="660" w:right="120" w:hanging="333"/>
        <w:spacing w:after="0" w:line="256" w:lineRule="auto"/>
        <w:tabs>
          <w:tab w:leader="none" w:pos="466" w:val="left"/>
        </w:tabs>
        <w:numPr>
          <w:ilvl w:val="0"/>
          <w:numId w:val="16"/>
        </w:numPr>
        <w:rPr>
          <w:rFonts w:ascii="Arial" w:cs="Arial" w:eastAsia="Arial" w:hAnsi="Arial"/>
          <w:sz w:val="18"/>
          <w:szCs w:val="18"/>
          <w:color w:val="231F20"/>
        </w:rPr>
      </w:pPr>
      <w:r>
        <w:rPr>
          <w:rFonts w:ascii="Arial" w:cs="Arial" w:eastAsia="Arial" w:hAnsi="Arial"/>
          <w:sz w:val="18"/>
          <w:szCs w:val="18"/>
          <w:b w:val="1"/>
          <w:bCs w:val="1"/>
          <w:u w:val="single" w:color="auto"/>
          <w:color w:val="231F20"/>
        </w:rPr>
        <w:t>Exchanges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In recent years, exchanges have pursued acquisitions that have put them in competition with us. For</w:t>
      </w:r>
      <w:r>
        <w:rPr>
          <w:rFonts w:ascii="Arial" w:cs="Arial" w:eastAsia="Arial" w:hAnsi="Arial"/>
          <w:sz w:val="18"/>
          <w:szCs w:val="18"/>
          <w:b w:val="1"/>
          <w:bCs w:val="1"/>
          <w:color w:val="231F20"/>
        </w:rPr>
        <w:t xml:space="preserve"> </w:t>
      </w:r>
      <w:r>
        <w:rPr>
          <w:rFonts w:ascii="Arial" w:cs="Arial" w:eastAsia="Arial" w:hAnsi="Arial"/>
          <w:sz w:val="18"/>
          <w:szCs w:val="18"/>
          <w:color w:val="000000"/>
        </w:rPr>
        <w:t>example, ICE acquired BondPoint and TMC Bonds, retail-focused platforms, and Interactive Data Corporation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r>
        <w:rPr>
          <w:rFonts w:ascii="Arial" w:cs="Arial" w:eastAsia="Arial" w:hAnsi="Arial"/>
          <w:sz w:val="18"/>
          <w:szCs w:val="18"/>
          <w:color w:val="231F20"/>
        </w:rPr>
        <w:t>.</w:t>
      </w:r>
    </w:p>
    <w:p>
      <w:pPr>
        <w:spacing w:after="0" w:line="187" w:lineRule="exact"/>
        <w:rPr>
          <w:rFonts w:ascii="Arial" w:cs="Arial" w:eastAsia="Arial" w:hAnsi="Arial"/>
          <w:sz w:val="18"/>
          <w:szCs w:val="18"/>
          <w:color w:val="231F20"/>
        </w:rPr>
      </w:pPr>
    </w:p>
    <w:p>
      <w:pPr>
        <w:ind w:left="660" w:hanging="333"/>
        <w:spacing w:after="0" w:line="258" w:lineRule="auto"/>
        <w:tabs>
          <w:tab w:leader="none" w:pos="466" w:val="left"/>
        </w:tabs>
        <w:numPr>
          <w:ilvl w:val="0"/>
          <w:numId w:val="16"/>
        </w:numPr>
        <w:rPr>
          <w:rFonts w:ascii="Arial" w:cs="Arial" w:eastAsia="Arial" w:hAnsi="Arial"/>
          <w:sz w:val="18"/>
          <w:szCs w:val="18"/>
          <w:color w:val="231F20"/>
        </w:rPr>
      </w:pPr>
      <w:r>
        <w:rPr>
          <w:rFonts w:ascii="Arial" w:cs="Arial" w:eastAsia="Arial" w:hAnsi="Arial"/>
          <w:sz w:val="18"/>
          <w:szCs w:val="18"/>
          <w:b w:val="1"/>
          <w:bCs w:val="1"/>
          <w:u w:val="single" w:color="auto"/>
          <w:color w:val="231F20"/>
        </w:rPr>
        <w:t>Inter-dealer brokers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compete with inter-dealer brokers, particularly in our wholesale markets in products such as</w:t>
      </w:r>
      <w:r>
        <w:rPr>
          <w:rFonts w:ascii="Arial" w:cs="Arial" w:eastAsia="Arial" w:hAnsi="Arial"/>
          <w:sz w:val="18"/>
          <w:szCs w:val="18"/>
          <w:b w:val="1"/>
          <w:bCs w:val="1"/>
          <w:color w:val="231F20"/>
        </w:rPr>
        <w:t xml:space="preserve"> </w:t>
      </w:r>
      <w:r>
        <w:rPr>
          <w:rFonts w:ascii="Arial" w:cs="Arial" w:eastAsia="Arial" w:hAnsi="Arial"/>
          <w:sz w:val="18"/>
          <w:szCs w:val="18"/>
          <w:color w:val="000000"/>
        </w:rPr>
        <w:t>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r>
        <w:rPr>
          <w:rFonts w:ascii="Arial" w:cs="Arial" w:eastAsia="Arial" w:hAnsi="Arial"/>
          <w:sz w:val="18"/>
          <w:szCs w:val="18"/>
          <w:color w:val="231F20"/>
        </w:rPr>
        <w:t>.</w:t>
      </w:r>
    </w:p>
    <w:p>
      <w:pPr>
        <w:spacing w:after="0" w:line="183" w:lineRule="exact"/>
        <w:rPr>
          <w:rFonts w:ascii="Arial" w:cs="Arial" w:eastAsia="Arial" w:hAnsi="Arial"/>
          <w:sz w:val="18"/>
          <w:szCs w:val="18"/>
          <w:color w:val="231F20"/>
        </w:rPr>
      </w:pPr>
    </w:p>
    <w:p>
      <w:pPr>
        <w:ind w:left="660" w:right="100" w:hanging="333"/>
        <w:spacing w:after="0" w:line="289" w:lineRule="auto"/>
        <w:tabs>
          <w:tab w:leader="none" w:pos="466" w:val="left"/>
        </w:tabs>
        <w:numPr>
          <w:ilvl w:val="0"/>
          <w:numId w:val="16"/>
        </w:numPr>
        <w:rPr>
          <w:rFonts w:ascii="Arial" w:cs="Arial" w:eastAsia="Arial" w:hAnsi="Arial"/>
          <w:sz w:val="17"/>
          <w:szCs w:val="17"/>
          <w:color w:val="231F20"/>
        </w:rPr>
      </w:pPr>
      <w:r>
        <w:rPr>
          <w:rFonts w:ascii="Arial" w:cs="Arial" w:eastAsia="Arial" w:hAnsi="Arial"/>
          <w:sz w:val="17"/>
          <w:szCs w:val="17"/>
          <w:b w:val="1"/>
          <w:bCs w:val="1"/>
          <w:u w:val="single" w:color="auto"/>
          <w:color w:val="231F20"/>
        </w:rPr>
        <w:t>Single-bank systems</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Major global and regional investment and commercial banks offer institutional clients</w:t>
      </w:r>
      <w:r>
        <w:rPr>
          <w:rFonts w:ascii="Arial" w:cs="Arial" w:eastAsia="Arial" w:hAnsi="Arial"/>
          <w:sz w:val="17"/>
          <w:szCs w:val="17"/>
          <w:b w:val="1"/>
          <w:bCs w:val="1"/>
          <w:color w:val="231F20"/>
        </w:rPr>
        <w:t xml:space="preserve"> </w:t>
      </w:r>
      <w:r>
        <w:rPr>
          <w:rFonts w:ascii="Arial" w:cs="Arial" w:eastAsia="Arial" w:hAnsi="Arial"/>
          <w:sz w:val="17"/>
          <w:szCs w:val="17"/>
          <w:color w:val="000000"/>
        </w:rPr>
        <w:t>electronic trade execution through proprietary trading systems. Many of these banks expend considerable resources on product development, sales and support to promote their single-bank systems</w:t>
      </w:r>
      <w:r>
        <w:rPr>
          <w:rFonts w:ascii="Arial" w:cs="Arial" w:eastAsia="Arial" w:hAnsi="Arial"/>
          <w:sz w:val="17"/>
          <w:szCs w:val="17"/>
          <w:color w:val="231F20"/>
        </w:rPr>
        <w:t>.</w:t>
      </w:r>
    </w:p>
    <w:p>
      <w:pPr>
        <w:spacing w:after="0" w:line="158" w:lineRule="exact"/>
        <w:rPr>
          <w:rFonts w:ascii="Arial" w:cs="Arial" w:eastAsia="Arial" w:hAnsi="Arial"/>
          <w:sz w:val="17"/>
          <w:szCs w:val="17"/>
          <w:color w:val="231F20"/>
        </w:rPr>
      </w:pPr>
    </w:p>
    <w:p>
      <w:pPr>
        <w:ind w:left="660" w:right="200" w:hanging="333"/>
        <w:spacing w:after="0" w:line="281" w:lineRule="auto"/>
        <w:tabs>
          <w:tab w:leader="none" w:pos="466" w:val="left"/>
        </w:tabs>
        <w:numPr>
          <w:ilvl w:val="0"/>
          <w:numId w:val="16"/>
        </w:numPr>
        <w:rPr>
          <w:rFonts w:ascii="Arial" w:cs="Arial" w:eastAsia="Arial" w:hAnsi="Arial"/>
          <w:sz w:val="17"/>
          <w:szCs w:val="17"/>
          <w:color w:val="231F20"/>
        </w:rPr>
      </w:pPr>
      <w:r>
        <w:rPr>
          <w:rFonts w:ascii="Arial" w:cs="Arial" w:eastAsia="Arial" w:hAnsi="Arial"/>
          <w:sz w:val="17"/>
          <w:szCs w:val="17"/>
          <w:b w:val="1"/>
          <w:bCs w:val="1"/>
          <w:u w:val="single" w:color="auto"/>
          <w:color w:val="231F20"/>
        </w:rPr>
        <w:t>Dealers</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Many of our markets are still traded through traditional voice-based protocols. Institutional investors have</w:t>
      </w:r>
      <w:r>
        <w:rPr>
          <w:rFonts w:ascii="Arial" w:cs="Arial" w:eastAsia="Arial" w:hAnsi="Arial"/>
          <w:sz w:val="17"/>
          <w:szCs w:val="17"/>
          <w:b w:val="1"/>
          <w:bCs w:val="1"/>
          <w:color w:val="231F20"/>
        </w:rPr>
        <w:t xml:space="preserve"> </w:t>
      </w:r>
      <w:r>
        <w:rPr>
          <w:rFonts w:ascii="Arial" w:cs="Arial" w:eastAsia="Arial" w:hAnsi="Arial"/>
          <w:sz w:val="17"/>
          <w:szCs w:val="17"/>
          <w:color w:val="000000"/>
        </w:rPr>
        <w:t>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r>
        <w:rPr>
          <w:rFonts w:ascii="Arial" w:cs="Arial" w:eastAsia="Arial" w:hAnsi="Arial"/>
          <w:sz w:val="17"/>
          <w:szCs w:val="17"/>
          <w:color w:val="231F20"/>
        </w:rPr>
        <w:t>.</w:t>
      </w:r>
    </w:p>
    <w:p>
      <w:pPr>
        <w:spacing w:after="0" w:line="164" w:lineRule="exact"/>
        <w:rPr>
          <w:rFonts w:ascii="Arial" w:cs="Arial" w:eastAsia="Arial" w:hAnsi="Arial"/>
          <w:sz w:val="17"/>
          <w:szCs w:val="17"/>
          <w:color w:val="231F20"/>
        </w:rPr>
      </w:pPr>
    </w:p>
    <w:p>
      <w:pPr>
        <w:ind w:left="660" w:right="140" w:hanging="333"/>
        <w:spacing w:after="0" w:line="289" w:lineRule="auto"/>
        <w:tabs>
          <w:tab w:leader="none" w:pos="466" w:val="left"/>
        </w:tabs>
        <w:numPr>
          <w:ilvl w:val="0"/>
          <w:numId w:val="16"/>
        </w:numPr>
        <w:rPr>
          <w:rFonts w:ascii="Arial" w:cs="Arial" w:eastAsia="Arial" w:hAnsi="Arial"/>
          <w:sz w:val="17"/>
          <w:szCs w:val="17"/>
          <w:color w:val="231F20"/>
        </w:rPr>
      </w:pPr>
      <w:r>
        <w:rPr>
          <w:rFonts w:ascii="Arial" w:cs="Arial" w:eastAsia="Arial" w:hAnsi="Arial"/>
          <w:sz w:val="17"/>
          <w:szCs w:val="17"/>
          <w:b w:val="1"/>
          <w:bCs w:val="1"/>
          <w:u w:val="single" w:color="auto"/>
          <w:color w:val="231F20"/>
        </w:rPr>
        <w:t>Market data and information vendors</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Market data and information providers, such as Bloomberg, IDC (now part</w:t>
      </w:r>
      <w:r>
        <w:rPr>
          <w:rFonts w:ascii="Arial" w:cs="Arial" w:eastAsia="Arial" w:hAnsi="Arial"/>
          <w:sz w:val="17"/>
          <w:szCs w:val="17"/>
          <w:b w:val="1"/>
          <w:bCs w:val="1"/>
          <w:color w:val="231F20"/>
        </w:rPr>
        <w:t xml:space="preserve"> </w:t>
      </w:r>
      <w:r>
        <w:rPr>
          <w:rFonts w:ascii="Arial" w:cs="Arial" w:eastAsia="Arial" w:hAnsi="Arial"/>
          <w:sz w:val="17"/>
          <w:szCs w:val="17"/>
          <w:color w:val="000000"/>
        </w:rPr>
        <w:t>of ICE) and IHS Markit, have a pervasive presence across the financial trading community. Their data and pre-and post-trade analytics compete with offerings we provide to support trading on our marketplaces</w:t>
      </w:r>
      <w:r>
        <w:rPr>
          <w:rFonts w:ascii="Arial" w:cs="Arial" w:eastAsia="Arial" w:hAnsi="Arial"/>
          <w:sz w:val="17"/>
          <w:szCs w:val="17"/>
          <w:color w:val="231F20"/>
        </w:rPr>
        <w:t>.</w:t>
      </w:r>
    </w:p>
    <w:p>
      <w:pPr>
        <w:spacing w:after="0" w:line="16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face intense competition, and we expect competition with a broad range of competitors to continue to intensify in the future. See Part I, Item 1A. – “Risk Factors — Risks Relating to Our Business and Industry — Failure to compete successfully could materially adversely affect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Proprietary Technology</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collaborate with clients and remain at the forefront of evolving market trends is our team of over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r>
        <w:rPr>
          <w:rFonts w:ascii="Arial" w:cs="Arial" w:eastAsia="Arial" w:hAnsi="Arial"/>
          <w:sz w:val="18"/>
          <w:szCs w:val="18"/>
          <w:color w:val="231F20"/>
        </w:rPr>
        <w:t>.</w:t>
      </w:r>
    </w:p>
    <w:p>
      <w:pPr>
        <w:spacing w:after="0" w:line="18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81"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r>
        <w:rPr>
          <w:rFonts w:ascii="Arial" w:cs="Arial" w:eastAsia="Arial" w:hAnsi="Arial"/>
          <w:sz w:val="18"/>
          <w:szCs w:val="18"/>
          <w:color w:val="231F20"/>
        </w:rPr>
        <w:t>:</w:t>
      </w:r>
    </w:p>
    <w:p>
      <w:pPr>
        <w:spacing w:after="0" w:line="177" w:lineRule="exact"/>
        <w:rPr>
          <w:sz w:val="20"/>
          <w:szCs w:val="20"/>
          <w:color w:val="auto"/>
        </w:rPr>
      </w:pPr>
    </w:p>
    <w:p>
      <w:pPr>
        <w:ind w:left="660" w:right="40" w:hanging="333"/>
        <w:spacing w:after="0" w:line="258" w:lineRule="auto"/>
        <w:tabs>
          <w:tab w:leader="none" w:pos="466" w:val="left"/>
        </w:tabs>
        <w:numPr>
          <w:ilvl w:val="0"/>
          <w:numId w:val="17"/>
        </w:numPr>
        <w:rPr>
          <w:rFonts w:ascii="Arial" w:cs="Arial" w:eastAsia="Arial" w:hAnsi="Arial"/>
          <w:sz w:val="18"/>
          <w:szCs w:val="18"/>
          <w:color w:val="231F20"/>
        </w:rPr>
      </w:pPr>
      <w:r>
        <w:rPr>
          <w:rFonts w:ascii="Arial" w:cs="Arial" w:eastAsia="Arial" w:hAnsi="Arial"/>
          <w:sz w:val="18"/>
          <w:szCs w:val="18"/>
          <w:b w:val="1"/>
          <w:bCs w:val="1"/>
          <w:u w:val="single" w:color="auto"/>
          <w:color w:val="231F20"/>
        </w:rPr>
        <w:t>Nimble product development in collaboration with clients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Our approach to product development facilitates</w:t>
      </w:r>
      <w:r>
        <w:rPr>
          <w:rFonts w:ascii="Arial" w:cs="Arial" w:eastAsia="Arial" w:hAnsi="Arial"/>
          <w:sz w:val="18"/>
          <w:szCs w:val="18"/>
          <w:b w:val="1"/>
          <w:bCs w:val="1"/>
          <w:color w:val="231F20"/>
        </w:rPr>
        <w:t xml:space="preserve"> </w:t>
      </w:r>
      <w:r>
        <w:rPr>
          <w:rFonts w:ascii="Arial" w:cs="Arial" w:eastAsia="Arial" w:hAnsi="Arial"/>
          <w:sz w:val="18"/>
          <w:szCs w:val="18"/>
          <w:color w:val="000000"/>
        </w:rPr>
        <w:t>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r>
        <w:rPr>
          <w:rFonts w:ascii="Arial" w:cs="Arial" w:eastAsia="Arial" w:hAnsi="Arial"/>
          <w:sz w:val="18"/>
          <w:szCs w:val="18"/>
          <w:color w:val="231F20"/>
        </w:rPr>
        <w:t>.</w:t>
      </w:r>
    </w:p>
    <w:p>
      <w:pPr>
        <w:spacing w:after="0" w:line="183" w:lineRule="exact"/>
        <w:rPr>
          <w:rFonts w:ascii="Arial" w:cs="Arial" w:eastAsia="Arial" w:hAnsi="Arial"/>
          <w:sz w:val="18"/>
          <w:szCs w:val="18"/>
          <w:color w:val="231F20"/>
        </w:rPr>
      </w:pPr>
    </w:p>
    <w:p>
      <w:pPr>
        <w:ind w:left="660" w:right="200" w:hanging="333"/>
        <w:spacing w:after="0" w:line="281" w:lineRule="auto"/>
        <w:tabs>
          <w:tab w:leader="none" w:pos="466" w:val="left"/>
        </w:tabs>
        <w:numPr>
          <w:ilvl w:val="0"/>
          <w:numId w:val="17"/>
        </w:numPr>
        <w:rPr>
          <w:rFonts w:ascii="Arial" w:cs="Arial" w:eastAsia="Arial" w:hAnsi="Arial"/>
          <w:sz w:val="17"/>
          <w:szCs w:val="17"/>
          <w:color w:val="231F20"/>
        </w:rPr>
      </w:pPr>
      <w:r>
        <w:rPr>
          <w:rFonts w:ascii="Arial" w:cs="Arial" w:eastAsia="Arial" w:hAnsi="Arial"/>
          <w:sz w:val="17"/>
          <w:szCs w:val="17"/>
          <w:b w:val="1"/>
          <w:bCs w:val="1"/>
          <w:u w:val="single" w:color="auto"/>
          <w:color w:val="231F20"/>
        </w:rPr>
        <w:t>Scalable architecture</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Our scalable architecture was designed to address increased trading activities and evolving</w:t>
      </w:r>
      <w:r>
        <w:rPr>
          <w:rFonts w:ascii="Arial" w:cs="Arial" w:eastAsia="Arial" w:hAnsi="Arial"/>
          <w:sz w:val="17"/>
          <w:szCs w:val="17"/>
          <w:b w:val="1"/>
          <w:bCs w:val="1"/>
          <w:color w:val="231F20"/>
        </w:rPr>
        <w:t xml:space="preserve"> </w:t>
      </w:r>
      <w:r>
        <w:rPr>
          <w:rFonts w:ascii="Arial" w:cs="Arial" w:eastAsia="Arial" w:hAnsi="Arial"/>
          <w:sz w:val="17"/>
          <w:szCs w:val="17"/>
          <w:color w:val="000000"/>
        </w:rPr>
        <w:t>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r>
        <w:rPr>
          <w:rFonts w:ascii="Arial" w:cs="Arial" w:eastAsia="Arial" w:hAnsi="Arial"/>
          <w:sz w:val="17"/>
          <w:szCs w:val="17"/>
          <w:color w:val="231F20"/>
        </w:rPr>
        <w:t>.</w:t>
      </w:r>
    </w:p>
    <w:p>
      <w:pPr>
        <w:spacing w:after="0" w:line="164" w:lineRule="exact"/>
        <w:rPr>
          <w:rFonts w:ascii="Arial" w:cs="Arial" w:eastAsia="Arial" w:hAnsi="Arial"/>
          <w:sz w:val="17"/>
          <w:szCs w:val="17"/>
          <w:color w:val="231F20"/>
        </w:rPr>
      </w:pPr>
    </w:p>
    <w:p>
      <w:pPr>
        <w:ind w:left="660" w:right="60" w:hanging="333"/>
        <w:spacing w:after="0" w:line="261" w:lineRule="auto"/>
        <w:tabs>
          <w:tab w:leader="none" w:pos="466" w:val="left"/>
        </w:tabs>
        <w:numPr>
          <w:ilvl w:val="0"/>
          <w:numId w:val="17"/>
        </w:numPr>
        <w:rPr>
          <w:rFonts w:ascii="Arial" w:cs="Arial" w:eastAsia="Arial" w:hAnsi="Arial"/>
          <w:sz w:val="18"/>
          <w:szCs w:val="18"/>
          <w:color w:val="231F20"/>
        </w:rPr>
      </w:pPr>
      <w:r>
        <w:rPr>
          <w:rFonts w:ascii="Arial" w:cs="Arial" w:eastAsia="Arial" w:hAnsi="Arial"/>
          <w:sz w:val="18"/>
          <w:szCs w:val="18"/>
          <w:b w:val="1"/>
          <w:bCs w:val="1"/>
          <w:u w:val="single" w:color="auto"/>
          <w:color w:val="231F20"/>
        </w:rPr>
        <w:t>Strong disaster recovery and business continuity planning</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maintain redundant networks, hardware, data</w:t>
      </w:r>
      <w:r>
        <w:rPr>
          <w:rFonts w:ascii="Arial" w:cs="Arial" w:eastAsia="Arial" w:hAnsi="Arial"/>
          <w:sz w:val="18"/>
          <w:szCs w:val="18"/>
          <w:b w:val="1"/>
          <w:bCs w:val="1"/>
          <w:color w:val="231F20"/>
        </w:rPr>
        <w:t xml:space="preserve"> </w:t>
      </w:r>
      <w:r>
        <w:rPr>
          <w:rFonts w:ascii="Arial" w:cs="Arial" w:eastAsia="Arial" w:hAnsi="Arial"/>
          <w:sz w:val="18"/>
          <w:szCs w:val="18"/>
          <w:color w:val="000000"/>
        </w:rPr>
        <w:t>centers and alternate operational facilities to address interruptions. We have eight datacenters across the United States, the United Kingdom and Japan. Our data center infrastructure is designed to be resilient and responsive with built-in redundancies</w:t>
      </w:r>
      <w:r>
        <w:rPr>
          <w:rFonts w:ascii="Arial" w:cs="Arial" w:eastAsia="Arial" w:hAnsi="Arial"/>
          <w:sz w:val="18"/>
          <w:szCs w:val="18"/>
          <w:color w:val="231F20"/>
        </w:rPr>
        <w:t>.</w:t>
      </w:r>
    </w:p>
    <w:p>
      <w:pPr>
        <w:spacing w:after="0" w:line="184" w:lineRule="exact"/>
        <w:rPr>
          <w:sz w:val="20"/>
          <w:szCs w:val="20"/>
          <w:color w:val="auto"/>
        </w:rPr>
      </w:pPr>
    </w:p>
    <w:p>
      <w:pPr>
        <w:ind w:left="660" w:firstLine="122"/>
        <w:spacing w:after="0" w:line="270" w:lineRule="auto"/>
        <w:rPr>
          <w:sz w:val="20"/>
          <w:szCs w:val="20"/>
          <w:color w:val="auto"/>
        </w:rPr>
      </w:pPr>
      <w:r>
        <w:rPr>
          <w:rFonts w:ascii="Arial" w:cs="Arial" w:eastAsia="Arial" w:hAnsi="Arial"/>
          <w:sz w:val="17"/>
          <w:szCs w:val="17"/>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r>
        <w:rPr>
          <w:rFonts w:ascii="Arial" w:cs="Arial" w:eastAsia="Arial" w:hAnsi="Arial"/>
          <w:sz w:val="17"/>
          <w:szCs w:val="17"/>
          <w:color w:val="231F20"/>
        </w:rPr>
        <w:t>.</w:t>
      </w:r>
    </w:p>
    <w:p>
      <w:pPr>
        <w:spacing w:after="0" w:line="174" w:lineRule="exact"/>
        <w:rPr>
          <w:sz w:val="20"/>
          <w:szCs w:val="20"/>
          <w:color w:val="auto"/>
        </w:rPr>
      </w:pPr>
    </w:p>
    <w:p>
      <w:pPr>
        <w:ind w:left="660" w:right="40" w:hanging="333"/>
        <w:spacing w:after="0" w:line="290" w:lineRule="auto"/>
        <w:tabs>
          <w:tab w:leader="none" w:pos="466" w:val="left"/>
        </w:tabs>
        <w:numPr>
          <w:ilvl w:val="0"/>
          <w:numId w:val="18"/>
        </w:numPr>
        <w:rPr>
          <w:rFonts w:ascii="Arial" w:cs="Arial" w:eastAsia="Arial" w:hAnsi="Arial"/>
          <w:sz w:val="16"/>
          <w:szCs w:val="16"/>
          <w:color w:val="231F20"/>
        </w:rPr>
      </w:pPr>
      <w:r>
        <w:rPr>
          <w:rFonts w:ascii="Arial" w:cs="Arial" w:eastAsia="Arial" w:hAnsi="Arial"/>
          <w:sz w:val="16"/>
          <w:szCs w:val="16"/>
          <w:b w:val="1"/>
          <w:bCs w:val="1"/>
          <w:u w:val="single" w:color="auto"/>
          <w:color w:val="231F20"/>
        </w:rPr>
        <w:t>Ongoing security, system monitoring and alerting:</w:t>
      </w:r>
      <w:r>
        <w:rPr>
          <w:rFonts w:ascii="Arial" w:cs="Arial" w:eastAsia="Arial" w:hAnsi="Arial"/>
          <w:sz w:val="16"/>
          <w:szCs w:val="16"/>
          <w:b w:val="1"/>
          <w:bCs w:val="1"/>
          <w:color w:val="231F20"/>
        </w:rPr>
        <w:t xml:space="preserve"> </w:t>
      </w:r>
      <w:r>
        <w:rPr>
          <w:rFonts w:ascii="Arial" w:cs="Arial" w:eastAsia="Arial" w:hAnsi="Arial"/>
          <w:sz w:val="16"/>
          <w:szCs w:val="16"/>
          <w:color w:val="000000"/>
        </w:rPr>
        <w:t>We prioritize security throughout our platforms, operations and</w:t>
      </w:r>
      <w:r>
        <w:rPr>
          <w:rFonts w:ascii="Arial" w:cs="Arial" w:eastAsia="Arial" w:hAnsi="Arial"/>
          <w:sz w:val="16"/>
          <w:szCs w:val="16"/>
          <w:b w:val="1"/>
          <w:bCs w:val="1"/>
          <w:color w:val="231F20"/>
        </w:rPr>
        <w:t xml:space="preserve"> </w:t>
      </w:r>
      <w:r>
        <w:rPr>
          <w:rFonts w:ascii="Arial" w:cs="Arial" w:eastAsia="Arial" w:hAnsi="Arial"/>
          <w:sz w:val="16"/>
          <w:szCs w:val="16"/>
          <w:color w:val="000000"/>
        </w:rPr>
        <w:t>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r>
        <w:rPr>
          <w:rFonts w:ascii="Arial" w:cs="Arial" w:eastAsia="Arial" w:hAnsi="Arial"/>
          <w:sz w:val="16"/>
          <w:szCs w:val="16"/>
          <w:color w:val="231F20"/>
        </w:rPr>
        <w: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pacing w:after="0" w:line="18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r>
        <w:rPr>
          <w:rFonts w:ascii="Arial" w:cs="Arial" w:eastAsia="Arial" w:hAnsi="Arial"/>
          <w:sz w:val="17"/>
          <w:szCs w:val="17"/>
          <w:color w:val="231F20"/>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Singapore and Australia.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condition, results of operations or prospects. As a result of such reviews, we may be required to amend certain internal structures and frameworks, such as our operating procedures, systems and controls.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 Regulation</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7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National Futures Association (“NFA”), a self-regulatory organization that regulates certain CFTC registrants.</w:t>
      </w:r>
    </w:p>
    <w:p>
      <w:pPr>
        <w:spacing w:after="0" w:line="18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18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although a significant number are not yet in effect. Among other things, Title VII rules require certain standardized swaps to be cleared through a central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Non-U.S. Regulation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Outside of the United States, we are currently regulated by: the Financial Conduct Authority (“FCA”) in the United Kingdom, the De Nederlandsche Bank (“DNB”) and the Netherlands Authority for the Financial Markets (“AFM”) in the Netherlands, the Japan Financial Services Agency (the “JFSA”), the Japan Securities Dealers Association (the “JSDA”), the Securities &amp; Futures Commission (the “SFC”) of Hong Kong, the Monetary Authority of Singapore (the “MAS”), the Australian Securities and Investment Commission (the “ASIC”), the Investment Industry Regulatory Organization of Canada and provincial regulators in Canada.</w:t>
      </w:r>
    </w:p>
    <w:p>
      <w:pPr>
        <w:spacing w:after="0" w:line="19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Much of our derivatives volumes continue to be executed by non-U.S. based clients outside the United States and is subject to local regulations. In particular, the European Union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designed to facilitate more efficient markets and greater transparency for participants.</w:t>
      </w:r>
    </w:p>
    <w:p>
      <w:pPr>
        <w:spacing w:after="0" w:line="1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Among the other aspects of the regulations, MiFID II and MiFIR: (i) require a significant part of the market in certain derivative instruments to trade on regulated trading venues which are subject to transparency regimes, (ii) enhance pre- and post-trade transparency for instruments within the scope of 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a consolidated tape for certain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by MiFID. In addition, the new regulated execution venue category introduced by MiFID II known as the Organized Trading Facility (“OTF”) (in addition to the venue category of Multilateral Trading Facility (“MTF”) for electronic trading) is intended to capture much of the voice and hybrid oriented trading within the EU.</w:t>
      </w:r>
    </w:p>
    <w:p>
      <w:pPr>
        <w:spacing w:after="0" w:line="1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until early 2019 this was our sole MiFID investment firm with such permissions operating in Europe. In March 2017, following the UK’s vote to leave the EU, the UK Prime Minister gave the European Council of the EU formal written notification of the UK’s intention to leave the EU, triggering the withdrawal process under Article 50 of the Lisbon Treaty. Following negotiations, on October 17, 2019 the UK government and the EU Council reached agreement on the terms of the UK’s withdrawal from the EU (the “Withdrawal Agreement”). Following Royal Assent of the European Union (Withdrawal Agreement) Bill and the ratification by the EU Parliament of the Withdrawal Agreement, the UK formally withdrew from the EU on January 31, 2020. The Withdrawal Agreement includes a transitional period, during which the UK continues to be subject to EU laws and remains a member of the single market and customs union, but is not a member state of the EU. The transitional period is due to expire on December 31, 2020, unless extended by the UK/EU Joint Committee established under the Withdrawal Agreement. The maximum possible extension under the Withdrawal Agreement is two years, and the UK has indicated that it does not intend to seek, nor agree to, such an extension.</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On October 17, 2019, the UK government and the EU Council also agreed to a political declaration setting out the framework for the future relationship between the UK and the EU. The effects of Brexit will depend on any agreements the UK and EU make, including to retain access to EU markets and vice versa, including for financial services, following the expiry of the transitional period. Negotiations to determine the terms of the future relationship between the UK and the EU, including the terms of access to each other’s financial markets will continue during 2020, will be complex and will be politically uncertain. There is a risk that there is no agreement between the UK and the EU on the terms of their future relationship before the end of the transition period and both the EU and the UK have been preparing for such a “hard” Brexit, or “no-deal” scenario. See Part I, Item 1A. –“Risk Factors — Risks Relating to our Business and Industry —The United Kingdom’s exit from the European Union could have a material adverse effect on our business, financial condition and results of operations.” We are making all reasonable preparations to ensure, in any scenario, that services can continue to be provided in the UK and throughout the EEA, post-Brexit. Accordingly, we have established a legal entity in the Netherlands, Tradeweb EU B.V., which offers services from a new Amsterdam office. We received approval in early 2019 from Dutch regulatory authorities to operate an MTF, an OTF and an APA, essentially replicating our current UK regulatory permissions, including “passports” throughout the EEA. As a result of this approval, since early 2019 we have operated two MTFs, two OTFs and two APAs in Europe, increasing the complexity of the business</w:t>
      </w:r>
      <w:r>
        <w:rPr>
          <w:rFonts w:ascii="Arial" w:cs="Arial" w:eastAsia="Arial" w:hAnsi="Arial"/>
          <w:sz w:val="17"/>
          <w:szCs w:val="17"/>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Requirements</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2019, each of our regulated subsidiaries had maintained sufficient net capital or financial resources to at least satisfy their minimum requirements. See Note 19—Regulatory Capital Requirements to our audited consolidated financial statements included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Regulatory Status of Tradeweb Entities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operations span jurisdictions across North America, Europe and Asia, and we operate through various regulated entities. The current regulatory status of our regulated entities is described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14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Licensee.</w:t>
      </w:r>
    </w:p>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Dealerweb Inc. is an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 of Ontario.</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DW SEF LLC is a CFTC-registered SEF. DW SEF LLC is formally exempt from registration in the Canadian province of Ontario and is recognized as a foreign trading venue in Switzerland.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Tradeweb Direct LLC is an SEC-registered broker-dealer, operates an ATS and is a member of FINRA and MSRB.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Tradeweb Direct LLC relies on the international dealer exemption in the Canadian provinces of Ontario and Quebec.</w:t>
      </w:r>
    </w:p>
    <w:p>
      <w:pPr>
        <w:spacing w:after="0" w:line="2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 Tradeweb Europe Limited is also regulated by ASIC and holds an Overseas Australian Market Operator License.</w:t>
      </w:r>
    </w:p>
    <w:p>
      <w:pPr>
        <w:spacing w:after="0" w:line="18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Hong Kong branch of Tradeweb Europe Limited is regulated by the SFC as an Automated Trading Service.</w:t>
      </w:r>
    </w:p>
    <w:p>
      <w:pPr>
        <w:spacing w:after="0" w:line="237"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166"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EEA. Tradeweb EU B.V. is also regulated by ASIC and holds an Overseas Australian Market Operator License</w:t>
      </w:r>
      <w:r>
        <w:rPr>
          <w:rFonts w:ascii="Arial" w:cs="Arial" w:eastAsia="Arial" w:hAnsi="Arial"/>
          <w:sz w:val="18"/>
          <w:szCs w:val="18"/>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Employees</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231F20"/>
        </w:rPr>
        <w:t>As of December 31, 2019, we had 919 employees, 676 of whom were based in the United States and 243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Organizational Structure</w:t>
      </w:r>
    </w:p>
    <w:p>
      <w:pPr>
        <w:spacing w:after="0" w:line="229" w:lineRule="exact"/>
        <w:rPr>
          <w:sz w:val="20"/>
          <w:szCs w:val="20"/>
          <w:color w:val="auto"/>
        </w:rPr>
      </w:pPr>
    </w:p>
    <w:p>
      <w:pPr>
        <w:ind w:firstLine="369"/>
        <w:spacing w:after="0" w:line="270" w:lineRule="auto"/>
        <w:rPr>
          <w:sz w:val="20"/>
          <w:szCs w:val="20"/>
          <w:color w:val="auto"/>
        </w:rPr>
      </w:pPr>
      <w:r>
        <w:rPr>
          <w:rFonts w:ascii="Arial" w:cs="Arial" w:eastAsia="Arial" w:hAnsi="Arial"/>
          <w:sz w:val="17"/>
          <w:szCs w:val="17"/>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LSEG Transaction</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August 1, 2019, London Stock Exchange Group plc announced that it has agreed to definitive terms with a consortium including certain investment funds affiliated with Blackstone as well as Thomson Reuters to acquire the Refinitiv business in an all share transaction for a total enterprise value of approximately $27 billion. 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1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 LSEG Transaction is consummated, any change of control of Refinitiv could in turn affect us, because Refinitiv is our controlling shareholder. However, following the consummation of the LSEG Transaction, Tradeweb is expected to remain a standalone, publicly-traded company, and we do not expect the LSEG Transaction to result in any changes to our stockholder voting rights in the near-term, and we do not foresee any material impact on our strategy, day-to-day operations or Tradeweb management as a result of the LSEG Transaction. Our existing market data license agreement with Refinitiv is also expected to remain unchanged immediately following the consummation of the LSEG Transaction, however the non-compete period applicable to Refinitiv in their restrictive covenant agreement with us is expected to terminate immediately following the consummation of the LSEG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Our internet website and the information contained therein or connected thereto are not intended to be incorporated into this Annual Report on Form 10-K.</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87" w:lineRule="exact"/>
        <w:rPr>
          <w:sz w:val="20"/>
          <w:szCs w:val="20"/>
          <w:color w:val="auto"/>
        </w:rPr>
      </w:pPr>
    </w:p>
    <w:p>
      <w:pPr>
        <w:jc w:val="both"/>
        <w:ind w:left="660" w:right="160" w:hanging="333"/>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political and social conditions in the United States, the United Kingdom, the European Union and/or its member states, China or other major economies around the world, including, among other things, the strength and direction of the U.S. and/or global economy, the exit by the United Kingdom from the European Union (“Brexit”), the prolonged shutdown of the U.S. government and the upcoming 2020 U.S. presidential election;</w:t>
      </w:r>
    </w:p>
    <w:p>
      <w:pPr>
        <w:spacing w:after="0" w:line="1" w:lineRule="exact"/>
        <w:rPr>
          <w:rFonts w:ascii="Arial" w:cs="Arial" w:eastAsia="Arial" w:hAnsi="Arial"/>
          <w:sz w:val="16"/>
          <w:szCs w:val="16"/>
          <w:color w:val="auto"/>
        </w:rPr>
      </w:pPr>
    </w:p>
    <w:p>
      <w:pPr>
        <w:ind w:left="660" w:right="320" w:hanging="333"/>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Federal Reserve Board and other central banks’ monetary policy, increased capital requirements for banks and other financial institutions and other regulatory requirements;</w:t>
      </w: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market conditions, including unforeseen market closures or other disruptions in trading;</w:t>
      </w:r>
    </w:p>
    <w:p>
      <w:pPr>
        <w:spacing w:after="0" w:line="9" w:lineRule="exact"/>
        <w:rPr>
          <w:rFonts w:ascii="Arial" w:cs="Arial" w:eastAsia="Arial" w:hAnsi="Arial"/>
          <w:sz w:val="18"/>
          <w:szCs w:val="18"/>
          <w:color w:val="auto"/>
        </w:rPr>
      </w:pPr>
    </w:p>
    <w:p>
      <w:pPr>
        <w:ind w:left="660" w:right="40" w:hanging="333"/>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9" w:lineRule="exact"/>
        <w:rPr>
          <w:rFonts w:ascii="Arial" w:cs="Arial" w:eastAsia="Arial" w:hAnsi="Arial"/>
          <w:sz w:val="18"/>
          <w:szCs w:val="18"/>
          <w:color w:val="auto"/>
        </w:rPr>
      </w:pPr>
    </w:p>
    <w:p>
      <w:pPr>
        <w:ind w:left="660" w:right="600" w:hanging="333"/>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over a potential recession (in the United States or globally), inflation and weakening consumer and investor confidence levels;</w:t>
      </w: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9" w:lineRule="exact"/>
        <w:rPr>
          <w:rFonts w:ascii="Arial" w:cs="Arial" w:eastAsia="Arial" w:hAnsi="Arial"/>
          <w:sz w:val="18"/>
          <w:szCs w:val="18"/>
          <w:color w:val="auto"/>
        </w:rPr>
      </w:pPr>
    </w:p>
    <w:p>
      <w:pPr>
        <w:ind w:left="660" w:right="640" w:hanging="333"/>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ind w:left="660" w:right="320" w:hanging="333"/>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legislative, regulatory or government policy changes, including changes to financial industry regulations and tax laws that could limit the ability of market participants to engage in a wider array of trading activities;</w:t>
      </w:r>
    </w:p>
    <w:p>
      <w:pPr>
        <w:ind w:left="660" w:right="100" w:hanging="333"/>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ind w:left="660" w:right="60" w:hanging="333"/>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catastrophic events, such as natural disasters, extreme weather events, actual or threatened acts of war, terrorism or other armed hostilities or outbreaks of pandemic or contagious diseases, such as Ebola, Zika, avian flu, severe acute respiratory syndrome (SARS), H1N1 (swine flu), the coronavirus, and Middle East Respiratory Syndrome (MERS).</w:t>
      </w:r>
    </w:p>
    <w:p>
      <w:pPr>
        <w:spacing w:after="0" w:line="15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marketplaces are perceived to be less liquid, we could lose further trading volumes and our business, financial condition and results of operations could be materially adversely affected.</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8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6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otherwise take actions that could increase their market share, our competitive position and therefore our business, financial condition and results of operations may be materially adversely affected.</w:t>
      </w:r>
    </w:p>
    <w:p>
      <w:pPr>
        <w:spacing w:after="0" w:line="170" w:lineRule="exact"/>
        <w:rPr>
          <w:sz w:val="20"/>
          <w:szCs w:val="20"/>
          <w:color w:val="auto"/>
        </w:rPr>
      </w:pPr>
    </w:p>
    <w:p>
      <w:pPr>
        <w:ind w:right="79" w:firstLine="324"/>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83" w:lineRule="exact"/>
        <w:rPr>
          <w:sz w:val="20"/>
          <w:szCs w:val="20"/>
          <w:color w:val="auto"/>
        </w:rPr>
      </w:pPr>
    </w:p>
    <w:p>
      <w:pPr>
        <w:jc w:val="both"/>
        <w:ind w:right="139"/>
        <w:spacing w:after="0" w:line="264" w:lineRule="auto"/>
        <w:rPr>
          <w:sz w:val="20"/>
          <w:szCs w:val="20"/>
          <w:color w:val="auto"/>
        </w:rPr>
      </w:pPr>
      <w:r>
        <w:rPr>
          <w:rFonts w:ascii="Arial" w:cs="Arial" w:eastAsia="Arial" w:hAnsi="Arial"/>
          <w:sz w:val="18"/>
          <w:szCs w:val="18"/>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81"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89" w:lineRule="exact"/>
        <w:rPr>
          <w:sz w:val="20"/>
          <w:szCs w:val="20"/>
          <w:color w:val="auto"/>
        </w:rPr>
      </w:pPr>
    </w:p>
    <w:p>
      <w:pPr>
        <w:ind w:right="79" w:firstLine="324"/>
        <w:spacing w:after="0" w:line="258"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1" w:lineRule="exact"/>
        <w:rPr>
          <w:sz w:val="20"/>
          <w:szCs w:val="20"/>
          <w:color w:val="auto"/>
        </w:rPr>
      </w:pPr>
    </w:p>
    <w:p>
      <w:pPr>
        <w:ind w:left="660" w:right="299" w:hanging="333"/>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jc w:val="both"/>
        <w:ind w:left="660" w:right="279" w:hanging="333"/>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 w:lineRule="exact"/>
        <w:rPr>
          <w:rFonts w:ascii="Arial" w:cs="Arial" w:eastAsia="Arial" w:hAnsi="Arial"/>
          <w:sz w:val="18"/>
          <w:szCs w:val="18"/>
          <w:color w:val="auto"/>
        </w:rPr>
      </w:pPr>
    </w:p>
    <w:p>
      <w:pPr>
        <w:ind w:left="660" w:right="439" w:hanging="333"/>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requirements and changes on a cost-effective and timely basis;</w:t>
      </w:r>
    </w:p>
    <w:p>
      <w:pPr>
        <w:spacing w:after="0" w:line="1" w:lineRule="exact"/>
        <w:rPr>
          <w:rFonts w:ascii="Arial" w:cs="Arial" w:eastAsia="Arial" w:hAnsi="Arial"/>
          <w:sz w:val="16"/>
          <w:szCs w:val="16"/>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operate, support, expand, adapt and develop our operations, systems, networks and infrastructure;</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11"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93" w:lineRule="exact"/>
        <w:rPr>
          <w:sz w:val="20"/>
          <w:szCs w:val="20"/>
          <w:color w:val="auto"/>
        </w:rPr>
      </w:pPr>
    </w:p>
    <w:p>
      <w:pPr>
        <w:ind w:right="79" w:firstLine="324"/>
        <w:spacing w:after="0" w:line="312"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1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For the year ended December 31, 2019, the combined year ended December 31, 2018 and the year ended December 31, 2017, 44.8%, 42.2% and 41.3%, respectively, of our revenues were generated by the pre-IPO Bank Stockholders and their affiliates. Market knowledge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and feedback from these stockholders have been important factors in the development of many of our offerings and solutions.</w:t>
      </w:r>
    </w:p>
    <w:p>
      <w:pPr>
        <w:spacing w:after="0" w:line="2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7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the pre-IPO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8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pre-IPO Bank Stockholders and their affiliates may reduce their use of our trading platforms or their engagement with us in the future due to reductions in the level of their equity ownership following any completed or future offering. Any reduction in the use of our trading platforms by our key dealer clients, including certain of the pre-IPO Bank Stockholders and their affiliates,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8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4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170"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clients deciding to stop using or to reduce their use of our trading platforms, either of which would have a material adverse effect on our business, financial condition and results of operations.</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6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16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provider, and can include unauthorized attempts to access, disable, improperly modify or degrade our information, systems, networks and infrastructure or the introduction of computer viruses and other malicious codes and fraudulent “phishing” emails that seek to misappropriate data and information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significant delays, failures or malfunctions in our systems, networks, infrastructure and other operations, in particular our platforms and solutions, which could result in reputational damage, financial losses, client dissatisfaction and/or regulatory fines and penalties, which may not in all cases be covered by insurance.</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security breaches or other security vulnerabilities and to protect against damage caused by cyber-attacks, security breaches or other disruptions that may occur.</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 Risk Steering Committee that includes the heads of Risk Management, Information / Cyber Security, Regulatory Compliance and Human Resources. Our information / 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19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platforms and solutions, security measures and reliability,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our pre- and post-trade data, analytics and reporting solutions.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89"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19" w:firstLine="324"/>
        <w:spacing w:after="0" w:line="288"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w:t>
      </w:r>
    </w:p>
    <w:p>
      <w:pPr>
        <w:ind w:right="59"/>
        <w:spacing w:after="0" w:line="286" w:lineRule="auto"/>
        <w:rPr>
          <w:sz w:val="20"/>
          <w:szCs w:val="20"/>
          <w:color w:val="auto"/>
        </w:rPr>
      </w:pPr>
      <w:r>
        <w:rPr>
          <w:rFonts w:ascii="Arial" w:cs="Arial" w:eastAsia="Arial" w:hAnsi="Arial"/>
          <w:sz w:val="16"/>
          <w:szCs w:val="16"/>
          <w:color w:val="auto"/>
        </w:rPr>
        <w:t>—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67"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181" w:lineRule="exact"/>
        <w:rPr>
          <w:sz w:val="20"/>
          <w:szCs w:val="20"/>
          <w:color w:val="auto"/>
        </w:rPr>
      </w:pPr>
    </w:p>
    <w:p>
      <w:pPr>
        <w:ind w:right="39" w:firstLine="324"/>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global health issues,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185" w:lineRule="exact"/>
        <w:rPr>
          <w:sz w:val="20"/>
          <w:szCs w:val="20"/>
          <w:color w:val="auto"/>
        </w:rPr>
      </w:pPr>
    </w:p>
    <w:p>
      <w:pPr>
        <w:ind w:right="19" w:firstLine="324"/>
        <w:spacing w:after="0" w:line="312" w:lineRule="auto"/>
        <w:rPr>
          <w:sz w:val="20"/>
          <w:szCs w:val="20"/>
          <w:color w:val="auto"/>
        </w:rPr>
      </w:pPr>
      <w:r>
        <w:rPr>
          <w:rFonts w:ascii="Arial" w:cs="Arial" w:eastAsia="Arial" w:hAnsi="Arial"/>
          <w:sz w:val="16"/>
          <w:szCs w:val="16"/>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47"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70" w:lineRule="exact"/>
        <w:rPr>
          <w:sz w:val="20"/>
          <w:szCs w:val="20"/>
          <w:color w:val="auto"/>
        </w:rPr>
      </w:pPr>
    </w:p>
    <w:p>
      <w:pPr>
        <w:ind w:right="139" w:firstLine="324"/>
        <w:spacing w:after="0" w:line="291" w:lineRule="auto"/>
        <w:rPr>
          <w:sz w:val="20"/>
          <w:szCs w:val="20"/>
          <w:color w:val="auto"/>
        </w:rPr>
      </w:pPr>
      <w:r>
        <w:rPr>
          <w:rFonts w:ascii="Arial" w:cs="Arial" w:eastAsia="Arial" w:hAnsi="Arial"/>
          <w:sz w:val="16"/>
          <w:szCs w:val="16"/>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67" w:lineRule="exact"/>
        <w:rPr>
          <w:sz w:val="20"/>
          <w:szCs w:val="20"/>
          <w:color w:val="auto"/>
        </w:rPr>
      </w:pPr>
    </w:p>
    <w:p>
      <w:pPr>
        <w:ind w:right="239" w:firstLine="324"/>
        <w:spacing w:after="0" w:line="342" w:lineRule="auto"/>
        <w:rPr>
          <w:sz w:val="20"/>
          <w:szCs w:val="20"/>
          <w:color w:val="auto"/>
        </w:rPr>
      </w:pPr>
      <w:r>
        <w:rPr>
          <w:rFonts w:ascii="Arial" w:cs="Arial" w:eastAsia="Arial" w:hAnsi="Arial"/>
          <w:sz w:val="16"/>
          <w:szCs w:val="16"/>
          <w:color w:val="auto"/>
        </w:rPr>
        <w:t>The success of our growth plan depends, in part, on our ability to implement our business strategies. In particular, our growth depends on our ability to maintain and expand our network by attracting new clients, increasing the use of</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our asset classes, including the number of products we offer across those asset classes, by investing in our development efforts and increasing our revenues by growing our market share in our existing markets and entering into new markets. Although our long-term growth plan includes entering into new asset classes, we may not enter into new asset classes in the near term.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8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6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1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2" w:lineRule="exact"/>
        <w:rPr>
          <w:sz w:val="20"/>
          <w:szCs w:val="20"/>
          <w:color w:val="auto"/>
        </w:rPr>
      </w:pPr>
    </w:p>
    <w:p>
      <w:pPr>
        <w:ind w:left="660" w:right="8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Ebola, Zika, avian flu, severe acute respiratory syndrome (SARS), H1N1 (swine flu), the coronavirus, and Middle East Respiratory Syndrome (MERS);</w:t>
      </w:r>
    </w:p>
    <w:p>
      <w:pPr>
        <w:spacing w:after="0" w:line="1" w:lineRule="exact"/>
        <w:rPr>
          <w:rFonts w:ascii="Arial" w:cs="Arial" w:eastAsia="Arial" w:hAnsi="Arial"/>
          <w:sz w:val="18"/>
          <w:szCs w:val="18"/>
          <w:color w:val="auto"/>
        </w:rPr>
      </w:pPr>
    </w:p>
    <w:p>
      <w:pPr>
        <w:ind w:left="660" w:right="10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ind w:left="660" w:right="6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ind w:left="660" w:right="22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ind w:left="660" w:right="840" w:hanging="333"/>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ind w:left="660" w:right="8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w:t>
      </w:r>
    </w:p>
    <w:p>
      <w:pPr>
        <w:ind w:left="660" w:right="76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9" w:lineRule="exact"/>
        <w:rPr>
          <w:rFonts w:ascii="Arial" w:cs="Arial" w:eastAsia="Arial" w:hAnsi="Arial"/>
          <w:sz w:val="18"/>
          <w:szCs w:val="18"/>
          <w:color w:val="auto"/>
        </w:rPr>
      </w:pPr>
    </w:p>
    <w:p>
      <w:pPr>
        <w:ind w:left="660" w:right="20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ind w:left="660" w:right="320" w:hanging="333"/>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managing the potential conflicts between locally accepted business practices and our obligations to comply with laws and regulations, including anti-corruption and anti-money laundering laws and regulations;</w:t>
      </w: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660" w:right="900"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170"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 Union (the “Withdrawal Agreement”). The United Kingdom withdrew from the European Union on January 31, 2020 (the “exit date”). As part of the negotiations with the European Union, a transitional period has been agreed which extends to the United Kingdom the application of European Union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law, and provides for continuing access to the European Union market, until the end of 2020. The future relationship between the United Kingdom and the European Union will be negotiated between both parties during 2020 and if an agreement is reached – which may or may not include terms of access to each other’s financial markets – it is anticipated under the Withdrawal Agreement that the terms of any such agreement would apply upon expiry of the transitional period. The transitional period is due to expire on December 31, 2020, unless extended by the UK/EU Joint Committee established under the Withdrawal Agreement. The maximum possible extension under the Withdrawal Agreement is two years and Prime Minister Johnson of the United Kingdom has indicated that he does not intend to seek, nor agree, to such an extension.</w:t>
      </w:r>
    </w:p>
    <w:p>
      <w:pPr>
        <w:spacing w:after="0" w:line="16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United Kingdom’s departure from the European Union and the terms of the future relationship between the United Kingdom and the European Union could significantly impact the business environment in which we and our clients operate, increase the costs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which could have a materially adverse impact on us despite out international client-base. Until the terms of the future relationship are known, volatility in exchange rates may continue and it will remain unclear how Brexit may ultimately affect liquidity in our marketplaces.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Significantly, the effects of Brexit on our business will depend on any agreements the United Kingdom makes to retain access to the European Union single market and vice versa. Negotiations between the United Kingdom and the European Union on their future relationship will continue during 2020, will be complex and will be politically uncertain. Until such an agreement is reached the post-transitional period conditions of UK and EU market access are not known. With a loss of “passporting” rights, which allow financial services firms to operate throughout the European Union, and with no equivalent agreement in place between the United Kingdom and the European Union, our UK authorized subsidiary will no longer be able to provide services to EU clients other than in limited circumstances. As a result of the uncertainty related to Brexit, we have established a new regulated subsidiary in the Netherlands that has started to serve clients in the European Union, and for which we have incurred, and expect to continue to incur, increased regulatory and operational costs. These costs result from having established a new regulated subsidiary in the European Union and the management of a client and employee base that is less centralized in London.</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With Brexit, the United Kingdom has ended the supremacy of EU law in the United Kingdom by repealing the European Communities Act 1972, and by “on-shoring” EU law as it stands at exit into domestic law. With the exception that the United Kingdom has made secondary legislation to enable correction to be made to EU laws as they are on-shored – and where they would otherwise have no longer operated appropriately following Brexit - the UK and EU laws are substantively the same.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Over time however, EU and UK laws may diverge, the pace and extent of which will be political and uncertain. The cost and complexity of operating across increasingly divergent regulatory regimes could increase following Brexit, and this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pound sterling and the euro.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79"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w:t>
      </w:r>
    </w:p>
    <w:p>
      <w:pPr>
        <w:spacing w:after="0" w:line="3" w:lineRule="exact"/>
        <w:rPr>
          <w:sz w:val="20"/>
          <w:szCs w:val="20"/>
          <w:color w:val="auto"/>
        </w:rPr>
      </w:pPr>
    </w:p>
    <w:p>
      <w:pPr>
        <w:ind w:right="280" w:firstLine="3"/>
        <w:spacing w:after="0" w:line="253"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9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6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w:t>
      </w:r>
    </w:p>
    <w:p>
      <w:pPr>
        <w:ind w:right="160" w:firstLine="3"/>
        <w:spacing w:after="0" w:line="273" w:lineRule="auto"/>
        <w:tabs>
          <w:tab w:leader="none" w:pos="3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77"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results may fluctuate significantly and may not fully reflect the underlying performance of our business.</w:t>
      </w:r>
    </w:p>
    <w:p>
      <w:pPr>
        <w:spacing w:after="0" w:line="2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2"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9" w:lineRule="exact"/>
        <w:rPr>
          <w:rFonts w:ascii="Arial" w:cs="Arial" w:eastAsia="Arial" w:hAnsi="Arial"/>
          <w:sz w:val="18"/>
          <w:szCs w:val="18"/>
          <w:color w:val="auto"/>
        </w:rPr>
      </w:pPr>
    </w:p>
    <w:p>
      <w:pPr>
        <w:ind w:left="660" w:right="500" w:hanging="333"/>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expenses, including those related to the maintenance and expansion of our business, operations and infrastructure;</w:t>
      </w:r>
    </w:p>
    <w:p>
      <w:pPr>
        <w:ind w:left="660" w:right="340" w:hanging="333"/>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9" w:lineRule="exact"/>
        <w:rPr>
          <w:rFonts w:ascii="Arial" w:cs="Arial" w:eastAsia="Arial" w:hAnsi="Arial"/>
          <w:sz w:val="18"/>
          <w:szCs w:val="18"/>
          <w:color w:val="auto"/>
        </w:rPr>
      </w:pPr>
    </w:p>
    <w:p>
      <w:pPr>
        <w:ind w:left="660" w:right="100" w:hanging="333"/>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2" w:lineRule="exact"/>
        <w:rPr>
          <w:rFonts w:ascii="Arial" w:cs="Arial" w:eastAsia="Arial" w:hAnsi="Arial"/>
          <w:sz w:val="16"/>
          <w:szCs w:val="16"/>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9" w:lineRule="exact"/>
        <w:rPr>
          <w:rFonts w:ascii="Arial" w:cs="Arial" w:eastAsia="Arial" w:hAnsi="Arial"/>
          <w:sz w:val="18"/>
          <w:szCs w:val="18"/>
          <w:color w:val="auto"/>
        </w:rPr>
      </w:pPr>
    </w:p>
    <w:p>
      <w:pPr>
        <w:ind w:left="660" w:right="120" w:hanging="333"/>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520" w:hanging="333"/>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spacing w:after="0" w:line="1" w:lineRule="exact"/>
        <w:rPr>
          <w:rFonts w:ascii="Arial" w:cs="Arial" w:eastAsia="Arial" w:hAnsi="Arial"/>
          <w:sz w:val="18"/>
          <w:szCs w:val="18"/>
          <w:color w:val="auto"/>
        </w:rPr>
      </w:pPr>
    </w:p>
    <w:p>
      <w:pPr>
        <w:ind w:left="660" w:right="460" w:hanging="333"/>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17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Damage to our reputation or brand could negatively impact our business, financial condition and results of operations.</w:t>
      </w:r>
    </w:p>
    <w:p>
      <w:pPr>
        <w:spacing w:after="0" w:line="24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7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3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future in response to global conditions and events.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in the United Kingdom, DNB, the AFM, the MAS, the Hong Kong Securities and Futures Commission, the Investment Industry Regulatory Organization of Canada and provincial regulators in Canada, the Japanese Financial Services Agency, the Japan Securities Dealers Association and the ASIC.</w:t>
      </w:r>
    </w:p>
    <w:p>
      <w:pPr>
        <w:spacing w:after="0" w:line="19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6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193"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5"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0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any financial instruments we hold.</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8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and related solutions in a manner that can successfully compete against other methods of trading and related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solutions.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65" w:lineRule="exact"/>
        <w:rPr>
          <w:sz w:val="20"/>
          <w:szCs w:val="20"/>
          <w:color w:val="auto"/>
        </w:rPr>
      </w:pPr>
    </w:p>
    <w:p>
      <w:pPr>
        <w:ind w:right="200" w:firstLine="324"/>
        <w:spacing w:after="0" w:line="288"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countries or conflict with other law, rules or regulations. We are also subject to the terms of our privacy policies and obligations to third parties related to applicable privacy, data protection and information security.</w:t>
      </w:r>
    </w:p>
    <w:p>
      <w:pPr>
        <w:spacing w:after="0" w:line="16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U.S. tax legislation may materially adversely affect our financial condition, results of operations and cash flows.</w:t>
      </w:r>
    </w:p>
    <w:p>
      <w:pPr>
        <w:spacing w:after="0" w:line="2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adversely affect our business and financial condition, and the impact of any such law, regulation or interpretation on holders of our Class A common stock could be adverse.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 open source software in our technology, most often as small components within a larger solution. Open source code is also contained in some third-party software we rely on. The terms of many open source licenses are ambiguous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party to the Revolving Credit Facility, a $500.0 million senior secured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2"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1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addition, the credit agreement that governs our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66"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1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pacing w:after="0" w:line="19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170"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Revolving Credit Facility will increase even though the amount borrowed may remain the same, and our net income and cash flows will correspondingly decrease. Assuming that the $500.0 million Revolving Credit Facility was fully drawn, each 0.125%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 in interest rates would result in an approximate change of $0.6 million in annual interest expense on the borrowings under the Revolving Credit Facility.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phase-out, replacement or unavailability of LIBOR and/or other interest rate benchmarks could adversely affect our indebtedness.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interest rates applicable to the Revolving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of December 31, 2019, we had goodwill of $2,694.8 million and indefinite-lived intangible assets of $323.1 million, which relate to the Refinitiv Transaction.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9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TWM LLC does not have sufficient funds to make distributions, our ability to declare and pay cash dividends will also be restricted or impaired. See “— Risks Relating to Ownership of Our Class A Common Stock” and Part II, Item 5 – “Market for Registrant’s Common Equity, Related Stockholder Matters and Issuer Purchases of Equity Securities —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5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and any future offerings or (b) redemptions or exchanges by such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7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 of December 31, 2019,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Tax Receivable Agreement and/or distributions to us by TWM LLC are not sufficient to permit us to make payments under the Tax Receivable Agreement.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and any future offerings or (b) redemptions or exchanges by the Continuing LLC Owners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8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0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realize in respect of the tax attributes with respect to a Continuing LLC Owner that are the subject of the Tax Receivable Agreement.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right="280" w:hanging="333"/>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18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Refinitiv Owners and their affiliates control us and their interests may conflict with ours or yours in the future.</w:t>
      </w:r>
    </w:p>
    <w:p>
      <w:pPr>
        <w:spacing w:after="0" w:line="248"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Refinitiv Owners and their affiliates currently control approximately 77.1% of the combined voting power of our common stock as a result of their ownership of our Class B common stock and Class D common stock, each share of which is entitled to 10 votes on all matters submitted to a vote of our stockholders. Moreover, under our amended and restated bylaws and the Stockholders Agreement, for so long as the Refinitiv Owners and their affiliates together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continue to beneficially own at least 10% of the combined voting power of our common stock, we will agree to nominate to our board of directors a certain number of individuals designated by the Refinitiv Owners.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continue to have significant influence with respect to our management, business plans and policies. In particular, the Refinitiv Owners and their affiliates are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provides that none of the Refinitiv Owners, any of their affiliates or any director who is not employed by us (including any non-employee director who serves as one of our officers in both his director and officer capacities) or his or her affiliates has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Refinitiv Direct Owner and the Continuing LLC Owners may require us to issue additional shares of our Class A common stock.</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of January 31, 2020, we have an aggregate of 931,056,956 shares of Class A common stock authorized but unissued, including 154,244,233 shares of Class A common stock issuable upon the redemption or exchange of LLC Interests that are held by the Continuing LLC Owners or the exchange of shares of Class B common stock that are held by the Refinitiv Direct Owner and any other future holders of Class B common stock. Subject to certain restrictions set forth in the TWM LLC Agreement, the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2" w:lineRule="exact"/>
        <w:rPr>
          <w:sz w:val="20"/>
          <w:szCs w:val="20"/>
          <w:color w:val="auto"/>
        </w:rPr>
      </w:pPr>
    </w:p>
    <w:p>
      <w:pPr>
        <w:ind w:left="4440" w:right="1980" w:hanging="4113"/>
        <w:spacing w:after="0" w:line="762" w:lineRule="auto"/>
        <w:tabs>
          <w:tab w:leader="none" w:pos="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560" w:hanging="333"/>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director nominations be made, or recommended to the full board of directors, by its independent directors or by a nominations committee that is composed entirely of independent directors; and</w:t>
      </w:r>
    </w:p>
    <w:p>
      <w:pPr>
        <w:ind w:left="660" w:right="200" w:hanging="333"/>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170"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Prior to the IPO, there was no public market for our Class A common stock. Given our limited trading history, an active trading market for our Class A common stock may not be sustained, which could adversely affect your ability to sell your shares and the market price for your shares. Further, 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5"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9" w:lineRule="exact"/>
        <w:rPr>
          <w:rFonts w:ascii="Arial" w:cs="Arial" w:eastAsia="Arial" w:hAnsi="Arial"/>
          <w:sz w:val="18"/>
          <w:szCs w:val="18"/>
          <w:color w:val="auto"/>
        </w:rPr>
      </w:pPr>
    </w:p>
    <w:p>
      <w:pPr>
        <w:ind w:left="660" w:right="200" w:hanging="333"/>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ind w:left="660" w:right="100" w:hanging="333"/>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9" w:lineRule="exact"/>
        <w:rPr>
          <w:rFonts w:ascii="Arial" w:cs="Arial" w:eastAsia="Arial" w:hAnsi="Arial"/>
          <w:sz w:val="18"/>
          <w:szCs w:val="18"/>
          <w:color w:val="auto"/>
        </w:rPr>
      </w:pPr>
    </w:p>
    <w:p>
      <w:pPr>
        <w:ind w:left="660" w:right="60" w:hanging="333"/>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or failure to meet guidance given by us or any change in guidance given by us or in our guidance practices;</w:t>
      </w: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9" w:lineRule="exact"/>
        <w:rPr>
          <w:rFonts w:ascii="Arial" w:cs="Arial" w:eastAsia="Arial" w:hAnsi="Arial"/>
          <w:sz w:val="18"/>
          <w:szCs w:val="18"/>
          <w:color w:val="auto"/>
        </w:rPr>
      </w:pPr>
    </w:p>
    <w:p>
      <w:pPr>
        <w:ind w:left="660" w:right="160" w:hanging="333"/>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of our Class A common stock by us, our executive officers, directors or our stockholders in the future;</w:t>
      </w:r>
    </w:p>
    <w:p>
      <w:pPr>
        <w:spacing w:after="0" w:line="20" w:lineRule="exact"/>
        <w:rPr>
          <w:rFonts w:ascii="Arial" w:cs="Arial" w:eastAsia="Arial" w:hAnsi="Arial"/>
          <w:sz w:val="17"/>
          <w:szCs w:val="17"/>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9" w:lineRule="exact"/>
        <w:rPr>
          <w:rFonts w:ascii="Arial" w:cs="Arial" w:eastAsia="Arial" w:hAnsi="Arial"/>
          <w:sz w:val="18"/>
          <w:szCs w:val="18"/>
          <w:color w:val="auto"/>
        </w:rPr>
      </w:pPr>
    </w:p>
    <w:p>
      <w:pPr>
        <w:ind w:left="660" w:right="500" w:hanging="333"/>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adverse consequences related to our multi-class capital structure, such as stock index providers excluding companies with multi-class capital structures from certain indices; and</w:t>
      </w: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pacing w:after="0" w:line="2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As of January 31, 2020, we have 68,943,044 outstanding shares of Class A common stock and 931,056,956 shares of Class A common stock that are authorized but unissued that would be issuable upon redemption or exchange of LLC Interests or exchange of shares of our Class B common stock.</w:t>
      </w:r>
    </w:p>
    <w:p>
      <w:pPr>
        <w:spacing w:after="0" w:line="1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entered into the Registration Rights Agreement in connection with the IPO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are subject to certain transfer restrictions. Sales of a substantial number of Class A common stock upon expiration of such above-described agreement, the perception that such sales may occur, or early release of such agreement, could cause the market price of our shares of Class A common stock to fall or make it more difficult for you to sell your Class A common stock at a time and price that you deem appropriate.</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of our shares of Class A common stock outstanding as of the date of this Annual Report on Form 10-K (and shares of Class A common stock issuable upon redemption or exchange of LLC Interests or exchange of shares of our Class B common stock) may be sold in the public market by existing stockholders following the expiration or early release of the extended lock-up period in the Registration Rights Agreement, subject to applicable limitations imposed under federal securities laws. Sales of shares of our Class A common stock following the expiration or early release of the extended lock-up period in the Registration Rights Agreement could have a material adverse effect on the trading price of our Class A common stock.</w:t>
      </w:r>
    </w:p>
    <w:p>
      <w:pPr>
        <w:spacing w:after="0" w:line="18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expiration of any applicable lockup period and subject to Rule 144 limitations applicable to affiliates.</w:t>
      </w:r>
    </w:p>
    <w:p>
      <w:pPr>
        <w:spacing w:after="0" w:line="173"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In addition,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4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trading volumes to materially decline.</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intend to continue to pay regular dividends on our Class A common stock and Class B common stock, but our ability to do so may be limited.</w:t>
      </w:r>
    </w:p>
    <w:p>
      <w:pPr>
        <w:spacing w:after="0" w:line="170"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contractual restrictions, restrictions imposed by applicable laws and other factors that our board of directors deems relevant.</w:t>
      </w:r>
    </w:p>
    <w:p>
      <w:pPr>
        <w:spacing w:after="0" w:line="24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1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these provisions:</w:t>
      </w:r>
    </w:p>
    <w:p>
      <w:pPr>
        <w:spacing w:after="0" w:line="23" w:lineRule="exact"/>
        <w:rPr>
          <w:sz w:val="20"/>
          <w:szCs w:val="20"/>
          <w:color w:val="auto"/>
        </w:rPr>
      </w:pPr>
    </w:p>
    <w:p>
      <w:pPr>
        <w:ind w:left="660" w:right="80" w:hanging="333"/>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ind w:left="660" w:right="100" w:hanging="333"/>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1" w:lineRule="exact"/>
        <w:rPr>
          <w:rFonts w:ascii="Arial" w:cs="Arial" w:eastAsia="Arial" w:hAnsi="Arial"/>
          <w:sz w:val="18"/>
          <w:szCs w:val="18"/>
          <w:color w:val="auto"/>
        </w:rPr>
      </w:pPr>
    </w:p>
    <w:p>
      <w:pPr>
        <w:ind w:left="660" w:right="160" w:hanging="333"/>
        <w:spacing w:after="0" w:line="26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make, alter or repeal our bylaws and that our stockholders may only amend our bylaws with the approval of 662⁄3% or more in voting power of all outstanding shares of our capital stock, if the Refinitiv Owners and their respective affiliates beneficially own less than 50% in voting power of our stock entitled to vote generally in the election of directors; and</w:t>
      </w:r>
    </w:p>
    <w:p>
      <w:pPr>
        <w:ind w:left="660" w:hanging="333"/>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184"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ind w:left="660" w:right="60" w:hanging="333"/>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20" w:hanging="333"/>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120" w:hanging="333"/>
        <w:spacing w:after="0" w:line="323"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662⁄3% of our outstanding voting stock that is not owned by the interested stockholder.</w:t>
      </w:r>
    </w:p>
    <w:p>
      <w:pPr>
        <w:spacing w:after="0" w:line="13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w:t>
      </w:r>
    </w:p>
    <w:p>
      <w:pPr>
        <w:spacing w:after="0" w:line="2" w:lineRule="exact"/>
        <w:rPr>
          <w:sz w:val="20"/>
          <w:szCs w:val="20"/>
          <w:color w:val="auto"/>
        </w:rPr>
      </w:pPr>
    </w:p>
    <w:p>
      <w:pPr>
        <w:ind w:right="240" w:firstLine="3"/>
        <w:spacing w:after="0" w:line="281" w:lineRule="auto"/>
        <w:tabs>
          <w:tab w:leader="none" w:pos="3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w:t>
      </w:r>
    </w:p>
    <w:p>
      <w:pPr>
        <w:spacing w:after="0" w:line="2" w:lineRule="exact"/>
        <w:rPr>
          <w:rFonts w:ascii="Arial" w:cs="Arial" w:eastAsia="Arial" w:hAnsi="Arial"/>
          <w:sz w:val="16"/>
          <w:szCs w:val="16"/>
          <w:color w:val="auto"/>
        </w:rPr>
      </w:pPr>
    </w:p>
    <w:p>
      <w:pPr>
        <w:ind w:right="80"/>
        <w:spacing w:after="0" w:line="267" w:lineRule="auto"/>
        <w:rPr>
          <w:rFonts w:ascii="Arial" w:cs="Arial" w:eastAsia="Arial" w:hAnsi="Arial"/>
          <w:sz w:val="16"/>
          <w:szCs w:val="16"/>
          <w:color w:val="auto"/>
        </w:rPr>
      </w:pPr>
      <w:r>
        <w:rPr>
          <w:rFonts w:ascii="Arial" w:cs="Arial" w:eastAsia="Arial" w:hAnsi="Arial"/>
          <w:sz w:val="17"/>
          <w:szCs w:val="17"/>
          <w:color w:val="auto"/>
        </w:rPr>
        <w:t>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JOBS Act provides that, so long as a company qualifies as an “emerging growth company,” it will, among other things: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0" w:hanging="333"/>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ind w:left="660" w:hanging="333"/>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 exempt from the “say on pay” and “say on golden parachute” advisory vote requirements of the Dodd-Frank Act;</w:t>
      </w:r>
    </w:p>
    <w:p>
      <w:pPr>
        <w:spacing w:after="0" w:line="32" w:lineRule="exact"/>
        <w:rPr>
          <w:rFonts w:ascii="Arial" w:cs="Arial" w:eastAsia="Arial" w:hAnsi="Arial"/>
          <w:sz w:val="16"/>
          <w:szCs w:val="16"/>
          <w:color w:val="auto"/>
        </w:rPr>
      </w:pPr>
    </w:p>
    <w:p>
      <w:pPr>
        <w:ind w:left="660" w:right="320" w:hanging="333"/>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 w:lineRule="exact"/>
        <w:rPr>
          <w:rFonts w:ascii="Arial" w:cs="Arial" w:eastAsia="Arial" w:hAnsi="Arial"/>
          <w:sz w:val="18"/>
          <w:szCs w:val="18"/>
          <w:color w:val="auto"/>
        </w:rPr>
      </w:pPr>
    </w:p>
    <w:p>
      <w:pPr>
        <w:ind w:left="660" w:right="500" w:hanging="333"/>
        <w:spacing w:after="0" w:line="32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 exempt from any rules that may be adopted by the Public Company Accounting Oversight Board requiring mandatory audit firm rotations or a supplement to the auditor’s report on the financial statements.</w:t>
      </w:r>
    </w:p>
    <w:p>
      <w:pPr>
        <w:spacing w:after="0" w:line="13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intend to continue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15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could be an emerging growth company for up to five years after the IPO. We cannot predict if investors will find our Class A common stock less attractive because we rely on these exemptions, or if taking advantage of these exemptions will result in less active trading or more volatility in the market price of our Class A common stock.</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are not currently required to make a formal assessment of the effectiveness of our internal control over financial reporting for purposes of the rules of the SEC implementing Section 404 of the Sarbanes Oxley-Act. We are required to comply with the SEC’s rules implementing Sections 302 and 906 of the Sarbanes-Oxley Act, which require management to certify financial and other information in our quarterly and annual reports and provide an annual management report on the effectiveness of control over financial reporting. Although we are required to disclose changes made in our internal controls and procedures on a quarterly basis, we are not required to make our first annual assessment of our internal control over financial reporting pursuant to Section 404 until our annual report on Form 10-K for the year ending December 31, 2020. As an emerging growth company, our independent registered public accounting firm will not be required to formally attest to the effectiveness of our internal control over financial reporting in our annual report on Form 10-K at the later of the year following our first annual report required to be filed with the SEC or the date on which we are no longer an emerging growth company. At such time, our independent registered public accounting firm may issue a report that is adverse in the event that in its opinion we have not maintained effective internal control over financial reporting based on criteria established under in Internal Control – Integrated Framework (2013) issued by the Committee of Sponsoring Organizations of the Treadway Commission.</w:t>
      </w:r>
    </w:p>
    <w:p>
      <w:pPr>
        <w:spacing w:after="0" w:line="18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private company, we did not have any internal audit function. To comply with the requirements of being a public company, we have undertaken various actions, and will need to take additional actions, such as implementing new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management assessment and auditor attestation requirements of Section 404. If we identify any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3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6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231F20"/>
        </w:rPr>
        <w:t>Our corporate headquarters is located in New York, New York. As of December 31, 2019, our principal offices consisted of the following properties: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231F20"/>
              </w:rPr>
              <w:t>Location</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231F20"/>
              </w:rPr>
              <w:t>Square Feet</w:t>
            </w: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231F20"/>
              </w:rPr>
              <w:t>Lease Expiration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231F20"/>
                <w:w w:val="85"/>
              </w:rPr>
              <w:t>Use</w:t>
            </w:r>
          </w:p>
        </w:tc>
      </w:tr>
      <w:tr>
        <w:trPr>
          <w:trHeight w:val="210"/>
        </w:trPr>
        <w:tc>
          <w:tcPr>
            <w:tcW w:w="4640" w:type="dxa"/>
            <w:vAlign w:val="bottom"/>
            <w:tcBorders>
              <w:top w:val="single" w:sz="8" w:color="231F20"/>
            </w:tcBorders>
            <w:shd w:val="clear" w:color="auto" w:fill="CCEEFF"/>
          </w:tcPr>
          <w:p>
            <w:pPr>
              <w:spacing w:after="0"/>
              <w:rPr>
                <w:sz w:val="20"/>
                <w:szCs w:val="20"/>
                <w:color w:val="auto"/>
              </w:rPr>
            </w:pPr>
            <w:r>
              <w:rPr>
                <w:rFonts w:ascii="Arial" w:cs="Arial" w:eastAsia="Arial" w:hAnsi="Arial"/>
                <w:sz w:val="18"/>
                <w:szCs w:val="18"/>
                <w:color w:val="231F20"/>
              </w:rPr>
              <w:t>New York, New York</w:t>
            </w:r>
            <w:r>
              <w:rPr>
                <w:rFonts w:ascii="Arial" w:cs="Arial" w:eastAsia="Arial" w:hAnsi="Arial"/>
                <w:sz w:val="8"/>
                <w:szCs w:val="8"/>
                <w:color w:val="231F20"/>
              </w:rPr>
              <w:t>(1)</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41,062</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2"/>
              </w:rPr>
              <w:t>5/31/2021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89"/>
              </w:rPr>
              <w:t>Office Space</w:t>
            </w: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231F20"/>
              </w:rPr>
              <w:t>Jersey City, New Jersey</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231F20"/>
              </w:rPr>
              <w:t>65,242</w:t>
            </w: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231F20"/>
                <w:w w:val="90"/>
              </w:rPr>
              <w:t>12/31/2027</w:t>
            </w:r>
          </w:p>
        </w:tc>
        <w:tc>
          <w:tcPr>
            <w:tcW w:w="1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231F20"/>
                <w:w w:val="89"/>
              </w:rPr>
              <w:t>Office Space</w:t>
            </w: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231F20"/>
              </w:rPr>
              <w:t>London, United Kingdom</w:t>
            </w:r>
          </w:p>
        </w:tc>
        <w:tc>
          <w:tcPr>
            <w:tcW w:w="1160" w:type="dxa"/>
            <w:vAlign w:val="bottom"/>
          </w:tcPr>
          <w:p>
            <w:pPr>
              <w:jc w:val="right"/>
              <w:spacing w:after="0"/>
              <w:rPr>
                <w:sz w:val="20"/>
                <w:szCs w:val="20"/>
                <w:color w:val="auto"/>
              </w:rPr>
            </w:pPr>
            <w:r>
              <w:rPr>
                <w:rFonts w:ascii="Arial" w:cs="Arial" w:eastAsia="Arial" w:hAnsi="Arial"/>
                <w:sz w:val="18"/>
                <w:szCs w:val="18"/>
                <w:color w:val="231F20"/>
              </w:rPr>
              <w:t>16,259</w:t>
            </w:r>
          </w:p>
        </w:tc>
        <w:tc>
          <w:tcPr>
            <w:tcW w:w="1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231F20"/>
                <w:w w:val="92"/>
              </w:rPr>
              <w:t>9/30/2024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231F20"/>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660" w:right="120" w:hanging="333"/>
        <w:spacing w:after="0" w:line="237"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currently anticipate that in 2020 we will likely enter into a new lease to increase the size of our corporate headquarters in or near New York, New York, which may result in increased operating expenses.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also lease offices in Los Angeles, California, Boca Raton, Florida, Chicago, Illinois and Garden City,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 a shared services agreement with Refinitiv, we lease office space in Amsterdam, Netherlands.</w:t>
      </w:r>
    </w:p>
    <w:p>
      <w:pPr>
        <w:spacing w:after="0" w:line="21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infrastructure operates out of third-party data centers in Secaucus, New Jersey, Weehawken, New Jersey, Piscataway, New Jersey, Chicago, Illinois and Elk Grove, Illinois and, outside the United States, in Hounslow, United Kingdom, Slough, United Kingdom, Saitama, Japan and Tokyo, Japan.</w:t>
      </w:r>
    </w:p>
    <w:p>
      <w:pPr>
        <w:spacing w:after="0" w:line="18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8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231F20"/>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IDC Matter</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 Group LLC, et al.</w:t>
      </w:r>
      <w:r>
        <w:rPr>
          <w:rFonts w:ascii="Arial" w:cs="Arial" w:eastAsia="Arial" w:hAnsi="Arial"/>
          <w:sz w:val="17"/>
          <w:szCs w:val="17"/>
          <w:color w:val="auto"/>
        </w:rPr>
        <w:t>, Case No. 2:15-cv-01085-PP, relating to the distribution of IDC’s financial strength ratings over 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Treasuries Matter</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 Treasuries Securities Auction Antitrust</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No. 1:15-md-2673 (S.D.N.Y.) (PGG). In November 2017, the plaintiffs in these consolidated actions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8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5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r>
        <w:rPr>
          <w:rFonts w:ascii="Arial" w:cs="Arial" w:eastAsia="Arial" w:hAnsi="Arial"/>
          <w:sz w:val="18"/>
          <w:szCs w:val="18"/>
          <w:color w:val="231F20"/>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Swaps Matter</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8"/>
          <w:szCs w:val="18"/>
          <w:i w:val="1"/>
          <w:iCs w:val="1"/>
          <w:color w:val="auto"/>
        </w:rPr>
        <w:t>Public School Teachers’ Pension and Retirement Fund of Chicago v.</w:t>
      </w:r>
      <w:r>
        <w:rPr>
          <w:rFonts w:ascii="Arial" w:cs="Arial" w:eastAsia="Arial" w:hAnsi="Arial"/>
          <w:sz w:val="18"/>
          <w:szCs w:val="18"/>
          <w:color w:val="auto"/>
        </w:rPr>
        <w:t xml:space="preserve"> </w:t>
      </w:r>
      <w:r>
        <w:rPr>
          <w:rFonts w:ascii="Arial" w:cs="Arial" w:eastAsia="Arial" w:hAnsi="Arial"/>
          <w:sz w:val="18"/>
          <w:szCs w:val="18"/>
          <w:i w:val="1"/>
          <w:iCs w:val="1"/>
          <w:color w:val="auto"/>
        </w:rPr>
        <w:t>Bank of America Corporation</w:t>
      </w:r>
      <w:r>
        <w:rPr>
          <w:rFonts w:ascii="Arial" w:cs="Arial" w:eastAsia="Arial" w:hAnsi="Arial"/>
          <w:sz w:val="18"/>
          <w:szCs w:val="18"/>
          <w:color w:val="auto"/>
        </w:rPr>
        <w:t>, Case No. 15-cv-09219 (S.D.N.Y.). Additional plaintiffs, including Tera Group Inc. and Javelin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Capital Markets LLC, filed lawsuits and, ultimately, the cases were consolidated under the caption </w:t>
      </w:r>
      <w:r>
        <w:rPr>
          <w:rFonts w:ascii="Arial" w:cs="Arial" w:eastAsia="Arial" w:hAnsi="Arial"/>
          <w:sz w:val="18"/>
          <w:szCs w:val="18"/>
          <w:i w:val="1"/>
          <w:iCs w:val="1"/>
          <w:color w:val="auto"/>
        </w:rPr>
        <w:t>In re Interest Rate Swaps</w:t>
      </w:r>
      <w:r>
        <w:rPr>
          <w:rFonts w:ascii="Arial" w:cs="Arial" w:eastAsia="Arial" w:hAnsi="Arial"/>
          <w:sz w:val="18"/>
          <w:szCs w:val="18"/>
          <w:color w:val="auto"/>
        </w:rPr>
        <w:t xml:space="preserve"> </w:t>
      </w:r>
      <w:r>
        <w:rPr>
          <w:rFonts w:ascii="Arial" w:cs="Arial" w:eastAsia="Arial" w:hAnsi="Arial"/>
          <w:sz w:val="18"/>
          <w:szCs w:val="18"/>
          <w:i w:val="1"/>
          <w:iCs w:val="1"/>
          <w:color w:val="auto"/>
        </w:rPr>
        <w:t>Antitrust Litigation</w:t>
      </w:r>
      <w:r>
        <w:rPr>
          <w:rFonts w:ascii="Arial" w:cs="Arial" w:eastAsia="Arial" w:hAnsi="Arial"/>
          <w:sz w:val="18"/>
          <w:szCs w:val="18"/>
          <w:color w:val="auto"/>
        </w:rPr>
        <w:t>, No. 1:16-md-2704.</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Our Class A common stock trades on the Nasdaq Global Select Market under the ticker symbol “TW.” There is no established public trading market for our Class B common stock, Class C common stock or Class D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2019, there is one holder of record of our Class A common stock, Cede &amp; Co., a nominee for The Depository Trust Company, one holder of record of our Class B common stock, two holders of record of our Class C common stock and 29 holders of record of our Class D common stock. A substantially greater number of holders of our Class A common stock are “street name” or beneficial owners, whose shares of Class A common stock are held of record by banks, brokerage firms and other financial institutions. Shares of Class A common stock held by banks, brokerage firms and other financial institutions as nominees for beneficial owners is considered to be held of record by Cede &amp; Co., who is considered to be one holder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See Part I, Item 1A. – “Risk Factors — Risks Relating to the Company and Our Organizational Structure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June, September and December 2019, Tradeweb Markets Inc. paid quarterly cash dividends to the holders of Class A common stock and Class B common stock in aggregate amounts of $11.4 million, $11.4 million and $13.1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information about shares of Class A common stock authorized for issuance under all of our equity compensation plans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297180</wp:posOffset>
            </wp:positionV>
            <wp:extent cx="34563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620" w:type="dxa"/>
            <w:vAlign w:val="bottom"/>
          </w:tcPr>
          <w:p>
            <w:pPr>
              <w:ind w:left="1300"/>
              <w:spacing w:after="0"/>
              <w:rPr>
                <w:sz w:val="20"/>
                <w:szCs w:val="20"/>
                <w:color w:val="auto"/>
              </w:rPr>
            </w:pPr>
            <w:r>
              <w:rPr>
                <w:rFonts w:ascii="Arial" w:cs="Arial" w:eastAsia="Arial" w:hAnsi="Arial"/>
                <w:sz w:val="14"/>
                <w:szCs w:val="14"/>
                <w:b w:val="1"/>
                <w:bCs w:val="1"/>
                <w:color w:val="auto"/>
                <w:w w:val="93"/>
              </w:rPr>
              <w:t>Number of securities</w:t>
            </w: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Weighted-</w:t>
            </w:r>
          </w:p>
        </w:tc>
        <w:tc>
          <w:tcPr>
            <w:tcW w:w="28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2"/>
              </w:rPr>
              <w:t>Number of securities remaining available for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2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to</w:t>
            </w:r>
          </w:p>
        </w:tc>
        <w:tc>
          <w:tcPr>
            <w:tcW w:w="11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2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be issued upon</w:t>
            </w:r>
          </w:p>
        </w:tc>
        <w:tc>
          <w:tcPr>
            <w:tcW w:w="11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exercise price of</w:t>
            </w:r>
          </w:p>
        </w:tc>
        <w:tc>
          <w:tcPr>
            <w:tcW w:w="2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exercise</w:t>
            </w:r>
          </w:p>
        </w:tc>
        <w:tc>
          <w:tcPr>
            <w:tcW w:w="11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outstanding</w:t>
            </w:r>
          </w:p>
        </w:tc>
        <w:tc>
          <w:tcPr>
            <w:tcW w:w="2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issuance under equity compensation plans</w:t>
            </w:r>
          </w:p>
        </w:tc>
        <w:tc>
          <w:tcPr>
            <w:tcW w:w="0" w:type="dxa"/>
            <w:vAlign w:val="bottom"/>
          </w:tcPr>
          <w:p>
            <w:pPr>
              <w:spacing w:after="0"/>
              <w:rPr>
                <w:sz w:val="1"/>
                <w:szCs w:val="1"/>
                <w:color w:val="auto"/>
              </w:rPr>
            </w:pPr>
          </w:p>
        </w:tc>
      </w:tr>
      <w:tr>
        <w:trPr>
          <w:trHeight w:val="119"/>
        </w:trPr>
        <w:tc>
          <w:tcPr>
            <w:tcW w:w="2180" w:type="dxa"/>
            <w:vAlign w:val="bottom"/>
            <w:vMerge w:val="continue"/>
          </w:tcPr>
          <w:p>
            <w:pPr>
              <w:spacing w:after="0"/>
              <w:rPr>
                <w:sz w:val="10"/>
                <w:szCs w:val="10"/>
                <w:color w:val="auto"/>
              </w:rPr>
            </w:pPr>
          </w:p>
        </w:tc>
        <w:tc>
          <w:tcPr>
            <w:tcW w:w="2620" w:type="dxa"/>
            <w:vAlign w:val="bottom"/>
            <w:vMerge w:val="restart"/>
          </w:tcPr>
          <w:p>
            <w:pPr>
              <w:ind w:left="1300"/>
              <w:spacing w:after="0" w:line="149" w:lineRule="exact"/>
              <w:rPr>
                <w:sz w:val="20"/>
                <w:szCs w:val="20"/>
                <w:color w:val="auto"/>
              </w:rPr>
            </w:pPr>
            <w:r>
              <w:rPr>
                <w:rFonts w:ascii="Arial" w:cs="Arial" w:eastAsia="Arial" w:hAnsi="Arial"/>
                <w:sz w:val="14"/>
                <w:szCs w:val="14"/>
                <w:b w:val="1"/>
                <w:bCs w:val="1"/>
                <w:color w:val="auto"/>
              </w:rPr>
              <w:t>of outstanding</w:t>
            </w:r>
          </w:p>
        </w:tc>
        <w:tc>
          <w:tcPr>
            <w:tcW w:w="11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options,</w:t>
            </w:r>
          </w:p>
        </w:tc>
        <w:tc>
          <w:tcPr>
            <w:tcW w:w="2860" w:type="dxa"/>
            <w:vAlign w:val="bottom"/>
            <w:vMerge w:val="restart"/>
          </w:tcPr>
          <w:p>
            <w:pPr>
              <w:ind w:left="100"/>
              <w:spacing w:after="0" w:line="149" w:lineRule="exact"/>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2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Pr>
          <w:p>
            <w:pPr>
              <w:spacing w:after="0"/>
              <w:rPr>
                <w:sz w:val="12"/>
                <w:szCs w:val="12"/>
                <w:color w:val="auto"/>
              </w:rPr>
            </w:pPr>
          </w:p>
        </w:tc>
        <w:tc>
          <w:tcPr>
            <w:tcW w:w="262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options,</w:t>
            </w:r>
          </w:p>
        </w:tc>
        <w:tc>
          <w:tcPr>
            <w:tcW w:w="11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warrants and</w:t>
            </w:r>
          </w:p>
        </w:tc>
        <w:tc>
          <w:tcPr>
            <w:tcW w:w="2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620" w:type="dxa"/>
            <w:vAlign w:val="bottom"/>
          </w:tcPr>
          <w:p>
            <w:pPr>
              <w:ind w:left="1300"/>
              <w:spacing w:after="0" w:line="158" w:lineRule="exact"/>
              <w:rPr>
                <w:sz w:val="20"/>
                <w:szCs w:val="20"/>
                <w:color w:val="auto"/>
              </w:rPr>
            </w:pPr>
            <w:r>
              <w:rPr>
                <w:rFonts w:ascii="Arial" w:cs="Arial" w:eastAsia="Arial" w:hAnsi="Arial"/>
                <w:sz w:val="14"/>
                <w:szCs w:val="14"/>
                <w:b w:val="1"/>
                <w:bCs w:val="1"/>
                <w:color w:val="auto"/>
              </w:rPr>
              <w:t>warrants and rights</w:t>
            </w:r>
          </w:p>
        </w:tc>
        <w:tc>
          <w:tcPr>
            <w:tcW w:w="116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rights</w:t>
            </w:r>
          </w:p>
        </w:tc>
        <w:tc>
          <w:tcPr>
            <w:tcW w:w="286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620" w:type="dxa"/>
            <w:vAlign w:val="bottom"/>
          </w:tcPr>
          <w:p>
            <w:pPr>
              <w:ind w:left="1300"/>
              <w:spacing w:after="0"/>
              <w:rPr>
                <w:sz w:val="20"/>
                <w:szCs w:val="20"/>
                <w:color w:val="auto"/>
              </w:rPr>
            </w:pPr>
            <w:r>
              <w:rPr>
                <w:rFonts w:ascii="Arial" w:cs="Arial" w:eastAsia="Arial" w:hAnsi="Arial"/>
                <w:sz w:val="14"/>
                <w:szCs w:val="14"/>
                <w:b w:val="1"/>
                <w:bCs w:val="1"/>
                <w:color w:val="auto"/>
              </w:rPr>
              <w:t>(a)</w:t>
            </w: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(b)</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Equity compensation plans approved by security holders</w:t>
            </w:r>
          </w:p>
        </w:tc>
        <w:tc>
          <w:tcPr>
            <w:tcW w:w="1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21,301,477</w:t>
            </w:r>
          </w:p>
        </w:tc>
        <w:tc>
          <w:tcPr>
            <w:tcW w:w="100" w:type="dxa"/>
            <w:vAlign w:val="bottom"/>
            <w:tcBorders>
              <w:top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w w:val="72"/>
              </w:rPr>
              <w:t>(1)</w:t>
            </w:r>
          </w:p>
        </w:tc>
        <w:tc>
          <w:tcPr>
            <w:tcW w:w="660" w:type="dxa"/>
            <w:vAlign w:val="bottom"/>
            <w:tcBorders>
              <w:top w:val="single" w:sz="8" w:color="auto"/>
            </w:tcBorders>
            <w:shd w:val="clear" w:color="auto" w:fill="CCEEFF"/>
          </w:tcPr>
          <w:p>
            <w:pPr>
              <w:jc w:val="right"/>
              <w:ind w:right="515"/>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w:t>
            </w:r>
          </w:p>
        </w:tc>
        <w:tc>
          <w:tcPr>
            <w:tcW w:w="100" w:type="dxa"/>
            <w:vAlign w:val="bottom"/>
            <w:tcBorders>
              <w:top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w w:val="72"/>
              </w:rPr>
              <w:t>(2)</w:t>
            </w:r>
          </w:p>
        </w:tc>
        <w:tc>
          <w:tcPr>
            <w:tcW w:w="156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9,312,374</w:t>
            </w:r>
          </w:p>
        </w:tc>
        <w:tc>
          <w:tcPr>
            <w:tcW w:w="140" w:type="dxa"/>
            <w:vAlign w:val="bottom"/>
            <w:tcBorders>
              <w:top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w w:val="72"/>
              </w:rPr>
              <w:t>(3)</w:t>
            </w:r>
          </w:p>
        </w:tc>
      </w:tr>
      <w:tr>
        <w:trPr>
          <w:trHeight w:val="130"/>
        </w:trPr>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Equity compensation plans not approved by security</w:t>
            </w:r>
          </w:p>
        </w:tc>
        <w:tc>
          <w:tcPr>
            <w:tcW w:w="128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r>
      <w:tr>
        <w:trPr>
          <w:trHeight w:val="167"/>
        </w:trPr>
        <w:tc>
          <w:tcPr>
            <w:tcW w:w="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holders</w:t>
            </w:r>
          </w:p>
        </w:tc>
        <w:tc>
          <w:tcPr>
            <w:tcW w:w="29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62"/>
        </w:trPr>
        <w:tc>
          <w:tcPr>
            <w:tcW w:w="5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29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21,301,477</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9,312,374</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08"/>
        </w:trPr>
        <w:tc>
          <w:tcPr>
            <w:tcW w:w="560" w:type="dxa"/>
            <w:vAlign w:val="bottom"/>
          </w:tcPr>
          <w:p>
            <w:pPr>
              <w:ind w:left="320"/>
              <w:spacing w:after="0" w:line="108" w:lineRule="exact"/>
              <w:rPr>
                <w:sz w:val="20"/>
                <w:szCs w:val="20"/>
                <w:color w:val="auto"/>
              </w:rPr>
            </w:pPr>
            <w:r>
              <w:rPr>
                <w:rFonts w:ascii="Arial" w:cs="Arial" w:eastAsia="Arial" w:hAnsi="Arial"/>
                <w:sz w:val="12"/>
                <w:szCs w:val="12"/>
                <w:color w:val="auto"/>
              </w:rPr>
              <w:t>(1)</w:t>
            </w:r>
          </w:p>
        </w:tc>
        <w:tc>
          <w:tcPr>
            <w:tcW w:w="4200" w:type="dxa"/>
            <w:vAlign w:val="bottom"/>
            <w:gridSpan w:val="2"/>
          </w:tcPr>
          <w:p>
            <w:pPr>
              <w:ind w:left="100"/>
              <w:spacing w:after="0" w:line="108" w:lineRule="exact"/>
              <w:rPr>
                <w:sz w:val="20"/>
                <w:szCs w:val="20"/>
                <w:color w:val="auto"/>
              </w:rPr>
            </w:pPr>
            <w:r>
              <w:rPr>
                <w:rFonts w:ascii="Arial" w:cs="Arial" w:eastAsia="Arial" w:hAnsi="Arial"/>
                <w:sz w:val="12"/>
                <w:szCs w:val="12"/>
                <w:color w:val="auto"/>
                <w:w w:val="90"/>
              </w:rPr>
              <w:t>Includes 11,112 shares of common stock that may be issued pursuant to outstanding</w:t>
            </w:r>
          </w:p>
        </w:tc>
        <w:tc>
          <w:tcPr>
            <w:tcW w:w="100" w:type="dxa"/>
            <w:vAlign w:val="bottom"/>
          </w:tcPr>
          <w:p>
            <w:pPr>
              <w:spacing w:after="0"/>
              <w:rPr>
                <w:sz w:val="9"/>
                <w:szCs w:val="9"/>
                <w:color w:val="auto"/>
              </w:rPr>
            </w:pPr>
          </w:p>
        </w:tc>
        <w:tc>
          <w:tcPr>
            <w:tcW w:w="1100" w:type="dxa"/>
            <w:vAlign w:val="bottom"/>
            <w:gridSpan w:val="2"/>
          </w:tcPr>
          <w:p>
            <w:pPr>
              <w:jc w:val="right"/>
              <w:spacing w:after="0" w:line="108" w:lineRule="exact"/>
              <w:rPr>
                <w:sz w:val="20"/>
                <w:szCs w:val="20"/>
                <w:color w:val="auto"/>
              </w:rPr>
            </w:pPr>
            <w:r>
              <w:rPr>
                <w:rFonts w:ascii="Arial" w:cs="Arial" w:eastAsia="Arial" w:hAnsi="Arial"/>
                <w:sz w:val="12"/>
                <w:szCs w:val="12"/>
                <w:color w:val="auto"/>
                <w:w w:val="98"/>
              </w:rPr>
              <w:t>restricted stock units</w:t>
            </w:r>
          </w:p>
        </w:tc>
        <w:tc>
          <w:tcPr>
            <w:tcW w:w="100" w:type="dxa"/>
            <w:vAlign w:val="bottom"/>
          </w:tcPr>
          <w:p>
            <w:pPr>
              <w:spacing w:after="0"/>
              <w:rPr>
                <w:sz w:val="9"/>
                <w:szCs w:val="9"/>
                <w:color w:val="auto"/>
              </w:rPr>
            </w:pPr>
          </w:p>
        </w:tc>
        <w:tc>
          <w:tcPr>
            <w:tcW w:w="2860" w:type="dxa"/>
            <w:vAlign w:val="bottom"/>
            <w:gridSpan w:val="2"/>
          </w:tcPr>
          <w:p>
            <w:pPr>
              <w:jc w:val="right"/>
              <w:spacing w:after="0" w:line="108" w:lineRule="exact"/>
              <w:rPr>
                <w:sz w:val="20"/>
                <w:szCs w:val="20"/>
                <w:color w:val="auto"/>
              </w:rPr>
            </w:pPr>
            <w:r>
              <w:rPr>
                <w:rFonts w:ascii="Arial" w:cs="Arial" w:eastAsia="Arial" w:hAnsi="Arial"/>
                <w:sz w:val="12"/>
                <w:szCs w:val="12"/>
                <w:color w:val="auto"/>
                <w:w w:val="92"/>
              </w:rPr>
              <w:t>(“RSUs”) under the Tradeweb Markets Inc. 2019 Omnibus</w:t>
            </w:r>
          </w:p>
        </w:tc>
        <w:tc>
          <w:tcPr>
            <w:tcW w:w="140" w:type="dxa"/>
            <w:vAlign w:val="bottom"/>
          </w:tcPr>
          <w:p>
            <w:pPr>
              <w:spacing w:after="0"/>
              <w:rPr>
                <w:sz w:val="9"/>
                <w:szCs w:val="9"/>
                <w:color w:val="auto"/>
              </w:rPr>
            </w:pPr>
          </w:p>
        </w:tc>
      </w:tr>
      <w:tr>
        <w:trPr>
          <w:trHeight w:val="135"/>
        </w:trPr>
        <w:tc>
          <w:tcPr>
            <w:tcW w:w="560" w:type="dxa"/>
            <w:vAlign w:val="bottom"/>
          </w:tcPr>
          <w:p>
            <w:pPr>
              <w:spacing w:after="0"/>
              <w:rPr>
                <w:sz w:val="11"/>
                <w:szCs w:val="11"/>
                <w:color w:val="auto"/>
              </w:rPr>
            </w:pPr>
          </w:p>
        </w:tc>
        <w:tc>
          <w:tcPr>
            <w:tcW w:w="8500" w:type="dxa"/>
            <w:vAlign w:val="bottom"/>
            <w:gridSpan w:val="9"/>
          </w:tcPr>
          <w:p>
            <w:pPr>
              <w:ind w:left="100"/>
              <w:spacing w:after="0" w:line="135" w:lineRule="exact"/>
              <w:rPr>
                <w:sz w:val="20"/>
                <w:szCs w:val="20"/>
                <w:color w:val="auto"/>
              </w:rPr>
            </w:pPr>
            <w:r>
              <w:rPr>
                <w:rFonts w:ascii="Arial" w:cs="Arial" w:eastAsia="Arial" w:hAnsi="Arial"/>
                <w:sz w:val="13"/>
                <w:szCs w:val="13"/>
                <w:color w:val="auto"/>
                <w:w w:val="90"/>
              </w:rPr>
              <w:t>Equity Incentive Plan; 17,775,944 shares of common stock that may be issued pursuant to outstanding stock options under the Amended and Restated Tradeweb</w:t>
            </w:r>
          </w:p>
        </w:tc>
      </w:tr>
      <w:tr>
        <w:trPr>
          <w:trHeight w:val="135"/>
        </w:trPr>
        <w:tc>
          <w:tcPr>
            <w:tcW w:w="560" w:type="dxa"/>
            <w:vAlign w:val="bottom"/>
          </w:tcPr>
          <w:p>
            <w:pPr>
              <w:spacing w:after="0"/>
              <w:rPr>
                <w:sz w:val="11"/>
                <w:szCs w:val="11"/>
                <w:color w:val="auto"/>
              </w:rPr>
            </w:pPr>
          </w:p>
        </w:tc>
        <w:tc>
          <w:tcPr>
            <w:tcW w:w="8500" w:type="dxa"/>
            <w:vAlign w:val="bottom"/>
            <w:gridSpan w:val="9"/>
          </w:tcPr>
          <w:p>
            <w:pPr>
              <w:ind w:left="100"/>
              <w:spacing w:after="0" w:line="135" w:lineRule="exact"/>
              <w:rPr>
                <w:sz w:val="20"/>
                <w:szCs w:val="20"/>
                <w:color w:val="auto"/>
              </w:rPr>
            </w:pPr>
            <w:r>
              <w:rPr>
                <w:rFonts w:ascii="Arial" w:cs="Arial" w:eastAsia="Arial" w:hAnsi="Arial"/>
                <w:sz w:val="13"/>
                <w:szCs w:val="13"/>
                <w:color w:val="auto"/>
                <w:w w:val="89"/>
              </w:rPr>
              <w:t>Markets Inc. 2018 Share Option Plan; and 3,514,421 shares of common stock that may be issued pursuant to outstanding performance-based restricted share units</w:t>
            </w:r>
          </w:p>
        </w:tc>
      </w:tr>
      <w:tr>
        <w:trPr>
          <w:trHeight w:val="135"/>
        </w:trPr>
        <w:tc>
          <w:tcPr>
            <w:tcW w:w="560" w:type="dxa"/>
            <w:vAlign w:val="bottom"/>
          </w:tcPr>
          <w:p>
            <w:pPr>
              <w:spacing w:after="0"/>
              <w:rPr>
                <w:sz w:val="11"/>
                <w:szCs w:val="11"/>
                <w:color w:val="auto"/>
              </w:rPr>
            </w:pPr>
          </w:p>
        </w:tc>
        <w:tc>
          <w:tcPr>
            <w:tcW w:w="8500" w:type="dxa"/>
            <w:vAlign w:val="bottom"/>
            <w:gridSpan w:val="9"/>
          </w:tcPr>
          <w:p>
            <w:pPr>
              <w:ind w:left="100"/>
              <w:spacing w:after="0" w:line="135" w:lineRule="exact"/>
              <w:rPr>
                <w:sz w:val="20"/>
                <w:szCs w:val="20"/>
                <w:color w:val="auto"/>
              </w:rPr>
            </w:pPr>
            <w:r>
              <w:rPr>
                <w:rFonts w:ascii="Arial" w:cs="Arial" w:eastAsia="Arial" w:hAnsi="Arial"/>
                <w:sz w:val="13"/>
                <w:szCs w:val="13"/>
                <w:color w:val="auto"/>
                <w:w w:val="92"/>
              </w:rPr>
              <w:t>(“PRSUs”) under the Amended and Restated Tradeweb Markets Inc. PRSU Plan. The number of PRSUs set forth above includes 1,976,569 PRSUs for which</w:t>
            </w:r>
          </w:p>
        </w:tc>
      </w:tr>
      <w:tr>
        <w:trPr>
          <w:trHeight w:val="135"/>
        </w:trPr>
        <w:tc>
          <w:tcPr>
            <w:tcW w:w="560" w:type="dxa"/>
            <w:vAlign w:val="bottom"/>
          </w:tcPr>
          <w:p>
            <w:pPr>
              <w:spacing w:after="0"/>
              <w:rPr>
                <w:sz w:val="11"/>
                <w:szCs w:val="11"/>
                <w:color w:val="auto"/>
              </w:rPr>
            </w:pPr>
          </w:p>
        </w:tc>
        <w:tc>
          <w:tcPr>
            <w:tcW w:w="8500" w:type="dxa"/>
            <w:vAlign w:val="bottom"/>
            <w:gridSpan w:val="9"/>
          </w:tcPr>
          <w:p>
            <w:pPr>
              <w:ind w:left="100"/>
              <w:spacing w:after="0" w:line="135" w:lineRule="exact"/>
              <w:rPr>
                <w:sz w:val="20"/>
                <w:szCs w:val="20"/>
                <w:color w:val="auto"/>
              </w:rPr>
            </w:pPr>
            <w:r>
              <w:rPr>
                <w:rFonts w:ascii="Arial" w:cs="Arial" w:eastAsia="Arial" w:hAnsi="Arial"/>
                <w:sz w:val="13"/>
                <w:szCs w:val="13"/>
                <w:color w:val="auto"/>
                <w:w w:val="86"/>
              </w:rPr>
              <w:t>performance has already been measured but, as of December 31, 2019, remain subject to time-based vesting and 1,537,852 PRSUs for which performance has not yet</w:t>
            </w:r>
          </w:p>
        </w:tc>
      </w:tr>
      <w:tr>
        <w:trPr>
          <w:trHeight w:val="160"/>
        </w:trPr>
        <w:tc>
          <w:tcPr>
            <w:tcW w:w="560" w:type="dxa"/>
            <w:vAlign w:val="bottom"/>
          </w:tcPr>
          <w:p>
            <w:pPr>
              <w:spacing w:after="0"/>
              <w:rPr>
                <w:sz w:val="13"/>
                <w:szCs w:val="13"/>
                <w:color w:val="auto"/>
              </w:rPr>
            </w:pPr>
          </w:p>
        </w:tc>
        <w:tc>
          <w:tcPr>
            <w:tcW w:w="4960" w:type="dxa"/>
            <w:vAlign w:val="bottom"/>
            <w:gridSpan w:val="4"/>
          </w:tcPr>
          <w:p>
            <w:pPr>
              <w:ind w:left="100"/>
              <w:spacing w:after="0"/>
              <w:rPr>
                <w:sz w:val="20"/>
                <w:szCs w:val="20"/>
                <w:color w:val="auto"/>
              </w:rPr>
            </w:pPr>
            <w:r>
              <w:rPr>
                <w:rFonts w:ascii="Arial" w:cs="Arial" w:eastAsia="Arial" w:hAnsi="Arial"/>
                <w:sz w:val="13"/>
                <w:szCs w:val="13"/>
                <w:color w:val="auto"/>
                <w:w w:val="87"/>
              </w:rPr>
              <w:t>been measured and have been included for this purpose at the potential maximum payout level.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0"/>
        </w:trPr>
        <w:tc>
          <w:tcPr>
            <w:tcW w:w="560" w:type="dxa"/>
            <w:vAlign w:val="bottom"/>
          </w:tcPr>
          <w:p>
            <w:pPr>
              <w:ind w:left="320"/>
              <w:spacing w:after="0"/>
              <w:rPr>
                <w:sz w:val="20"/>
                <w:szCs w:val="20"/>
                <w:color w:val="auto"/>
              </w:rPr>
            </w:pPr>
            <w:r>
              <w:rPr>
                <w:rFonts w:ascii="Arial" w:cs="Arial" w:eastAsia="Arial" w:hAnsi="Arial"/>
                <w:sz w:val="13"/>
                <w:szCs w:val="13"/>
                <w:color w:val="auto"/>
              </w:rPr>
              <w:t>(2)</w:t>
            </w:r>
          </w:p>
        </w:tc>
        <w:tc>
          <w:tcPr>
            <w:tcW w:w="4960" w:type="dxa"/>
            <w:vAlign w:val="bottom"/>
            <w:gridSpan w:val="4"/>
          </w:tcPr>
          <w:p>
            <w:pPr>
              <w:ind w:left="100"/>
              <w:spacing w:after="0"/>
              <w:rPr>
                <w:sz w:val="20"/>
                <w:szCs w:val="20"/>
                <w:color w:val="auto"/>
              </w:rPr>
            </w:pPr>
            <w:r>
              <w:rPr>
                <w:rFonts w:ascii="Arial" w:cs="Arial" w:eastAsia="Arial" w:hAnsi="Arial"/>
                <w:sz w:val="13"/>
                <w:szCs w:val="13"/>
                <w:color w:val="auto"/>
                <w:w w:val="96"/>
              </w:rPr>
              <w:t>The weighted average exercise price does not take into account RSU or PRSU awards.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5"/>
        </w:trPr>
        <w:tc>
          <w:tcPr>
            <w:tcW w:w="560" w:type="dxa"/>
            <w:vAlign w:val="bottom"/>
          </w:tcPr>
          <w:p>
            <w:pPr>
              <w:ind w:left="320"/>
              <w:spacing w:after="0"/>
              <w:rPr>
                <w:sz w:val="20"/>
                <w:szCs w:val="20"/>
                <w:color w:val="auto"/>
              </w:rPr>
            </w:pPr>
            <w:r>
              <w:rPr>
                <w:rFonts w:ascii="Arial" w:cs="Arial" w:eastAsia="Arial" w:hAnsi="Arial"/>
                <w:sz w:val="13"/>
                <w:szCs w:val="13"/>
                <w:color w:val="auto"/>
              </w:rPr>
              <w:t>(3)</w:t>
            </w:r>
          </w:p>
        </w:tc>
        <w:tc>
          <w:tcPr>
            <w:tcW w:w="8500" w:type="dxa"/>
            <w:vAlign w:val="bottom"/>
            <w:gridSpan w:val="9"/>
          </w:tcPr>
          <w:p>
            <w:pPr>
              <w:ind w:left="100"/>
              <w:spacing w:after="0"/>
              <w:rPr>
                <w:sz w:val="20"/>
                <w:szCs w:val="20"/>
                <w:color w:val="auto"/>
              </w:rPr>
            </w:pPr>
            <w:r>
              <w:rPr>
                <w:rFonts w:ascii="Arial" w:cs="Arial" w:eastAsia="Arial" w:hAnsi="Arial"/>
                <w:sz w:val="13"/>
                <w:szCs w:val="13"/>
                <w:color w:val="auto"/>
                <w:w w:val="89"/>
              </w:rPr>
              <w:t>Includes 8,830,752 shares of common stock that remain available for issuance under the Tradeweb Markets Inc. 2019 Omnibus Equity Incentive Plan; and 481,622</w:t>
            </w:r>
          </w:p>
        </w:tc>
      </w:tr>
      <w:tr>
        <w:trPr>
          <w:trHeight w:val="135"/>
        </w:trPr>
        <w:tc>
          <w:tcPr>
            <w:tcW w:w="560" w:type="dxa"/>
            <w:vAlign w:val="bottom"/>
          </w:tcPr>
          <w:p>
            <w:pPr>
              <w:spacing w:after="0"/>
              <w:rPr>
                <w:sz w:val="11"/>
                <w:szCs w:val="11"/>
                <w:color w:val="auto"/>
              </w:rPr>
            </w:pPr>
          </w:p>
        </w:tc>
        <w:tc>
          <w:tcPr>
            <w:tcW w:w="8500" w:type="dxa"/>
            <w:vAlign w:val="bottom"/>
            <w:gridSpan w:val="9"/>
          </w:tcPr>
          <w:p>
            <w:pPr>
              <w:ind w:left="100"/>
              <w:spacing w:after="0" w:line="135" w:lineRule="exact"/>
              <w:rPr>
                <w:sz w:val="20"/>
                <w:szCs w:val="20"/>
                <w:color w:val="auto"/>
              </w:rPr>
            </w:pPr>
            <w:r>
              <w:rPr>
                <w:rFonts w:ascii="Arial" w:cs="Arial" w:eastAsia="Arial" w:hAnsi="Arial"/>
                <w:sz w:val="13"/>
                <w:szCs w:val="13"/>
                <w:color w:val="auto"/>
                <w:w w:val="89"/>
              </w:rPr>
              <w:t>shares of common stock that remain available for issuance under the Amended and Restated Tradeweb Markets Inc. 2018 Share Option Plan. As of December 31,</w:t>
            </w:r>
          </w:p>
        </w:tc>
      </w:tr>
      <w:tr>
        <w:trPr>
          <w:trHeight w:val="160"/>
        </w:trPr>
        <w:tc>
          <w:tcPr>
            <w:tcW w:w="560" w:type="dxa"/>
            <w:vAlign w:val="bottom"/>
          </w:tcPr>
          <w:p>
            <w:pPr>
              <w:spacing w:after="0"/>
              <w:rPr>
                <w:sz w:val="13"/>
                <w:szCs w:val="13"/>
                <w:color w:val="auto"/>
              </w:rPr>
            </w:pPr>
          </w:p>
        </w:tc>
        <w:tc>
          <w:tcPr>
            <w:tcW w:w="7060" w:type="dxa"/>
            <w:vAlign w:val="bottom"/>
            <w:gridSpan w:val="7"/>
          </w:tcPr>
          <w:p>
            <w:pPr>
              <w:ind w:left="100"/>
              <w:spacing w:after="0"/>
              <w:rPr>
                <w:sz w:val="20"/>
                <w:szCs w:val="20"/>
                <w:color w:val="auto"/>
              </w:rPr>
            </w:pPr>
            <w:r>
              <w:rPr>
                <w:rFonts w:ascii="Arial" w:cs="Arial" w:eastAsia="Arial" w:hAnsi="Arial"/>
                <w:sz w:val="13"/>
                <w:szCs w:val="13"/>
                <w:color w:val="auto"/>
                <w:w w:val="95"/>
              </w:rPr>
              <w:t>2019, no additional awards were permitted to be issued under the Amended and Restated Tradeweb Markets Inc. PRSU Plan.</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connection with the Reorganization Transactions, Tradeweb Markets Inc., among other things, issued an aggregate of 96,933,192 shares of Class B common stock to Refinitiv Parent Limited. In addition, in connection with the Reorganization Transactions, Tradeweb Markets Inc. issued 20,000,000 shares of Class C common stock and 105,289,005 shares of Class D common stock to the Continuing LLC Owners. These equityholders also received 125,289,005 LLC Interests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are redeemable for newly issued shares of Class A common stock or Class B common stock on a one-for-one basis. For further information, see Note 1 –Organization and Note 11 – Stockholders’ Equity to our audited consolidated financial statements included elsewhere in this Annual Report on Form 10-K. The issuances of the Class B common stock, Class C common stock and Class D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The following graph shows a comparison from April 4, 2019 (the date our Class A common stock commenced trading on Nasdaq) through December 31, 2019 of the cumulative total return for (i) our Class A common stock, (ii) the S&amp;P 500 Index and (iii) the Dow Jones U.S. Financials Index. The graph assumes an initial investment of $100 in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Class A common stock and in each index on April 4, 2019, and that all dividends were reinvested. Historical stock price performance should not be relied upon as an indication of future stock price performance</w:t>
      </w: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117475</wp:posOffset>
            </wp:positionV>
            <wp:extent cx="4810760" cy="2400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1076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following table provides information regarding purchases of shares of our Class A common stock by us and our “affiliated purchasers” (as defined in Rule 10b-18(a)(3) under the Exchange Act) during the three months ended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Average Price</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and</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Paid Per Share</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and Programs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2019 - October 31, 2019</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November 1, 2019 - November 30, 2019</w:t>
            </w:r>
          </w:p>
        </w:tc>
        <w:tc>
          <w:tcPr>
            <w:tcW w:w="1180" w:type="dxa"/>
            <w:vAlign w:val="bottom"/>
          </w:tcPr>
          <w:p>
            <w:pPr>
              <w:jc w:val="right"/>
              <w:spacing w:after="0"/>
              <w:rPr>
                <w:sz w:val="20"/>
                <w:szCs w:val="20"/>
                <w:color w:val="auto"/>
              </w:rPr>
            </w:pPr>
            <w:r>
              <w:rPr>
                <w:rFonts w:ascii="Arial" w:cs="Arial" w:eastAsia="Arial" w:hAnsi="Arial"/>
                <w:sz w:val="18"/>
                <w:szCs w:val="18"/>
                <w:color w:val="auto"/>
              </w:rPr>
              <w:t>17,476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2019 -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0" w:hanging="333"/>
        <w:spacing w:after="0" w:line="264" w:lineRule="auto"/>
        <w:tabs>
          <w:tab w:leader="none" w:pos="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used a portion of the net proceeds that we received from the October 2019 follow-on offering to purchase 45,393 shares of Class A common stock from certain of our executive officers (and canceled such shares of Class A common stock), at a purchase price per share equal to the public offering price per share of our Class A common stock, less the underwriting discounts and commissions payable thereon.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following tables present selected historical consolidated financial and other data for the periods indicated below. Tradeweb Markets LLC is the predecessor of the registrant,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selected consolidated statement of income data for the year ended December 31, 2019, the 2018 Successor Period, the 2018 Predecessor Period and the year ended December 31, 2017 and the selected consolidated statement of financial condition data as of December 31, 2019 and 2018 are derived from our audited consolidated financial statements included elsewhere in this Annual Report on Form 10-K. The selected consolidated statement of income data for the year ended December 31, 2016 and the selected consolidated statement of financial condition data as of December 31, 2017 and 2016 are derived from the audited consolidated financial statements of Tradeweb Markets LLC not included elsewhere in this Annual Report on Form 10-K.</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As discussed elsewhere in this Annual Report on Form 10-K,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Part II, Item 7. – “Management’s Discussion and Analysis of Financial Condition and Results of Operations — Effects of Pushdown Accounting on our Financial Statements.”</w:t>
      </w:r>
    </w:p>
    <w:p>
      <w:pPr>
        <w:spacing w:after="0" w:line="16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Part II, Item 7. – “Management’s Discussion and Analysis of Financial Condition and Results of Operations” and our audited consolidated financial statements and related notes thereto appearing elsewhere in this Annual Report on Form 10-K.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6"/>
          </w:tcPr>
          <w:p>
            <w:pPr>
              <w:jc w:val="center"/>
              <w:spacing w:after="0"/>
              <w:rPr>
                <w:sz w:val="20"/>
                <w:szCs w:val="20"/>
                <w:color w:val="auto"/>
              </w:rPr>
            </w:pPr>
            <w:r>
              <w:rPr>
                <w:rFonts w:ascii="Arial" w:cs="Arial" w:eastAsia="Arial" w:hAnsi="Arial"/>
                <w:sz w:val="11"/>
                <w:szCs w:val="11"/>
                <w:b w:val="1"/>
                <w:bCs w:val="1"/>
                <w:color w:val="auto"/>
                <w:w w:val="90"/>
              </w:rPr>
              <w:t>Tradeweb Markets,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3"/>
              </w:rPr>
              <w:t>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1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Tradeweb Markets LLC</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left="107"/>
              <w:spacing w:after="0"/>
              <w:rPr>
                <w:sz w:val="20"/>
                <w:szCs w:val="20"/>
                <w:color w:val="auto"/>
              </w:rPr>
            </w:pPr>
            <w:r>
              <w:rPr>
                <w:rFonts w:ascii="Arial" w:cs="Arial" w:eastAsia="Arial" w:hAnsi="Arial"/>
                <w:sz w:val="11"/>
                <w:szCs w:val="11"/>
                <w:b w:val="1"/>
                <w:bCs w:val="1"/>
                <w:color w:val="auto"/>
                <w:w w:val="92"/>
              </w:rPr>
              <w:t>(Post-IPO)</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6"/>
          </w:tcPr>
          <w:p>
            <w:pPr>
              <w:jc w:val="center"/>
              <w:ind w:left="26"/>
              <w:spacing w:after="0"/>
              <w:rPr>
                <w:sz w:val="20"/>
                <w:szCs w:val="20"/>
                <w:color w:val="auto"/>
              </w:rPr>
            </w:pPr>
            <w:r>
              <w:rPr>
                <w:rFonts w:ascii="Arial" w:cs="Arial" w:eastAsia="Arial" w:hAnsi="Arial"/>
                <w:sz w:val="11"/>
                <w:szCs w:val="11"/>
                <w:b w:val="1"/>
                <w:bCs w:val="1"/>
                <w:color w:val="auto"/>
                <w:w w:val="96"/>
              </w:rPr>
              <w:t>(Pre-IPO)</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left="127"/>
              <w:spacing w:after="0"/>
              <w:rPr>
                <w:sz w:val="20"/>
                <w:szCs w:val="20"/>
                <w:color w:val="auto"/>
              </w:rPr>
            </w:pPr>
            <w:r>
              <w:rPr>
                <w:rFonts w:ascii="Arial" w:cs="Arial" w:eastAsia="Arial" w:hAnsi="Arial"/>
                <w:sz w:val="11"/>
                <w:szCs w:val="11"/>
                <w:b w:val="1"/>
                <w:bCs w:val="1"/>
                <w:color w:val="auto"/>
                <w:w w:val="78"/>
              </w:rPr>
              <w:t>Successor</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78"/>
              </w:rPr>
              <w:t>Successor</w:t>
            </w:r>
          </w:p>
        </w:tc>
        <w:tc>
          <w:tcPr>
            <w:tcW w:w="2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1"/>
                <w:szCs w:val="11"/>
                <w:b w:val="1"/>
                <w:bCs w:val="1"/>
                <w:color w:val="auto"/>
                <w:w w:val="84"/>
              </w:rPr>
              <w:t>Predecessor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left="107"/>
              <w:spacing w:after="0" w:line="102" w:lineRule="exact"/>
              <w:rPr>
                <w:sz w:val="20"/>
                <w:szCs w:val="20"/>
                <w:color w:val="auto"/>
              </w:rPr>
            </w:pPr>
            <w:r>
              <w:rPr>
                <w:rFonts w:ascii="Arial" w:cs="Arial" w:eastAsia="Arial" w:hAnsi="Arial"/>
                <w:sz w:val="11"/>
                <w:szCs w:val="11"/>
                <w:b w:val="1"/>
                <w:bCs w:val="1"/>
                <w:color w:val="auto"/>
                <w:w w:val="89"/>
              </w:rPr>
              <w:t>Year Ended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5"/>
          </w:tcPr>
          <w:p>
            <w:pPr>
              <w:jc w:val="center"/>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gridSpan w:val="5"/>
          </w:tcPr>
          <w:p>
            <w:pPr>
              <w:jc w:val="center"/>
              <w:ind w:right="60"/>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right="200"/>
              <w:spacing w:after="0" w:line="102" w:lineRule="exact"/>
              <w:rPr>
                <w:sz w:val="20"/>
                <w:szCs w:val="20"/>
                <w:color w:val="auto"/>
              </w:rPr>
            </w:pPr>
            <w:r>
              <w:rPr>
                <w:rFonts w:ascii="Arial" w:cs="Arial" w:eastAsia="Arial" w:hAnsi="Arial"/>
                <w:sz w:val="11"/>
                <w:szCs w:val="11"/>
                <w:b w:val="1"/>
                <w:bCs w:val="1"/>
                <w:color w:val="auto"/>
                <w:w w:val="89"/>
              </w:rPr>
              <w:t>Year Ended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89"/>
              </w:rPr>
              <w:t>Year Ended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September 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Statement of Income Data:</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left="107"/>
              <w:spacing w:after="0"/>
              <w:rPr>
                <w:sz w:val="20"/>
                <w:szCs w:val="20"/>
                <w:color w:val="auto"/>
              </w:rPr>
            </w:pPr>
            <w:r>
              <w:rPr>
                <w:rFonts w:ascii="Arial" w:cs="Arial" w:eastAsia="Arial" w:hAnsi="Arial"/>
                <w:sz w:val="11"/>
                <w:szCs w:val="11"/>
                <w:b w:val="1"/>
                <w:bCs w:val="1"/>
                <w:color w:val="auto"/>
                <w:w w:val="89"/>
              </w:rPr>
              <w:t>2019</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center"/>
              <w:ind w:right="286"/>
              <w:spacing w:after="0"/>
              <w:rPr>
                <w:sz w:val="20"/>
                <w:szCs w:val="20"/>
                <w:color w:val="auto"/>
              </w:rPr>
            </w:pPr>
            <w:r>
              <w:rPr>
                <w:rFonts w:ascii="Arial" w:cs="Arial" w:eastAsia="Arial" w:hAnsi="Arial"/>
                <w:sz w:val="11"/>
                <w:szCs w:val="11"/>
                <w:b w:val="1"/>
                <w:bCs w:val="1"/>
                <w:color w:val="auto"/>
                <w:w w:val="81"/>
              </w:rPr>
              <w:t>2018</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81"/>
              </w:rPr>
              <w:t>2018</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9"/>
              </w:rPr>
              <w:t>2016</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19"/>
          </w:tcPr>
          <w:p>
            <w:pPr>
              <w:jc w:val="right"/>
              <w:ind w:right="440"/>
              <w:spacing w:after="0" w:line="115" w:lineRule="exact"/>
              <w:rPr>
                <w:sz w:val="20"/>
                <w:szCs w:val="20"/>
                <w:color w:val="auto"/>
              </w:rPr>
            </w:pPr>
            <w:r>
              <w:rPr>
                <w:rFonts w:ascii="Arial" w:cs="Arial" w:eastAsia="Arial" w:hAnsi="Arial"/>
                <w:sz w:val="11"/>
                <w:szCs w:val="11"/>
                <w:b w:val="1"/>
                <w:bCs w:val="1"/>
                <w:color w:val="auto"/>
                <w:w w:val="91"/>
              </w:rPr>
              <w:t>(in thousands, except share and per share amounts)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Revenues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0" w:type="dxa"/>
            <w:vAlign w:val="bottom"/>
            <w:gridSpan w:val="2"/>
          </w:tcPr>
          <w:p>
            <w:pPr>
              <w:ind w:left="100"/>
              <w:spacing w:after="0" w:line="96" w:lineRule="exact"/>
              <w:rPr>
                <w:sz w:val="20"/>
                <w:szCs w:val="20"/>
                <w:color w:val="auto"/>
              </w:rPr>
            </w:pPr>
            <w:r>
              <w:rPr>
                <w:rFonts w:ascii="Arial" w:cs="Arial" w:eastAsia="Arial" w:hAnsi="Arial"/>
                <w:sz w:val="11"/>
                <w:szCs w:val="11"/>
                <w:color w:val="auto"/>
              </w:rPr>
              <w:t>Transaction fees</w:t>
            </w:r>
          </w:p>
        </w:tc>
        <w:tc>
          <w:tcPr>
            <w:tcW w:w="220" w:type="dxa"/>
            <w:vAlign w:val="bottom"/>
            <w:gridSpan w:val="2"/>
          </w:tcPr>
          <w:p>
            <w:pPr>
              <w:ind w:left="180"/>
              <w:spacing w:after="0"/>
              <w:rPr>
                <w:sz w:val="20"/>
                <w:szCs w:val="20"/>
                <w:color w:val="auto"/>
              </w:rPr>
            </w:pPr>
            <w:r>
              <w:rPr>
                <w:rFonts w:ascii="Arial" w:cs="Arial" w:eastAsia="Arial" w:hAnsi="Arial"/>
                <w:sz w:val="5"/>
                <w:szCs w:val="5"/>
                <w:color w:val="auto"/>
                <w:w w:val="70"/>
              </w:rPr>
              <w:t>$</w:t>
            </w:r>
          </w:p>
        </w:tc>
        <w:tc>
          <w:tcPr>
            <w:tcW w:w="900" w:type="dxa"/>
            <w:vAlign w:val="bottom"/>
            <w:gridSpan w:val="4"/>
          </w:tcPr>
          <w:p>
            <w:pPr>
              <w:jc w:val="right"/>
              <w:spacing w:after="0" w:line="96" w:lineRule="exact"/>
              <w:rPr>
                <w:sz w:val="20"/>
                <w:szCs w:val="20"/>
                <w:color w:val="auto"/>
              </w:rPr>
            </w:pPr>
            <w:r>
              <w:rPr>
                <w:rFonts w:ascii="Arial" w:cs="Arial" w:eastAsia="Arial" w:hAnsi="Arial"/>
                <w:sz w:val="11"/>
                <w:szCs w:val="11"/>
                <w:color w:val="auto"/>
              </w:rPr>
              <w:t>423,583</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ind w:right="269"/>
              <w:spacing w:after="0" w:line="96" w:lineRule="exact"/>
              <w:rPr>
                <w:sz w:val="20"/>
                <w:szCs w:val="20"/>
                <w:color w:val="auto"/>
              </w:rPr>
            </w:pPr>
            <w:r>
              <w:rPr>
                <w:rFonts w:ascii="Arial" w:cs="Arial" w:eastAsia="Arial" w:hAnsi="Arial"/>
                <w:sz w:val="11"/>
                <w:szCs w:val="11"/>
                <w:color w:val="auto"/>
              </w:rPr>
              <w:t>$</w:t>
            </w:r>
          </w:p>
        </w:tc>
        <w:tc>
          <w:tcPr>
            <w:tcW w:w="620" w:type="dxa"/>
            <w:vAlign w:val="bottom"/>
            <w:gridSpan w:val="4"/>
          </w:tcPr>
          <w:p>
            <w:pPr>
              <w:jc w:val="right"/>
              <w:spacing w:after="0" w:line="96" w:lineRule="exact"/>
              <w:rPr>
                <w:sz w:val="20"/>
                <w:szCs w:val="20"/>
                <w:color w:val="auto"/>
              </w:rPr>
            </w:pPr>
            <w:r>
              <w:rPr>
                <w:rFonts w:ascii="Arial" w:cs="Arial" w:eastAsia="Arial" w:hAnsi="Arial"/>
                <w:sz w:val="11"/>
                <w:szCs w:val="11"/>
                <w:color w:val="auto"/>
              </w:rPr>
              <w:t>97,130</w:t>
            </w:r>
          </w:p>
        </w:tc>
        <w:tc>
          <w:tcPr>
            <w:tcW w:w="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0" w:type="dxa"/>
            <w:vAlign w:val="bottom"/>
            <w:gridSpan w:val="2"/>
          </w:tcPr>
          <w:p>
            <w:pPr>
              <w:jc w:val="right"/>
              <w:ind w:right="26"/>
              <w:spacing w:after="0" w:line="97" w:lineRule="exact"/>
              <w:rPr>
                <w:sz w:val="20"/>
                <w:szCs w:val="20"/>
                <w:color w:val="auto"/>
              </w:rPr>
            </w:pPr>
            <w:r>
              <w:rPr>
                <w:rFonts w:ascii="Arial" w:cs="Arial" w:eastAsia="Arial" w:hAnsi="Arial"/>
                <w:sz w:val="10"/>
                <w:szCs w:val="10"/>
                <w:color w:val="auto"/>
                <w:w w:val="71"/>
              </w:rPr>
              <w:t>$</w:t>
            </w:r>
          </w:p>
        </w:tc>
        <w:tc>
          <w:tcPr>
            <w:tcW w:w="480" w:type="dxa"/>
            <w:vAlign w:val="bottom"/>
          </w:tcPr>
          <w:p>
            <w:pPr>
              <w:spacing w:after="0"/>
              <w:rPr>
                <w:sz w:val="8"/>
                <w:szCs w:val="8"/>
                <w:color w:val="auto"/>
              </w:rPr>
            </w:pPr>
          </w:p>
        </w:tc>
        <w:tc>
          <w:tcPr>
            <w:tcW w:w="400" w:type="dxa"/>
            <w:vAlign w:val="bottom"/>
            <w:gridSpan w:val="3"/>
          </w:tcPr>
          <w:p>
            <w:pPr>
              <w:jc w:val="right"/>
              <w:ind w:right="40"/>
              <w:spacing w:after="0" w:line="96" w:lineRule="exact"/>
              <w:rPr>
                <w:sz w:val="20"/>
                <w:szCs w:val="20"/>
                <w:color w:val="auto"/>
              </w:rPr>
            </w:pPr>
            <w:r>
              <w:rPr>
                <w:rFonts w:ascii="Arial" w:cs="Arial" w:eastAsia="Arial" w:hAnsi="Arial"/>
                <w:sz w:val="11"/>
                <w:szCs w:val="11"/>
                <w:color w:val="auto"/>
                <w:w w:val="85"/>
              </w:rPr>
              <w:t>273,751</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20"/>
              <w:spacing w:after="0" w:line="96" w:lineRule="exact"/>
              <w:rPr>
                <w:sz w:val="20"/>
                <w:szCs w:val="20"/>
                <w:color w:val="auto"/>
              </w:rPr>
            </w:pPr>
            <w:r>
              <w:rPr>
                <w:rFonts w:ascii="Arial" w:cs="Arial" w:eastAsia="Arial" w:hAnsi="Arial"/>
                <w:sz w:val="11"/>
                <w:szCs w:val="11"/>
                <w:color w:val="auto"/>
              </w:rPr>
              <w:t>267,020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jc w:val="right"/>
              <w:spacing w:after="0" w:line="9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1"/>
                <w:szCs w:val="11"/>
                <w:color w:val="auto"/>
              </w:rPr>
              <w:t>230,171</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 xml:space="preserve">Subscription fees </w:t>
            </w:r>
            <w:r>
              <w:rPr>
                <w:rFonts w:ascii="Arial" w:cs="Arial" w:eastAsia="Arial" w:hAnsi="Arial"/>
                <w:sz w:val="11"/>
                <w:szCs w:val="11"/>
                <w:color w:val="auto"/>
                <w:vertAlign w:val="superscript"/>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194,366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jc w:val="right"/>
              <w:spacing w:after="0"/>
              <w:rPr>
                <w:sz w:val="20"/>
                <w:szCs w:val="20"/>
                <w:color w:val="auto"/>
              </w:rPr>
            </w:pPr>
            <w:r>
              <w:rPr>
                <w:rFonts w:ascii="Arial" w:cs="Arial" w:eastAsia="Arial" w:hAnsi="Arial"/>
                <w:sz w:val="11"/>
                <w:szCs w:val="11"/>
                <w:color w:val="auto"/>
              </w:rPr>
              <w:t>46,519</w:t>
            </w:r>
          </w:p>
        </w:tc>
        <w:tc>
          <w:tcPr>
            <w:tcW w:w="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w w:val="85"/>
              </w:rPr>
              <w:t>143,981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194,534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191,983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Commissions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149,365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jc w:val="right"/>
              <w:spacing w:after="0"/>
              <w:rPr>
                <w:sz w:val="20"/>
                <w:szCs w:val="20"/>
                <w:color w:val="auto"/>
              </w:rPr>
            </w:pPr>
            <w:r>
              <w:rPr>
                <w:rFonts w:ascii="Arial" w:cs="Arial" w:eastAsia="Arial" w:hAnsi="Arial"/>
                <w:sz w:val="11"/>
                <w:szCs w:val="11"/>
                <w:color w:val="auto"/>
              </w:rPr>
              <w:t>32,840</w:t>
            </w:r>
          </w:p>
        </w:tc>
        <w:tc>
          <w:tcPr>
            <w:tcW w:w="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79,830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96,745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91,663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Other</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8,252</w:t>
            </w: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2,148</w:t>
            </w:r>
          </w:p>
        </w:tc>
        <w:tc>
          <w:tcPr>
            <w:tcW w:w="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8,209</w:t>
            </w:r>
          </w:p>
        </w:tc>
        <w:tc>
          <w:tcPr>
            <w:tcW w:w="12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4,669</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4,587</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000" w:type="dxa"/>
            <w:vAlign w:val="bottom"/>
            <w:gridSpan w:val="2"/>
          </w:tcPr>
          <w:p>
            <w:pPr>
              <w:ind w:left="200"/>
              <w:spacing w:after="0" w:line="90" w:lineRule="exact"/>
              <w:rPr>
                <w:sz w:val="20"/>
                <w:szCs w:val="20"/>
                <w:color w:val="auto"/>
              </w:rPr>
            </w:pPr>
            <w:r>
              <w:rPr>
                <w:rFonts w:ascii="Arial" w:cs="Arial" w:eastAsia="Arial" w:hAnsi="Arial"/>
                <w:sz w:val="10"/>
                <w:szCs w:val="10"/>
                <w:b w:val="1"/>
                <w:bCs w:val="1"/>
                <w:color w:val="auto"/>
              </w:rPr>
              <w:t>Gross revenue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4"/>
          </w:tcPr>
          <w:p>
            <w:pPr>
              <w:jc w:val="right"/>
              <w:spacing w:after="0" w:line="90" w:lineRule="exact"/>
              <w:rPr>
                <w:sz w:val="20"/>
                <w:szCs w:val="20"/>
                <w:color w:val="auto"/>
              </w:rPr>
            </w:pPr>
            <w:r>
              <w:rPr>
                <w:rFonts w:ascii="Arial" w:cs="Arial" w:eastAsia="Arial" w:hAnsi="Arial"/>
                <w:sz w:val="10"/>
                <w:szCs w:val="10"/>
                <w:b w:val="1"/>
                <w:bCs w:val="1"/>
                <w:color w:val="auto"/>
              </w:rPr>
              <w:t>775,566</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gridSpan w:val="4"/>
          </w:tcPr>
          <w:p>
            <w:pPr>
              <w:jc w:val="right"/>
              <w:spacing w:after="0" w:line="90" w:lineRule="exact"/>
              <w:rPr>
                <w:sz w:val="20"/>
                <w:szCs w:val="20"/>
                <w:color w:val="auto"/>
              </w:rPr>
            </w:pPr>
            <w:r>
              <w:rPr>
                <w:rFonts w:ascii="Arial" w:cs="Arial" w:eastAsia="Arial" w:hAnsi="Arial"/>
                <w:sz w:val="10"/>
                <w:szCs w:val="10"/>
                <w:b w:val="1"/>
                <w:bCs w:val="1"/>
                <w:color w:val="auto"/>
              </w:rPr>
              <w:t>178,637</w:t>
            </w:r>
          </w:p>
        </w:tc>
        <w:tc>
          <w:tcPr>
            <w:tcW w:w="2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gridSpan w:val="3"/>
          </w:tcPr>
          <w:p>
            <w:pPr>
              <w:jc w:val="right"/>
              <w:ind w:right="40"/>
              <w:spacing w:after="0" w:line="90" w:lineRule="exact"/>
              <w:rPr>
                <w:sz w:val="20"/>
                <w:szCs w:val="20"/>
                <w:color w:val="auto"/>
              </w:rPr>
            </w:pPr>
            <w:r>
              <w:rPr>
                <w:rFonts w:ascii="Arial" w:cs="Arial" w:eastAsia="Arial" w:hAnsi="Arial"/>
                <w:sz w:val="10"/>
                <w:szCs w:val="10"/>
                <w:b w:val="1"/>
                <w:bCs w:val="1"/>
                <w:color w:val="auto"/>
                <w:w w:val="93"/>
              </w:rPr>
              <w:t>505,771</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20"/>
              <w:spacing w:after="0" w:line="90" w:lineRule="exact"/>
              <w:rPr>
                <w:sz w:val="20"/>
                <w:szCs w:val="20"/>
                <w:color w:val="auto"/>
              </w:rPr>
            </w:pPr>
            <w:r>
              <w:rPr>
                <w:rFonts w:ascii="Arial" w:cs="Arial" w:eastAsia="Arial" w:hAnsi="Arial"/>
                <w:sz w:val="10"/>
                <w:szCs w:val="10"/>
                <w:b w:val="1"/>
                <w:bCs w:val="1"/>
                <w:color w:val="auto"/>
              </w:rPr>
              <w:t>562,968</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jc w:val="right"/>
              <w:spacing w:after="0" w:line="90" w:lineRule="exact"/>
              <w:rPr>
                <w:sz w:val="20"/>
                <w:szCs w:val="20"/>
                <w:color w:val="auto"/>
              </w:rPr>
            </w:pPr>
            <w:r>
              <w:rPr>
                <w:rFonts w:ascii="Arial" w:cs="Arial" w:eastAsia="Arial" w:hAnsi="Arial"/>
                <w:sz w:val="10"/>
                <w:szCs w:val="10"/>
                <w:b w:val="1"/>
                <w:bCs w:val="1"/>
                <w:color w:val="auto"/>
              </w:rPr>
              <w:t>518,404</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Contingent consideration</w:t>
            </w:r>
            <w:r>
              <w:rPr>
                <w:rFonts w:ascii="Arial" w:cs="Arial" w:eastAsia="Arial" w:hAnsi="Arial"/>
                <w:sz w:val="11"/>
                <w:szCs w:val="11"/>
                <w:color w:val="auto"/>
                <w:vertAlign w:val="superscript"/>
              </w:rPr>
              <w:t>(2)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2"/>
              </w:rPr>
              <w:t>(26,830)</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(58,520)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(26,224)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Borders>
              <w:bottom w:val="single" w:sz="8" w:color="CCEEFF"/>
            </w:tcBorders>
            <w:gridSpan w:val="2"/>
          </w:tcPr>
          <w:p>
            <w:pPr>
              <w:spacing w:after="0" w:line="113" w:lineRule="exact"/>
              <w:rPr>
                <w:sz w:val="20"/>
                <w:szCs w:val="20"/>
                <w:color w:val="auto"/>
              </w:rPr>
            </w:pPr>
            <w:r>
              <w:rPr>
                <w:rFonts w:ascii="Arial" w:cs="Arial" w:eastAsia="Arial" w:hAnsi="Arial"/>
                <w:sz w:val="11"/>
                <w:szCs w:val="11"/>
                <w:b w:val="1"/>
                <w:bCs w:val="1"/>
                <w:color w:val="auto"/>
              </w:rPr>
              <w:t>Net revenue</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rPr>
              <w:t>775,566</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rPr>
              <w:t>178,637</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CCEEFF"/>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w w:val="85"/>
              </w:rPr>
              <w:t>478,941</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20"/>
              <w:spacing w:after="0" w:line="122" w:lineRule="exact"/>
              <w:rPr>
                <w:sz w:val="20"/>
                <w:szCs w:val="20"/>
                <w:color w:val="auto"/>
              </w:rPr>
            </w:pPr>
            <w:r>
              <w:rPr>
                <w:rFonts w:ascii="Arial" w:cs="Arial" w:eastAsia="Arial" w:hAnsi="Arial"/>
                <w:sz w:val="11"/>
                <w:szCs w:val="11"/>
                <w:b w:val="1"/>
                <w:bCs w:val="1"/>
                <w:color w:val="auto"/>
              </w:rPr>
              <w:t>504,448</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492,180</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Expenses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Employee compensation and benefits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329,457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80,436</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w w:val="85"/>
              </w:rPr>
              <w:t>209,053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248,963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228,584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139,330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33,020</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48,808</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68,615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80,859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Technology and communications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39,285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9,907</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26,598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30,013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28,239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General and administrative</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34,960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11,837</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23,056</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33,973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27,392</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Professional fees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28,029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8,194</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20,360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19,351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18,158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Occupancy</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14,686</w:t>
            </w: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3,308</w:t>
            </w:r>
          </w:p>
        </w:tc>
        <w:tc>
          <w:tcPr>
            <w:tcW w:w="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10,732</w:t>
            </w:r>
          </w:p>
        </w:tc>
        <w:tc>
          <w:tcPr>
            <w:tcW w:w="12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14,441</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15,817</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bottom w:val="single" w:sz="8" w:color="CCEEFF"/>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Total expenses</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rPr>
              <w:t>585,747</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rPr>
              <w:t>146,702</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CCEEFF"/>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3"/>
          </w:tcPr>
          <w:p>
            <w:pPr>
              <w:jc w:val="right"/>
              <w:ind w:right="40"/>
              <w:spacing w:after="0" w:line="115" w:lineRule="exact"/>
              <w:rPr>
                <w:sz w:val="20"/>
                <w:szCs w:val="20"/>
                <w:color w:val="auto"/>
              </w:rPr>
            </w:pPr>
            <w:r>
              <w:rPr>
                <w:rFonts w:ascii="Arial" w:cs="Arial" w:eastAsia="Arial" w:hAnsi="Arial"/>
                <w:sz w:val="11"/>
                <w:szCs w:val="11"/>
                <w:color w:val="auto"/>
                <w:w w:val="85"/>
              </w:rPr>
              <w:t>338,607</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color w:val="auto"/>
              </w:rPr>
              <w:t>415,356</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399,049</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Operating income</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189,819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31,935</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w w:val="85"/>
              </w:rPr>
              <w:t>140,334</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b w:val="1"/>
                <w:bCs w:val="1"/>
                <w:color w:val="auto"/>
              </w:rPr>
              <w:t>89,092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93,131</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Tax receivable agreement liability adjustment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33,134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Net interest income</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2,373</w:t>
            </w: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787</w:t>
            </w:r>
          </w:p>
        </w:tc>
        <w:tc>
          <w:tcPr>
            <w:tcW w:w="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1,726</w:t>
            </w:r>
          </w:p>
        </w:tc>
        <w:tc>
          <w:tcPr>
            <w:tcW w:w="12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685</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(695)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Income before taxes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15" w:lineRule="exact"/>
              <w:rPr>
                <w:sz w:val="20"/>
                <w:szCs w:val="20"/>
                <w:color w:val="auto"/>
              </w:rPr>
            </w:pPr>
            <w:r>
              <w:rPr>
                <w:rFonts w:ascii="Arial" w:cs="Arial" w:eastAsia="Arial" w:hAnsi="Arial"/>
                <w:sz w:val="11"/>
                <w:szCs w:val="11"/>
                <w:b w:val="1"/>
                <w:bCs w:val="1"/>
                <w:color w:val="auto"/>
              </w:rPr>
              <w:t>225,326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4"/>
          </w:tcPr>
          <w:p>
            <w:pPr>
              <w:jc w:val="right"/>
              <w:spacing w:after="0" w:line="115" w:lineRule="exact"/>
              <w:rPr>
                <w:sz w:val="20"/>
                <w:szCs w:val="20"/>
                <w:color w:val="auto"/>
              </w:rPr>
            </w:pPr>
            <w:r>
              <w:rPr>
                <w:rFonts w:ascii="Arial" w:cs="Arial" w:eastAsia="Arial" w:hAnsi="Arial"/>
                <w:sz w:val="11"/>
                <w:szCs w:val="11"/>
                <w:b w:val="1"/>
                <w:bCs w:val="1"/>
                <w:color w:val="auto"/>
              </w:rPr>
              <w:t>32,722</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3"/>
          </w:tcPr>
          <w:p>
            <w:pPr>
              <w:jc w:val="right"/>
              <w:ind w:right="40"/>
              <w:spacing w:after="0" w:line="115" w:lineRule="exact"/>
              <w:rPr>
                <w:sz w:val="20"/>
                <w:szCs w:val="20"/>
                <w:color w:val="auto"/>
              </w:rPr>
            </w:pPr>
            <w:r>
              <w:rPr>
                <w:rFonts w:ascii="Arial" w:cs="Arial" w:eastAsia="Arial" w:hAnsi="Arial"/>
                <w:sz w:val="11"/>
                <w:szCs w:val="11"/>
                <w:b w:val="1"/>
                <w:bCs w:val="1"/>
                <w:color w:val="auto"/>
                <w:w w:val="85"/>
              </w:rPr>
              <w:t>142,060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15" w:lineRule="exact"/>
              <w:rPr>
                <w:sz w:val="20"/>
                <w:szCs w:val="20"/>
                <w:color w:val="auto"/>
              </w:rPr>
            </w:pPr>
            <w:r>
              <w:rPr>
                <w:rFonts w:ascii="Arial" w:cs="Arial" w:eastAsia="Arial" w:hAnsi="Arial"/>
                <w:sz w:val="11"/>
                <w:szCs w:val="11"/>
                <w:b w:val="1"/>
                <w:bCs w:val="1"/>
                <w:color w:val="auto"/>
              </w:rPr>
              <w:t>89,777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92,436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Provision for income taxes</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(52,302)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(3,415)</w:t>
            </w: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2"/>
              </w:rPr>
              <w:t>(11,900)</w:t>
            </w:r>
          </w:p>
        </w:tc>
        <w:tc>
          <w:tcPr>
            <w:tcW w:w="12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(6,129)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725</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ind w:left="4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CCEEFF"/>
            </w:tcBorders>
            <w:gridSpan w:val="4"/>
          </w:tcPr>
          <w:p>
            <w:pPr>
              <w:jc w:val="right"/>
              <w:spacing w:after="0" w:line="115" w:lineRule="exact"/>
              <w:rPr>
                <w:sz w:val="20"/>
                <w:szCs w:val="20"/>
                <w:color w:val="auto"/>
              </w:rPr>
            </w:pPr>
            <w:r>
              <w:rPr>
                <w:rFonts w:ascii="Arial" w:cs="Arial" w:eastAsia="Arial" w:hAnsi="Arial"/>
                <w:sz w:val="11"/>
                <w:szCs w:val="11"/>
                <w:b w:val="1"/>
                <w:bCs w:val="1"/>
                <w:color w:val="auto"/>
              </w:rPr>
              <w:t>173,024</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309"/>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1"/>
                <w:szCs w:val="11"/>
                <w:b w:val="1"/>
                <w:bCs w:val="1"/>
                <w:color w:val="auto"/>
              </w:rPr>
              <w:t>29,307</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CCEEFF"/>
              <w:right w:val="single" w:sz="8" w:color="auto"/>
            </w:tcBorders>
          </w:tcPr>
          <w:p>
            <w:pPr>
              <w:spacing w:after="0"/>
              <w:rPr>
                <w:sz w:val="10"/>
                <w:szCs w:val="10"/>
                <w:color w:val="auto"/>
              </w:rPr>
            </w:pPr>
          </w:p>
        </w:tc>
        <w:tc>
          <w:tcPr>
            <w:tcW w:w="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3"/>
          </w:tcPr>
          <w:p>
            <w:pPr>
              <w:jc w:val="right"/>
              <w:ind w:right="40"/>
              <w:spacing w:after="0" w:line="115" w:lineRule="exact"/>
              <w:rPr>
                <w:sz w:val="20"/>
                <w:szCs w:val="20"/>
                <w:color w:val="auto"/>
              </w:rPr>
            </w:pPr>
            <w:r>
              <w:rPr>
                <w:rFonts w:ascii="Arial" w:cs="Arial" w:eastAsia="Arial" w:hAnsi="Arial"/>
                <w:sz w:val="11"/>
                <w:szCs w:val="11"/>
                <w:b w:val="1"/>
                <w:bCs w:val="1"/>
                <w:color w:val="auto"/>
                <w:w w:val="85"/>
              </w:rPr>
              <w:t>130,160</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b w:val="1"/>
                <w:bCs w:val="1"/>
                <w:color w:val="auto"/>
              </w:rPr>
              <w:t>83,648</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93,161</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5"/>
              </w:rPr>
              <w:t>Less: Pre-IPO net income attributable to Tradeweb Markets LLC</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42,352</w:t>
            </w: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00" w:type="dxa"/>
            <w:vAlign w:val="bottom"/>
            <w:gridSpan w:val="2"/>
          </w:tcPr>
          <w:p>
            <w:pPr>
              <w:spacing w:after="0" w:line="92" w:lineRule="exact"/>
              <w:rPr>
                <w:sz w:val="20"/>
                <w:szCs w:val="20"/>
                <w:color w:val="auto"/>
              </w:rPr>
            </w:pPr>
            <w:r>
              <w:rPr>
                <w:rFonts w:ascii="Arial" w:cs="Arial" w:eastAsia="Arial" w:hAnsi="Arial"/>
                <w:sz w:val="10"/>
                <w:szCs w:val="10"/>
                <w:color w:val="auto"/>
              </w:rPr>
              <w:t>Net income attributatble to Tradeweb Markets Inc. and non-</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020" w:type="dxa"/>
            <w:vAlign w:val="bottom"/>
            <w:gridSpan w:val="3"/>
          </w:tcPr>
          <w:p>
            <w:pPr>
              <w:spacing w:after="0"/>
              <w:rPr>
                <w:sz w:val="20"/>
                <w:szCs w:val="20"/>
                <w:color w:val="auto"/>
              </w:rPr>
            </w:pPr>
            <w:r>
              <w:rPr>
                <w:rFonts w:ascii="Arial" w:cs="Arial" w:eastAsia="Arial" w:hAnsi="Arial"/>
                <w:sz w:val="11"/>
                <w:szCs w:val="11"/>
                <w:color w:val="auto"/>
              </w:rPr>
              <w:t>controlling interests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130,672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Less: Net income attributable to non-controlling interests</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46,903</w:t>
            </w: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Net income attributable to Tradeweb Markets Inc.</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1"/>
                <w:szCs w:val="11"/>
                <w:b w:val="1"/>
                <w:bCs w:val="1"/>
                <w:color w:val="auto"/>
              </w:rPr>
              <w:t>83,769</w:t>
            </w:r>
          </w:p>
        </w:tc>
        <w:tc>
          <w:tcPr>
            <w:tcW w:w="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EPS calculations for pre-IPO and post-IPO periods </w:t>
            </w:r>
            <w:r>
              <w:rPr>
                <w:rFonts w:ascii="Arial" w:cs="Arial" w:eastAsia="Arial" w:hAnsi="Arial"/>
                <w:sz w:val="11"/>
                <w:szCs w:val="11"/>
                <w:b w:val="1"/>
                <w:bCs w:val="1"/>
                <w:color w:val="auto"/>
                <w:vertAlign w:val="superscript"/>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Basic</w:t>
            </w:r>
          </w:p>
        </w:tc>
        <w:tc>
          <w:tcPr>
            <w:tcW w:w="6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0.19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w w:val="90"/>
              </w:rPr>
              <w:t>(a)</w:t>
            </w:r>
          </w:p>
        </w:tc>
        <w:tc>
          <w:tcPr>
            <w:tcW w:w="60" w:type="dxa"/>
            <w:vAlign w:val="bottom"/>
            <w:vMerge w:val="restart"/>
            <w:shd w:val="clear" w:color="auto" w:fill="CCEEFF"/>
          </w:tcPr>
          <w:p>
            <w:pPr>
              <w:spacing w:after="0"/>
              <w:rPr>
                <w:sz w:val="12"/>
                <w:szCs w:val="12"/>
                <w:color w:val="auto"/>
              </w:rPr>
            </w:pPr>
          </w:p>
        </w:tc>
        <w:tc>
          <w:tcPr>
            <w:tcW w:w="400" w:type="dxa"/>
            <w:vAlign w:val="bottom"/>
            <w:vMerge w:val="restart"/>
            <w:shd w:val="clear" w:color="auto" w:fill="CCEEFF"/>
          </w:tcPr>
          <w:p>
            <w:pPr>
              <w:jc w:val="right"/>
              <w:ind w:right="269"/>
              <w:spacing w:after="0"/>
              <w:rPr>
                <w:sz w:val="20"/>
                <w:szCs w:val="20"/>
                <w:color w:val="auto"/>
              </w:rPr>
            </w:pPr>
            <w:r>
              <w:rPr>
                <w:rFonts w:ascii="Arial" w:cs="Arial" w:eastAsia="Arial" w:hAnsi="Arial"/>
                <w:sz w:val="11"/>
                <w:szCs w:val="11"/>
                <w:color w:val="auto"/>
                <w:w w:val="97"/>
              </w:rPr>
              <w:t>$</w:t>
            </w:r>
          </w:p>
        </w:tc>
        <w:tc>
          <w:tcPr>
            <w:tcW w:w="620" w:type="dxa"/>
            <w:vAlign w:val="bottom"/>
            <w:gridSpan w:val="4"/>
            <w:vMerge w:val="restart"/>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0.60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0.39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0.44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0.57</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75" w:lineRule="exact"/>
              <w:rPr>
                <w:sz w:val="20"/>
                <w:szCs w:val="20"/>
                <w:color w:val="auto"/>
              </w:rPr>
            </w:pPr>
            <w:r>
              <w:rPr>
                <w:rFonts w:ascii="Arial" w:cs="Arial" w:eastAsia="Arial" w:hAnsi="Arial"/>
                <w:sz w:val="8"/>
                <w:szCs w:val="8"/>
                <w:color w:val="auto"/>
              </w:rPr>
              <w:t>(b)</w:t>
            </w:r>
          </w:p>
        </w:tc>
        <w:tc>
          <w:tcPr>
            <w:tcW w:w="60" w:type="dxa"/>
            <w:vAlign w:val="bottom"/>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620" w:type="dxa"/>
            <w:vAlign w:val="bottom"/>
            <w:gridSpan w:val="4"/>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right w:val="single" w:sz="8" w:color="auto"/>
            </w:tcBorders>
            <w:shd w:val="clear" w:color="auto" w:fill="CCEEFF"/>
          </w:tcPr>
          <w:p>
            <w:pPr>
              <w:spacing w:after="0" w:line="75" w:lineRule="exact"/>
              <w:rPr>
                <w:sz w:val="20"/>
                <w:szCs w:val="20"/>
                <w:color w:val="auto"/>
              </w:rPr>
            </w:pPr>
            <w:r>
              <w:rPr>
                <w:rFonts w:ascii="Arial" w:cs="Arial" w:eastAsia="Arial" w:hAnsi="Arial"/>
                <w:sz w:val="8"/>
                <w:szCs w:val="8"/>
                <w:color w:val="auto"/>
              </w:rPr>
              <w:t>(a)</w:t>
            </w:r>
          </w:p>
        </w:tc>
        <w:tc>
          <w:tcPr>
            <w:tcW w:w="140" w:type="dxa"/>
            <w:vAlign w:val="bottom"/>
            <w:gridSpan w:val="2"/>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gridSpan w:val="3"/>
            <w:vMerge w:val="continue"/>
            <w:shd w:val="clear" w:color="auto" w:fill="CCEEFF"/>
          </w:tcPr>
          <w:p>
            <w:pPr>
              <w:spacing w:after="0"/>
              <w:rPr>
                <w:sz w:val="9"/>
                <w:szCs w:val="9"/>
                <w:color w:val="auto"/>
              </w:rPr>
            </w:pPr>
          </w:p>
        </w:tc>
        <w:tc>
          <w:tcPr>
            <w:tcW w:w="120" w:type="dxa"/>
            <w:vAlign w:val="bottom"/>
            <w:shd w:val="clear" w:color="auto" w:fill="CCEEFF"/>
          </w:tcPr>
          <w:p>
            <w:pPr>
              <w:jc w:val="center"/>
              <w:spacing w:after="0" w:line="75" w:lineRule="exact"/>
              <w:rPr>
                <w:sz w:val="20"/>
                <w:szCs w:val="20"/>
                <w:color w:val="auto"/>
              </w:rPr>
            </w:pPr>
            <w:r>
              <w:rPr>
                <w:rFonts w:ascii="Arial" w:cs="Arial" w:eastAsia="Arial" w:hAnsi="Arial"/>
                <w:sz w:val="8"/>
                <w:szCs w:val="8"/>
                <w:color w:val="auto"/>
              </w:rPr>
              <w:t>(a)</w:t>
            </w:r>
          </w:p>
        </w:tc>
        <w:tc>
          <w:tcPr>
            <w:tcW w:w="20" w:type="dxa"/>
            <w:vAlign w:val="bottom"/>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gridSpan w:val="3"/>
            <w:shd w:val="clear" w:color="auto" w:fill="CCEEFF"/>
          </w:tcPr>
          <w:p>
            <w:pPr>
              <w:jc w:val="center"/>
              <w:spacing w:after="0" w:line="75" w:lineRule="exact"/>
              <w:rPr>
                <w:sz w:val="20"/>
                <w:szCs w:val="20"/>
                <w:color w:val="auto"/>
              </w:rPr>
            </w:pPr>
            <w:r>
              <w:rPr>
                <w:rFonts w:ascii="Arial" w:cs="Arial" w:eastAsia="Arial" w:hAnsi="Arial"/>
                <w:sz w:val="8"/>
                <w:szCs w:val="8"/>
                <w:color w:val="auto"/>
              </w:rPr>
              <w:t>(a)</w:t>
            </w:r>
          </w:p>
        </w:tc>
        <w:tc>
          <w:tcPr>
            <w:tcW w:w="1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w w:val="81"/>
              </w:rPr>
              <w:t>(a)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tcBorders>
              <w:top w:val="single" w:sz="8" w:color="CCEEFF"/>
            </w:tcBorders>
            <w:gridSpan w:val="2"/>
          </w:tcPr>
          <w:p>
            <w:pPr>
              <w:ind w:left="100"/>
              <w:spacing w:after="0" w:line="116" w:lineRule="exact"/>
              <w:rPr>
                <w:sz w:val="20"/>
                <w:szCs w:val="20"/>
                <w:color w:val="auto"/>
              </w:rPr>
            </w:pPr>
            <w:r>
              <w:rPr>
                <w:rFonts w:ascii="Arial" w:cs="Arial" w:eastAsia="Arial" w:hAnsi="Arial"/>
                <w:sz w:val="11"/>
                <w:szCs w:val="11"/>
                <w:color w:val="auto"/>
              </w:rPr>
              <w:t>Diluted</w:t>
            </w:r>
          </w:p>
        </w:tc>
        <w:tc>
          <w:tcPr>
            <w:tcW w:w="140" w:type="dxa"/>
            <w:vAlign w:val="bottom"/>
            <w:tcBorders>
              <w:top w:val="single" w:sz="8" w:color="CCEEFF"/>
            </w:tcBorders>
            <w:vMerge w:val="restart"/>
          </w:tcPr>
          <w:p>
            <w:pPr>
              <w:spacing w:after="0"/>
              <w:rPr>
                <w:sz w:val="11"/>
                <w:szCs w:val="11"/>
                <w:color w:val="auto"/>
              </w:rPr>
            </w:pPr>
          </w:p>
        </w:tc>
        <w:tc>
          <w:tcPr>
            <w:tcW w:w="80" w:type="dxa"/>
            <w:vAlign w:val="bottom"/>
            <w:tcBorders>
              <w:top w:val="single" w:sz="8" w:color="auto"/>
            </w:tcBorders>
            <w:vMerge w:val="restart"/>
          </w:tcPr>
          <w:p>
            <w:pPr>
              <w:ind w:left="40"/>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color w:val="auto"/>
              </w:rPr>
              <w:t>0.19</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9"/>
                <w:szCs w:val="9"/>
                <w:color w:val="auto"/>
                <w:w w:val="90"/>
              </w:rPr>
              <w:t>(a)</w:t>
            </w:r>
          </w:p>
        </w:tc>
        <w:tc>
          <w:tcPr>
            <w:tcW w:w="60" w:type="dxa"/>
            <w:vAlign w:val="bottom"/>
            <w:tcBorders>
              <w:top w:val="single" w:sz="8" w:color="CCEEFF"/>
            </w:tcBorders>
            <w:vMerge w:val="restart"/>
          </w:tcPr>
          <w:p>
            <w:pPr>
              <w:spacing w:after="0"/>
              <w:rPr>
                <w:sz w:val="11"/>
                <w:szCs w:val="11"/>
                <w:color w:val="auto"/>
              </w:rPr>
            </w:pPr>
          </w:p>
        </w:tc>
        <w:tc>
          <w:tcPr>
            <w:tcW w:w="40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1"/>
                <w:szCs w:val="11"/>
                <w:color w:val="auto"/>
              </w:rPr>
              <w:t>0.13</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CCEEFF"/>
              <w:right w:val="single" w:sz="8" w:color="auto"/>
            </w:tcBorders>
          </w:tcPr>
          <w:p>
            <w:pPr>
              <w:spacing w:after="0"/>
              <w:rPr>
                <w:sz w:val="11"/>
                <w:szCs w:val="11"/>
                <w:color w:val="auto"/>
              </w:rPr>
            </w:pPr>
          </w:p>
        </w:tc>
        <w:tc>
          <w:tcPr>
            <w:tcW w:w="140" w:type="dxa"/>
            <w:vAlign w:val="bottom"/>
            <w:tcBorders>
              <w:top w:val="single" w:sz="8" w:color="auto"/>
            </w:tcBorders>
            <w:gridSpan w:val="2"/>
            <w:vMerge w:val="restart"/>
          </w:tcPr>
          <w:p>
            <w:pPr>
              <w:jc w:val="right"/>
              <w:ind w:right="26"/>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1"/>
                <w:szCs w:val="11"/>
                <w:color w:val="auto"/>
              </w:rPr>
              <w:t>0.60</w:t>
            </w: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1"/>
                <w:szCs w:val="11"/>
                <w:color w:val="auto"/>
              </w:rPr>
              <w:t>0.39</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vMerge w:val="restart"/>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0.44</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gridSpan w:val="2"/>
          </w:tcPr>
          <w:p>
            <w:pPr>
              <w:jc w:val="right"/>
              <w:spacing w:after="0" w:line="75" w:lineRule="exact"/>
              <w:rPr>
                <w:sz w:val="20"/>
                <w:szCs w:val="20"/>
                <w:color w:val="auto"/>
              </w:rPr>
            </w:pPr>
            <w:r>
              <w:rPr>
                <w:rFonts w:ascii="Arial" w:cs="Arial" w:eastAsia="Arial" w:hAnsi="Arial"/>
                <w:sz w:val="8"/>
                <w:szCs w:val="8"/>
                <w:color w:val="auto"/>
              </w:rPr>
              <w:t>0.54</w:t>
            </w:r>
          </w:p>
        </w:tc>
        <w:tc>
          <w:tcPr>
            <w:tcW w:w="40" w:type="dxa"/>
            <w:vAlign w:val="bottom"/>
          </w:tcPr>
          <w:p>
            <w:pPr>
              <w:spacing w:after="0"/>
              <w:rPr>
                <w:sz w:val="8"/>
                <w:szCs w:val="8"/>
                <w:color w:val="auto"/>
              </w:rPr>
            </w:pPr>
          </w:p>
        </w:tc>
        <w:tc>
          <w:tcPr>
            <w:tcW w:w="120" w:type="dxa"/>
            <w:vAlign w:val="bottom"/>
          </w:tcPr>
          <w:p>
            <w:pPr>
              <w:spacing w:after="0" w:line="75" w:lineRule="exact"/>
              <w:rPr>
                <w:sz w:val="20"/>
                <w:szCs w:val="20"/>
                <w:color w:val="auto"/>
              </w:rPr>
            </w:pPr>
            <w:r>
              <w:rPr>
                <w:rFonts w:ascii="Arial" w:cs="Arial" w:eastAsia="Arial" w:hAnsi="Arial"/>
                <w:sz w:val="8"/>
                <w:szCs w:val="8"/>
                <w:color w:val="auto"/>
              </w:rPr>
              <w:t>(b)</w:t>
            </w:r>
          </w:p>
        </w:tc>
        <w:tc>
          <w:tcPr>
            <w:tcW w:w="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20" w:type="dxa"/>
            <w:vAlign w:val="bottom"/>
            <w:gridSpan w:val="4"/>
            <w:vMerge w:val="continue"/>
          </w:tcPr>
          <w:p>
            <w:pPr>
              <w:spacing w:after="0"/>
              <w:rPr>
                <w:sz w:val="8"/>
                <w:szCs w:val="8"/>
                <w:color w:val="auto"/>
              </w:rPr>
            </w:pPr>
          </w:p>
        </w:tc>
        <w:tc>
          <w:tcPr>
            <w:tcW w:w="180" w:type="dxa"/>
            <w:vAlign w:val="bottom"/>
            <w:tcBorders>
              <w:right w:val="single" w:sz="8" w:color="auto"/>
            </w:tcBorders>
            <w:gridSpan w:val="2"/>
          </w:tcPr>
          <w:p>
            <w:pPr>
              <w:ind w:left="20"/>
              <w:spacing w:after="0" w:line="75" w:lineRule="exact"/>
              <w:rPr>
                <w:sz w:val="20"/>
                <w:szCs w:val="20"/>
                <w:color w:val="auto"/>
              </w:rPr>
            </w:pPr>
            <w:r>
              <w:rPr>
                <w:rFonts w:ascii="Arial" w:cs="Arial" w:eastAsia="Arial" w:hAnsi="Arial"/>
                <w:sz w:val="8"/>
                <w:szCs w:val="8"/>
                <w:color w:val="auto"/>
              </w:rPr>
              <w:t>(a)</w:t>
            </w:r>
          </w:p>
        </w:tc>
        <w:tc>
          <w:tcPr>
            <w:tcW w:w="1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140" w:type="dxa"/>
            <w:vAlign w:val="bottom"/>
            <w:gridSpan w:val="2"/>
          </w:tcPr>
          <w:p>
            <w:pPr>
              <w:jc w:val="center"/>
              <w:spacing w:after="0" w:line="75" w:lineRule="exact"/>
              <w:rPr>
                <w:sz w:val="20"/>
                <w:szCs w:val="20"/>
                <w:color w:val="auto"/>
              </w:rPr>
            </w:pPr>
            <w:r>
              <w:rPr>
                <w:rFonts w:ascii="Arial" w:cs="Arial" w:eastAsia="Arial" w:hAnsi="Arial"/>
                <w:sz w:val="8"/>
                <w:szCs w:val="8"/>
                <w:color w:val="auto"/>
              </w:rPr>
              <w:t>(a)</w:t>
            </w:r>
          </w:p>
        </w:tc>
        <w:tc>
          <w:tcPr>
            <w:tcW w:w="1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gridSpan w:val="3"/>
          </w:tcPr>
          <w:p>
            <w:pPr>
              <w:jc w:val="center"/>
              <w:spacing w:after="0" w:line="75" w:lineRule="exact"/>
              <w:rPr>
                <w:sz w:val="20"/>
                <w:szCs w:val="20"/>
                <w:color w:val="auto"/>
              </w:rPr>
            </w:pPr>
            <w:r>
              <w:rPr>
                <w:rFonts w:ascii="Arial" w:cs="Arial" w:eastAsia="Arial" w:hAnsi="Arial"/>
                <w:sz w:val="8"/>
                <w:szCs w:val="8"/>
                <w:color w:val="auto"/>
              </w:rPr>
              <w:t>(a)</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jc w:val="right"/>
              <w:spacing w:after="0" w:line="75" w:lineRule="exact"/>
              <w:rPr>
                <w:sz w:val="20"/>
                <w:szCs w:val="20"/>
                <w:color w:val="auto"/>
              </w:rPr>
            </w:pPr>
            <w:r>
              <w:rPr>
                <w:rFonts w:ascii="Arial" w:cs="Arial" w:eastAsia="Arial" w:hAnsi="Arial"/>
                <w:sz w:val="8"/>
                <w:szCs w:val="8"/>
                <w:color w:val="auto"/>
                <w:w w:val="81"/>
              </w:rPr>
              <w:t>(a)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Weighted average shares outstanding</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gridSpan w:val="2"/>
          </w:tcPr>
          <w:p>
            <w:pPr>
              <w:ind w:left="100"/>
              <w:spacing w:after="0" w:line="120" w:lineRule="exact"/>
              <w:rPr>
                <w:sz w:val="20"/>
                <w:szCs w:val="20"/>
                <w:color w:val="auto"/>
              </w:rPr>
            </w:pPr>
            <w:r>
              <w:rPr>
                <w:rFonts w:ascii="Arial" w:cs="Arial" w:eastAsia="Arial" w:hAnsi="Arial"/>
                <w:sz w:val="11"/>
                <w:szCs w:val="11"/>
                <w:color w:val="auto"/>
              </w:rPr>
              <w:t>Basic</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0" w:lineRule="exact"/>
              <w:rPr>
                <w:sz w:val="20"/>
                <w:szCs w:val="20"/>
                <w:color w:val="auto"/>
              </w:rPr>
            </w:pPr>
            <w:r>
              <w:rPr>
                <w:rFonts w:ascii="Arial" w:cs="Arial" w:eastAsia="Arial" w:hAnsi="Arial"/>
                <w:sz w:val="11"/>
                <w:szCs w:val="11"/>
                <w:color w:val="auto"/>
              </w:rPr>
              <w:t>222,222,197</w:t>
            </w:r>
          </w:p>
        </w:tc>
        <w:tc>
          <w:tcPr>
            <w:tcW w:w="40" w:type="dxa"/>
            <w:vAlign w:val="bottom"/>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9"/>
                <w:szCs w:val="9"/>
                <w:color w:val="auto"/>
                <w:w w:val="90"/>
              </w:rPr>
              <w:t>(a)</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3" w:lineRule="exact"/>
              <w:rPr>
                <w:sz w:val="20"/>
                <w:szCs w:val="20"/>
                <w:color w:val="auto"/>
              </w:rPr>
            </w:pPr>
            <w:r>
              <w:rPr>
                <w:rFonts w:ascii="Arial" w:cs="Arial" w:eastAsia="Arial" w:hAnsi="Arial"/>
                <w:sz w:val="11"/>
                <w:szCs w:val="11"/>
                <w:color w:val="auto"/>
              </w:rPr>
              <w:t>148,013,274</w:t>
            </w:r>
          </w:p>
        </w:tc>
        <w:tc>
          <w:tcPr>
            <w:tcW w:w="40" w:type="dxa"/>
            <w:vAlign w:val="bottom"/>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9"/>
                <w:szCs w:val="9"/>
                <w:color w:val="auto"/>
                <w:w w:val="90"/>
              </w:rPr>
              <w:t>(b)</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4"/>
          </w:tcPr>
          <w:p>
            <w:pPr>
              <w:jc w:val="right"/>
              <w:spacing w:after="0" w:line="123" w:lineRule="exact"/>
              <w:rPr>
                <w:sz w:val="20"/>
                <w:szCs w:val="20"/>
                <w:color w:val="auto"/>
              </w:rPr>
            </w:pPr>
            <w:r>
              <w:rPr>
                <w:rFonts w:ascii="Arial" w:cs="Arial" w:eastAsia="Arial" w:hAnsi="Arial"/>
                <w:sz w:val="11"/>
                <w:szCs w:val="11"/>
                <w:color w:val="auto"/>
                <w:w w:val="94"/>
              </w:rPr>
              <w:t>222,221,628</w:t>
            </w:r>
          </w:p>
        </w:tc>
        <w:tc>
          <w:tcPr>
            <w:tcW w:w="180" w:type="dxa"/>
            <w:vAlign w:val="bottom"/>
            <w:tcBorders>
              <w:right w:val="single" w:sz="8" w:color="auto"/>
            </w:tcBorders>
            <w:gridSpan w:val="2"/>
          </w:tcPr>
          <w:p>
            <w:pPr>
              <w:ind w:left="20"/>
              <w:spacing w:after="0"/>
              <w:rPr>
                <w:sz w:val="20"/>
                <w:szCs w:val="20"/>
                <w:color w:val="auto"/>
              </w:rPr>
            </w:pPr>
            <w:r>
              <w:rPr>
                <w:rFonts w:ascii="Arial" w:cs="Arial" w:eastAsia="Arial" w:hAnsi="Arial"/>
                <w:sz w:val="9"/>
                <w:szCs w:val="9"/>
                <w:color w:val="auto"/>
              </w:rPr>
              <w:t>(a)</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right"/>
              <w:ind w:right="40"/>
              <w:spacing w:after="0" w:line="123" w:lineRule="exact"/>
              <w:rPr>
                <w:sz w:val="20"/>
                <w:szCs w:val="20"/>
                <w:color w:val="auto"/>
              </w:rPr>
            </w:pPr>
            <w:r>
              <w:rPr>
                <w:rFonts w:ascii="Arial" w:cs="Arial" w:eastAsia="Arial" w:hAnsi="Arial"/>
                <w:sz w:val="11"/>
                <w:szCs w:val="11"/>
                <w:color w:val="auto"/>
              </w:rPr>
              <w:t>215,365,920</w:t>
            </w:r>
          </w:p>
        </w:tc>
        <w:tc>
          <w:tcPr>
            <w:tcW w:w="140" w:type="dxa"/>
            <w:vAlign w:val="bottom"/>
            <w:gridSpan w:val="2"/>
          </w:tcPr>
          <w:p>
            <w:pPr>
              <w:jc w:val="center"/>
              <w:spacing w:after="0"/>
              <w:rPr>
                <w:sz w:val="20"/>
                <w:szCs w:val="20"/>
                <w:color w:val="auto"/>
              </w:rPr>
            </w:pPr>
            <w:r>
              <w:rPr>
                <w:rFonts w:ascii="Arial" w:cs="Arial" w:eastAsia="Arial" w:hAnsi="Arial"/>
                <w:sz w:val="9"/>
                <w:szCs w:val="9"/>
                <w:color w:val="auto"/>
                <w:w w:val="90"/>
              </w:rPr>
              <w:t>(a)</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212,568,635</w:t>
            </w:r>
          </w:p>
        </w:tc>
        <w:tc>
          <w:tcPr>
            <w:tcW w:w="120" w:type="dxa"/>
            <w:vAlign w:val="bottom"/>
            <w:gridSpan w:val="3"/>
          </w:tcPr>
          <w:p>
            <w:pPr>
              <w:jc w:val="center"/>
              <w:spacing w:after="0"/>
              <w:rPr>
                <w:sz w:val="20"/>
                <w:szCs w:val="20"/>
                <w:color w:val="auto"/>
              </w:rPr>
            </w:pPr>
            <w:r>
              <w:rPr>
                <w:rFonts w:ascii="Arial" w:cs="Arial" w:eastAsia="Arial" w:hAnsi="Arial"/>
                <w:sz w:val="9"/>
                <w:szCs w:val="9"/>
                <w:color w:val="auto"/>
                <w:w w:val="90"/>
              </w:rPr>
              <w:t>(a)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210,979,704</w:t>
            </w:r>
          </w:p>
        </w:tc>
        <w:tc>
          <w:tcPr>
            <w:tcW w:w="2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2"/>
              </w:rPr>
              <w:t>(a)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gridSpan w:val="2"/>
            <w:shd w:val="clear" w:color="auto" w:fill="CCEEFF"/>
          </w:tcPr>
          <w:p>
            <w:pPr>
              <w:ind w:left="100"/>
              <w:spacing w:after="0" w:line="120" w:lineRule="exact"/>
              <w:rPr>
                <w:sz w:val="20"/>
                <w:szCs w:val="20"/>
                <w:color w:val="auto"/>
              </w:rPr>
            </w:pPr>
            <w:r>
              <w:rPr>
                <w:rFonts w:ascii="Arial" w:cs="Arial" w:eastAsia="Arial" w:hAnsi="Arial"/>
                <w:sz w:val="11"/>
                <w:szCs w:val="11"/>
                <w:color w:val="auto"/>
              </w:rPr>
              <w:t>Diluted</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right"/>
              <w:spacing w:after="0" w:line="120" w:lineRule="exact"/>
              <w:rPr>
                <w:sz w:val="20"/>
                <w:szCs w:val="20"/>
                <w:color w:val="auto"/>
              </w:rPr>
            </w:pPr>
            <w:r>
              <w:rPr>
                <w:rFonts w:ascii="Arial" w:cs="Arial" w:eastAsia="Arial" w:hAnsi="Arial"/>
                <w:sz w:val="11"/>
                <w:szCs w:val="11"/>
                <w:color w:val="auto"/>
              </w:rPr>
              <w:t>223,320,457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w w:val="90"/>
              </w:rPr>
              <w:t>(a)</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right"/>
              <w:spacing w:after="0" w:line="123" w:lineRule="exact"/>
              <w:rPr>
                <w:sz w:val="20"/>
                <w:szCs w:val="20"/>
                <w:color w:val="auto"/>
              </w:rPr>
            </w:pPr>
            <w:r>
              <w:rPr>
                <w:rFonts w:ascii="Arial" w:cs="Arial" w:eastAsia="Arial" w:hAnsi="Arial"/>
                <w:sz w:val="11"/>
                <w:szCs w:val="11"/>
                <w:color w:val="auto"/>
              </w:rPr>
              <w:t>156,540,246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w w:val="90"/>
              </w:rPr>
              <w:t>(b)</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gridSpan w:val="4"/>
            <w:shd w:val="clear" w:color="auto" w:fill="CCEEFF"/>
          </w:tcPr>
          <w:p>
            <w:pPr>
              <w:jc w:val="right"/>
              <w:spacing w:after="0" w:line="123" w:lineRule="exact"/>
              <w:rPr>
                <w:sz w:val="20"/>
                <w:szCs w:val="20"/>
                <w:color w:val="auto"/>
              </w:rPr>
            </w:pPr>
            <w:r>
              <w:rPr>
                <w:rFonts w:ascii="Arial" w:cs="Arial" w:eastAsia="Arial" w:hAnsi="Arial"/>
                <w:sz w:val="11"/>
                <w:szCs w:val="11"/>
                <w:color w:val="auto"/>
                <w:w w:val="94"/>
              </w:rPr>
              <w:t>222,243,851</w:t>
            </w:r>
          </w:p>
        </w:tc>
        <w:tc>
          <w:tcPr>
            <w:tcW w:w="1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9"/>
                <w:szCs w:val="9"/>
                <w:color w:val="auto"/>
              </w:rPr>
              <w:t>(a)</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4"/>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215,365,920</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0"/>
              </w:rPr>
              <w:t>(a)</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212,568,635</w:t>
            </w:r>
          </w:p>
        </w:tc>
        <w:tc>
          <w:tcPr>
            <w:tcW w:w="120" w:type="dxa"/>
            <w:vAlign w:val="bottom"/>
            <w:gridSpan w:val="3"/>
            <w:shd w:val="clear" w:color="auto" w:fill="CCEEFF"/>
          </w:tcPr>
          <w:p>
            <w:pPr>
              <w:jc w:val="center"/>
              <w:spacing w:after="0"/>
              <w:rPr>
                <w:sz w:val="20"/>
                <w:szCs w:val="20"/>
                <w:color w:val="auto"/>
              </w:rPr>
            </w:pPr>
            <w:r>
              <w:rPr>
                <w:rFonts w:ascii="Arial" w:cs="Arial" w:eastAsia="Arial" w:hAnsi="Arial"/>
                <w:sz w:val="9"/>
                <w:szCs w:val="9"/>
                <w:color w:val="auto"/>
                <w:w w:val="90"/>
              </w:rPr>
              <w:t>(a)</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210,979,704</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(a)</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00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Dividends per share</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3"/>
              </w:rPr>
              <w:t>0.24</w:t>
            </w:r>
          </w:p>
        </w:tc>
        <w:tc>
          <w:tcPr>
            <w:tcW w:w="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269"/>
              <w:spacing w:after="0" w:line="122" w:lineRule="exact"/>
              <w:rPr>
                <w:sz w:val="20"/>
                <w:szCs w:val="20"/>
                <w:color w:val="auto"/>
              </w:rPr>
            </w:pPr>
            <w:r>
              <w:rPr>
                <w:rFonts w:ascii="Arial" w:cs="Arial" w:eastAsia="Arial" w:hAnsi="Arial"/>
                <w:sz w:val="11"/>
                <w:szCs w:val="11"/>
                <w:color w:val="auto"/>
                <w:w w:val="97"/>
              </w:rPr>
              <w:t>$</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right w:val="single" w:sz="8" w:color="CCEEFF"/>
            </w:tcBorders>
            <w:shd w:val="clear" w:color="auto" w:fill="CCEEFF"/>
          </w:tcPr>
          <w:p>
            <w:pPr>
              <w:spacing w:after="0"/>
              <w:rPr>
                <w:sz w:val="11"/>
                <w:szCs w:val="11"/>
                <w:color w:val="auto"/>
              </w:rPr>
            </w:pPr>
          </w:p>
        </w:tc>
        <w:tc>
          <w:tcPr>
            <w:tcW w:w="260" w:type="dxa"/>
            <w:vAlign w:val="bottom"/>
            <w:tcBorders>
              <w:bottom w:val="single" w:sz="8" w:color="auto"/>
            </w:tcBorders>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7"/>
          </w:tcPr>
          <w:p>
            <w:pPr>
              <w:jc w:val="center"/>
              <w:spacing w:after="0"/>
              <w:rPr>
                <w:sz w:val="20"/>
                <w:szCs w:val="20"/>
                <w:color w:val="auto"/>
              </w:rPr>
            </w:pPr>
            <w:r>
              <w:rPr>
                <w:rFonts w:ascii="Arial" w:cs="Arial" w:eastAsia="Arial" w:hAnsi="Arial"/>
                <w:sz w:val="11"/>
                <w:szCs w:val="11"/>
                <w:b w:val="1"/>
                <w:bCs w:val="1"/>
                <w:color w:val="auto"/>
                <w:w w:val="92"/>
              </w:rPr>
              <w:t>Tradeweb Markets, In.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10"/>
          </w:tcPr>
          <w:p>
            <w:pPr>
              <w:jc w:val="right"/>
              <w:ind w:right="240"/>
              <w:spacing w:after="0"/>
              <w:rPr>
                <w:sz w:val="20"/>
                <w:szCs w:val="20"/>
                <w:color w:val="auto"/>
              </w:rPr>
            </w:pPr>
            <w:r>
              <w:rPr>
                <w:rFonts w:ascii="Arial" w:cs="Arial" w:eastAsia="Arial" w:hAnsi="Arial"/>
                <w:sz w:val="11"/>
                <w:szCs w:val="11"/>
                <w:b w:val="1"/>
                <w:bCs w:val="1"/>
                <w:color w:val="auto"/>
                <w:w w:val="96"/>
              </w:rPr>
              <w:t>Tradeweb Markets LLC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92"/>
              </w:rPr>
              <w:t>(Post-IPO)</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1"/>
                <w:szCs w:val="11"/>
                <w:b w:val="1"/>
                <w:bCs w:val="1"/>
                <w:color w:val="auto"/>
                <w:w w:val="92"/>
              </w:rPr>
              <w:t>(Pre-IPO)</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6"/>
          </w:tcPr>
          <w:p>
            <w:pPr>
              <w:jc w:val="center"/>
              <w:ind w:right="269"/>
              <w:spacing w:after="0"/>
              <w:rPr>
                <w:sz w:val="20"/>
                <w:szCs w:val="20"/>
                <w:color w:val="auto"/>
              </w:rPr>
            </w:pPr>
            <w:r>
              <w:rPr>
                <w:rFonts w:ascii="Arial" w:cs="Arial" w:eastAsia="Arial" w:hAnsi="Arial"/>
                <w:sz w:val="11"/>
                <w:szCs w:val="11"/>
                <w:b w:val="1"/>
                <w:bCs w:val="1"/>
                <w:color w:val="auto"/>
                <w:w w:val="82"/>
              </w:rPr>
              <w:t>Successor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6"/>
          </w:tcPr>
          <w:p>
            <w:pPr>
              <w:jc w:val="center"/>
              <w:ind w:right="326"/>
              <w:spacing w:after="0"/>
              <w:rPr>
                <w:sz w:val="20"/>
                <w:szCs w:val="20"/>
                <w:color w:val="auto"/>
              </w:rPr>
            </w:pPr>
            <w:r>
              <w:rPr>
                <w:rFonts w:ascii="Arial" w:cs="Arial" w:eastAsia="Arial" w:hAnsi="Arial"/>
                <w:sz w:val="11"/>
                <w:szCs w:val="11"/>
                <w:b w:val="1"/>
                <w:bCs w:val="1"/>
                <w:color w:val="auto"/>
                <w:w w:val="82"/>
              </w:rPr>
              <w:t>Successor</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6"/>
          </w:tcPr>
          <w:p>
            <w:pPr>
              <w:jc w:val="center"/>
              <w:ind w:right="400"/>
              <w:spacing w:after="0"/>
              <w:rPr>
                <w:sz w:val="20"/>
                <w:szCs w:val="20"/>
                <w:color w:val="auto"/>
              </w:rPr>
            </w:pPr>
            <w:r>
              <w:rPr>
                <w:rFonts w:ascii="Arial" w:cs="Arial" w:eastAsia="Arial" w:hAnsi="Arial"/>
                <w:sz w:val="11"/>
                <w:szCs w:val="11"/>
                <w:b w:val="1"/>
                <w:bCs w:val="1"/>
                <w:color w:val="auto"/>
                <w:w w:val="81"/>
              </w:rPr>
              <w:t>Predecessor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3"/>
          </w:tcPr>
          <w:p>
            <w:pPr>
              <w:jc w:val="center"/>
              <w:ind w:left="26"/>
              <w:spacing w:after="0" w:line="102" w:lineRule="exact"/>
              <w:rPr>
                <w:sz w:val="20"/>
                <w:szCs w:val="20"/>
                <w:color w:val="auto"/>
              </w:rPr>
            </w:pPr>
            <w:r>
              <w:rPr>
                <w:rFonts w:ascii="Arial" w:cs="Arial" w:eastAsia="Arial" w:hAnsi="Arial"/>
                <w:sz w:val="11"/>
                <w:szCs w:val="11"/>
                <w:b w:val="1"/>
                <w:bCs w:val="1"/>
                <w:color w:val="auto"/>
                <w:w w:val="79"/>
              </w:rPr>
              <w:t>As of</w:t>
            </w: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3"/>
          </w:tcPr>
          <w:p>
            <w:pPr>
              <w:jc w:val="center"/>
              <w:ind w:left="13"/>
              <w:spacing w:after="0" w:line="102" w:lineRule="exact"/>
              <w:rPr>
                <w:sz w:val="20"/>
                <w:szCs w:val="20"/>
                <w:color w:val="auto"/>
              </w:rPr>
            </w:pPr>
            <w:r>
              <w:rPr>
                <w:rFonts w:ascii="Arial" w:cs="Arial" w:eastAsia="Arial" w:hAnsi="Arial"/>
                <w:sz w:val="11"/>
                <w:szCs w:val="11"/>
                <w:b w:val="1"/>
                <w:bCs w:val="1"/>
                <w:color w:val="auto"/>
                <w:w w:val="87"/>
              </w:rPr>
              <w:t>As of</w:t>
            </w:r>
          </w:p>
        </w:tc>
        <w:tc>
          <w:tcPr>
            <w:tcW w:w="480" w:type="dxa"/>
            <w:vAlign w:val="bottom"/>
            <w:tcBorders>
              <w:top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3"/>
          </w:tcPr>
          <w:p>
            <w:pPr>
              <w:jc w:val="center"/>
              <w:ind w:right="386"/>
              <w:spacing w:after="0" w:line="102" w:lineRule="exact"/>
              <w:rPr>
                <w:sz w:val="20"/>
                <w:szCs w:val="20"/>
                <w:color w:val="auto"/>
              </w:rPr>
            </w:pPr>
            <w:r>
              <w:rPr>
                <w:rFonts w:ascii="Arial" w:cs="Arial" w:eastAsia="Arial" w:hAnsi="Arial"/>
                <w:sz w:val="11"/>
                <w:szCs w:val="11"/>
                <w:b w:val="1"/>
                <w:bCs w:val="1"/>
                <w:color w:val="auto"/>
                <w:w w:val="87"/>
              </w:rPr>
              <w:t>As of</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246"/>
              <w:spacing w:after="0" w:line="102"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7"/>
          </w:tcPr>
          <w:p>
            <w:pPr>
              <w:jc w:val="center"/>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7"/>
          </w:tcPr>
          <w:p>
            <w:pPr>
              <w:jc w:val="center"/>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6"/>
          </w:tcPr>
          <w:p>
            <w:pPr>
              <w:jc w:val="center"/>
              <w:ind w:right="4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Statement of Income Data: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4"/>
          </w:tcPr>
          <w:p>
            <w:pPr>
              <w:jc w:val="center"/>
              <w:ind w:left="91"/>
              <w:spacing w:after="0"/>
              <w:rPr>
                <w:sz w:val="20"/>
                <w:szCs w:val="20"/>
                <w:color w:val="auto"/>
              </w:rPr>
            </w:pPr>
            <w:r>
              <w:rPr>
                <w:rFonts w:ascii="Arial" w:cs="Arial" w:eastAsia="Arial" w:hAnsi="Arial"/>
                <w:sz w:val="11"/>
                <w:szCs w:val="11"/>
                <w:b w:val="1"/>
                <w:bCs w:val="1"/>
                <w:color w:val="auto"/>
                <w:w w:val="89"/>
              </w:rPr>
              <w:t>2019</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4"/>
          </w:tcPr>
          <w:p>
            <w:pPr>
              <w:jc w:val="center"/>
              <w:ind w:left="11"/>
              <w:spacing w:after="0"/>
              <w:rPr>
                <w:sz w:val="20"/>
                <w:szCs w:val="20"/>
                <w:color w:val="auto"/>
              </w:rPr>
            </w:pPr>
            <w:r>
              <w:rPr>
                <w:rFonts w:ascii="Arial" w:cs="Arial" w:eastAsia="Arial" w:hAnsi="Arial"/>
                <w:sz w:val="11"/>
                <w:szCs w:val="11"/>
                <w:b w:val="1"/>
                <w:bCs w:val="1"/>
                <w:color w:val="auto"/>
                <w:w w:val="89"/>
              </w:rPr>
              <w:t>2018</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center"/>
              <w:ind w:right="406"/>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89"/>
              </w:rPr>
              <w:t>2016</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60" w:type="dxa"/>
            <w:vAlign w:val="bottom"/>
            <w:gridSpan w:val="18"/>
          </w:tcPr>
          <w:p>
            <w:pPr>
              <w:jc w:val="right"/>
              <w:ind w:right="220"/>
              <w:spacing w:after="0" w:line="115" w:lineRule="exact"/>
              <w:rPr>
                <w:sz w:val="20"/>
                <w:szCs w:val="20"/>
                <w:color w:val="auto"/>
              </w:rPr>
            </w:pPr>
            <w:r>
              <w:rPr>
                <w:rFonts w:ascii="Arial" w:cs="Arial" w:eastAsia="Arial" w:hAnsi="Arial"/>
                <w:sz w:val="11"/>
                <w:szCs w:val="11"/>
                <w:b w:val="1"/>
                <w:bCs w:val="1"/>
                <w:color w:val="auto"/>
                <w:w w:val="92"/>
              </w:rPr>
              <w:t>(in thousands, except share and per share amounts)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Cash and cash equivalents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left="87"/>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460,711</w:t>
            </w:r>
          </w:p>
        </w:tc>
        <w:tc>
          <w:tcPr>
            <w:tcW w:w="58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410,104</w:t>
            </w:r>
          </w:p>
        </w:tc>
        <w:tc>
          <w:tcPr>
            <w:tcW w:w="140" w:type="dxa"/>
            <w:vAlign w:val="bottom"/>
            <w:tcBorders>
              <w:right w:val="single" w:sz="8" w:color="auto"/>
            </w:tcBorders>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352,598</w:t>
            </w:r>
          </w:p>
        </w:tc>
        <w:tc>
          <w:tcPr>
            <w:tcW w:w="1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center"/>
              <w:ind w:left="14"/>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324,074</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Total assets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left="87"/>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85"/>
              </w:rPr>
              <w:t>5,085,300</w:t>
            </w:r>
          </w:p>
        </w:tc>
        <w:tc>
          <w:tcPr>
            <w:tcW w:w="58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w w:val="85"/>
              </w:rPr>
              <w:t>4,997,139</w:t>
            </w:r>
          </w:p>
        </w:tc>
        <w:tc>
          <w:tcPr>
            <w:tcW w:w="140" w:type="dxa"/>
            <w:vAlign w:val="bottom"/>
            <w:tcBorders>
              <w:right w:val="single" w:sz="8" w:color="auto"/>
            </w:tcBorders>
          </w:tcPr>
          <w:p>
            <w:pPr>
              <w:spacing w:after="0"/>
              <w:rPr>
                <w:sz w:val="10"/>
                <w:szCs w:val="10"/>
                <w:color w:val="auto"/>
              </w:rPr>
            </w:pPr>
          </w:p>
        </w:tc>
        <w:tc>
          <w:tcPr>
            <w:tcW w:w="2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1,316,887</w:t>
            </w:r>
          </w:p>
        </w:tc>
        <w:tc>
          <w:tcPr>
            <w:tcW w:w="120" w:type="dxa"/>
            <w:vAlign w:val="bottom"/>
          </w:tcPr>
          <w:p>
            <w:pPr>
              <w:spacing w:after="0"/>
              <w:rPr>
                <w:sz w:val="10"/>
                <w:szCs w:val="10"/>
                <w:color w:val="auto"/>
              </w:rPr>
            </w:pPr>
          </w:p>
        </w:tc>
        <w:tc>
          <w:tcPr>
            <w:tcW w:w="100" w:type="dxa"/>
            <w:vAlign w:val="bottom"/>
            <w:gridSpan w:val="2"/>
          </w:tcPr>
          <w:p>
            <w:pPr>
              <w:jc w:val="center"/>
              <w:ind w:left="14"/>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1,320,732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Total liabilities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left="87"/>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502,589</w:t>
            </w:r>
          </w:p>
        </w:tc>
        <w:tc>
          <w:tcPr>
            <w:tcW w:w="58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410,626</w:t>
            </w:r>
          </w:p>
        </w:tc>
        <w:tc>
          <w:tcPr>
            <w:tcW w:w="140" w:type="dxa"/>
            <w:vAlign w:val="bottom"/>
            <w:tcBorders>
              <w:right w:val="single" w:sz="8" w:color="auto"/>
            </w:tcBorders>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317,118</w:t>
            </w:r>
          </w:p>
        </w:tc>
        <w:tc>
          <w:tcPr>
            <w:tcW w:w="1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center"/>
              <w:ind w:left="14"/>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283,319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Non-controlling interests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left="87"/>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85"/>
              </w:rPr>
              <w:t>1,214,157</w:t>
            </w:r>
          </w:p>
        </w:tc>
        <w:tc>
          <w:tcPr>
            <w:tcW w:w="58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0"/>
                <w:szCs w:val="10"/>
                <w:color w:val="auto"/>
              </w:rPr>
            </w:pPr>
          </w:p>
        </w:tc>
        <w:tc>
          <w:tcPr>
            <w:tcW w:w="2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tcPr>
          <w:p>
            <w:pPr>
              <w:jc w:val="center"/>
              <w:ind w:left="14"/>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Total equity/members' capital</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left="87"/>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5"/>
              </w:rPr>
              <w:t>4,582,711</w:t>
            </w:r>
          </w:p>
        </w:tc>
        <w:tc>
          <w:tcPr>
            <w:tcW w:w="58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5"/>
              </w:rPr>
              <w:t>4,572,334</w:t>
            </w:r>
          </w:p>
        </w:tc>
        <w:tc>
          <w:tcPr>
            <w:tcW w:w="140" w:type="dxa"/>
            <w:vAlign w:val="bottom"/>
            <w:tcBorders>
              <w:right w:val="single" w:sz="8" w:color="auto"/>
            </w:tcBorders>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986,468</w:t>
            </w:r>
          </w:p>
        </w:tc>
        <w:tc>
          <w:tcPr>
            <w:tcW w:w="1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center"/>
              <w:ind w:left="14"/>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1,024,759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jc w:val="center"/>
              <w:ind w:right="106"/>
              <w:spacing w:after="0"/>
              <w:rPr>
                <w:sz w:val="20"/>
                <w:szCs w:val="20"/>
                <w:color w:val="auto"/>
              </w:rPr>
            </w:pPr>
            <w:r>
              <w:rPr>
                <w:rFonts w:ascii="Arial" w:cs="Arial" w:eastAsia="Arial" w:hAnsi="Arial"/>
                <w:sz w:val="11"/>
                <w:szCs w:val="11"/>
                <w:b w:val="1"/>
                <w:bCs w:val="1"/>
                <w:color w:val="auto"/>
                <w:w w:val="82"/>
              </w:rPr>
              <w:t>Successor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5"/>
            <w:vMerge w:val="restart"/>
          </w:tcPr>
          <w:p>
            <w:pPr>
              <w:jc w:val="center"/>
              <w:ind w:right="206"/>
              <w:spacing w:after="0"/>
              <w:rPr>
                <w:sz w:val="20"/>
                <w:szCs w:val="20"/>
                <w:color w:val="auto"/>
              </w:rPr>
            </w:pPr>
            <w:r>
              <w:rPr>
                <w:rFonts w:ascii="Arial" w:cs="Arial" w:eastAsia="Arial" w:hAnsi="Arial"/>
                <w:sz w:val="11"/>
                <w:szCs w:val="11"/>
                <w:b w:val="1"/>
                <w:bCs w:val="1"/>
                <w:color w:val="auto"/>
                <w:w w:val="78"/>
              </w:rPr>
              <w:t>Successor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vMerge w:val="restart"/>
          </w:tcPr>
          <w:p>
            <w:pPr>
              <w:jc w:val="center"/>
              <w:ind w:left="46"/>
              <w:spacing w:after="0"/>
              <w:rPr>
                <w:sz w:val="20"/>
                <w:szCs w:val="20"/>
                <w:color w:val="auto"/>
              </w:rPr>
            </w:pPr>
            <w:r>
              <w:rPr>
                <w:rFonts w:ascii="Arial" w:cs="Arial" w:eastAsia="Arial" w:hAnsi="Arial"/>
                <w:sz w:val="11"/>
                <w:szCs w:val="11"/>
                <w:b w:val="1"/>
                <w:bCs w:val="1"/>
                <w:color w:val="auto"/>
                <w:w w:val="81"/>
              </w:rPr>
              <w:t>Predecessor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center"/>
              <w:ind w:right="106"/>
              <w:spacing w:after="0" w:line="102" w:lineRule="exact"/>
              <w:rPr>
                <w:sz w:val="20"/>
                <w:szCs w:val="20"/>
                <w:color w:val="auto"/>
              </w:rPr>
            </w:pPr>
            <w:r>
              <w:rPr>
                <w:rFonts w:ascii="Arial" w:cs="Arial" w:eastAsia="Arial" w:hAnsi="Arial"/>
                <w:sz w:val="11"/>
                <w:szCs w:val="11"/>
                <w:b w:val="1"/>
                <w:bCs w:val="1"/>
                <w:color w:val="auto"/>
                <w:w w:val="89"/>
              </w:rPr>
              <w:t>Year Ended</w:t>
            </w:r>
          </w:p>
        </w:tc>
        <w:tc>
          <w:tcPr>
            <w:tcW w:w="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5"/>
          </w:tcPr>
          <w:p>
            <w:pPr>
              <w:jc w:val="center"/>
              <w:ind w:right="106"/>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6"/>
          </w:tcPr>
          <w:p>
            <w:pPr>
              <w:jc w:val="center"/>
              <w:spacing w:after="0" w:line="102" w:lineRule="exact"/>
              <w:rPr>
                <w:sz w:val="20"/>
                <w:szCs w:val="20"/>
                <w:color w:val="auto"/>
              </w:rPr>
            </w:pPr>
            <w:r>
              <w:rPr>
                <w:rFonts w:ascii="Arial" w:cs="Arial" w:eastAsia="Arial" w:hAnsi="Arial"/>
                <w:sz w:val="11"/>
                <w:szCs w:val="11"/>
                <w:b w:val="1"/>
                <w:bCs w:val="1"/>
                <w:color w:val="auto"/>
                <w:w w:val="90"/>
              </w:rPr>
              <w:t>January 1, 2018 to</w:t>
            </w: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89"/>
              </w:rPr>
              <w:t>Year Ended</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Year Ended</w:t>
            </w: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tcPr>
          <w:p>
            <w:pPr>
              <w:jc w:val="center"/>
              <w:ind w:right="20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Other Financial Data:</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106"/>
              <w:spacing w:after="0"/>
              <w:rPr>
                <w:sz w:val="20"/>
                <w:szCs w:val="20"/>
                <w:color w:val="auto"/>
              </w:rPr>
            </w:pPr>
            <w:r>
              <w:rPr>
                <w:rFonts w:ascii="Arial" w:cs="Arial" w:eastAsia="Arial" w:hAnsi="Arial"/>
                <w:sz w:val="11"/>
                <w:szCs w:val="11"/>
                <w:b w:val="1"/>
                <w:bCs w:val="1"/>
                <w:color w:val="auto"/>
                <w:w w:val="89"/>
              </w:rPr>
              <w:t>2019</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jc w:val="center"/>
              <w:ind w:left="166"/>
              <w:spacing w:after="0"/>
              <w:rPr>
                <w:sz w:val="20"/>
                <w:szCs w:val="20"/>
                <w:color w:val="auto"/>
              </w:rPr>
            </w:pPr>
            <w:r>
              <w:rPr>
                <w:rFonts w:ascii="Arial" w:cs="Arial" w:eastAsia="Arial" w:hAnsi="Arial"/>
                <w:sz w:val="11"/>
                <w:szCs w:val="11"/>
                <w:b w:val="1"/>
                <w:bCs w:val="1"/>
                <w:color w:val="auto"/>
                <w:w w:val="89"/>
              </w:rPr>
              <w:t>2018</w:t>
            </w: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left="306"/>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2016</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19"/>
          </w:tcPr>
          <w:p>
            <w:pPr>
              <w:jc w:val="center"/>
              <w:ind w:right="420"/>
              <w:spacing w:after="0" w:line="105" w:lineRule="exact"/>
              <w:rPr>
                <w:sz w:val="20"/>
                <w:szCs w:val="20"/>
                <w:color w:val="auto"/>
              </w:rPr>
            </w:pPr>
            <w:r>
              <w:rPr>
                <w:rFonts w:ascii="Arial" w:cs="Arial" w:eastAsia="Arial" w:hAnsi="Arial"/>
                <w:sz w:val="11"/>
                <w:szCs w:val="11"/>
                <w:b w:val="1"/>
                <w:bCs w:val="1"/>
                <w:color w:val="auto"/>
                <w:w w:val="87"/>
              </w:rPr>
              <w:t>(in thousands, except share and per share amounts)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020" w:type="dxa"/>
            <w:vAlign w:val="bottom"/>
            <w:gridSpan w:val="3"/>
          </w:tcPr>
          <w:p>
            <w:pPr>
              <w:spacing w:after="0" w:line="106" w:lineRule="exact"/>
              <w:rPr>
                <w:sz w:val="20"/>
                <w:szCs w:val="20"/>
                <w:color w:val="auto"/>
              </w:rPr>
            </w:pPr>
            <w:r>
              <w:rPr>
                <w:rFonts w:ascii="Arial" w:cs="Arial" w:eastAsia="Arial" w:hAnsi="Arial"/>
                <w:sz w:val="11"/>
                <w:szCs w:val="11"/>
                <w:color w:val="auto"/>
              </w:rPr>
              <w:t>Cash Flow from Operating Activities</w:t>
            </w:r>
          </w:p>
        </w:tc>
        <w:tc>
          <w:tcPr>
            <w:tcW w:w="140" w:type="dxa"/>
            <w:vAlign w:val="bottom"/>
          </w:tcPr>
          <w:p>
            <w:pPr>
              <w:jc w:val="right"/>
              <w:ind w:right="10"/>
              <w:spacing w:after="0" w:line="106" w:lineRule="exact"/>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9"/>
                <w:szCs w:val="9"/>
                <w:color w:val="auto"/>
              </w:rPr>
            </w:pPr>
          </w:p>
        </w:tc>
        <w:tc>
          <w:tcPr>
            <w:tcW w:w="70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311,003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ind w:left="20"/>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3"/>
          </w:tcPr>
          <w:p>
            <w:pPr>
              <w:jc w:val="right"/>
              <w:ind w:right="6"/>
              <w:spacing w:after="0" w:line="106" w:lineRule="exact"/>
              <w:rPr>
                <w:sz w:val="20"/>
                <w:szCs w:val="20"/>
                <w:color w:val="auto"/>
              </w:rPr>
            </w:pPr>
            <w:r>
              <w:rPr>
                <w:rFonts w:ascii="Arial" w:cs="Arial" w:eastAsia="Arial" w:hAnsi="Arial"/>
                <w:sz w:val="11"/>
                <w:szCs w:val="11"/>
                <w:color w:val="auto"/>
              </w:rPr>
              <w:t>112,556</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540" w:type="dxa"/>
            <w:vAlign w:val="bottom"/>
            <w:gridSpan w:val="5"/>
          </w:tcPr>
          <w:p>
            <w:pPr>
              <w:jc w:val="right"/>
              <w:spacing w:after="0" w:line="106" w:lineRule="exact"/>
              <w:rPr>
                <w:sz w:val="20"/>
                <w:szCs w:val="20"/>
                <w:color w:val="auto"/>
              </w:rPr>
            </w:pPr>
            <w:r>
              <w:rPr>
                <w:rFonts w:ascii="Arial" w:cs="Arial" w:eastAsia="Arial" w:hAnsi="Arial"/>
                <w:sz w:val="11"/>
                <w:szCs w:val="11"/>
                <w:color w:val="auto"/>
              </w:rPr>
              <w:t>164,828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40"/>
              <w:spacing w:after="0" w:line="106" w:lineRule="exact"/>
              <w:rPr>
                <w:sz w:val="20"/>
                <w:szCs w:val="20"/>
                <w:color w:val="auto"/>
              </w:rPr>
            </w:pPr>
            <w:r>
              <w:rPr>
                <w:rFonts w:ascii="Arial" w:cs="Arial" w:eastAsia="Arial" w:hAnsi="Arial"/>
                <w:sz w:val="11"/>
                <w:szCs w:val="11"/>
                <w:color w:val="auto"/>
              </w:rPr>
              <w:t>224,580</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line="106" w:lineRule="exact"/>
              <w:rPr>
                <w:sz w:val="20"/>
                <w:szCs w:val="20"/>
                <w:color w:val="auto"/>
              </w:rPr>
            </w:pPr>
            <w:r>
              <w:rPr>
                <w:rFonts w:ascii="Arial" w:cs="Arial" w:eastAsia="Arial" w:hAnsi="Arial"/>
                <w:sz w:val="11"/>
                <w:szCs w:val="11"/>
                <w:color w:val="auto"/>
              </w:rPr>
              <w:t>171,845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00" w:type="dxa"/>
            <w:vAlign w:val="bottom"/>
            <w:gridSpan w:val="2"/>
            <w:vMerge w:val="restart"/>
          </w:tcPr>
          <w:p>
            <w:pPr>
              <w:spacing w:after="0" w:line="122" w:lineRule="exact"/>
              <w:rPr>
                <w:sz w:val="20"/>
                <w:szCs w:val="20"/>
                <w:color w:val="auto"/>
              </w:rPr>
            </w:pPr>
            <w:r>
              <w:rPr>
                <w:rFonts w:ascii="Arial" w:cs="Arial" w:eastAsia="Arial" w:hAnsi="Arial"/>
                <w:sz w:val="11"/>
                <w:szCs w:val="11"/>
                <w:color w:val="auto"/>
              </w:rPr>
              <w:t>Free Cash Flow</w:t>
            </w:r>
            <w:r>
              <w:rPr>
                <w:rFonts w:ascii="Arial" w:cs="Arial" w:eastAsia="Arial" w:hAnsi="Arial"/>
                <w:sz w:val="11"/>
                <w:szCs w:val="11"/>
                <w:color w:val="auto"/>
                <w:vertAlign w:val="superscript"/>
              </w:rPr>
              <w:t>(4)</w:t>
            </w:r>
          </w:p>
        </w:tc>
        <w:tc>
          <w:tcPr>
            <w:tcW w:w="140" w:type="dxa"/>
            <w:vAlign w:val="bottom"/>
            <w:vMerge w:val="restart"/>
          </w:tcPr>
          <w:p>
            <w:pPr>
              <w:jc w:val="right"/>
              <w:ind w:right="10"/>
              <w:spacing w:after="0" w:line="122" w:lineRule="exact"/>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2"/>
                <w:szCs w:val="2"/>
                <w:color w:val="auto"/>
              </w:rPr>
            </w:pPr>
          </w:p>
        </w:tc>
        <w:tc>
          <w:tcPr>
            <w:tcW w:w="70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266,541</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ind w:lef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3"/>
            <w:vMerge w:val="restart"/>
          </w:tcPr>
          <w:p>
            <w:pPr>
              <w:jc w:val="right"/>
              <w:ind w:right="6"/>
              <w:spacing w:after="0" w:line="122" w:lineRule="exact"/>
              <w:rPr>
                <w:sz w:val="20"/>
                <w:szCs w:val="20"/>
                <w:color w:val="auto"/>
              </w:rPr>
            </w:pPr>
            <w:r>
              <w:rPr>
                <w:rFonts w:ascii="Arial" w:cs="Arial" w:eastAsia="Arial" w:hAnsi="Arial"/>
                <w:sz w:val="11"/>
                <w:szCs w:val="11"/>
                <w:color w:val="auto"/>
              </w:rPr>
              <w:t>96,310</w:t>
            </w:r>
          </w:p>
        </w:tc>
        <w:tc>
          <w:tcPr>
            <w:tcW w:w="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2"/>
                <w:szCs w:val="2"/>
                <w:color w:val="auto"/>
              </w:rPr>
            </w:pPr>
          </w:p>
        </w:tc>
        <w:tc>
          <w:tcPr>
            <w:tcW w:w="540" w:type="dxa"/>
            <w:vAlign w:val="bottom"/>
            <w:gridSpan w:val="5"/>
            <w:vMerge w:val="restart"/>
          </w:tcPr>
          <w:p>
            <w:pPr>
              <w:jc w:val="right"/>
              <w:spacing w:after="0" w:line="122" w:lineRule="exact"/>
              <w:rPr>
                <w:sz w:val="20"/>
                <w:szCs w:val="20"/>
                <w:color w:val="auto"/>
              </w:rPr>
            </w:pPr>
            <w:r>
              <w:rPr>
                <w:rFonts w:ascii="Arial" w:cs="Arial" w:eastAsia="Arial" w:hAnsi="Arial"/>
                <w:sz w:val="11"/>
                <w:szCs w:val="11"/>
                <w:color w:val="auto"/>
              </w:rPr>
              <w:t>138,978</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4"/>
            <w:vMerge w:val="restart"/>
          </w:tcPr>
          <w:p>
            <w:pPr>
              <w:jc w:val="right"/>
              <w:ind w:right="40"/>
              <w:spacing w:after="0" w:line="122" w:lineRule="exact"/>
              <w:rPr>
                <w:sz w:val="20"/>
                <w:szCs w:val="20"/>
                <w:color w:val="auto"/>
              </w:rPr>
            </w:pPr>
            <w:r>
              <w:rPr>
                <w:rFonts w:ascii="Arial" w:cs="Arial" w:eastAsia="Arial" w:hAnsi="Arial"/>
                <w:sz w:val="11"/>
                <w:szCs w:val="11"/>
                <w:color w:val="auto"/>
              </w:rPr>
              <w:t>183,962</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jc w:val="right"/>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136,496</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300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Adjusted EBITDA</w:t>
            </w:r>
            <w:r>
              <w:rPr>
                <w:rFonts w:ascii="Arial" w:cs="Arial" w:eastAsia="Arial" w:hAnsi="Arial"/>
                <w:sz w:val="11"/>
                <w:szCs w:val="11"/>
                <w:color w:val="auto"/>
                <w:vertAlign w:val="superscript"/>
              </w:rPr>
              <w:t>(5)</w:t>
            </w:r>
          </w:p>
        </w:tc>
        <w:tc>
          <w:tcPr>
            <w:tcW w:w="140" w:type="dxa"/>
            <w:vAlign w:val="bottom"/>
          </w:tcPr>
          <w:p>
            <w:pPr>
              <w:jc w:val="right"/>
              <w:ind w:right="10"/>
              <w:spacing w:after="0" w:line="122" w:lineRule="exact"/>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353,162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rPr>
              <w:t>65,308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214,091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215,185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200,771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1"/>
                <w:szCs w:val="11"/>
                <w:color w:val="auto"/>
                <w:vertAlign w:val="superscript"/>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45.5 %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rPr>
              <w:t>36.6</w:t>
            </w:r>
          </w:p>
        </w:tc>
        <w:tc>
          <w:tcPr>
            <w:tcW w:w="40" w:type="dxa"/>
            <w:vAlign w:val="bottom"/>
          </w:tcPr>
          <w:p>
            <w:pPr>
              <w:spacing w:after="0"/>
              <w:rPr>
                <w:sz w:val="10"/>
                <w:szCs w:val="10"/>
                <w:color w:val="auto"/>
              </w:rPr>
            </w:pPr>
          </w:p>
        </w:tc>
        <w:tc>
          <w:tcPr>
            <w:tcW w:w="180" w:type="dxa"/>
            <w:vAlign w:val="bottom"/>
            <w:tcBorders>
              <w:right w:val="single" w:sz="8" w:color="auto"/>
            </w:tcBorders>
            <w:gridSpan w:val="2"/>
          </w:tcPr>
          <w:p>
            <w:pPr>
              <w:jc w:val="right"/>
              <w:ind w:right="33"/>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42.3 %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7"/>
          </w:tcPr>
          <w:p>
            <w:pPr>
              <w:jc w:val="right"/>
              <w:ind w:right="8"/>
              <w:spacing w:after="0" w:line="122" w:lineRule="exact"/>
              <w:rPr>
                <w:sz w:val="20"/>
                <w:szCs w:val="20"/>
                <w:color w:val="auto"/>
              </w:rPr>
            </w:pPr>
            <w:r>
              <w:rPr>
                <w:rFonts w:ascii="Arial" w:cs="Arial" w:eastAsia="Arial" w:hAnsi="Arial"/>
                <w:sz w:val="11"/>
                <w:szCs w:val="11"/>
                <w:color w:val="auto"/>
              </w:rPr>
              <w:t>38.2 %</w:t>
            </w:r>
          </w:p>
        </w:tc>
        <w:tc>
          <w:tcPr>
            <w:tcW w:w="80" w:type="dxa"/>
            <w:vAlign w:val="bottom"/>
          </w:tcPr>
          <w:p>
            <w:pPr>
              <w:spacing w:after="0"/>
              <w:rPr>
                <w:sz w:val="10"/>
                <w:szCs w:val="10"/>
                <w:color w:val="auto"/>
              </w:rPr>
            </w:pPr>
          </w:p>
        </w:tc>
        <w:tc>
          <w:tcPr>
            <w:tcW w:w="980" w:type="dxa"/>
            <w:vAlign w:val="bottom"/>
            <w:gridSpan w:val="3"/>
          </w:tcPr>
          <w:p>
            <w:pPr>
              <w:jc w:val="right"/>
              <w:ind w:right="18"/>
              <w:spacing w:after="0" w:line="122" w:lineRule="exact"/>
              <w:rPr>
                <w:sz w:val="20"/>
                <w:szCs w:val="20"/>
                <w:color w:val="auto"/>
              </w:rPr>
            </w:pPr>
            <w:r>
              <w:rPr>
                <w:rFonts w:ascii="Arial" w:cs="Arial" w:eastAsia="Arial" w:hAnsi="Arial"/>
                <w:sz w:val="11"/>
                <w:szCs w:val="11"/>
                <w:color w:val="auto"/>
              </w:rPr>
              <w:t>38.7 %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Adjusted EBIT</w:t>
            </w:r>
            <w:r>
              <w:rPr>
                <w:rFonts w:ascii="Arial" w:cs="Arial" w:eastAsia="Arial" w:hAnsi="Arial"/>
                <w:sz w:val="11"/>
                <w:szCs w:val="11"/>
                <w:color w:val="auto"/>
                <w:vertAlign w:val="superscript"/>
              </w:rPr>
              <w:t>(5)</w:t>
            </w:r>
          </w:p>
        </w:tc>
        <w:tc>
          <w:tcPr>
            <w:tcW w:w="140" w:type="dxa"/>
            <w:vAlign w:val="bottom"/>
          </w:tcPr>
          <w:p>
            <w:pPr>
              <w:jc w:val="right"/>
              <w:ind w:right="10"/>
              <w:spacing w:after="0" w:line="122" w:lineRule="exact"/>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311,397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rPr>
              <w:t>54,701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184,859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177,806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161,037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Adjusted EBIT margin</w:t>
            </w:r>
            <w:r>
              <w:rPr>
                <w:rFonts w:ascii="Arial" w:cs="Arial" w:eastAsia="Arial" w:hAnsi="Arial"/>
                <w:sz w:val="11"/>
                <w:szCs w:val="11"/>
                <w:color w:val="auto"/>
                <w:vertAlign w:val="superscript"/>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40.2 %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rPr>
              <w:t>30.6</w:t>
            </w:r>
          </w:p>
        </w:tc>
        <w:tc>
          <w:tcPr>
            <w:tcW w:w="40" w:type="dxa"/>
            <w:vAlign w:val="bottom"/>
          </w:tcPr>
          <w:p>
            <w:pPr>
              <w:spacing w:after="0"/>
              <w:rPr>
                <w:sz w:val="10"/>
                <w:szCs w:val="10"/>
                <w:color w:val="auto"/>
              </w:rPr>
            </w:pPr>
          </w:p>
        </w:tc>
        <w:tc>
          <w:tcPr>
            <w:tcW w:w="180" w:type="dxa"/>
            <w:vAlign w:val="bottom"/>
            <w:tcBorders>
              <w:right w:val="single" w:sz="8" w:color="auto"/>
            </w:tcBorders>
            <w:gridSpan w:val="2"/>
          </w:tcPr>
          <w:p>
            <w:pPr>
              <w:jc w:val="right"/>
              <w:ind w:right="33"/>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36.5 %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7"/>
          </w:tcPr>
          <w:p>
            <w:pPr>
              <w:jc w:val="right"/>
              <w:ind w:right="8"/>
              <w:spacing w:after="0" w:line="122" w:lineRule="exact"/>
              <w:rPr>
                <w:sz w:val="20"/>
                <w:szCs w:val="20"/>
                <w:color w:val="auto"/>
              </w:rPr>
            </w:pPr>
            <w:r>
              <w:rPr>
                <w:rFonts w:ascii="Arial" w:cs="Arial" w:eastAsia="Arial" w:hAnsi="Arial"/>
                <w:sz w:val="11"/>
                <w:szCs w:val="11"/>
                <w:color w:val="auto"/>
              </w:rPr>
              <w:t>31.6 %</w:t>
            </w:r>
          </w:p>
        </w:tc>
        <w:tc>
          <w:tcPr>
            <w:tcW w:w="80" w:type="dxa"/>
            <w:vAlign w:val="bottom"/>
          </w:tcPr>
          <w:p>
            <w:pPr>
              <w:spacing w:after="0"/>
              <w:rPr>
                <w:sz w:val="10"/>
                <w:szCs w:val="10"/>
                <w:color w:val="auto"/>
              </w:rPr>
            </w:pPr>
          </w:p>
        </w:tc>
        <w:tc>
          <w:tcPr>
            <w:tcW w:w="980" w:type="dxa"/>
            <w:vAlign w:val="bottom"/>
            <w:gridSpan w:val="3"/>
          </w:tcPr>
          <w:p>
            <w:pPr>
              <w:jc w:val="right"/>
              <w:ind w:right="18"/>
              <w:spacing w:after="0" w:line="122" w:lineRule="exact"/>
              <w:rPr>
                <w:sz w:val="20"/>
                <w:szCs w:val="20"/>
                <w:color w:val="auto"/>
              </w:rPr>
            </w:pPr>
            <w:r>
              <w:rPr>
                <w:rFonts w:ascii="Arial" w:cs="Arial" w:eastAsia="Arial" w:hAnsi="Arial"/>
                <w:sz w:val="11"/>
                <w:szCs w:val="11"/>
                <w:color w:val="auto"/>
              </w:rPr>
              <w:t>31.1 %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0" w:type="dxa"/>
            <w:vAlign w:val="bottom"/>
            <w:gridSpan w:val="2"/>
          </w:tcPr>
          <w:p>
            <w:pPr>
              <w:spacing w:after="0"/>
              <w:rPr>
                <w:sz w:val="20"/>
                <w:szCs w:val="20"/>
                <w:color w:val="auto"/>
              </w:rPr>
            </w:pPr>
            <w:r>
              <w:rPr>
                <w:rFonts w:ascii="Arial" w:cs="Arial" w:eastAsia="Arial" w:hAnsi="Arial"/>
                <w:sz w:val="11"/>
                <w:szCs w:val="11"/>
                <w:color w:val="auto"/>
              </w:rPr>
              <w:t>Adjusted Net Income</w:t>
            </w:r>
            <w:r>
              <w:rPr>
                <w:rFonts w:ascii="Arial" w:cs="Arial" w:eastAsia="Arial" w:hAnsi="Arial"/>
                <w:sz w:val="11"/>
                <w:szCs w:val="11"/>
                <w:color w:val="auto"/>
                <w:vertAlign w:val="superscript"/>
              </w:rPr>
              <w:t>(5)</w:t>
            </w:r>
          </w:p>
        </w:tc>
        <w:tc>
          <w:tcPr>
            <w:tcW w:w="140" w:type="dxa"/>
            <w:vAlign w:val="bottom"/>
          </w:tcPr>
          <w:p>
            <w:pPr>
              <w:jc w:val="right"/>
              <w:ind w:right="10"/>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230,935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right"/>
              <w:ind w:right="6"/>
              <w:spacing w:after="0"/>
              <w:rPr>
                <w:sz w:val="20"/>
                <w:szCs w:val="20"/>
                <w:color w:val="auto"/>
              </w:rPr>
            </w:pPr>
            <w:r>
              <w:rPr>
                <w:rFonts w:ascii="Arial" w:cs="Arial" w:eastAsia="Arial" w:hAnsi="Arial"/>
                <w:sz w:val="11"/>
                <w:szCs w:val="11"/>
                <w:color w:val="auto"/>
              </w:rPr>
              <w:t>40,839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540" w:type="dxa"/>
            <w:vAlign w:val="bottom"/>
            <w:gridSpan w:val="5"/>
          </w:tcPr>
          <w:p>
            <w:pPr>
              <w:jc w:val="right"/>
              <w:spacing w:after="0"/>
              <w:rPr>
                <w:sz w:val="20"/>
                <w:szCs w:val="20"/>
                <w:color w:val="auto"/>
              </w:rPr>
            </w:pPr>
            <w:r>
              <w:rPr>
                <w:rFonts w:ascii="Arial" w:cs="Arial" w:eastAsia="Arial" w:hAnsi="Arial"/>
                <w:sz w:val="11"/>
                <w:szCs w:val="11"/>
                <w:color w:val="auto"/>
              </w:rPr>
              <w:t>137,327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1"/>
                <w:szCs w:val="11"/>
                <w:color w:val="auto"/>
              </w:rPr>
              <w:t>131,369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118,012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0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Adjusted Diluted EPS</w:t>
            </w:r>
            <w:r>
              <w:rPr>
                <w:rFonts w:ascii="Arial" w:cs="Arial" w:eastAsia="Arial" w:hAnsi="Arial"/>
                <w:sz w:val="11"/>
                <w:szCs w:val="11"/>
                <w:color w:val="auto"/>
                <w:vertAlign w:val="superscript"/>
              </w:rPr>
              <w:t>(5)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0.23</w:t>
            </w:r>
          </w:p>
        </w:tc>
        <w:tc>
          <w:tcPr>
            <w:tcW w:w="240" w:type="dxa"/>
            <w:vAlign w:val="bottom"/>
            <w:gridSpan w:val="3"/>
            <w:shd w:val="clear" w:color="auto" w:fill="CCEEFF"/>
          </w:tcPr>
          <w:p>
            <w:pPr>
              <w:jc w:val="right"/>
              <w:ind w:right="60"/>
              <w:spacing w:after="0" w:line="112" w:lineRule="exact"/>
              <w:rPr>
                <w:sz w:val="20"/>
                <w:szCs w:val="20"/>
                <w:color w:val="auto"/>
              </w:rPr>
            </w:pPr>
            <w:r>
              <w:rPr>
                <w:rFonts w:ascii="Arial" w:cs="Arial" w:eastAsia="Arial" w:hAnsi="Arial"/>
                <w:sz w:val="11"/>
                <w:szCs w:val="11"/>
                <w:color w:val="auto"/>
              </w:rPr>
              <w:t>(a)</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0.77</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(b)</w:t>
            </w: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4"/>
            <w:shd w:val="clear" w:color="auto" w:fill="CCEEFF"/>
          </w:tcPr>
          <w:p>
            <w:pPr>
              <w:jc w:val="right"/>
              <w:ind w:right="53"/>
              <w:spacing w:after="0"/>
              <w:rPr>
                <w:sz w:val="20"/>
                <w:szCs w:val="20"/>
                <w:color w:val="auto"/>
              </w:rPr>
            </w:pPr>
            <w:r>
              <w:rPr>
                <w:rFonts w:ascii="Arial" w:cs="Arial" w:eastAsia="Arial" w:hAnsi="Arial"/>
                <w:sz w:val="11"/>
                <w:szCs w:val="11"/>
                <w:color w:val="auto"/>
              </w:rPr>
              <w:t>0.18 (a)</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(a) $</w:t>
            </w: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1"/>
                <w:szCs w:val="11"/>
                <w:color w:val="auto"/>
              </w:rPr>
              <w:t>0.62 (a) $</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-5770880</wp:posOffset>
            </wp:positionV>
            <wp:extent cx="575437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-5453380</wp:posOffset>
            </wp:positionV>
            <wp:extent cx="575437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-3747135</wp:posOffset>
            </wp:positionV>
            <wp:extent cx="575437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-616585</wp:posOffset>
            </wp:positionV>
            <wp:extent cx="575437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-462280</wp:posOffset>
            </wp:positionV>
            <wp:extent cx="575437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-307975</wp:posOffset>
            </wp:positionV>
            <wp:extent cx="5754370"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Year Ended</w:t>
            </w:r>
          </w:p>
        </w:tc>
        <w:tc>
          <w:tcPr>
            <w:tcW w:w="180" w:type="dxa"/>
            <w:vAlign w:val="bottom"/>
          </w:tcPr>
          <w:p>
            <w:pPr>
              <w:spacing w:after="0"/>
              <w:rPr>
                <w:sz w:val="10"/>
                <w:szCs w:val="10"/>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Year Ended</w:t>
            </w:r>
          </w:p>
        </w:tc>
        <w:tc>
          <w:tcPr>
            <w:tcW w:w="2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Year Ended</w:t>
            </w:r>
          </w:p>
        </w:tc>
        <w:tc>
          <w:tcPr>
            <w:tcW w:w="180" w:type="dxa"/>
            <w:vAlign w:val="bottom"/>
          </w:tcPr>
          <w:p>
            <w:pPr>
              <w:spacing w:after="0"/>
              <w:rPr>
                <w:sz w:val="10"/>
                <w:szCs w:val="1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80" w:type="dxa"/>
            <w:vAlign w:val="bottom"/>
          </w:tcPr>
          <w:p>
            <w:pPr>
              <w:spacing w:after="0"/>
              <w:rPr>
                <w:sz w:val="10"/>
                <w:szCs w:val="10"/>
                <w:color w:val="auto"/>
              </w:rPr>
            </w:pPr>
          </w:p>
        </w:tc>
        <w:tc>
          <w:tcPr>
            <w:tcW w:w="1280" w:type="dxa"/>
            <w:vAlign w:val="bottom"/>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20" w:type="dxa"/>
            <w:vAlign w:val="bottom"/>
          </w:tcPr>
          <w:p>
            <w:pPr>
              <w:spacing w:after="0"/>
              <w:rPr>
                <w:sz w:val="10"/>
                <w:szCs w:val="10"/>
                <w:color w:val="auto"/>
              </w:rPr>
            </w:pPr>
          </w:p>
        </w:tc>
        <w:tc>
          <w:tcPr>
            <w:tcW w:w="11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80" w:type="dxa"/>
            <w:vAlign w:val="bottom"/>
          </w:tcPr>
          <w:p>
            <w:pPr>
              <w:spacing w:after="0"/>
              <w:rPr>
                <w:sz w:val="10"/>
                <w:szCs w:val="10"/>
                <w:color w:val="auto"/>
              </w:rPr>
            </w:pPr>
          </w:p>
        </w:tc>
        <w:tc>
          <w:tcPr>
            <w:tcW w:w="11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35"/>
        </w:trPr>
        <w:tc>
          <w:tcPr>
            <w:tcW w:w="3600" w:type="dxa"/>
            <w:vAlign w:val="bottom"/>
            <w:vMerge w:val="restart"/>
          </w:tcPr>
          <w:p>
            <w:pPr>
              <w:spacing w:after="0"/>
              <w:rPr>
                <w:sz w:val="20"/>
                <w:szCs w:val="20"/>
                <w:color w:val="auto"/>
              </w:rPr>
            </w:pPr>
            <w:r>
              <w:rPr>
                <w:rFonts w:ascii="Arial" w:cs="Arial" w:eastAsia="Arial" w:hAnsi="Arial"/>
                <w:sz w:val="11"/>
                <w:szCs w:val="11"/>
                <w:b w:val="1"/>
                <w:bCs w:val="1"/>
                <w:color w:val="auto"/>
              </w:rPr>
              <w:t>Operating Data:</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9"/>
              </w:rPr>
              <w:t>2016</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jc w:val="right"/>
              <w:ind w:right="6"/>
              <w:spacing w:after="0" w:line="115" w:lineRule="exact"/>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1"/>
                <w:szCs w:val="11"/>
                <w:color w:val="auto"/>
              </w:rPr>
              <w:t>Average Daily Volumes: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00" w:type="dxa"/>
            <w:vAlign w:val="bottom"/>
          </w:tcPr>
          <w:p>
            <w:pPr>
              <w:ind w:left="120"/>
              <w:spacing w:after="0" w:line="122" w:lineRule="exact"/>
              <w:rPr>
                <w:sz w:val="20"/>
                <w:szCs w:val="20"/>
                <w:color w:val="auto"/>
              </w:rPr>
            </w:pPr>
            <w:r>
              <w:rPr>
                <w:rFonts w:ascii="Arial" w:cs="Arial" w:eastAsia="Arial" w:hAnsi="Arial"/>
                <w:sz w:val="11"/>
                <w:szCs w:val="11"/>
                <w:color w:val="auto"/>
              </w:rPr>
              <w:t>Rates</w:t>
            </w: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489,645</w:t>
            </w:r>
          </w:p>
        </w:tc>
        <w:tc>
          <w:tcPr>
            <w:tcW w:w="200" w:type="dxa"/>
            <w:vAlign w:val="bottom"/>
          </w:tcPr>
          <w:p>
            <w:pPr>
              <w:spacing w:after="0"/>
              <w:rPr>
                <w:sz w:val="10"/>
                <w:szCs w:val="10"/>
                <w:color w:val="auto"/>
              </w:rPr>
            </w:pP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354,023</w:t>
            </w:r>
          </w:p>
        </w:tc>
        <w:tc>
          <w:tcPr>
            <w:tcW w:w="260" w:type="dxa"/>
            <w:vAlign w:val="bottom"/>
          </w:tcPr>
          <w:p>
            <w:pPr>
              <w:spacing w:after="0"/>
              <w:rPr>
                <w:sz w:val="10"/>
                <w:szCs w:val="10"/>
                <w:color w:val="auto"/>
              </w:rPr>
            </w:pPr>
          </w:p>
        </w:tc>
        <w:tc>
          <w:tcPr>
            <w:tcW w:w="2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253,432</w:t>
            </w:r>
          </w:p>
        </w:tc>
        <w:tc>
          <w:tcPr>
            <w:tcW w:w="140" w:type="dxa"/>
            <w:vAlign w:val="bottom"/>
          </w:tcPr>
          <w:p>
            <w:pPr>
              <w:spacing w:after="0"/>
              <w:rPr>
                <w:sz w:val="10"/>
                <w:szCs w:val="10"/>
                <w:color w:val="auto"/>
              </w:rPr>
            </w:pP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219,130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Credit</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14,777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12,658</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7,554</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5,954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tcPr>
          <w:p>
            <w:pPr>
              <w:ind w:left="120"/>
              <w:spacing w:after="0" w:line="122" w:lineRule="exact"/>
              <w:rPr>
                <w:sz w:val="20"/>
                <w:szCs w:val="20"/>
                <w:color w:val="auto"/>
              </w:rPr>
            </w:pPr>
            <w:r>
              <w:rPr>
                <w:rFonts w:ascii="Arial" w:cs="Arial" w:eastAsia="Arial" w:hAnsi="Arial"/>
                <w:sz w:val="11"/>
                <w:szCs w:val="11"/>
                <w:color w:val="auto"/>
              </w:rPr>
              <w:t>Equities</w:t>
            </w: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7,795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7,798</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4,817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4,523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Money markets</w:t>
            </w:r>
          </w:p>
        </w:tc>
        <w:tc>
          <w:tcPr>
            <w:tcW w:w="1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213,209</w:t>
            </w:r>
          </w:p>
        </w:tc>
        <w:tc>
          <w:tcPr>
            <w:tcW w:w="2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173,743</w:t>
            </w:r>
          </w:p>
        </w:tc>
        <w:tc>
          <w:tcPr>
            <w:tcW w:w="26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132,105</w:t>
            </w:r>
          </w:p>
        </w:tc>
        <w:tc>
          <w:tcPr>
            <w:tcW w:w="14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94,324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00" w:type="dxa"/>
            <w:vAlign w:val="bottom"/>
          </w:tcPr>
          <w:p>
            <w:pPr>
              <w:ind w:left="120"/>
              <w:spacing w:after="0" w:line="116" w:lineRule="exact"/>
              <w:rPr>
                <w:sz w:val="20"/>
                <w:szCs w:val="20"/>
                <w:color w:val="auto"/>
              </w:rPr>
            </w:pPr>
            <w:r>
              <w:rPr>
                <w:rFonts w:ascii="Arial" w:cs="Arial" w:eastAsia="Arial" w:hAnsi="Arial"/>
                <w:sz w:val="11"/>
                <w:szCs w:val="11"/>
                <w:color w:val="auto"/>
              </w:rPr>
              <w:t>Total</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725,426</w:t>
            </w:r>
          </w:p>
        </w:tc>
        <w:tc>
          <w:tcPr>
            <w:tcW w:w="200" w:type="dxa"/>
            <w:vAlign w:val="bottom"/>
          </w:tcPr>
          <w:p>
            <w:pPr>
              <w:spacing w:after="0"/>
              <w:rPr>
                <w:sz w:val="10"/>
                <w:szCs w:val="10"/>
                <w:color w:val="auto"/>
              </w:rPr>
            </w:pPr>
          </w:p>
        </w:tc>
        <w:tc>
          <w:tcPr>
            <w:tcW w:w="1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548,222</w:t>
            </w:r>
          </w:p>
        </w:tc>
        <w:tc>
          <w:tcPr>
            <w:tcW w:w="260" w:type="dxa"/>
            <w:vAlign w:val="bottom"/>
          </w:tcPr>
          <w:p>
            <w:pPr>
              <w:spacing w:after="0"/>
              <w:rPr>
                <w:sz w:val="10"/>
                <w:szCs w:val="10"/>
                <w:color w:val="auto"/>
              </w:rPr>
            </w:pPr>
          </w:p>
        </w:tc>
        <w:tc>
          <w:tcPr>
            <w:tcW w:w="22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397,908</w:t>
            </w:r>
          </w:p>
        </w:tc>
        <w:tc>
          <w:tcPr>
            <w:tcW w:w="140" w:type="dxa"/>
            <w:vAlign w:val="bottom"/>
          </w:tcPr>
          <w:p>
            <w:pPr>
              <w:spacing w:after="0"/>
              <w:rPr>
                <w:sz w:val="10"/>
                <w:szCs w:val="10"/>
                <w:color w:val="auto"/>
              </w:rPr>
            </w:pP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323,931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600" w:type="dxa"/>
            <w:vAlign w:val="bottom"/>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60" w:hanging="333"/>
        <w:spacing w:after="0" w:line="286"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Subscription fees for the year ended December 31, 2019, the 2018 Successor Period, the 2018 Predecessor Period and the years ended December 31, 2017 and 2016 include $55.6 million, $13.5 million, $36.9 million, $50.1 million and $50.6 million, respectively, of Refinitiv (formerly Thomson Reuters) market data fees.</w:t>
      </w:r>
    </w:p>
    <w:p>
      <w:pPr>
        <w:spacing w:after="0" w:line="165" w:lineRule="exact"/>
        <w:rPr>
          <w:rFonts w:ascii="Arial" w:cs="Arial" w:eastAsia="Arial" w:hAnsi="Arial"/>
          <w:sz w:val="17"/>
          <w:szCs w:val="17"/>
          <w:color w:val="auto"/>
        </w:rPr>
      </w:pPr>
    </w:p>
    <w:p>
      <w:pPr>
        <w:ind w:left="660" w:right="200" w:hanging="333"/>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w:t>
      </w:r>
    </w:p>
    <w:p>
      <w:pPr>
        <w:spacing w:after="0" w:line="188" w:lineRule="exact"/>
        <w:rPr>
          <w:rFonts w:ascii="Arial" w:cs="Arial" w:eastAsia="Arial" w:hAnsi="Arial"/>
          <w:sz w:val="18"/>
          <w:szCs w:val="18"/>
          <w:color w:val="auto"/>
        </w:rPr>
      </w:pPr>
    </w:p>
    <w:p>
      <w:pPr>
        <w:ind w:left="660" w:right="60" w:hanging="333"/>
        <w:spacing w:after="0" w:line="28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April 2019, we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“Basis of Presentation,” and “Note 18 — Earnings Per Share” to our audited consolidated financial statements included elsewhere in this Annual Report on Form 10-K, for additional information.</w:t>
      </w:r>
    </w:p>
    <w:p>
      <w:pPr>
        <w:spacing w:after="0" w:line="4" w:lineRule="exact"/>
        <w:rPr>
          <w:rFonts w:ascii="Arial" w:cs="Arial" w:eastAsia="Arial" w:hAnsi="Arial"/>
          <w:sz w:val="16"/>
          <w:szCs w:val="16"/>
          <w:color w:val="auto"/>
        </w:rPr>
      </w:pPr>
    </w:p>
    <w:p>
      <w:pPr>
        <w:ind w:left="1620" w:hanging="321"/>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22" w:lineRule="exact"/>
        <w:rPr>
          <w:rFonts w:ascii="Arial" w:cs="Arial" w:eastAsia="Arial" w:hAnsi="Arial"/>
          <w:sz w:val="18"/>
          <w:szCs w:val="18"/>
          <w:color w:val="auto"/>
        </w:rPr>
      </w:pPr>
    </w:p>
    <w:p>
      <w:pPr>
        <w:ind w:left="1620" w:hanging="321"/>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43" w:lineRule="exact"/>
        <w:rPr>
          <w:rFonts w:ascii="Arial" w:cs="Arial" w:eastAsia="Arial" w:hAnsi="Arial"/>
          <w:sz w:val="18"/>
          <w:szCs w:val="18"/>
          <w:color w:val="auto"/>
        </w:rPr>
      </w:pPr>
    </w:p>
    <w:p>
      <w:pPr>
        <w:ind w:left="660" w:right="40" w:hanging="333"/>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addition to cash flow from operating activities presented in accordance with GAAP, we use Free Cash Flow to measure liquidity. See Part II, Item 7. – “Management’s Discussion and Analysis of Financial Condition and Results of Operations—Non-GAAP Financial Measures” for a definition and discussion of Free Cash Flow and “Use of Non-GAAP Financial Measures” for a discussion of the limitations of Free Cash Flow.</w:t>
      </w:r>
    </w:p>
    <w:p>
      <w:pPr>
        <w:spacing w:after="0" w:line="184" w:lineRule="exact"/>
        <w:rPr>
          <w:rFonts w:ascii="Arial" w:cs="Arial" w:eastAsia="Arial" w:hAnsi="Arial"/>
          <w:sz w:val="17"/>
          <w:szCs w:val="17"/>
          <w:color w:val="auto"/>
        </w:rPr>
      </w:pPr>
    </w:p>
    <w:p>
      <w:pPr>
        <w:ind w:left="660" w:right="180"/>
        <w:spacing w:after="0" w:line="264" w:lineRule="auto"/>
        <w:rPr>
          <w:rFonts w:ascii="Arial" w:cs="Arial" w:eastAsia="Arial" w:hAnsi="Arial"/>
          <w:sz w:val="17"/>
          <w:szCs w:val="17"/>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years ended December 31, 2017 and 2016:</w:t>
      </w:r>
    </w:p>
    <w:p>
      <w:pPr>
        <w:sectPr>
          <w:pgSz w:w="11900" w:h="16838" w:orient="portrait"/>
          <w:cols w:equalWidth="0" w:num="1">
            <w:col w:w="9080"/>
          </w:cols>
          <w:pgMar w:left="1420" w:top="125"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Cash flow from operating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Less: Capitalization of software development costs</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Less: Purchases of furniture, equipment and leasehold</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improvements</w:t>
      </w:r>
    </w:p>
    <w:p>
      <w:pPr>
        <w:spacing w:after="0"/>
        <w:rPr>
          <w:sz w:val="20"/>
          <w:szCs w:val="20"/>
          <w:color w:val="auto"/>
        </w:rPr>
      </w:pPr>
      <w:r>
        <w:rPr>
          <w:rFonts w:ascii="Arial" w:cs="Arial" w:eastAsia="Arial" w:hAnsi="Arial"/>
          <w:sz w:val="11"/>
          <w:szCs w:val="11"/>
          <w:color w:val="auto"/>
        </w:rPr>
        <w:t>Free Cash Flow</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78"/>
              </w:rPr>
              <w:t>Successor</w:t>
            </w:r>
          </w:p>
        </w:tc>
        <w:tc>
          <w:tcPr>
            <w:tcW w:w="140" w:type="dxa"/>
            <w:vAlign w:val="bottom"/>
          </w:tcPr>
          <w:p>
            <w:pPr>
              <w:spacing w:after="0"/>
              <w:rPr>
                <w:sz w:val="11"/>
                <w:szCs w:val="11"/>
                <w:color w:val="auto"/>
              </w:rPr>
            </w:pPr>
          </w:p>
        </w:tc>
        <w:tc>
          <w:tcPr>
            <w:tcW w:w="12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2"/>
              </w:rPr>
              <w:t>Successor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Predecessor</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Predecessor</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Predecessor</w:t>
            </w:r>
          </w:p>
        </w:tc>
      </w:tr>
      <w:tr>
        <w:trPr>
          <w:trHeight w:val="101"/>
        </w:trPr>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92"/>
              </w:rPr>
              <w:t>Year Ended</w:t>
            </w: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90"/>
              </w:rPr>
              <w:t>October 1, 2018 to</w:t>
            </w:r>
          </w:p>
        </w:tc>
        <w:tc>
          <w:tcPr>
            <w:tcW w:w="1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center"/>
              <w:ind w:right="46"/>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r>
      <w:tr>
        <w:trPr>
          <w:trHeight w:val="122"/>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1220" w:type="dxa"/>
            <w:vAlign w:val="bottom"/>
            <w:tcBorders>
              <w:right w:val="single" w:sz="8" w:color="auto"/>
            </w:tcBorders>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December 31,</w:t>
            </w:r>
          </w:p>
        </w:tc>
      </w:tr>
      <w:tr>
        <w:trPr>
          <w:trHeight w:val="135"/>
        </w:trPr>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1"/>
              </w:rPr>
              <w:t>2019</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9"/>
              </w:rPr>
              <w:t>2018</w:t>
            </w:r>
          </w:p>
        </w:tc>
        <w:tc>
          <w:tcPr>
            <w:tcW w:w="1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1"/>
              </w:rPr>
              <w:t>2018</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9"/>
              </w:rPr>
              <w:t>2017</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2016</w:t>
            </w:r>
          </w:p>
        </w:tc>
        <w:tc>
          <w:tcPr>
            <w:tcW w:w="160" w:type="dxa"/>
            <w:vAlign w:val="bottom"/>
            <w:tcBorders>
              <w:bottom w:val="single" w:sz="8" w:color="auto"/>
            </w:tcBorders>
          </w:tcPr>
          <w:p>
            <w:pPr>
              <w:spacing w:after="0"/>
              <w:rPr>
                <w:sz w:val="11"/>
                <w:szCs w:val="11"/>
                <w:color w:val="auto"/>
              </w:rPr>
            </w:pPr>
          </w:p>
        </w:tc>
      </w:tr>
      <w:tr>
        <w:trPr>
          <w:trHeight w:val="173"/>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31"/>
        </w:trPr>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311,003</w:t>
            </w:r>
          </w:p>
        </w:tc>
        <w:tc>
          <w:tcPr>
            <w:tcW w:w="1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112,556</w:t>
            </w: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164,828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224,580</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171,845</w:t>
            </w:r>
          </w:p>
        </w:tc>
        <w:tc>
          <w:tcPr>
            <w:tcW w:w="160" w:type="dxa"/>
            <w:vAlign w:val="bottom"/>
          </w:tcPr>
          <w:p>
            <w:pPr>
              <w:spacing w:after="0"/>
              <w:rPr>
                <w:sz w:val="11"/>
                <w:szCs w:val="11"/>
                <w:color w:val="auto"/>
              </w:rPr>
            </w:pPr>
          </w:p>
        </w:tc>
      </w:tr>
      <w:tr>
        <w:trPr>
          <w:trHeight w:val="122"/>
        </w:trPr>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(28,681)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(7,156)</w:t>
            </w:r>
          </w:p>
        </w:tc>
        <w:tc>
          <w:tcPr>
            <w:tcW w:w="1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(19,523)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(27,157)</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(25,351)</w:t>
            </w:r>
          </w:p>
        </w:tc>
        <w:tc>
          <w:tcPr>
            <w:tcW w:w="160" w:type="dxa"/>
            <w:vAlign w:val="bottom"/>
            <w:shd w:val="clear" w:color="auto" w:fill="CCEEFF"/>
          </w:tcPr>
          <w:p>
            <w:pPr>
              <w:spacing w:after="0"/>
              <w:rPr>
                <w:sz w:val="10"/>
                <w:szCs w:val="10"/>
                <w:color w:val="auto"/>
              </w:rPr>
            </w:pPr>
          </w:p>
        </w:tc>
      </w:tr>
      <w:tr>
        <w:trPr>
          <w:trHeight w:val="243"/>
        </w:trPr>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(15,781)</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(9,090)</w:t>
            </w:r>
          </w:p>
        </w:tc>
        <w:tc>
          <w:tcPr>
            <w:tcW w:w="1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(6,327)</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(13,461)</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(9,998)</w:t>
            </w:r>
          </w:p>
        </w:tc>
        <w:tc>
          <w:tcPr>
            <w:tcW w:w="160" w:type="dxa"/>
            <w:vAlign w:val="bottom"/>
          </w:tcPr>
          <w:p>
            <w:pPr>
              <w:spacing w:after="0"/>
              <w:rPr>
                <w:sz w:val="21"/>
                <w:szCs w:val="21"/>
                <w:color w:val="auto"/>
              </w:rPr>
            </w:pPr>
          </w:p>
        </w:tc>
      </w:tr>
      <w:tr>
        <w:trPr>
          <w:trHeight w:val="176"/>
        </w:trPr>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266,541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96,310</w:t>
            </w: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138,978</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183,962</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136,496</w:t>
            </w: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-445135</wp:posOffset>
            </wp:positionV>
            <wp:extent cx="576326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3260" cy="15430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-136525</wp:posOffset>
            </wp:positionV>
            <wp:extent cx="57632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326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40" w:space="520"/>
            <w:col w:w="6220"/>
          </w:cols>
          <w:pgMar w:left="1420" w:top="125" w:right="1399" w:bottom="1440" w:gutter="0" w:footer="0" w:header="0"/>
          <w:type w:val="continuous"/>
        </w:sectPr>
      </w:pPr>
    </w:p>
    <w:p>
      <w:pPr>
        <w:ind w:left="660" w:right="160" w:hanging="333"/>
        <w:spacing w:after="0" w:line="290"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addition to net income and net income attributable to Tradeweb Markets Inc., each presented in accordance with GAAP, we use Adjusted EBITDA, Adjusted EBITDA margin, Adjusted EBIT and Adjusted EBIT margin as measures of our operating performance and Adjusted Net Income and Adjusted Diluted EPS as measures of our profitability. See Part II, Item 7. – “Management’s Discussion and Analysis of Financial Condition and Results of Operations—Non-GAAP Financial Measures” for definitions and discussions of Adjusted EBITDA, Adjusted EBITDA margin, Adjusted EBIT, Adjusted EBIT margin, Adjusted Net Income and Adjusted Diluted</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type w:val="continuous"/>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EPS and “Use of Non-GAAP Financial Measures” for a discussion of the limitations of these non-GAAP financial measures.</w:t>
      </w:r>
    </w:p>
    <w:p>
      <w:pPr>
        <w:spacing w:after="0" w:line="170" w:lineRule="exact"/>
        <w:rPr>
          <w:sz w:val="20"/>
          <w:szCs w:val="20"/>
          <w:color w:val="auto"/>
        </w:rPr>
      </w:pPr>
    </w:p>
    <w:p>
      <w:pPr>
        <w:jc w:val="both"/>
        <w:ind w:left="660" w:right="160"/>
        <w:spacing w:after="0" w:line="286" w:lineRule="auto"/>
        <w:rPr>
          <w:sz w:val="20"/>
          <w:szCs w:val="20"/>
          <w:color w:val="auto"/>
        </w:rPr>
      </w:pPr>
      <w:r>
        <w:rPr>
          <w:rFonts w:ascii="Arial" w:cs="Arial" w:eastAsia="Arial" w:hAnsi="Arial"/>
          <w:sz w:val="17"/>
          <w:szCs w:val="17"/>
          <w:color w:val="auto"/>
        </w:rPr>
        <w:t>The table set forth below presents a reconciliation of net income to Adjusted EBITDA, Adjusted EBITDA margin, Adjusted EBIT and Adjusted EBIT margin for the year ended December 31, 2019, the 2018 Successor Period, the 2018 Predecessor Period and the years ended December 31, 2017 and 2016:</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62"/>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157"/>
              <w:spacing w:after="0"/>
              <w:rPr>
                <w:sz w:val="20"/>
                <w:szCs w:val="20"/>
                <w:color w:val="auto"/>
              </w:rPr>
            </w:pPr>
            <w:r>
              <w:rPr>
                <w:rFonts w:ascii="Arial" w:cs="Arial" w:eastAsia="Arial" w:hAnsi="Arial"/>
                <w:sz w:val="13"/>
                <w:szCs w:val="13"/>
                <w:b w:val="1"/>
                <w:bCs w:val="1"/>
                <w:color w:val="auto"/>
                <w:w w:val="79"/>
              </w:rPr>
              <w:t>Successor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2"/>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Pr>
          <w:p>
            <w:pPr>
              <w:spacing w:after="0"/>
              <w:rPr>
                <w:sz w:val="13"/>
                <w:szCs w:val="13"/>
                <w:color w:val="auto"/>
              </w:rPr>
            </w:pPr>
          </w:p>
        </w:tc>
        <w:tc>
          <w:tcPr>
            <w:tcW w:w="960" w:type="dxa"/>
            <w:vAlign w:val="bottom"/>
            <w:gridSpan w:val="2"/>
          </w:tcPr>
          <w:p>
            <w:pPr>
              <w:jc w:val="center"/>
              <w:ind w:right="142"/>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Pr>
          <w:p>
            <w:pPr>
              <w:spacing w:after="0"/>
              <w:rPr>
                <w:sz w:val="13"/>
                <w:szCs w:val="13"/>
                <w:color w:val="auto"/>
              </w:rPr>
            </w:pPr>
          </w:p>
        </w:tc>
        <w:tc>
          <w:tcPr>
            <w:tcW w:w="960" w:type="dxa"/>
            <w:vAlign w:val="bottom"/>
            <w:gridSpan w:val="2"/>
          </w:tcPr>
          <w:p>
            <w:pPr>
              <w:jc w:val="center"/>
              <w:ind w:right="142"/>
              <w:spacing w:after="0"/>
              <w:rPr>
                <w:sz w:val="20"/>
                <w:szCs w:val="20"/>
                <w:color w:val="auto"/>
              </w:rPr>
            </w:pPr>
            <w:r>
              <w:rPr>
                <w:rFonts w:ascii="Arial" w:cs="Arial" w:eastAsia="Arial" w:hAnsi="Arial"/>
                <w:sz w:val="13"/>
                <w:szCs w:val="13"/>
                <w:b w:val="1"/>
                <w:bCs w:val="1"/>
                <w:color w:val="auto"/>
                <w:w w:val="81"/>
              </w:rPr>
              <w:t>Predecessor</w:t>
            </w:r>
          </w:p>
        </w:tc>
      </w:tr>
      <w:tr>
        <w:trPr>
          <w:trHeight w:val="110"/>
        </w:trPr>
        <w:tc>
          <w:tcPr>
            <w:tcW w:w="3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17"/>
              <w:spacing w:after="0" w:line="110" w:lineRule="exact"/>
              <w:rPr>
                <w:sz w:val="20"/>
                <w:szCs w:val="20"/>
                <w:color w:val="auto"/>
              </w:rPr>
            </w:pPr>
            <w:r>
              <w:rPr>
                <w:rFonts w:ascii="Arial" w:cs="Arial" w:eastAsia="Arial" w:hAnsi="Arial"/>
                <w:sz w:val="12"/>
                <w:szCs w:val="12"/>
                <w:b w:val="1"/>
                <w:bCs w:val="1"/>
                <w:color w:val="auto"/>
                <w:w w:val="99"/>
              </w:rPr>
              <w:t>Year</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3"/>
              </w:rPr>
              <w:t>October 1, 2018</w:t>
            </w:r>
          </w:p>
        </w:tc>
        <w:tc>
          <w:tcPr>
            <w:tcW w:w="1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Year</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Year</w:t>
            </w:r>
          </w:p>
        </w:tc>
        <w:tc>
          <w:tcPr>
            <w:tcW w:w="120" w:type="dxa"/>
            <w:vAlign w:val="bottom"/>
          </w:tcPr>
          <w:p>
            <w:pPr>
              <w:spacing w:after="0"/>
              <w:rPr>
                <w:sz w:val="9"/>
                <w:szCs w:val="9"/>
                <w:color w:val="auto"/>
              </w:rPr>
            </w:pPr>
          </w:p>
        </w:tc>
      </w:tr>
      <w:tr>
        <w:trPr>
          <w:trHeight w:val="135"/>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2"/>
              <w:spacing w:after="0" w:line="135" w:lineRule="exact"/>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157"/>
              <w:spacing w:after="0" w:line="135" w:lineRule="exact"/>
              <w:rPr>
                <w:sz w:val="20"/>
                <w:szCs w:val="20"/>
                <w:color w:val="auto"/>
              </w:rPr>
            </w:pPr>
            <w:r>
              <w:rPr>
                <w:rFonts w:ascii="Arial" w:cs="Arial" w:eastAsia="Arial" w:hAnsi="Arial"/>
                <w:sz w:val="13"/>
                <w:szCs w:val="13"/>
                <w:b w:val="1"/>
                <w:bCs w:val="1"/>
                <w:color w:val="auto"/>
                <w:w w:val="97"/>
              </w:rPr>
              <w:t>to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22"/>
              <w:spacing w:after="0" w:line="135" w:lineRule="exact"/>
              <w:rPr>
                <w:sz w:val="20"/>
                <w:szCs w:val="20"/>
                <w:color w:val="auto"/>
              </w:rPr>
            </w:pPr>
            <w:r>
              <w:rPr>
                <w:rFonts w:ascii="Arial" w:cs="Arial" w:eastAsia="Arial" w:hAnsi="Arial"/>
                <w:sz w:val="13"/>
                <w:szCs w:val="13"/>
                <w:b w:val="1"/>
                <w:bCs w:val="1"/>
                <w:color w:val="auto"/>
                <w:w w:val="81"/>
              </w:rPr>
              <w:t>to</w:t>
            </w:r>
          </w:p>
        </w:tc>
        <w:tc>
          <w:tcPr>
            <w:tcW w:w="80" w:type="dxa"/>
            <w:vAlign w:val="bottom"/>
          </w:tcPr>
          <w:p>
            <w:pPr>
              <w:spacing w:after="0"/>
              <w:rPr>
                <w:sz w:val="11"/>
                <w:szCs w:val="11"/>
                <w:color w:val="auto"/>
              </w:rPr>
            </w:pPr>
          </w:p>
        </w:tc>
        <w:tc>
          <w:tcPr>
            <w:tcW w:w="960" w:type="dxa"/>
            <w:vAlign w:val="bottom"/>
            <w:gridSpan w:val="2"/>
          </w:tcPr>
          <w:p>
            <w:pPr>
              <w:jc w:val="center"/>
              <w:ind w:right="142"/>
              <w:spacing w:after="0" w:line="135"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1"/>
                <w:szCs w:val="11"/>
                <w:color w:val="auto"/>
              </w:rPr>
            </w:pPr>
          </w:p>
        </w:tc>
        <w:tc>
          <w:tcPr>
            <w:tcW w:w="960" w:type="dxa"/>
            <w:vAlign w:val="bottom"/>
            <w:gridSpan w:val="2"/>
          </w:tcPr>
          <w:p>
            <w:pPr>
              <w:jc w:val="center"/>
              <w:ind w:right="142"/>
              <w:spacing w:after="0" w:line="135" w:lineRule="exact"/>
              <w:rPr>
                <w:sz w:val="20"/>
                <w:szCs w:val="20"/>
                <w:color w:val="auto"/>
              </w:rPr>
            </w:pPr>
            <w:r>
              <w:rPr>
                <w:rFonts w:ascii="Arial" w:cs="Arial" w:eastAsia="Arial" w:hAnsi="Arial"/>
                <w:sz w:val="13"/>
                <w:szCs w:val="13"/>
                <w:b w:val="1"/>
                <w:bCs w:val="1"/>
                <w:color w:val="auto"/>
                <w:w w:val="90"/>
              </w:rPr>
              <w:t>Ended</w:t>
            </w:r>
          </w:p>
        </w:tc>
      </w:tr>
      <w:tr>
        <w:trPr>
          <w:trHeight w:val="135"/>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2"/>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157"/>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42"/>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80" w:type="dxa"/>
            <w:vAlign w:val="bottom"/>
          </w:tcPr>
          <w:p>
            <w:pPr>
              <w:spacing w:after="0"/>
              <w:rPr>
                <w:sz w:val="11"/>
                <w:szCs w:val="11"/>
                <w:color w:val="auto"/>
              </w:rPr>
            </w:pPr>
          </w:p>
        </w:tc>
        <w:tc>
          <w:tcPr>
            <w:tcW w:w="960" w:type="dxa"/>
            <w:vAlign w:val="bottom"/>
            <w:gridSpan w:val="2"/>
          </w:tcPr>
          <w:p>
            <w:pPr>
              <w:jc w:val="center"/>
              <w:ind w:right="162"/>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960" w:type="dxa"/>
            <w:vAlign w:val="bottom"/>
            <w:gridSpan w:val="2"/>
          </w:tcPr>
          <w:p>
            <w:pPr>
              <w:jc w:val="center"/>
              <w:ind w:right="162"/>
              <w:spacing w:after="0" w:line="135" w:lineRule="exact"/>
              <w:rPr>
                <w:sz w:val="20"/>
                <w:szCs w:val="20"/>
                <w:color w:val="auto"/>
              </w:rPr>
            </w:pPr>
            <w:r>
              <w:rPr>
                <w:rFonts w:ascii="Arial" w:cs="Arial" w:eastAsia="Arial" w:hAnsi="Arial"/>
                <w:sz w:val="13"/>
                <w:szCs w:val="13"/>
                <w:b w:val="1"/>
                <w:bCs w:val="1"/>
                <w:color w:val="auto"/>
                <w:w w:val="87"/>
              </w:rPr>
              <w:t>December 31,</w:t>
            </w:r>
          </w:p>
        </w:tc>
      </w:tr>
      <w:tr>
        <w:trPr>
          <w:trHeight w:val="153"/>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1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3"/>
                <w:szCs w:val="13"/>
                <w:color w:val="auto"/>
              </w:rPr>
            </w:pPr>
          </w:p>
        </w:tc>
      </w:tr>
      <w:tr>
        <w:trPr>
          <w:trHeight w:val="129"/>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4"/>
          </w:tcPr>
          <w:p>
            <w:pPr>
              <w:jc w:val="right"/>
              <w:ind w:right="342"/>
              <w:spacing w:after="0" w:line="129" w:lineRule="exact"/>
              <w:rPr>
                <w:sz w:val="20"/>
                <w:szCs w:val="20"/>
                <w:color w:val="auto"/>
              </w:rPr>
            </w:pPr>
            <w:r>
              <w:rPr>
                <w:rFonts w:ascii="Arial" w:cs="Arial" w:eastAsia="Arial" w:hAnsi="Arial"/>
                <w:sz w:val="13"/>
                <w:szCs w:val="13"/>
                <w:b w:val="1"/>
                <w:bCs w:val="1"/>
                <w:color w:val="auto"/>
                <w:w w:val="93"/>
              </w:rPr>
              <w:t>(in thousands)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173,024</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29,307</w:t>
            </w:r>
          </w:p>
        </w:tc>
        <w:tc>
          <w:tcPr>
            <w:tcW w:w="16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130,160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93,161</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Contingent consideration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right w:val="single" w:sz="8" w:color="auto"/>
            </w:tcBorders>
            <w:gridSpan w:val="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26,830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58,520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26,224</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 net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w:t>
            </w: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139,330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33,020</w:t>
            </w: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48,808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68,615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80,859</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25,098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tcBorders>
              <w:right w:val="single" w:sz="8" w:color="auto"/>
            </w:tcBorders>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Provision for income taxes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52,302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3,415</w:t>
            </w: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11,900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6,129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(725)</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foreign exchange (gains) / losses</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1,872</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w w:val="95"/>
              </w:rPr>
              <w:t>(Gain) / loss from revaluation of foreign denominated cash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(1,315)</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(33,134)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tcBorders>
              <w:right w:val="single" w:sz="8" w:color="auto"/>
            </w:tcBorders>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r>
      <w:tr>
        <w:trPr>
          <w:trHeight w:val="136"/>
        </w:trPr>
        <w:tc>
          <w:tcPr>
            <w:tcW w:w="32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353,162</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65,308</w:t>
            </w:r>
          </w:p>
        </w:tc>
        <w:tc>
          <w:tcPr>
            <w:tcW w:w="16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214,091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215,185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200,771</w:t>
            </w:r>
          </w:p>
        </w:tc>
        <w:tc>
          <w:tcPr>
            <w:tcW w:w="120" w:type="dxa"/>
            <w:vAlign w:val="bottom"/>
            <w:tcBorders>
              <w:bottom w:val="single" w:sz="8" w:color="CCEEFF"/>
            </w:tcBorders>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Less: Depreciation and amortization</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(139,330)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(33,020)</w:t>
            </w: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(80,859)</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Add: Acquisition and Refinitiv Transaction related D&amp;A</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97,565</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22,413</w:t>
            </w:r>
          </w:p>
        </w:tc>
        <w:tc>
          <w:tcPr>
            <w:tcW w:w="16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19,576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31,236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41,125</w:t>
            </w:r>
          </w:p>
        </w:tc>
        <w:tc>
          <w:tcPr>
            <w:tcW w:w="120" w:type="dxa"/>
            <w:vAlign w:val="bottom"/>
            <w:tcBorders>
              <w:bottom w:val="single" w:sz="8" w:color="CCEEFF"/>
            </w:tcBorders>
          </w:tcPr>
          <w:p>
            <w:pPr>
              <w:spacing w:after="0"/>
              <w:rPr>
                <w:sz w:val="11"/>
                <w:szCs w:val="11"/>
                <w:color w:val="auto"/>
              </w:rPr>
            </w:pPr>
          </w:p>
        </w:tc>
      </w:tr>
      <w:tr>
        <w:trPr>
          <w:trHeight w:val="149"/>
        </w:trPr>
        <w:tc>
          <w:tcPr>
            <w:tcW w:w="32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Adjusted EBIT</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311,397</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54,701</w:t>
            </w:r>
          </w:p>
        </w:tc>
        <w:tc>
          <w:tcPr>
            <w:tcW w:w="160" w:type="dxa"/>
            <w:vAlign w:val="bottom"/>
            <w:tcBorders>
              <w:bottom w:val="single" w:sz="8" w:color="CCEEFF"/>
              <w:right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184,859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177,806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161,037</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22"/>
        </w:trPr>
        <w:tc>
          <w:tcPr>
            <w:tcW w:w="3220" w:type="dxa"/>
            <w:vAlign w:val="bottom"/>
          </w:tcPr>
          <w:p>
            <w:pPr>
              <w:spacing w:after="0" w:line="122" w:lineRule="exact"/>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3"/>
                <w:szCs w:val="13"/>
                <w:color w:val="auto"/>
              </w:rPr>
              <w:t>45.5</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3"/>
                <w:szCs w:val="13"/>
                <w:color w:val="auto"/>
              </w:rPr>
              <w:t>36.6</w:t>
            </w:r>
          </w:p>
        </w:tc>
        <w:tc>
          <w:tcPr>
            <w:tcW w:w="16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3"/>
                <w:szCs w:val="13"/>
                <w:color w:val="auto"/>
                <w:w w:val="86"/>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3"/>
                <w:szCs w:val="13"/>
                <w:color w:val="auto"/>
              </w:rPr>
              <w:t>42.3</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38.2</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38.7</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Adjusted EBIT margin</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40.2 %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tcBorders>
              <w:right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36.5 %</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31.6 %</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31.1 %</w:t>
            </w:r>
          </w:p>
        </w:tc>
      </w:tr>
    </w:tbl>
    <w:p>
      <w:pPr>
        <w:spacing w:after="0" w:line="202"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table set forth below presents a reconciliation of net income attributable to Tradeweb Markets Inc. and net income, as applicable, to Adjusted Net Income and Adjusted Diluted EPS for the year ended December 31, 2019, the 2018 Successor Period, the 2018 Predecessor Period and the years ended December 31,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9"/>
              </w:rPr>
              <w:t>Successor</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Successor</w:t>
            </w:r>
          </w:p>
        </w:tc>
        <w:tc>
          <w:tcPr>
            <w:tcW w:w="1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1"/>
              </w:rPr>
              <w:t>Predecessor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Year</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October 1, 2018</w:t>
            </w:r>
          </w:p>
        </w:tc>
        <w:tc>
          <w:tcPr>
            <w:tcW w:w="1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January 1, 2018</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Ended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to</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to</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restart"/>
          </w:tcPr>
          <w:p>
            <w:pPr>
              <w:spacing w:after="0"/>
              <w:rPr>
                <w:sz w:val="20"/>
                <w:szCs w:val="20"/>
                <w:color w:val="auto"/>
              </w:rPr>
            </w:pPr>
            <w:r>
              <w:rPr>
                <w:rFonts w:ascii="Arial" w:cs="Arial" w:eastAsia="Arial" w:hAnsi="Arial"/>
                <w:sz w:val="13"/>
                <w:szCs w:val="13"/>
                <w:color w:val="auto"/>
              </w:rPr>
              <w:t>Earnings per diluted share</w:t>
            </w:r>
            <w:r>
              <w:rPr>
                <w:rFonts w:ascii="Arial" w:cs="Arial" w:eastAsia="Arial" w:hAnsi="Arial"/>
                <w:sz w:val="14"/>
                <w:szCs w:val="14"/>
                <w:color w:val="auto"/>
                <w:vertAlign w:val="superscript"/>
              </w:rPr>
              <w:t>(1)</w:t>
            </w:r>
          </w:p>
        </w:tc>
        <w:tc>
          <w:tcPr>
            <w:tcW w:w="180" w:type="dxa"/>
            <w:vAlign w:val="bottom"/>
            <w:vMerge w:val="restart"/>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0.190.54</w:t>
            </w:r>
          </w:p>
        </w:tc>
        <w:tc>
          <w:tcPr>
            <w:tcW w:w="280" w:type="dxa"/>
            <w:vAlign w:val="bottom"/>
            <w:vMerge w:val="restart"/>
          </w:tcPr>
          <w:p>
            <w:pPr>
              <w:spacing w:after="0"/>
              <w:rPr>
                <w:sz w:val="20"/>
                <w:szCs w:val="20"/>
                <w:color w:val="auto"/>
              </w:rPr>
            </w:pPr>
            <w:r>
              <w:rPr>
                <w:rFonts w:ascii="Arial" w:cs="Arial" w:eastAsia="Arial" w:hAnsi="Arial"/>
                <w:sz w:val="21"/>
                <w:szCs w:val="21"/>
                <w:color w:val="auto"/>
                <w:w w:val="70"/>
                <w:vertAlign w:val="subscript"/>
              </w:rPr>
              <w:t>(b)</w:t>
            </w:r>
            <w:r>
              <w:rPr>
                <w:rFonts w:ascii="Arial" w:cs="Arial" w:eastAsia="Arial" w:hAnsi="Arial"/>
                <w:sz w:val="11"/>
                <w:szCs w:val="11"/>
                <w:color w:val="auto"/>
                <w:w w:val="70"/>
              </w:rPr>
              <w:t>(a) /</w:t>
            </w: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0.13</w:t>
            </w:r>
          </w:p>
        </w:tc>
        <w:tc>
          <w:tcPr>
            <w:tcW w:w="180" w:type="dxa"/>
            <w:vAlign w:val="bottom"/>
            <w:vMerge w:val="restart"/>
          </w:tcPr>
          <w:p>
            <w:pPr>
              <w:spacing w:after="0"/>
              <w:rPr>
                <w:sz w:val="20"/>
                <w:szCs w:val="20"/>
                <w:color w:val="auto"/>
              </w:rPr>
            </w:pPr>
            <w:r>
              <w:rPr>
                <w:rFonts w:ascii="Arial" w:cs="Arial" w:eastAsia="Arial" w:hAnsi="Arial"/>
                <w:sz w:val="11"/>
                <w:szCs w:val="11"/>
                <w:color w:val="auto"/>
              </w:rPr>
              <w:t>(a)</w:t>
            </w:r>
          </w:p>
        </w:tc>
        <w:tc>
          <w:tcPr>
            <w:tcW w:w="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0.60</w:t>
            </w:r>
          </w:p>
        </w:tc>
        <w:tc>
          <w:tcPr>
            <w:tcW w:w="140" w:type="dxa"/>
            <w:vAlign w:val="bottom"/>
            <w:vMerge w:val="restart"/>
          </w:tcPr>
          <w:p>
            <w:pPr>
              <w:spacing w:after="0"/>
              <w:rPr>
                <w:sz w:val="20"/>
                <w:szCs w:val="20"/>
                <w:color w:val="auto"/>
              </w:rPr>
            </w:pPr>
            <w:r>
              <w:rPr>
                <w:rFonts w:ascii="Arial" w:cs="Arial" w:eastAsia="Arial" w:hAnsi="Arial"/>
                <w:sz w:val="11"/>
                <w:szCs w:val="11"/>
                <w:color w:val="auto"/>
                <w:w w:val="88"/>
              </w:rPr>
              <w:t>(a)</w:t>
            </w: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0.39</w:t>
            </w:r>
          </w:p>
        </w:tc>
        <w:tc>
          <w:tcPr>
            <w:tcW w:w="180" w:type="dxa"/>
            <w:vAlign w:val="bottom"/>
            <w:gridSpan w:val="3"/>
            <w:vMerge w:val="restart"/>
          </w:tcPr>
          <w:p>
            <w:pPr>
              <w:spacing w:after="0"/>
              <w:rPr>
                <w:sz w:val="20"/>
                <w:szCs w:val="20"/>
                <w:color w:val="auto"/>
              </w:rPr>
            </w:pPr>
            <w:r>
              <w:rPr>
                <w:rFonts w:ascii="Arial" w:cs="Arial" w:eastAsia="Arial" w:hAnsi="Arial"/>
                <w:sz w:val="11"/>
                <w:szCs w:val="11"/>
                <w:color w:val="auto"/>
                <w:w w:val="79"/>
              </w:rPr>
              <w:t>(a)</w:t>
            </w:r>
            <w:r>
              <w:rPr>
                <w:rFonts w:ascii="Arial" w:cs="Arial" w:eastAsia="Arial" w:hAnsi="Arial"/>
                <w:sz w:val="12"/>
                <w:szCs w:val="12"/>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0.44</w:t>
            </w:r>
          </w:p>
        </w:tc>
        <w:tc>
          <w:tcPr>
            <w:tcW w:w="120" w:type="dxa"/>
            <w:vAlign w:val="bottom"/>
            <w:vMerge w:val="restart"/>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gridSpan w:val="3"/>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280" w:type="dxa"/>
            <w:vAlign w:val="bottom"/>
            <w:gridSpan w:val="2"/>
          </w:tcPr>
          <w:p>
            <w:pPr>
              <w:spacing w:after="0" w:line="108" w:lineRule="exact"/>
              <w:rPr>
                <w:sz w:val="20"/>
                <w:szCs w:val="20"/>
                <w:color w:val="auto"/>
              </w:rPr>
            </w:pPr>
            <w:r>
              <w:rPr>
                <w:rFonts w:ascii="Arial" w:cs="Arial" w:eastAsia="Arial" w:hAnsi="Arial"/>
                <w:sz w:val="11"/>
                <w:szCs w:val="11"/>
                <w:color w:val="auto"/>
              </w:rPr>
              <w:t xml:space="preserve">Pre-IPO net income attributable to Tradeweb Markets LLC </w:t>
            </w:r>
            <w:r>
              <w:rPr>
                <w:rFonts w:ascii="Arial" w:cs="Arial" w:eastAsia="Arial" w:hAnsi="Arial"/>
                <w:sz w:val="12"/>
                <w:szCs w:val="12"/>
                <w:color w:val="auto"/>
                <w:vertAlign w:val="superscript"/>
              </w:rPr>
              <w:t>(1)</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42,352</w:t>
            </w:r>
          </w:p>
        </w:tc>
        <w:tc>
          <w:tcPr>
            <w:tcW w:w="280" w:type="dxa"/>
            <w:vAlign w:val="bottom"/>
          </w:tcPr>
          <w:p>
            <w:pPr>
              <w:spacing w:after="0" w:line="109" w:lineRule="exact"/>
              <w:rPr>
                <w:sz w:val="20"/>
                <w:szCs w:val="20"/>
                <w:color w:val="auto"/>
              </w:rPr>
            </w:pPr>
            <w:r>
              <w:rPr>
                <w:rFonts w:ascii="Arial" w:cs="Arial" w:eastAsia="Arial" w:hAnsi="Arial"/>
                <w:sz w:val="11"/>
                <w:szCs w:val="11"/>
                <w:color w:val="auto"/>
              </w:rPr>
              <w:t>(a)</w:t>
            </w: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29,307</w:t>
            </w:r>
          </w:p>
        </w:tc>
        <w:tc>
          <w:tcPr>
            <w:tcW w:w="180" w:type="dxa"/>
            <w:vAlign w:val="bottom"/>
          </w:tcPr>
          <w:p>
            <w:pPr>
              <w:spacing w:after="0" w:line="109" w:lineRule="exact"/>
              <w:rPr>
                <w:sz w:val="20"/>
                <w:szCs w:val="20"/>
                <w:color w:val="auto"/>
              </w:rPr>
            </w:pPr>
            <w:r>
              <w:rPr>
                <w:rFonts w:ascii="Arial" w:cs="Arial" w:eastAsia="Arial" w:hAnsi="Arial"/>
                <w:sz w:val="11"/>
                <w:szCs w:val="11"/>
                <w:color w:val="auto"/>
              </w:rPr>
              <w:t>(a)</w:t>
            </w: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130,160</w:t>
            </w:r>
          </w:p>
        </w:tc>
        <w:tc>
          <w:tcPr>
            <w:tcW w:w="140" w:type="dxa"/>
            <w:vAlign w:val="bottom"/>
          </w:tcPr>
          <w:p>
            <w:pPr>
              <w:spacing w:after="0" w:line="109" w:lineRule="exact"/>
              <w:rPr>
                <w:sz w:val="20"/>
                <w:szCs w:val="20"/>
                <w:color w:val="auto"/>
              </w:rPr>
            </w:pPr>
            <w:r>
              <w:rPr>
                <w:rFonts w:ascii="Arial" w:cs="Arial" w:eastAsia="Arial" w:hAnsi="Arial"/>
                <w:sz w:val="11"/>
                <w:szCs w:val="11"/>
                <w:color w:val="auto"/>
                <w:w w:val="88"/>
              </w:rPr>
              <w:t>(a)</w:t>
            </w: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83,648</w:t>
            </w:r>
          </w:p>
        </w:tc>
        <w:tc>
          <w:tcPr>
            <w:tcW w:w="140" w:type="dxa"/>
            <w:vAlign w:val="bottom"/>
            <w:gridSpan w:val="2"/>
          </w:tcPr>
          <w:p>
            <w:pPr>
              <w:spacing w:after="0" w:line="109" w:lineRule="exact"/>
              <w:rPr>
                <w:sz w:val="20"/>
                <w:szCs w:val="20"/>
                <w:color w:val="auto"/>
              </w:rPr>
            </w:pPr>
            <w:r>
              <w:rPr>
                <w:rFonts w:ascii="Arial" w:cs="Arial" w:eastAsia="Arial" w:hAnsi="Arial"/>
                <w:sz w:val="11"/>
                <w:szCs w:val="11"/>
                <w:color w:val="auto"/>
                <w:w w:val="88"/>
              </w:rPr>
              <w:t>(a)</w:t>
            </w: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93,161</w:t>
            </w:r>
          </w:p>
        </w:tc>
        <w:tc>
          <w:tcPr>
            <w:tcW w:w="120" w:type="dxa"/>
            <w:vAlign w:val="bottom"/>
          </w:tcPr>
          <w:p>
            <w:pPr>
              <w:spacing w:after="0" w:line="109" w:lineRule="exact"/>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w w:val="98"/>
              </w:rPr>
              <w:t xml:space="preserve">Add: Net income attributable to Tradeweb Markets Inc. </w:t>
            </w:r>
            <w:r>
              <w:rPr>
                <w:rFonts w:ascii="Arial" w:cs="Arial" w:eastAsia="Arial" w:hAnsi="Arial"/>
                <w:sz w:val="14"/>
                <w:szCs w:val="14"/>
                <w:color w:val="auto"/>
                <w:w w:val="98"/>
                <w:vertAlign w:val="superscript"/>
              </w:rPr>
              <w:t>(1)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83,769</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w w:val="94"/>
              </w:rPr>
              <w:t xml:space="preserve">Add: Net income attributable to non-controlling interests </w:t>
            </w:r>
            <w:r>
              <w:rPr>
                <w:rFonts w:ascii="Arial" w:cs="Arial" w:eastAsia="Arial" w:hAnsi="Arial"/>
                <w:sz w:val="14"/>
                <w:szCs w:val="14"/>
                <w:color w:val="auto"/>
                <w:w w:val="94"/>
                <w:vertAlign w:val="superscript"/>
              </w:rPr>
              <w:t>(1)(2)</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46,903</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173,024</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w w:val="96"/>
              </w:rPr>
              <w:t>(a)(b)</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29,307</w:t>
            </w:r>
          </w:p>
        </w:tc>
        <w:tc>
          <w:tcPr>
            <w:tcW w:w="1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130,160</w:t>
            </w: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w w:val="88"/>
              </w:rPr>
              <w:t>(a)</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83,648</w:t>
            </w:r>
          </w:p>
        </w:tc>
        <w:tc>
          <w:tcPr>
            <w:tcW w:w="14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88"/>
              </w:rPr>
              <w:t>(a)</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93,161</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Provision for income taxes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52,302</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3,415</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11,900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6,129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Contingent consideration</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26,830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58,520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26,224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Acquisition and Refinitiv Transaction related D&amp;A</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97,565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22,413</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19,576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31,236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25,098</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Unrealized foreign exchange (gains) / losses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(2,310)</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(Gain) / loss from revaluation of foreign denominated cash</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(921)</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(33,134)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Adjusted Net Income before income taxes</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313,770</w:t>
            </w:r>
          </w:p>
        </w:tc>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55,488</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186,585</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178,491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160,342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Adjusted income taxes</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(82,835)</w:t>
            </w:r>
          </w:p>
        </w:tc>
        <w:tc>
          <w:tcPr>
            <w:tcW w:w="2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(14,649)</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(49,258)</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(47,122)</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(42,330)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Adjusted Net Income</w:t>
            </w: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230,935</w:t>
            </w:r>
          </w:p>
        </w:tc>
        <w:tc>
          <w:tcPr>
            <w:tcW w:w="2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40,839</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137,327</w:t>
            </w: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131,369</w:t>
            </w: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118,012</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Adjusted Diluted EPS </w:t>
            </w:r>
            <w:r>
              <w:rPr>
                <w:rFonts w:ascii="Arial" w:cs="Arial" w:eastAsia="Arial" w:hAnsi="Arial"/>
                <w:sz w:val="14"/>
                <w:szCs w:val="14"/>
                <w:color w:val="auto"/>
                <w:vertAlign w:val="superscript"/>
              </w:rPr>
              <w:t>(1)(3)</w:t>
            </w: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0.23</w:t>
            </w:r>
          </w:p>
        </w:tc>
        <w:tc>
          <w:tcPr>
            <w:tcW w:w="280" w:type="dxa"/>
            <w:vAlign w:val="bottom"/>
          </w:tcPr>
          <w:p>
            <w:pPr>
              <w:spacing w:after="0"/>
              <w:rPr>
                <w:sz w:val="20"/>
                <w:szCs w:val="20"/>
                <w:color w:val="auto"/>
              </w:rPr>
            </w:pPr>
            <w:r>
              <w:rPr>
                <w:rFonts w:ascii="Arial" w:cs="Arial" w:eastAsia="Arial" w:hAnsi="Arial"/>
                <w:sz w:val="11"/>
                <w:szCs w:val="11"/>
                <w:color w:val="auto"/>
              </w:rPr>
              <w:t>(a) /</w:t>
            </w: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0.18</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0.64</w:t>
            </w:r>
          </w:p>
        </w:tc>
        <w:tc>
          <w:tcPr>
            <w:tcW w:w="140" w:type="dxa"/>
            <w:vAlign w:val="bottom"/>
          </w:tcPr>
          <w:p>
            <w:pPr>
              <w:spacing w:after="0"/>
              <w:rPr>
                <w:sz w:val="11"/>
                <w:szCs w:val="11"/>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0.62</w:t>
            </w:r>
          </w:p>
        </w:tc>
        <w:tc>
          <w:tcPr>
            <w:tcW w:w="180" w:type="dxa"/>
            <w:vAlign w:val="bottom"/>
            <w:gridSpan w:val="3"/>
            <w:vMerge w:val="restart"/>
          </w:tcPr>
          <w:p>
            <w:pPr>
              <w:spacing w:after="0"/>
              <w:rPr>
                <w:sz w:val="20"/>
                <w:szCs w:val="20"/>
                <w:color w:val="auto"/>
              </w:rPr>
            </w:pPr>
            <w:r>
              <w:rPr>
                <w:rFonts w:ascii="Arial" w:cs="Arial" w:eastAsia="Arial" w:hAnsi="Arial"/>
                <w:sz w:val="11"/>
                <w:szCs w:val="11"/>
                <w:color w:val="auto"/>
                <w:w w:val="79"/>
              </w:rPr>
              <w:t>(a)</w:t>
            </w:r>
            <w:r>
              <w:rPr>
                <w:rFonts w:ascii="Arial" w:cs="Arial" w:eastAsia="Arial" w:hAnsi="Arial"/>
                <w:sz w:val="12"/>
                <w:szCs w:val="12"/>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0.56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0.77</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1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(a)</w:t>
            </w:r>
          </w:p>
        </w:tc>
        <w:tc>
          <w:tcPr>
            <w:tcW w:w="20" w:type="dxa"/>
            <w:vAlign w:val="bottom"/>
            <w:shd w:val="clear" w:color="auto" w:fill="000000"/>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1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-1671955</wp:posOffset>
            </wp:positionV>
            <wp:extent cx="575437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-1423035</wp:posOffset>
            </wp:positionV>
            <wp:extent cx="575437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85725"/>
                    </a:xfrm>
                    <a:prstGeom prst="rect">
                      <a:avLst/>
                    </a:prstGeom>
                    <a:noFill/>
                  </pic:spPr>
                </pic:pic>
              </a:graphicData>
            </a:graphic>
          </wp:anchor>
        </w:drawing>
      </w:r>
    </w:p>
    <w:p>
      <w:pPr>
        <w:spacing w:after="0" w:line="285" w:lineRule="exact"/>
        <w:rPr>
          <w:sz w:val="20"/>
          <w:szCs w:val="20"/>
          <w:color w:val="auto"/>
        </w:rPr>
      </w:pPr>
    </w:p>
    <w:p>
      <w:pPr>
        <w:ind w:left="1040" w:right="300" w:hanging="389"/>
        <w:spacing w:after="0" w:line="230" w:lineRule="auto"/>
        <w:tabs>
          <w:tab w:leader="none" w:pos="10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April 2019, we completed the Reorganization Transactions and the IPO. Therefore, certain earnings information is being presented separately for Tradeweb Markets LLC and Tradeweb Markets Inc.</w:t>
      </w:r>
    </w:p>
    <w:p>
      <w:pPr>
        <w:ind w:left="1700" w:hanging="233"/>
        <w:spacing w:after="0" w:line="221" w:lineRule="auto"/>
        <w:tabs>
          <w:tab w:leader="none" w:pos="17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1700" w:hanging="273"/>
        <w:spacing w:after="0" w:line="221" w:lineRule="auto"/>
        <w:tabs>
          <w:tab w:leader="none" w:pos="17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1060" w:right="120"/>
        <w:spacing w:after="0" w:line="237" w:lineRule="auto"/>
        <w:rPr>
          <w:sz w:val="20"/>
          <w:szCs w:val="20"/>
          <w:color w:val="auto"/>
        </w:rPr>
      </w:pPr>
      <w:r>
        <w:rPr>
          <w:rFonts w:ascii="Arial" w:cs="Arial" w:eastAsia="Arial" w:hAnsi="Arial"/>
          <w:sz w:val="14"/>
          <w:szCs w:val="14"/>
          <w:color w:val="auto"/>
        </w:rPr>
        <w:t>See “Basis of Presentation” and Note 18 – Earnings Per Share to our audited consolidated financial statements included elsewhere in this Annual Report on Form 10-K.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60" w:right="120" w:hanging="328"/>
        <w:spacing w:after="0" w:line="253" w:lineRule="auto"/>
        <w:tabs>
          <w:tab w:leader="none" w:pos="10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73" w:lineRule="exact"/>
        <w:rPr>
          <w:rFonts w:ascii="Arial" w:cs="Arial" w:eastAsia="Arial" w:hAnsi="Arial"/>
          <w:sz w:val="14"/>
          <w:szCs w:val="14"/>
          <w:color w:val="auto"/>
        </w:rPr>
      </w:pPr>
    </w:p>
    <w:p>
      <w:pPr>
        <w:ind w:left="1060" w:right="120" w:hanging="328"/>
        <w:spacing w:after="0" w:line="238" w:lineRule="auto"/>
        <w:tabs>
          <w:tab w:leader="none" w:pos="10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table set forth below presents the calculation of Adjusted Diluted EPS for the periods presented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Predecessor</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2"/>
              </w:rPr>
              <w:t>Pre-IPO Period</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90"/>
              </w:rPr>
              <w:t>Post-IPO Period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7"/>
              </w:rPr>
              <w:t>October 1, 2018</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0"/>
              </w:rPr>
              <w:t>January 1, 2018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Year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Reconciliation of Diluted Weighted Average 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6"/>
              </w:rPr>
              <w:t>to</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6"/>
              </w:rPr>
              <w:t>to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3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Outstanding to Adjusted Diluted Weighted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4"/>
              </w:rPr>
              <w:t>December 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35"/>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Average Shares Outstanding</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2016</w:t>
            </w:r>
          </w:p>
        </w:tc>
        <w:tc>
          <w:tcPr>
            <w:tcW w:w="0" w:type="dxa"/>
            <w:vAlign w:val="bottom"/>
          </w:tcPr>
          <w:p>
            <w:pPr>
              <w:spacing w:after="0"/>
              <w:rPr>
                <w:sz w:val="1"/>
                <w:szCs w:val="1"/>
                <w:color w:val="auto"/>
              </w:rPr>
            </w:pPr>
          </w:p>
        </w:tc>
      </w:tr>
      <w:tr>
        <w:trPr>
          <w:trHeight w:val="115"/>
        </w:trPr>
        <w:tc>
          <w:tcPr>
            <w:tcW w:w="314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Diluted weighted average TWM LLC shares outstanding</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223,320,457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222,243,851</w:t>
            </w: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215,365,920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212,568,635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210,979,704</w:t>
            </w:r>
          </w:p>
        </w:tc>
        <w:tc>
          <w:tcPr>
            <w:tcW w:w="0" w:type="dxa"/>
            <w:vAlign w:val="bottom"/>
          </w:tcPr>
          <w:p>
            <w:pPr>
              <w:spacing w:after="0"/>
              <w:rPr>
                <w:sz w:val="1"/>
                <w:szCs w:val="1"/>
                <w:color w:val="auto"/>
              </w:rPr>
            </w:pPr>
          </w:p>
        </w:tc>
      </w:tr>
      <w:tr>
        <w:trPr>
          <w:trHeight w:val="112"/>
        </w:trPr>
        <w:tc>
          <w:tcPr>
            <w:tcW w:w="3140" w:type="dxa"/>
            <w:vAlign w:val="bottom"/>
            <w:gridSpan w:val="2"/>
          </w:tcPr>
          <w:p>
            <w:pPr>
              <w:spacing w:after="0" w:line="112" w:lineRule="exact"/>
              <w:rPr>
                <w:sz w:val="20"/>
                <w:szCs w:val="20"/>
                <w:color w:val="auto"/>
              </w:rPr>
            </w:pPr>
            <w:r>
              <w:rPr>
                <w:rFonts w:ascii="Arial" w:cs="Arial" w:eastAsia="Arial" w:hAnsi="Arial"/>
                <w:sz w:val="11"/>
                <w:szCs w:val="11"/>
                <w:color w:val="auto"/>
                <w:w w:val="89"/>
              </w:rPr>
              <w:t>Diluted weighted average shares of Class A and Class B common stock</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140" w:type="dxa"/>
            <w:vAlign w:val="bottom"/>
            <w:gridSpan w:val="2"/>
          </w:tcPr>
          <w:p>
            <w:pPr>
              <w:spacing w:after="0"/>
              <w:rPr>
                <w:sz w:val="20"/>
                <w:szCs w:val="20"/>
                <w:color w:val="auto"/>
              </w:rPr>
            </w:pPr>
            <w:r>
              <w:rPr>
                <w:rFonts w:ascii="Arial" w:cs="Arial" w:eastAsia="Arial" w:hAnsi="Arial"/>
                <w:sz w:val="11"/>
                <w:szCs w:val="11"/>
                <w:color w:val="auto"/>
              </w:rPr>
              <w:t>outstanding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156,540,246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3140" w:type="dxa"/>
            <w:vAlign w:val="bottom"/>
            <w:gridSpan w:val="2"/>
            <w:shd w:val="clear" w:color="auto" w:fill="CCEEFF"/>
          </w:tcPr>
          <w:p>
            <w:pPr>
              <w:spacing w:after="0" w:line="96" w:lineRule="exact"/>
              <w:rPr>
                <w:sz w:val="20"/>
                <w:szCs w:val="20"/>
                <w:color w:val="auto"/>
              </w:rPr>
            </w:pPr>
            <w:r>
              <w:rPr>
                <w:rFonts w:ascii="Arial" w:cs="Arial" w:eastAsia="Arial" w:hAnsi="Arial"/>
                <w:sz w:val="11"/>
                <w:szCs w:val="11"/>
                <w:color w:val="auto"/>
                <w:w w:val="92"/>
              </w:rPr>
              <w:t>Assumed exchange of LLC interests for shares of Class A or Class B</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common stock </w:t>
            </w:r>
            <w:r>
              <w:rPr>
                <w:rFonts w:ascii="Arial" w:cs="Arial" w:eastAsia="Arial" w:hAnsi="Arial"/>
                <w:sz w:val="11"/>
                <w:szCs w:val="11"/>
                <w:color w:val="auto"/>
                <w:vertAlign w:val="superscript"/>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74,279,741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4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color w:val="auto"/>
              </w:rPr>
              <w:t>Adjusted diluted weighted average shares outstanding</w:t>
            </w:r>
          </w:p>
        </w:tc>
        <w:tc>
          <w:tcPr>
            <w:tcW w:w="14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223,320,457</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230,819,987</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222,243,851</w:t>
            </w:r>
          </w:p>
        </w:tc>
        <w:tc>
          <w:tcPr>
            <w:tcW w:w="140" w:type="dxa"/>
            <w:vAlign w:val="bottom"/>
            <w:tcBorders>
              <w:bottom w:val="single" w:sz="8" w:color="CCEEFF"/>
              <w:right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215,365,920</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212,568,635</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210,979,704</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Adjusted Net Income (in thousands)</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52,190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178,745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40,839</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137,327</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131,369</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118,012</w:t>
            </w:r>
          </w:p>
        </w:tc>
        <w:tc>
          <w:tcPr>
            <w:tcW w:w="0" w:type="dxa"/>
            <w:vAlign w:val="bottom"/>
          </w:tcPr>
          <w:p>
            <w:pPr>
              <w:spacing w:after="0"/>
              <w:rPr>
                <w:sz w:val="1"/>
                <w:szCs w:val="1"/>
                <w:color w:val="auto"/>
              </w:rPr>
            </w:pPr>
          </w:p>
        </w:tc>
      </w:tr>
      <w:tr>
        <w:trPr>
          <w:trHeight w:val="116"/>
        </w:trPr>
        <w:tc>
          <w:tcPr>
            <w:tcW w:w="3140" w:type="dxa"/>
            <w:vAlign w:val="bottom"/>
            <w:gridSpan w:val="2"/>
          </w:tcPr>
          <w:p>
            <w:pPr>
              <w:spacing w:after="0" w:line="109" w:lineRule="exact"/>
              <w:rPr>
                <w:sz w:val="20"/>
                <w:szCs w:val="20"/>
                <w:color w:val="auto"/>
              </w:rPr>
            </w:pPr>
            <w:r>
              <w:rPr>
                <w:rFonts w:ascii="Arial" w:cs="Arial" w:eastAsia="Arial" w:hAnsi="Arial"/>
                <w:sz w:val="11"/>
                <w:szCs w:val="11"/>
                <w:color w:val="auto"/>
              </w:rPr>
              <w:t>Adjusted Diluted EPS</w:t>
            </w:r>
          </w:p>
        </w:tc>
        <w:tc>
          <w:tcPr>
            <w:tcW w:w="1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0.23</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0.77</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0.18</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0.64</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0.62</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0.56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80" w:right="280" w:hanging="329"/>
        <w:spacing w:after="0" w:line="249" w:lineRule="auto"/>
        <w:tabs>
          <w:tab w:leader="none" w:pos="9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6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and “Selected Historical Consolidated Financial and Other Data”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8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3"/>
        <w:spacing w:after="0" w:line="277"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 Inc. In 2011, we acquired the brokerage assets of Rafferty Capital Markets. Today, Dealerweb actively competes across a range of rates, credit, derivatives and equity markets.</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in 2020 include, among other things, economic, political and social conditions, legislative, regulatory or government policy changes and health concerns associated with the coronavirus. As a result, our business is sensitive to slow trading environments and the continuity of conservative monetary policies of central banks internationally, which tend to lessen volatility.</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administration and could be further impacted, depending on the results of the upcoming U.S. 2020 elections. The impact of any reform efforts on us and our operations remains uncertain. In addition, as a result of the referendum in favor of the United Kingdom’s withdrawal from the European Union (“Brexit”) in June 2016, which occurred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APA service in connection with, the implementation of MiFID II in January 2018.</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19" w:firstLine="324"/>
        <w:spacing w:after="0" w:line="287"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right="19" w:firstLine="324"/>
        <w:spacing w:after="0" w:line="287" w:lineRule="auto"/>
        <w:rPr>
          <w:sz w:val="20"/>
          <w:szCs w:val="20"/>
          <w:color w:val="auto"/>
        </w:rPr>
      </w:pPr>
      <w:r>
        <w:rPr>
          <w:rFonts w:ascii="Arial" w:cs="Arial" w:eastAsia="Arial" w:hAnsi="Arial"/>
          <w:sz w:val="16"/>
          <w:szCs w:val="16"/>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229"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As a result of the Refinitiv Transaction, and the application of pushdown accounting, our assets and liabilities were adjusted to their estimated fair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 Pushdown Accounting” to our audited</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consolidated financial statements included elsewhere in this Annual Report on Form 10-K and “— Critical Accounting Policies and Estimates — Pushdown Accounting.”</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or certain expenses, including employee compensation and benefits expense, general and administrative expense, technology and communications expense, professional fees and net interest income (expense), and, for these metrics, we believe combining the results for the 2018 Successor and 2018 Predecessor periods provides meaningful information. Accordingly, certain discussions below for revenues and certain expenses represent the combined results of the 2018 Successor and 2018 Predecessor periods for the full year ended December 31, 2018. Such combination was performed by mathematical addition and is not a presentation made in accordance with GAAP, although we believe it provides a meaningful method of comparison for these metrics. The combined data is being presented for informational purposes only. The combined results for these metrics for the full year ended December 31, 2018 (i) have not been prepared on a pro forma basis, as if the Refinitiv Transaction occurred on the first day of the period, (ii) may not reflect the actual results we would have achieved absent the Refinitiv Transaction, (iii) may not be predictive of our future results of 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continue to increase as we establish more comprehensive compliance and governance functions, establish, maintain and review internal control over financial reporting in accordance with the Sarbanes-Oxley Act and prepare and distribute periodic reports in accordance with SEC rules.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For the 2018 Predecessor Period and the year ended December 31, 2017, our gross revenue is offset by contingent consideration recognized as a contra-revenue adjustment related to the achievement of specific revenue earnout milestones, as further described below. This contingent consideration vested on, and has no additional impacts on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results of operations after, July 31, 2018. We believe that gross revenue is the key driver of our operating performance and therefore is the revenue measure we utilize to assess our business on a period by period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 ended December 31, 2017.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 In connection with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Reorganization Transactions, the Class A Shares, Class P1-(A) Shares, Class C Shares and Class P1-(C) Shares were exchanged for LLC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increase as a result of expanding public company and compliance requirements. Factors that influence technology and software consulting expense include the growth of our client base and product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 In addition, we currently anticipate that in 2020 we will likely enter into a new lease to increase the size of our corporate headquarters in or near New York, New York, which may result in increased operating expenses.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 Historically, interest expense consisted of interest payable to Thomson Reuters under a convertible term note. Thomson Reuters converted all outstanding borrowings under this note to equity of the Company in May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began consolidating the financial results of TWM LLC and reporting a non-controlling interest on our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8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December 31, 2019, we owned 73.4% of TWM LLC and the Continuing LLC Owners owned the remaining 26.6% of TWM LLC.</w:t>
      </w:r>
    </w:p>
    <w:p>
      <w:pPr>
        <w:spacing w:after="0" w:line="18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result of the foregoing is that, during the second quarter of 2019, we began reporting net income attributable to non-controlling interests. For the year ended December 31, 2019, net income attributable to non-controlling interests totaled $46.9 million, which represents the Continuing LLC Owners’ pro rata share of the net income of TWM LLC subsequent to the Reorganization Transactions and the IPO. For pre-IPO periods, there were no non-controlling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the Year Ended December 31, 2019 (Successor), October 1, 2018 to December 31, 2018 (Successor) and January 1, 2018 to September 30, 2018 (Predecessor)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a summary of our statements of income for the year ended December 31, 2019, the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Period and the 2018 Predecessor Period:</w:t>
      </w:r>
    </w:p>
    <w:p>
      <w:pPr>
        <w:spacing w:after="0" w:line="220" w:lineRule="exact"/>
        <w:rPr>
          <w:sz w:val="20"/>
          <w:szCs w:val="20"/>
          <w:color w:val="auto"/>
        </w:rPr>
      </w:pPr>
    </w:p>
    <w:tbl>
      <w:tblPr>
        <w:tblLayout w:type="fixed"/>
        <w:tblInd w:w="5180" w:type="dxa"/>
        <w:tblCellMar>
          <w:top w:w="0" w:type="dxa"/>
          <w:left w:w="0" w:type="dxa"/>
          <w:bottom w:w="0" w:type="dxa"/>
          <w:right w:w="0" w:type="dxa"/>
        </w:tblCellMar>
      </w:tblPr>
      <w:tr>
        <w:trPr>
          <w:trHeight w:val="153"/>
        </w:trPr>
        <w:tc>
          <w:tcPr>
            <w:tcW w:w="13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9"/>
              </w:rPr>
              <w:t>Successor</w:t>
            </w:r>
          </w:p>
        </w:tc>
        <w:tc>
          <w:tcPr>
            <w:tcW w:w="132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1"/>
              </w:rPr>
              <w:t>Predecessor</w:t>
            </w:r>
          </w:p>
        </w:tc>
      </w:tr>
      <w:tr>
        <w:trPr>
          <w:trHeight w:val="129"/>
        </w:trPr>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Year Ended</w:t>
            </w:r>
          </w:p>
        </w:tc>
        <w:tc>
          <w:tcPr>
            <w:tcW w:w="1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6"/>
              </w:rPr>
              <w:t>October 1, 2018 to</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6"/>
              </w:rPr>
              <w:t>January 1, 2018 to</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0"/>
              </w:rPr>
              <w:t>December 31, 2019</w:t>
            </w: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September 30, 2018</w:t>
            </w:r>
          </w:p>
        </w:tc>
      </w:tr>
      <w:tr>
        <w:trPr>
          <w:trHeight w:val="129"/>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w w:val="91"/>
              </w:rPr>
              <w:t>(dollars in thousands)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3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505,771</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(26,830)</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146,702</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338,607</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Tax receivable agreement liability adjustment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Income before taxes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225,326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32,722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142,060</w:t>
            </w: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(52,302)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17"/>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jc w:val="right"/>
              <w:ind w:right="14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173,024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29,307</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130,160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Pre-IPO net income attributable to Tradeweb Markets LLC</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8"/>
                <w:szCs w:val="18"/>
                <w:color w:val="auto"/>
              </w:rPr>
              <w:t>Net income attributable to Tradeweb Markets Inc. and non-</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controlling interests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130,672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Tradeweb Markets Inc.</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year ended December 31, 2019, our revenue grew due to a number of factors. Higher client trading activity drove revenue increases in our rates, credit, equities and money markets asset classes. Our market data business also grew due to the expansion of our market data license agreement with Refinitiv in November 2018. Our expenses were impacted by higher depreciation and amortization expense as a result of the application of pushdown accounting and non-cash stock-based compensation expense related to the Special Option Award as a result of the completion of the IPO during the second quarter of 2019.</w:t>
      </w:r>
    </w:p>
    <w:p>
      <w:pPr>
        <w:spacing w:after="0" w:line="19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Gross revenue increased by $91.2 million or 13.3% to $775.6 million for the year ended December 31, 2019 from $684.4 million for the combined year ended December 31, 2018. This increase in gross revenue was mainly due to higher trading volumes, resulting in a $52.7 million increase in transaction fees and a $36.7 million increase in commission revenue. Net revenue increased by $118.0 million or 17.9% to $775.6 million for the year ended December 31, 2019 from $657.6 million for the combined year ended December 31, 2018. Non-cash contingent consideration decreased by $26.8 million for the year ended December 31, 2019 as a result of the vesting of the Credit Initiative Earnout at July 31, 2018.</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expenses for the year ended December 31, 2019 were $585.7 million. Total expenses for the 2018 Successor Period and the 2018 Predecessor Period were $146.7 million and $338.6 million, respectively. Total expenses for the year ended December 31, 2019 were impacted by higher depreciation and amortization expense as a result of the application of pushdown accounting and higher employee compensation and benefits expense, including the impact of non-cash stock-based compensation expense related to the Special Option Award, which, as a result of the completion of the IPO, we began to expense during the second quarter of 2019 (with $18.9 million recognized as compensation expense related to these options immediately upon the completion of the IPO).</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tax receivable agreement liability adjustment of $33.1 million during the year ended December 31, 2019 was primarily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87"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Income before taxes for the year ended December 31, 2019 was $225.3 million. Income before taxes for the 2018 Successor Period and the 2018 Predecessor Period was $32.7 million and $142.1 million, respectively. Net income for the year ended December 31, 2019 was $173.0 million. Net income for the 2018 Successor Period and the 2018 Predecessor Period was $29.3 million and $130.2 million, respectively. Net income attributable to Tradeweb Markets Inc. for the year ended December 31, 2019 was $83.8 million. Income before taxes, net income and net income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attributable to Tradeweb Markets Inc. for the year ended December 31, 2019 were negatively impacted by higher depreciation and amortization expense as a result of the application of pushdown accounting, resulting in acquisition and Refinitiv related depreciation and amortization expense of $97.6 million, and by $24.4 million of stock-based compensation expense related to the Special Option Award and post-IPO options awarded in the second half of 2019, partially offset by higher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revenues for the year ended December 31, 2019, the combined year ended December 31, 2018, the 2018 Successor Period and the 2018 Predecessor Period, and the resulting dollar and percentage changes, were as follows: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Revenues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Transaction fees</w:t>
      </w:r>
    </w:p>
    <w:p>
      <w:pPr>
        <w:spacing w:after="0" w:line="230" w:lineRule="auto"/>
        <w:rPr>
          <w:sz w:val="20"/>
          <w:szCs w:val="20"/>
          <w:color w:val="auto"/>
        </w:rPr>
      </w:pPr>
      <w:r>
        <w:rPr>
          <w:rFonts w:ascii="Arial" w:cs="Arial" w:eastAsia="Arial" w:hAnsi="Arial"/>
          <w:sz w:val="11"/>
          <w:szCs w:val="11"/>
          <w:color w:val="auto"/>
        </w:rPr>
        <w:t>Subscription fees</w:t>
      </w:r>
      <w:r>
        <w:rPr>
          <w:rFonts w:ascii="Arial" w:cs="Arial" w:eastAsia="Arial" w:hAnsi="Arial"/>
          <w:sz w:val="11"/>
          <w:szCs w:val="11"/>
          <w:color w:val="auto"/>
          <w:vertAlign w:val="superscript"/>
        </w:rPr>
        <w:t>(2)</w:t>
      </w:r>
    </w:p>
    <w:p>
      <w:pPr>
        <w:spacing w:after="0"/>
        <w:rPr>
          <w:sz w:val="20"/>
          <w:szCs w:val="20"/>
          <w:color w:val="auto"/>
        </w:rPr>
      </w:pPr>
      <w:r>
        <w:rPr>
          <w:rFonts w:ascii="Arial" w:cs="Arial" w:eastAsia="Arial" w:hAnsi="Arial"/>
          <w:sz w:val="11"/>
          <w:szCs w:val="11"/>
          <w:color w:val="auto"/>
        </w:rPr>
        <w:t>Commissions</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Gross revenue</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Contingent consideration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Net revenue</w:t>
      </w:r>
    </w:p>
    <w:p>
      <w:pPr>
        <w:spacing w:after="0" w:line="21" w:lineRule="exact"/>
        <w:rPr>
          <w:sz w:val="20"/>
          <w:szCs w:val="20"/>
          <w:color w:val="auto"/>
        </w:rPr>
      </w:pPr>
    </w:p>
    <w:p>
      <w:pPr>
        <w:ind w:right="140"/>
        <w:spacing w:after="0" w:line="238" w:lineRule="auto"/>
        <w:rPr>
          <w:sz w:val="20"/>
          <w:szCs w:val="20"/>
          <w:color w:val="auto"/>
        </w:rPr>
      </w:pPr>
      <w:r>
        <w:rPr>
          <w:rFonts w:ascii="Arial" w:cs="Arial" w:eastAsia="Arial" w:hAnsi="Arial"/>
          <w:sz w:val="11"/>
          <w:szCs w:val="11"/>
          <w:color w:val="auto"/>
        </w:rPr>
        <w:t>Components of gross revenue growth:</w:t>
      </w:r>
    </w:p>
    <w:p>
      <w:pPr>
        <w:ind w:left="240"/>
        <w:spacing w:after="0"/>
        <w:rPr>
          <w:sz w:val="20"/>
          <w:szCs w:val="20"/>
          <w:color w:val="auto"/>
        </w:rPr>
      </w:pPr>
      <w:r>
        <w:rPr>
          <w:rFonts w:ascii="Arial" w:cs="Arial" w:eastAsia="Arial" w:hAnsi="Arial"/>
          <w:sz w:val="9"/>
          <w:szCs w:val="9"/>
          <w:color w:val="auto"/>
        </w:rPr>
        <w:t>Constant currency growth</w:t>
      </w:r>
      <w:r>
        <w:rPr>
          <w:rFonts w:ascii="Arial" w:cs="Arial" w:eastAsia="Arial" w:hAnsi="Arial"/>
          <w:sz w:val="9"/>
          <w:szCs w:val="9"/>
          <w:color w:val="auto"/>
          <w:vertAlign w:val="superscript"/>
        </w:rPr>
        <w:t>(3)</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14408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2"/>
              </w:rPr>
              <w:t>Successor</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2"/>
              </w:rPr>
              <w:t>Successor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4"/>
              </w:rPr>
              <w:t>Predecessor</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gridSpan w:val="4"/>
            <w:vMerge w:val="restart"/>
          </w:tcPr>
          <w:p>
            <w:pPr>
              <w:jc w:val="right"/>
              <w:ind w:right="166"/>
              <w:spacing w:after="0"/>
              <w:rPr>
                <w:sz w:val="20"/>
                <w:szCs w:val="20"/>
                <w:color w:val="auto"/>
              </w:rPr>
            </w:pPr>
            <w:r>
              <w:rPr>
                <w:rFonts w:ascii="Arial" w:cs="Arial" w:eastAsia="Arial" w:hAnsi="Arial"/>
                <w:sz w:val="11"/>
                <w:szCs w:val="11"/>
                <w:b w:val="1"/>
                <w:bCs w:val="1"/>
                <w:color w:val="auto"/>
                <w:w w:val="98"/>
              </w:rPr>
              <w:t>Year Ended December 31, 2019 vs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4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9"/>
              </w:rPr>
              <w:t>Year Ended</w:t>
            </w:r>
          </w:p>
        </w:tc>
        <w:tc>
          <w:tcPr>
            <w:tcW w:w="1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December 31, 2019</w:t>
            </w: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8"/>
              </w:rPr>
              <w:t>December 31, 2018</w:t>
            </w: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December 31, 2018</w:t>
            </w: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September 30, 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w w:val="88"/>
              </w:rPr>
              <w:t>Combined Year Ended December 31, 2018</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9"/>
              </w:rPr>
              <w:t>% of Gross</w:t>
            </w: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0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Revenue</w:t>
            </w:r>
          </w:p>
        </w:tc>
        <w:tc>
          <w:tcPr>
            <w:tcW w:w="160" w:type="dxa"/>
            <w:vAlign w:val="bottom"/>
            <w:tcBorders>
              <w:right w:val="single" w:sz="8" w:color="auto"/>
            </w:tcBorders>
          </w:tcPr>
          <w:p>
            <w:pPr>
              <w:spacing w:after="0"/>
              <w:rPr>
                <w:sz w:val="11"/>
                <w:szCs w:val="11"/>
                <w:color w:val="auto"/>
              </w:rPr>
            </w:pPr>
          </w:p>
        </w:tc>
        <w:tc>
          <w:tcPr>
            <w:tcW w:w="58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w w:val="95"/>
              </w:rPr>
              <w:t>Revenue</w:t>
            </w:r>
          </w:p>
        </w:tc>
        <w:tc>
          <w:tcPr>
            <w:tcW w:w="180" w:type="dxa"/>
            <w:vAlign w:val="bottom"/>
            <w:tcBorders>
              <w:right w:val="single" w:sz="8" w:color="auto"/>
            </w:tcBorders>
          </w:tcPr>
          <w:p>
            <w:pPr>
              <w:spacing w:after="0"/>
              <w:rPr>
                <w:sz w:val="11"/>
                <w:szCs w:val="11"/>
                <w:color w:val="auto"/>
              </w:rPr>
            </w:pPr>
          </w:p>
        </w:tc>
        <w:tc>
          <w:tcPr>
            <w:tcW w:w="5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Revenue</w:t>
            </w:r>
          </w:p>
        </w:tc>
        <w:tc>
          <w:tcPr>
            <w:tcW w:w="40" w:type="dxa"/>
            <w:vAlign w:val="bottom"/>
            <w:tcBorders>
              <w:right w:val="single" w:sz="8" w:color="auto"/>
            </w:tcBorders>
          </w:tcPr>
          <w:p>
            <w:pPr>
              <w:spacing w:after="0"/>
              <w:rPr>
                <w:sz w:val="11"/>
                <w:szCs w:val="11"/>
                <w:color w:val="auto"/>
              </w:rPr>
            </w:pPr>
          </w:p>
        </w:tc>
        <w:tc>
          <w:tcPr>
            <w:tcW w:w="5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w w:val="95"/>
              </w:rPr>
              <w:t>Revenue</w:t>
            </w:r>
          </w:p>
        </w:tc>
        <w:tc>
          <w:tcPr>
            <w:tcW w:w="12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Change</w:t>
            </w:r>
          </w:p>
        </w:tc>
        <w:tc>
          <w:tcPr>
            <w:tcW w:w="160" w:type="dxa"/>
            <w:vAlign w:val="bottom"/>
          </w:tcPr>
          <w:p>
            <w:pPr>
              <w:spacing w:after="0"/>
              <w:rPr>
                <w:sz w:val="11"/>
                <w:szCs w:val="11"/>
                <w:color w:val="auto"/>
              </w:rPr>
            </w:pPr>
          </w:p>
        </w:tc>
        <w:tc>
          <w:tcPr>
            <w:tcW w:w="880" w:type="dxa"/>
            <w:vAlign w:val="bottom"/>
          </w:tcPr>
          <w:p>
            <w:pPr>
              <w:jc w:val="right"/>
              <w:ind w:right="146"/>
              <w:spacing w:after="0"/>
              <w:rPr>
                <w:sz w:val="20"/>
                <w:szCs w:val="20"/>
                <w:color w:val="auto"/>
              </w:rPr>
            </w:pPr>
            <w:r>
              <w:rPr>
                <w:rFonts w:ascii="Arial" w:cs="Arial" w:eastAsia="Arial" w:hAnsi="Arial"/>
                <w:sz w:val="11"/>
                <w:szCs w:val="11"/>
                <w:b w:val="1"/>
                <w:bCs w:val="1"/>
                <w:color w:val="auto"/>
              </w:rPr>
              <w:t>% Change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86"/>
              </w:rPr>
              <w:t>(dollars in thousands)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500" w:type="dxa"/>
            <w:vAlign w:val="bottom"/>
            <w:gridSpan w:val="2"/>
          </w:tcPr>
          <w:p>
            <w:pPr>
              <w:jc w:val="right"/>
              <w:spacing w:after="0"/>
              <w:rPr>
                <w:sz w:val="20"/>
                <w:szCs w:val="20"/>
                <w:color w:val="auto"/>
              </w:rPr>
            </w:pPr>
            <w:r>
              <w:rPr>
                <w:rFonts w:ascii="Arial" w:cs="Arial" w:eastAsia="Arial" w:hAnsi="Arial"/>
                <w:sz w:val="11"/>
                <w:szCs w:val="11"/>
                <w:color w:val="auto"/>
                <w:w w:val="89"/>
              </w:rPr>
              <w:t>$ 423,583</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54.6</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$ 370,881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54.2</w:t>
            </w:r>
          </w:p>
        </w:tc>
        <w:tc>
          <w:tcPr>
            <w:tcW w:w="180" w:type="dxa"/>
            <w:vAlign w:val="bottom"/>
            <w:tcBorders>
              <w:right w:val="single" w:sz="8" w:color="auto"/>
            </w:tcBorders>
          </w:tcPr>
          <w:p>
            <w:pPr>
              <w:jc w:val="center"/>
              <w:ind w:right="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5"/>
              </w:rPr>
              <w:t>$  97,130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54.4%</w:t>
            </w:r>
          </w:p>
        </w:tc>
        <w:tc>
          <w:tcPr>
            <w:tcW w:w="40" w:type="dxa"/>
            <w:vAlign w:val="bottom"/>
            <w:tcBorders>
              <w:right w:val="single" w:sz="8" w:color="auto"/>
            </w:tcBorders>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89"/>
              </w:rPr>
              <w:t>$ 273,751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360" w:type="dxa"/>
            <w:vAlign w:val="bottom"/>
            <w:gridSpan w:val="2"/>
          </w:tcPr>
          <w:p>
            <w:pPr>
              <w:jc w:val="right"/>
              <w:ind w:right="235"/>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52,702</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14.2</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194,366</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25.1</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190,500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27.8</w:t>
            </w:r>
          </w:p>
        </w:tc>
        <w:tc>
          <w:tcPr>
            <w:tcW w:w="180" w:type="dxa"/>
            <w:vAlign w:val="bottom"/>
            <w:tcBorders>
              <w:right w:val="single" w:sz="8" w:color="auto"/>
            </w:tcBorders>
          </w:tcPr>
          <w:p>
            <w:pPr>
              <w:jc w:val="center"/>
              <w:ind w:right="26"/>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46,519</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26.0%</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143,981</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28.5</w:t>
            </w: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3,866</w:t>
            </w:r>
          </w:p>
        </w:tc>
        <w:tc>
          <w:tcPr>
            <w:tcW w:w="104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2.0</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149,365</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112,670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16.5</w:t>
            </w:r>
          </w:p>
        </w:tc>
        <w:tc>
          <w:tcPr>
            <w:tcW w:w="180" w:type="dxa"/>
            <w:vAlign w:val="bottom"/>
            <w:tcBorders>
              <w:right w:val="single" w:sz="8" w:color="auto"/>
            </w:tcBorders>
          </w:tcPr>
          <w:p>
            <w:pPr>
              <w:jc w:val="center"/>
              <w:ind w:right="26"/>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32,840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18.4%</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79,830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w:t>
            </w: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36,695</w:t>
            </w:r>
          </w:p>
        </w:tc>
        <w:tc>
          <w:tcPr>
            <w:tcW w:w="104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32.6</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8,252</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10,357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180" w:type="dxa"/>
            <w:vAlign w:val="bottom"/>
            <w:tcBorders>
              <w:right w:val="single" w:sz="8" w:color="auto"/>
            </w:tcBorders>
          </w:tcPr>
          <w:p>
            <w:pPr>
              <w:jc w:val="center"/>
              <w:ind w:right="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2,148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40" w:type="dxa"/>
            <w:vAlign w:val="bottom"/>
            <w:tcBorders>
              <w:right w:val="single" w:sz="8" w:color="auto"/>
            </w:tcBorders>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8,209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(2,105)</w:t>
            </w: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775,566</w:t>
            </w:r>
          </w:p>
        </w:tc>
        <w:tc>
          <w:tcPr>
            <w:tcW w:w="120" w:type="dxa"/>
            <w:vAlign w:val="bottom"/>
            <w:vMerge w:val="continue"/>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684,408</w:t>
            </w:r>
          </w:p>
        </w:tc>
        <w:tc>
          <w:tcPr>
            <w:tcW w:w="120" w:type="dxa"/>
            <w:vAlign w:val="bottom"/>
            <w:vMerge w:val="continue"/>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80" w:type="dxa"/>
            <w:vAlign w:val="bottom"/>
            <w:tcBorders>
              <w:right w:val="single" w:sz="8" w:color="auto"/>
            </w:tcBorders>
          </w:tcPr>
          <w:p>
            <w:pPr>
              <w:jc w:val="center"/>
              <w:ind w:right="26"/>
              <w:spacing w:after="0" w:line="115"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178,637</w:t>
            </w:r>
          </w:p>
        </w:tc>
        <w:tc>
          <w:tcPr>
            <w:tcW w:w="100" w:type="dxa"/>
            <w:vAlign w:val="bottom"/>
            <w:vMerge w:val="continue"/>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505,771</w:t>
            </w:r>
          </w:p>
        </w:tc>
        <w:tc>
          <w:tcPr>
            <w:tcW w:w="120" w:type="dxa"/>
            <w:vAlign w:val="bottom"/>
            <w:vMerge w:val="continue"/>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20" w:type="dxa"/>
            <w:vAlign w:val="bottom"/>
          </w:tcPr>
          <w:p>
            <w:pPr>
              <w:jc w:val="right"/>
              <w:spacing w:after="0" w:line="115"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91,158</w:t>
            </w:r>
          </w:p>
        </w:tc>
        <w:tc>
          <w:tcPr>
            <w:tcW w:w="104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13.3</w:t>
            </w:r>
          </w:p>
        </w:tc>
        <w:tc>
          <w:tcPr>
            <w:tcW w:w="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6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$ 775,566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$ 657,578</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$ 178,637</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$ 478,941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117,988</w:t>
            </w:r>
          </w:p>
        </w:tc>
        <w:tc>
          <w:tcPr>
            <w:tcW w:w="160" w:type="dxa"/>
            <w:vAlign w:val="bottom"/>
          </w:tcPr>
          <w:p>
            <w:pPr>
              <w:spacing w:after="0"/>
              <w:rPr>
                <w:sz w:val="10"/>
                <w:szCs w:val="10"/>
                <w:color w:val="auto"/>
              </w:rPr>
            </w:pPr>
          </w:p>
        </w:tc>
        <w:tc>
          <w:tcPr>
            <w:tcW w:w="880" w:type="dxa"/>
            <w:vAlign w:val="bottom"/>
            <w:tcBorders>
              <w:top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17.9</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15.1 %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13.3 %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-1045845</wp:posOffset>
            </wp:positionV>
            <wp:extent cx="575437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-891540</wp:posOffset>
            </wp:positionV>
            <wp:extent cx="575437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-736600</wp:posOffset>
            </wp:positionV>
            <wp:extent cx="575437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-565150</wp:posOffset>
            </wp:positionV>
            <wp:extent cx="575437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-385445</wp:posOffset>
            </wp:positionV>
            <wp:extent cx="575437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-153670</wp:posOffset>
            </wp:positionV>
            <wp:extent cx="5754370"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340"/>
            <w:col w:w="7280"/>
          </w:cols>
          <w:pgMar w:left="1420" w:top="125" w:right="1419" w:bottom="1440" w:gutter="0" w:footer="0" w:header="0"/>
          <w:type w:val="continuous"/>
        </w:sectPr>
      </w:pPr>
    </w:p>
    <w:p>
      <w:pPr>
        <w:spacing w:after="0" w:line="11" w:lineRule="exact"/>
        <w:rPr>
          <w:sz w:val="20"/>
          <w:szCs w:val="20"/>
          <w:color w:val="auto"/>
        </w:rPr>
      </w:pPr>
    </w:p>
    <w:p>
      <w:pPr>
        <w:ind w:left="320" w:hanging="317"/>
        <w:spacing w:after="0" w:line="234"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82" w:lineRule="exact"/>
        <w:rPr>
          <w:rFonts w:ascii="Arial" w:cs="Arial" w:eastAsia="Arial" w:hAnsi="Arial"/>
          <w:sz w:val="14"/>
          <w:szCs w:val="14"/>
          <w:color w:val="auto"/>
        </w:rPr>
      </w:pPr>
    </w:p>
    <w:p>
      <w:pPr>
        <w:ind w:left="320" w:right="380" w:hanging="317"/>
        <w:spacing w:after="0" w:line="238"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Subscription fees for the year ended December 31, 2019, the combined year ended December 31, 2018 the 2018 Successor Period and the 2018 Predecessor Period, include $55.6 million, $50.3 million, $13.4 million and $36.8 million, respectively, of Refinitiv (formerly Thomson Reuters) market data fees.</w:t>
      </w:r>
    </w:p>
    <w:p>
      <w:pPr>
        <w:spacing w:after="0" w:line="182" w:lineRule="exact"/>
        <w:rPr>
          <w:rFonts w:ascii="Arial" w:cs="Arial" w:eastAsia="Arial" w:hAnsi="Arial"/>
          <w:sz w:val="14"/>
          <w:szCs w:val="14"/>
          <w:color w:val="auto"/>
        </w:rPr>
      </w:pPr>
    </w:p>
    <w:p>
      <w:pPr>
        <w:ind w:left="320" w:right="20" w:hanging="317"/>
        <w:spacing w:after="0" w:line="231"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8"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$52.7 million or 14.2% to $423.6 million for the year ended December 31, 2019 from $370.9 million for the combined year ended December 31, 2018 primarily due to higher trading volumes for rates derivatives, rates cash, credit cash and money markets products and European ETFs.</w:t>
      </w:r>
    </w:p>
    <w:p>
      <w:pPr>
        <w:spacing w:after="0" w:line="16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i w:val="1"/>
          <w:iCs w:val="1"/>
          <w:color w:val="auto"/>
        </w:rPr>
        <w:t>.</w:t>
      </w:r>
      <w:r>
        <w:rPr>
          <w:rFonts w:ascii="Arial" w:cs="Arial" w:eastAsia="Arial" w:hAnsi="Arial"/>
          <w:sz w:val="18"/>
          <w:szCs w:val="18"/>
          <w:color w:val="auto"/>
        </w:rPr>
        <w:t xml:space="preserve"> Subscription fees increased by $3.9 million or 2.0% to $194.4 million for the year ended December 31, 2019 from $190.5 million for the combined year ended December 31, 2018 primarily due to higher market data and Institutional MBS fees, partially offset by lower Retail fees.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i w:val="1"/>
          <w:iCs w:val="1"/>
          <w:color w:val="auto"/>
        </w:rPr>
        <w:t>.</w:t>
      </w:r>
      <w:r>
        <w:rPr>
          <w:rFonts w:ascii="Arial" w:cs="Arial" w:eastAsia="Arial" w:hAnsi="Arial"/>
          <w:sz w:val="18"/>
          <w:szCs w:val="18"/>
          <w:color w:val="auto"/>
        </w:rPr>
        <w:t xml:space="preserve"> Commissions increased by $36.7 million or 32.6% to $149.4 million for the year ended December 31, 2019 from $112.7 million for the combined year ended December 31, 2018 primarily due to higher trading volumes for U.S. corporate bonds and U.S. government bonds.</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i w:val="1"/>
          <w:iCs w:val="1"/>
          <w:color w:val="auto"/>
        </w:rPr>
        <w:t>.</w:t>
      </w:r>
      <w:r>
        <w:rPr>
          <w:rFonts w:ascii="Arial" w:cs="Arial" w:eastAsia="Arial" w:hAnsi="Arial"/>
          <w:sz w:val="18"/>
          <w:szCs w:val="18"/>
          <w:color w:val="auto"/>
        </w:rPr>
        <w:t xml:space="preserve"> Other revenue decreased by $2.1 million or (20.3)% to $8.3 million for the year ended December 31, 2019 from $10.4 million for the combined year ended December 31, 2018 primarily as a result of decreased fees from a third party for certain licensing and development in Canada.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There was no contingent consideration for the year ended December 31, 2019 due to the vesting of the Credit Initiative Earnout at July 31, 2018. Contingent consideration for the combined year ended December 31, 2018 was $26.8 million.</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gross revenue by client sector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6"/>
              </w:rPr>
              <w:t>Successor</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3"/>
              </w:rPr>
              <w:t>Successor</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0"/>
              </w:rPr>
              <w:t>Predecessor</w:t>
            </w:r>
          </w:p>
        </w:tc>
        <w:tc>
          <w:tcPr>
            <w:tcW w:w="1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w w:val="97"/>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86"/>
              <w:spacing w:after="0"/>
              <w:rPr>
                <w:sz w:val="20"/>
                <w:szCs w:val="20"/>
                <w:color w:val="auto"/>
              </w:rPr>
            </w:pPr>
            <w:r>
              <w:rPr>
                <w:rFonts w:ascii="Arial" w:cs="Arial" w:eastAsia="Arial" w:hAnsi="Arial"/>
                <w:sz w:val="11"/>
                <w:szCs w:val="11"/>
                <w:b w:val="1"/>
                <w:bCs w:val="1"/>
                <w:color w:val="auto"/>
                <w:w w:val="95"/>
              </w:rPr>
              <w:t>Year Ended</w:t>
            </w:r>
          </w:p>
        </w:tc>
        <w:tc>
          <w:tcPr>
            <w:tcW w:w="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66"/>
              <w:spacing w:after="0"/>
              <w:rPr>
                <w:sz w:val="20"/>
                <w:szCs w:val="20"/>
                <w:color w:val="auto"/>
              </w:rPr>
            </w:pPr>
            <w:r>
              <w:rPr>
                <w:rFonts w:ascii="Arial" w:cs="Arial" w:eastAsia="Arial" w:hAnsi="Arial"/>
                <w:sz w:val="11"/>
                <w:szCs w:val="11"/>
                <w:b w:val="1"/>
                <w:bCs w:val="1"/>
                <w:color w:val="auto"/>
                <w:w w:val="99"/>
              </w:rPr>
              <w:t>Year Ended</w:t>
            </w:r>
          </w:p>
        </w:tc>
        <w:tc>
          <w:tcPr>
            <w:tcW w:w="20" w:type="dxa"/>
            <w:vAlign w:val="bottom"/>
            <w:tcBorders>
              <w:bottom w:val="single" w:sz="8" w:color="auto"/>
            </w:tcBorders>
            <w:shd w:val="clear" w:color="auto" w:fill="000000"/>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October 1, 2018 to</w:t>
            </w:r>
          </w:p>
        </w:tc>
        <w:tc>
          <w:tcPr>
            <w:tcW w:w="60" w:type="dxa"/>
            <w:vAlign w:val="bottom"/>
            <w:tcBorders>
              <w:left w:val="single" w:sz="8" w:color="auto"/>
            </w:tcBorders>
          </w:tcPr>
          <w:p>
            <w:pPr>
              <w:spacing w:after="0"/>
              <w:rPr>
                <w:sz w:val="19"/>
                <w:szCs w:val="19"/>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January 1, 2018 to</w:t>
            </w:r>
          </w:p>
        </w:tc>
        <w:tc>
          <w:tcPr>
            <w:tcW w:w="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w w:val="88"/>
              </w:rPr>
              <w:t>Combined Year Ended December 31, 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0"/>
              </w:rPr>
              <w:t>December 31, 2019</w:t>
            </w:r>
          </w:p>
        </w:tc>
        <w:tc>
          <w:tcPr>
            <w:tcW w:w="60" w:type="dxa"/>
            <w:vAlign w:val="bottom"/>
            <w:tcBorders>
              <w:left w:val="single" w:sz="8" w:color="auto"/>
            </w:tcBorders>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20" w:type="dxa"/>
            <w:vAlign w:val="bottom"/>
            <w:shd w:val="clear" w:color="auto" w:fill="000000"/>
          </w:tcPr>
          <w:p>
            <w:pPr>
              <w:spacing w:after="0"/>
              <w:rPr>
                <w:sz w:val="10"/>
                <w:szCs w:val="10"/>
                <w:color w:val="auto"/>
              </w:rPr>
            </w:pPr>
          </w:p>
        </w:tc>
        <w:tc>
          <w:tcPr>
            <w:tcW w:w="10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60" w:type="dxa"/>
            <w:vAlign w:val="bottom"/>
            <w:tcBorders>
              <w:left w:val="single" w:sz="8" w:color="auto"/>
            </w:tcBorders>
          </w:tcPr>
          <w:p>
            <w:pPr>
              <w:spacing w:after="0"/>
              <w:rPr>
                <w:sz w:val="10"/>
                <w:szCs w:val="10"/>
                <w:color w:val="auto"/>
              </w:rPr>
            </w:pPr>
          </w:p>
        </w:tc>
        <w:tc>
          <w:tcPr>
            <w:tcW w:w="104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7"/>
              </w:rPr>
              <w:t>September 30, 2018</w:t>
            </w:r>
          </w:p>
        </w:tc>
        <w:tc>
          <w:tcPr>
            <w:tcW w:w="60" w:type="dxa"/>
            <w:vAlign w:val="bottom"/>
          </w:tcPr>
          <w:p>
            <w:pPr>
              <w:spacing w:after="0"/>
              <w:rPr>
                <w:sz w:val="10"/>
                <w:szCs w:val="10"/>
                <w:color w:val="auto"/>
              </w:rPr>
            </w:pPr>
          </w:p>
        </w:tc>
        <w:tc>
          <w:tcPr>
            <w:tcW w:w="112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 Change</w:t>
            </w:r>
          </w:p>
        </w:tc>
        <w:tc>
          <w:tcPr>
            <w:tcW w:w="90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right"/>
              <w:ind w:right="426"/>
              <w:spacing w:after="0" w:line="115" w:lineRule="exact"/>
              <w:rPr>
                <w:sz w:val="20"/>
                <w:szCs w:val="20"/>
                <w:color w:val="auto"/>
              </w:rPr>
            </w:pPr>
            <w:r>
              <w:rPr>
                <w:rFonts w:ascii="Arial" w:cs="Arial" w:eastAsia="Arial" w:hAnsi="Arial"/>
                <w:sz w:val="11"/>
                <w:szCs w:val="11"/>
                <w:b w:val="1"/>
                <w:bCs w:val="1"/>
                <w:color w:val="auto"/>
              </w:rPr>
              <w:t>(dollars in thousands)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Institutional</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453,379</w:t>
            </w:r>
          </w:p>
        </w:tc>
        <w:tc>
          <w:tcPr>
            <w:tcW w:w="16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405,889</w:t>
            </w: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103,971</w:t>
            </w:r>
          </w:p>
        </w:tc>
        <w:tc>
          <w:tcPr>
            <w:tcW w:w="18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301,918</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47,490</w:t>
            </w:r>
          </w:p>
        </w:tc>
        <w:tc>
          <w:tcPr>
            <w:tcW w:w="14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11.7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Wholesale</w:t>
            </w: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171,096</w:t>
            </w: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137,181</w:t>
            </w: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38,153</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99,028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33,915</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Retail</w:t>
            </w:r>
          </w:p>
        </w:tc>
        <w:tc>
          <w:tcPr>
            <w:tcW w:w="1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80,368</w:t>
            </w:r>
          </w:p>
        </w:tc>
        <w:tc>
          <w:tcPr>
            <w:tcW w:w="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77,546</w:t>
            </w: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19,780</w:t>
            </w:r>
          </w:p>
        </w:tc>
        <w:tc>
          <w:tcPr>
            <w:tcW w:w="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57,766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2,822</w:t>
            </w:r>
          </w:p>
        </w:tc>
        <w:tc>
          <w:tcPr>
            <w:tcW w:w="14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Market Data</w:t>
            </w: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70,723</w:t>
            </w: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63,792</w:t>
            </w: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16,733</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6,931</w:t>
            </w:r>
          </w:p>
        </w:tc>
        <w:tc>
          <w:tcPr>
            <w:tcW w:w="14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Gross revenue</w:t>
            </w: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775,566</w:t>
            </w: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178,637</w:t>
            </w: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14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7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$47.5 million or 11.7% to $453.4 million for the year ended December 31, 2019 from $405.9 million for the combined year ended December 31, 2018. The increase was derived primarily from higher trading volumes for rates derivatives products, mortgages, credit cash products, ETFs and repurchase agreements, partially offset by the impact of foreign exchange, mainly the weakening of the euro.</w:t>
      </w:r>
    </w:p>
    <w:p>
      <w:pPr>
        <w:spacing w:after="0" w:line="17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$33.9 million or 24.7% to $171.1 million for the year ended December 31, 2019 from $137.2 million for the combined year ended December 31, 2018. The increase was derived primarily from higher trading volumes for U.S. corporates and U.S. government bonds.</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Retail</w:t>
      </w:r>
      <w:r>
        <w:rPr>
          <w:rFonts w:ascii="Arial" w:cs="Arial" w:eastAsia="Arial" w:hAnsi="Arial"/>
          <w:sz w:val="17"/>
          <w:szCs w:val="17"/>
          <w:color w:val="auto"/>
        </w:rPr>
        <w:t>. Revenues from our Retail client sector increased by $2.8 million or 3.6% to $80.4 million for the year ended December 31, 2019 from $77.6 million for the combined year ended December 31, 2018. The increase was derived primarily from higher trading volumes for certificates of deposit, credit cash products, and U.S. government bonds partially offset by lower revenues from software development and implementation on behalf of certain clients.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$6.9 million or 10.9% to $70.7 million for the year ended December 31, 2019 from $63.8 million for the combined year ended December 31, 2018 primarily as a result of an increase in the number of market data feeds provided to Refinitiv (formerly Thomson Reuters) and revenue from our APA reporting service.</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gross revenue by asset class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5"/>
              </w:rPr>
              <w:t xml:space="preserve">Combined </w:t>
            </w:r>
            <w:r>
              <w:rPr>
                <w:rFonts w:ascii="Arial" w:cs="Arial" w:eastAsia="Arial" w:hAnsi="Arial"/>
                <w:sz w:val="11"/>
                <w:szCs w:val="11"/>
                <w:b w:val="1"/>
                <w:bCs w:val="1"/>
                <w:color w:val="auto"/>
                <w:w w:val="85"/>
                <w:vertAlign w:val="superscript"/>
              </w:rPr>
              <w:t>(1)</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2"/>
              </w:rPr>
              <w:t>Successor</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1"/>
              </w:rPr>
              <w:t>Predecessor</w:t>
            </w:r>
          </w:p>
        </w:tc>
        <w:tc>
          <w:tcPr>
            <w:tcW w:w="174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w w:val="88"/>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4"/>
          </w:tcPr>
          <w:p>
            <w:pPr>
              <w:ind w:left="20"/>
              <w:spacing w:after="0" w:line="94" w:lineRule="exact"/>
              <w:rPr>
                <w:sz w:val="20"/>
                <w:szCs w:val="20"/>
                <w:color w:val="auto"/>
              </w:rPr>
            </w:pPr>
            <w:r>
              <w:rPr>
                <w:rFonts w:ascii="Arial" w:cs="Arial" w:eastAsia="Arial" w:hAnsi="Arial"/>
                <w:sz w:val="10"/>
                <w:szCs w:val="10"/>
                <w:b w:val="1"/>
                <w:bCs w:val="1"/>
                <w:color w:val="auto"/>
                <w:w w:val="97"/>
              </w:rPr>
              <w:t>Combined Year Ended December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Year Ended</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tcBorders>
              <w:bottom w:val="single" w:sz="8" w:color="auto"/>
            </w:tcBorders>
            <w:shd w:val="clear" w:color="auto" w:fill="000000"/>
          </w:tcPr>
          <w:p>
            <w:pPr>
              <w:spacing w:after="0"/>
              <w:rPr>
                <w:sz w:val="11"/>
                <w:szCs w:val="11"/>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0"/>
              </w:rPr>
              <w:t>January 1, 2018 to</w:t>
            </w: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706"/>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2019</w:t>
            </w:r>
          </w:p>
        </w:tc>
        <w:tc>
          <w:tcPr>
            <w:tcW w:w="80" w:type="dxa"/>
            <w:vAlign w:val="bottom"/>
            <w:tcBorders>
              <w:left w:val="single" w:sz="8" w:color="auto"/>
            </w:tcBorders>
          </w:tcPr>
          <w:p>
            <w:pPr>
              <w:spacing w:after="0"/>
              <w:rPr>
                <w:sz w:val="10"/>
                <w:szCs w:val="10"/>
                <w:color w:val="auto"/>
              </w:rPr>
            </w:pPr>
          </w:p>
        </w:tc>
        <w:tc>
          <w:tcPr>
            <w:tcW w:w="9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6"/>
              </w:rPr>
              <w:t>December 31, 2018</w:t>
            </w:r>
          </w:p>
        </w:tc>
        <w:tc>
          <w:tcPr>
            <w:tcW w:w="20" w:type="dxa"/>
            <w:vAlign w:val="bottom"/>
            <w:shd w:val="clear" w:color="auto" w:fill="000000"/>
          </w:tcPr>
          <w:p>
            <w:pPr>
              <w:spacing w:after="0"/>
              <w:rPr>
                <w:sz w:val="10"/>
                <w:szCs w:val="10"/>
                <w:color w:val="auto"/>
              </w:rPr>
            </w:pPr>
          </w:p>
        </w:tc>
        <w:tc>
          <w:tcPr>
            <w:tcW w:w="108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7"/>
              </w:rPr>
              <w:t>September 30, 2018</w:t>
            </w:r>
          </w:p>
        </w:tc>
        <w:tc>
          <w:tcPr>
            <w:tcW w:w="220" w:type="dxa"/>
            <w:vAlign w:val="bottom"/>
          </w:tcPr>
          <w:p>
            <w:pPr>
              <w:ind w:left="140"/>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w w:val="84"/>
              </w:rPr>
              <w:t>Change</w:t>
            </w:r>
          </w:p>
        </w:tc>
        <w:tc>
          <w:tcPr>
            <w:tcW w:w="200" w:type="dxa"/>
            <w:vAlign w:val="bottom"/>
          </w:tcPr>
          <w:p>
            <w:pPr>
              <w:spacing w:after="0"/>
              <w:rPr>
                <w:sz w:val="10"/>
                <w:szCs w:val="10"/>
                <w:color w:val="auto"/>
              </w:rPr>
            </w:pPr>
          </w:p>
        </w:tc>
        <w:tc>
          <w:tcPr>
            <w:tcW w:w="80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7"/>
          </w:tcPr>
          <w:p>
            <w:pPr>
              <w:ind w:left="38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Rates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434,197</w:t>
            </w:r>
          </w:p>
        </w:tc>
        <w:tc>
          <w:tcPr>
            <w:tcW w:w="200" w:type="dxa"/>
            <w:vAlign w:val="bottom"/>
            <w:tcBorders>
              <w:left w:val="single" w:sz="8" w:color="auto"/>
            </w:tcBorders>
            <w:gridSpan w:val="2"/>
          </w:tcPr>
          <w:p>
            <w:pPr>
              <w:jc w:val="right"/>
              <w:ind w:right="9"/>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379,233</w:t>
            </w:r>
          </w:p>
        </w:tc>
        <w:tc>
          <w:tcPr>
            <w:tcW w:w="120" w:type="dxa"/>
            <w:vAlign w:val="bottom"/>
            <w:tcBorders>
              <w:right w:val="single" w:sz="8" w:color="auto"/>
            </w:tcBorders>
          </w:tcPr>
          <w:p>
            <w:pPr>
              <w:spacing w:after="0"/>
              <w:rPr>
                <w:sz w:val="10"/>
                <w:szCs w:val="10"/>
                <w:color w:val="auto"/>
              </w:rPr>
            </w:pPr>
          </w:p>
        </w:tc>
        <w:tc>
          <w:tcPr>
            <w:tcW w:w="18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97,592</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281,641</w:t>
            </w:r>
          </w:p>
        </w:tc>
        <w:tc>
          <w:tcPr>
            <w:tcW w:w="1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54,964</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14.5</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162,154</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139,656</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37,204</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102,452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22,498</w:t>
            </w: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Equities</w:t>
            </w:r>
          </w:p>
        </w:tc>
        <w:tc>
          <w:tcPr>
            <w:tcW w:w="1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46,912</w:t>
            </w: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40,939</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12,592</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28,347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5,973</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40,392</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34,741</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9,493</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25,248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5,651</w:t>
            </w: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Market Data</w:t>
            </w:r>
          </w:p>
        </w:tc>
        <w:tc>
          <w:tcPr>
            <w:tcW w:w="1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70,723</w:t>
            </w: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6,931</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Fees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21,188</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26,047</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21,024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(4,859)</w:t>
            </w:r>
          </w:p>
        </w:tc>
        <w:tc>
          <w:tcPr>
            <w:tcW w:w="10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22"/>
        </w:trPr>
        <w:tc>
          <w:tcPr>
            <w:tcW w:w="300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Gross revenue</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775,566</w:t>
            </w:r>
          </w:p>
        </w:tc>
        <w:tc>
          <w:tcPr>
            <w:tcW w:w="80" w:type="dxa"/>
            <w:vAlign w:val="bottom"/>
            <w:tcBorders>
              <w:left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10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80" w:type="dxa"/>
            <w:vAlign w:val="bottom"/>
            <w:tcBorders>
              <w:top w:val="single" w:sz="8" w:color="auto"/>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0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20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320" w:hanging="333"/>
        <w:spacing w:after="0" w:line="291" w:lineRule="auto"/>
        <w:tabs>
          <w:tab w:leader="none" w:pos="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100"/>
        <w:spacing w:after="0" w:line="253" w:lineRule="auto"/>
        <w:rPr>
          <w:sz w:val="20"/>
          <w:szCs w:val="20"/>
          <w:color w:val="auto"/>
        </w:rPr>
      </w:pPr>
      <w:r>
        <w:rPr>
          <w:rFonts w:ascii="Arial" w:cs="Arial" w:eastAsia="Arial" w:hAnsi="Arial"/>
          <w:sz w:val="14"/>
          <w:szCs w:val="14"/>
          <w:color w:val="auto"/>
        </w:rPr>
        <w:t>meaningful method of comparison of revenues for the year ended December 31, 2019 to the combined year ended December 31, 2018. Revenue accounts were not impacted by the Refinitiv Transaction or the application of pushdown accounting.</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variable and fixed revenues by asset class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5"/>
            <w:vMerge w:val="restart"/>
          </w:tcPr>
          <w:p>
            <w:pPr>
              <w:jc w:val="center"/>
              <w:ind w:right="6"/>
              <w:spacing w:after="0"/>
              <w:rPr>
                <w:sz w:val="20"/>
                <w:szCs w:val="20"/>
                <w:color w:val="auto"/>
              </w:rPr>
            </w:pPr>
            <w:r>
              <w:rPr>
                <w:rFonts w:ascii="Arial" w:cs="Arial" w:eastAsia="Arial" w:hAnsi="Arial"/>
                <w:sz w:val="11"/>
                <w:szCs w:val="11"/>
                <w:b w:val="1"/>
                <w:bCs w:val="1"/>
                <w:color w:val="auto"/>
                <w:w w:val="82"/>
              </w:rPr>
              <w:t>Successor</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4"/>
            <w:vMerge w:val="restart"/>
          </w:tcPr>
          <w:p>
            <w:pPr>
              <w:jc w:val="center"/>
              <w:ind w:right="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gridSpan w:val="8"/>
            <w:vMerge w:val="restart"/>
          </w:tcPr>
          <w:p>
            <w:pPr>
              <w:ind w:left="240"/>
              <w:spacing w:after="0"/>
              <w:rPr>
                <w:sz w:val="20"/>
                <w:szCs w:val="20"/>
                <w:color w:val="auto"/>
              </w:rPr>
            </w:pPr>
            <w:r>
              <w:rPr>
                <w:rFonts w:ascii="Arial" w:cs="Arial" w:eastAsia="Arial" w:hAnsi="Arial"/>
                <w:sz w:val="11"/>
                <w:szCs w:val="11"/>
                <w:b w:val="1"/>
                <w:bCs w:val="1"/>
                <w:color w:val="auto"/>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5"/>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6"/>
              <w:spacing w:after="0" w:line="115" w:lineRule="exact"/>
              <w:rPr>
                <w:sz w:val="20"/>
                <w:szCs w:val="20"/>
                <w:color w:val="auto"/>
              </w:rPr>
            </w:pPr>
            <w:r>
              <w:rPr>
                <w:rFonts w:ascii="Arial" w:cs="Arial" w:eastAsia="Arial" w:hAnsi="Arial"/>
                <w:sz w:val="11"/>
                <w:szCs w:val="11"/>
                <w:b w:val="1"/>
                <w:bCs w:val="1"/>
                <w:color w:val="auto"/>
                <w:w w:val="89"/>
              </w:rPr>
              <w:t>Year Ended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89"/>
              </w:rPr>
              <w:t>Year Ended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October 1, 2018 to</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90"/>
              </w:rPr>
              <w:t>January 1, 2018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Borders>
              <w:bottom w:val="single" w:sz="8" w:color="auto"/>
            </w:tcBorders>
            <w:gridSpan w:val="8"/>
          </w:tcPr>
          <w:p>
            <w:pPr>
              <w:jc w:val="right"/>
              <w:ind w:right="26"/>
              <w:spacing w:after="0" w:line="115" w:lineRule="exact"/>
              <w:rPr>
                <w:sz w:val="20"/>
                <w:szCs w:val="20"/>
                <w:color w:val="auto"/>
              </w:rPr>
            </w:pPr>
            <w:r>
              <w:rPr>
                <w:rFonts w:ascii="Arial" w:cs="Arial" w:eastAsia="Arial" w:hAnsi="Arial"/>
                <w:sz w:val="11"/>
                <w:szCs w:val="11"/>
                <w:b w:val="1"/>
                <w:bCs w:val="1"/>
                <w:color w:val="auto"/>
                <w:w w:val="90"/>
              </w:rPr>
              <w:t>Combined Year Ended December 31, 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6"/>
              <w:spacing w:after="0" w:line="115" w:lineRule="exact"/>
              <w:rPr>
                <w:sz w:val="20"/>
                <w:szCs w:val="20"/>
                <w:color w:val="auto"/>
              </w:rPr>
            </w:pPr>
            <w:r>
              <w:rPr>
                <w:rFonts w:ascii="Arial" w:cs="Arial" w:eastAsia="Arial" w:hAnsi="Arial"/>
                <w:sz w:val="11"/>
                <w:szCs w:val="11"/>
                <w:b w:val="1"/>
                <w:bCs w:val="1"/>
                <w:color w:val="auto"/>
                <w:w w:val="86"/>
              </w:rPr>
              <w:t>December 31, 2019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87"/>
              </w:rPr>
              <w:t>September 30, 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ind w:left="240"/>
              <w:spacing w:after="0" w:line="115" w:lineRule="exact"/>
              <w:rPr>
                <w:sz w:val="20"/>
                <w:szCs w:val="20"/>
                <w:color w:val="auto"/>
              </w:rPr>
            </w:pPr>
            <w:r>
              <w:rPr>
                <w:rFonts w:ascii="Arial" w:cs="Arial" w:eastAsia="Arial" w:hAnsi="Arial"/>
                <w:sz w:val="11"/>
                <w:szCs w:val="11"/>
                <w:b w:val="1"/>
                <w:bCs w:val="1"/>
                <w:color w:val="auto"/>
              </w:rPr>
              <w:t>$ Change</w:t>
            </w:r>
          </w:p>
        </w:tc>
        <w:tc>
          <w:tcPr>
            <w:tcW w:w="960" w:type="dxa"/>
            <w:vAlign w:val="bottom"/>
            <w:gridSpan w:val="3"/>
          </w:tcPr>
          <w:p>
            <w:pPr>
              <w:jc w:val="right"/>
              <w:ind w:right="18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8"/>
              </w:rPr>
              <w:t>Variable</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8"/>
              </w:rPr>
              <w:t>Variable</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0"/>
              </w:rPr>
              <w:t>Fixed</w:t>
            </w:r>
          </w:p>
        </w:tc>
        <w:tc>
          <w:tcPr>
            <w:tcW w:w="1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Fixed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6"/>
          </w:tcPr>
          <w:p>
            <w:pPr>
              <w:jc w:val="right"/>
              <w:ind w:right="126"/>
              <w:spacing w:after="0" w:line="115" w:lineRule="exact"/>
              <w:rPr>
                <w:sz w:val="20"/>
                <w:szCs w:val="20"/>
                <w:color w:val="auto"/>
              </w:rPr>
            </w:pPr>
            <w:r>
              <w:rPr>
                <w:rFonts w:ascii="Arial" w:cs="Arial" w:eastAsia="Arial" w:hAnsi="Arial"/>
                <w:sz w:val="11"/>
                <w:szCs w:val="11"/>
                <w:b w:val="1"/>
                <w:bCs w:val="1"/>
                <w:color w:val="auto"/>
                <w:w w:val="88"/>
              </w:rPr>
              <w:t>(dollars 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Rates</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232,423</w:t>
            </w:r>
          </w:p>
        </w:tc>
        <w:tc>
          <w:tcPr>
            <w:tcW w:w="2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201,774</w:t>
            </w:r>
          </w:p>
        </w:tc>
        <w:tc>
          <w:tcPr>
            <w:tcW w:w="100" w:type="dxa"/>
            <w:vAlign w:val="bottom"/>
            <w:tcBorders>
              <w:right w:val="single" w:sz="8" w:color="auto"/>
            </w:tcBorders>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181,051</w:t>
            </w: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198,182</w:t>
            </w:r>
          </w:p>
        </w:tc>
        <w:tc>
          <w:tcPr>
            <w:tcW w:w="100" w:type="dxa"/>
            <w:vAlign w:val="bottom"/>
            <w:tcBorders>
              <w:right w:val="single" w:sz="8" w:color="auto"/>
            </w:tcBorders>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47,868</w:t>
            </w:r>
          </w:p>
        </w:tc>
        <w:tc>
          <w:tcPr>
            <w:tcW w:w="20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49,724</w:t>
            </w:r>
          </w:p>
        </w:tc>
        <w:tc>
          <w:tcPr>
            <w:tcW w:w="80" w:type="dxa"/>
            <w:vAlign w:val="bottom"/>
            <w:tcBorders>
              <w:right w:val="single" w:sz="8" w:color="auto"/>
            </w:tcBorders>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$ 133,183</w:t>
            </w:r>
          </w:p>
        </w:tc>
        <w:tc>
          <w:tcPr>
            <w:tcW w:w="20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148,458</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51,372</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3,592</w:t>
            </w:r>
          </w:p>
        </w:tc>
        <w:tc>
          <w:tcPr>
            <w:tcW w:w="120" w:type="dxa"/>
            <w:vAlign w:val="bottom"/>
          </w:tcPr>
          <w:p>
            <w:pPr>
              <w:spacing w:after="0"/>
              <w:rPr>
                <w:sz w:val="10"/>
                <w:szCs w:val="10"/>
                <w:color w:val="auto"/>
              </w:rPr>
            </w:pP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141,343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20,811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119,217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20,439</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5,228</w:t>
            </w:r>
          </w:p>
        </w:tc>
        <w:tc>
          <w:tcPr>
            <w:tcW w:w="80" w:type="dxa"/>
            <w:vAlign w:val="bottom"/>
            <w:tcBorders>
              <w:right w:val="single" w:sz="8" w:color="auto"/>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87,241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15,211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22,126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w:t>
            </w: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18.6</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38,515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8,397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34,443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6,496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10,949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1,643</w:t>
            </w:r>
          </w:p>
        </w:tc>
        <w:tc>
          <w:tcPr>
            <w:tcW w:w="80" w:type="dxa"/>
            <w:vAlign w:val="bottom"/>
            <w:tcBorders>
              <w:right w:val="single" w:sz="8" w:color="auto"/>
            </w:tcBorders>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23,494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4,853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4,072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1,901</w:t>
            </w:r>
          </w:p>
        </w:tc>
        <w:tc>
          <w:tcPr>
            <w:tcW w:w="120" w:type="dxa"/>
            <w:vAlign w:val="bottom"/>
          </w:tcPr>
          <w:p>
            <w:pPr>
              <w:spacing w:after="0"/>
              <w:rPr>
                <w:sz w:val="10"/>
                <w:szCs w:val="10"/>
                <w:color w:val="auto"/>
              </w:rPr>
            </w:pP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11.8</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29.3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25,461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14,931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20,843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13,898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3,453</w:t>
            </w:r>
          </w:p>
        </w:tc>
        <w:tc>
          <w:tcPr>
            <w:tcW w:w="80" w:type="dxa"/>
            <w:vAlign w:val="bottom"/>
            <w:tcBorders>
              <w:right w:val="single" w:sz="8" w:color="auto"/>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14,803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10,445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4,618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1,033</w:t>
            </w: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70,723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6,931</w:t>
            </w:r>
          </w:p>
        </w:tc>
        <w:tc>
          <w:tcPr>
            <w:tcW w:w="1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10.9 %</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21,188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26,007</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(4,819)</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(100.0)%</w:t>
            </w: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1"/>
                <w:szCs w:val="11"/>
                <w:color w:val="auto"/>
              </w:rPr>
              <w:t>Gross revenue</w:t>
            </w:r>
          </w:p>
        </w:tc>
        <w:tc>
          <w:tcPr>
            <w:tcW w:w="4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437,742</w:t>
            </w: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w w:val="90"/>
              </w:rPr>
              <w:t>337,824</w:t>
            </w:r>
          </w:p>
        </w:tc>
        <w:tc>
          <w:tcPr>
            <w:tcW w:w="10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355,594</w:t>
            </w:r>
          </w:p>
        </w:tc>
        <w:tc>
          <w:tcPr>
            <w:tcW w:w="1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w w:val="95"/>
              </w:rPr>
              <w:t>328,814</w:t>
            </w:r>
          </w:p>
        </w:tc>
        <w:tc>
          <w:tcPr>
            <w:tcW w:w="10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96,833</w:t>
            </w:r>
          </w:p>
        </w:tc>
        <w:tc>
          <w:tcPr>
            <w:tcW w:w="12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81,804</w:t>
            </w:r>
          </w:p>
        </w:tc>
        <w:tc>
          <w:tcPr>
            <w:tcW w:w="8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w w:val="89"/>
              </w:rPr>
              <w:t>$ 258,761</w:t>
            </w:r>
          </w:p>
        </w:tc>
        <w:tc>
          <w:tcPr>
            <w:tcW w:w="12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w w:val="90"/>
              </w:rPr>
              <w:t>247,010</w:t>
            </w:r>
          </w:p>
        </w:tc>
        <w:tc>
          <w:tcPr>
            <w:tcW w:w="10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82,148</w:t>
            </w:r>
          </w:p>
        </w:tc>
        <w:tc>
          <w:tcPr>
            <w:tcW w:w="12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9,010</w:t>
            </w:r>
          </w:p>
        </w:tc>
        <w:tc>
          <w:tcPr>
            <w:tcW w:w="120" w:type="dxa"/>
            <w:vAlign w:val="bottom"/>
          </w:tcPr>
          <w:p>
            <w:pPr>
              <w:spacing w:after="0"/>
              <w:rPr>
                <w:sz w:val="10"/>
                <w:szCs w:val="10"/>
                <w:color w:val="auto"/>
              </w:rPr>
            </w:pPr>
          </w:p>
        </w:tc>
        <w:tc>
          <w:tcPr>
            <w:tcW w:w="420" w:type="dxa"/>
            <w:vAlign w:val="bottom"/>
          </w:tcPr>
          <w:p>
            <w:pPr>
              <w:jc w:val="right"/>
              <w:ind w:right="6"/>
              <w:spacing w:after="0" w:line="115" w:lineRule="exact"/>
              <w:rPr>
                <w:sz w:val="20"/>
                <w:szCs w:val="20"/>
                <w:color w:val="auto"/>
              </w:rPr>
            </w:pPr>
            <w:r>
              <w:rPr>
                <w:rFonts w:ascii="Arial" w:cs="Arial" w:eastAsia="Arial" w:hAnsi="Arial"/>
                <w:sz w:val="11"/>
                <w:szCs w:val="11"/>
                <w:color w:val="auto"/>
              </w:rPr>
              <w:t>23.1</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15" w:lineRule="exact"/>
              <w:rPr>
                <w:sz w:val="20"/>
                <w:szCs w:val="20"/>
                <w:color w:val="auto"/>
              </w:rPr>
            </w:pPr>
            <w:r>
              <w:rPr>
                <w:rFonts w:ascii="Arial" w:cs="Arial" w:eastAsia="Arial" w:hAnsi="Arial"/>
                <w:sz w:val="11"/>
                <w:szCs w:val="11"/>
                <w:color w:val="auto"/>
              </w:rPr>
              <w:t>2.7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77"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Rates asset class increased by $55.0 million or 14.5% to $434.2 million for the year ended December 31, 2019 from $379.2 million for the combined year ended December 31, 2018 primarily due to higher trading volumes for derivatives products, U.S. government bonds and mortgages.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Credit asset class increased by $22.5 million or 16.1% to $162.2 million for the year ended December 31, 2019 from $139.7 million for the combined year ended December 31, 2018 primarily due to higher trading volumes for U.S. corporate bonds and Chinese bonds.</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i w:val="1"/>
          <w:iCs w:val="1"/>
          <w:color w:val="auto"/>
        </w:rPr>
        <w:t>.</w:t>
      </w:r>
      <w:r>
        <w:rPr>
          <w:rFonts w:ascii="Arial" w:cs="Arial" w:eastAsia="Arial" w:hAnsi="Arial"/>
          <w:sz w:val="17"/>
          <w:szCs w:val="17"/>
          <w:color w:val="auto"/>
        </w:rPr>
        <w:t xml:space="preserve"> Revenues from our Equities asset class increased by $6.0 million or 14.6% to $46.9 million for the year ended December 31, 2019 from $40.9 million for the combined year ended December 31, 2018 primarily due to higher trading volumes for European ETFs and derivatives products, as well as higher revenues from U.S. ETFs.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Money Markets asset class increased by $5.7 million or 16.3% to $40.4 million for the year ended December 31, 2019 from $34.7 million for the combined year ended December 31, 2018 primarily due to higher trading volumes for repurchase agreements and certificates of deposit.</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i w:val="1"/>
          <w:iCs w:val="1"/>
          <w:color w:val="auto"/>
        </w:rPr>
        <w:t>.</w:t>
      </w:r>
      <w:r>
        <w:rPr>
          <w:rFonts w:ascii="Arial" w:cs="Arial" w:eastAsia="Arial" w:hAnsi="Arial"/>
          <w:sz w:val="16"/>
          <w:szCs w:val="16"/>
          <w:color w:val="auto"/>
        </w:rPr>
        <w:t xml:space="preserve"> Revenues from Market Data increased by $6.9 million or 10.9% to $70.7 million for the year ended December 31, 2019 from $63.8 million for the combined year ended December 31, 2018 as a result of an increase in the number of market data feeds provided to Refinitiv (formerly Thomson Reuters) and revenue from our APA reporting service.</w:t>
      </w:r>
    </w:p>
    <w:p>
      <w:pPr>
        <w:spacing w:after="0" w:line="14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Other Fees decreased by $4.9 million or (18.7)% to $21.2 million for the year ended December 31, 2019 from $26.1 million for the combined year ended December 31, 2018 primarily due to lower fees from a third party for certain licensing and development in Canada and lower Retail revenues from software development and implementation on behalf of certain clients.</w:t>
      </w:r>
    </w:p>
    <w:p>
      <w:pPr>
        <w:spacing w:after="0" w:line="187"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years ended December 31, 2019 and 2018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Borders>
              <w:bottom w:val="single" w:sz="8" w:color="auto"/>
            </w:tcBorders>
            <w:gridSpan w:val="2"/>
          </w:tcPr>
          <w:p>
            <w:pPr>
              <w:jc w:val="right"/>
              <w:ind w:right="404"/>
              <w:spacing w:after="0" w:line="142" w:lineRule="exact"/>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2"/>
                <w:szCs w:val="12"/>
                <w:color w:val="auto"/>
              </w:rPr>
            </w:pPr>
          </w:p>
        </w:tc>
        <w:tc>
          <w:tcPr>
            <w:tcW w:w="2080" w:type="dxa"/>
            <w:vAlign w:val="bottom"/>
            <w:tcBorders>
              <w:bottom w:val="single" w:sz="8" w:color="auto"/>
            </w:tcBorders>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ADV</w:t>
            </w:r>
          </w:p>
        </w:tc>
        <w:tc>
          <w:tcPr>
            <w:tcW w:w="124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84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ADV</w:t>
            </w:r>
          </w:p>
        </w:tc>
        <w:tc>
          <w:tcPr>
            <w:tcW w:w="12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3"/>
          </w:tcPr>
          <w:p>
            <w:pPr>
              <w:jc w:val="center"/>
              <w:ind w:left="28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2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$ 489,645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$ 122,871,725</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$ 354,023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88,625,615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7"/>
        </w:trPr>
        <w:tc>
          <w:tcPr>
            <w:tcW w:w="1280" w:type="dxa"/>
            <w:vAlign w:val="bottom"/>
          </w:tcPr>
          <w:p>
            <w:pPr>
              <w:spacing w:after="0"/>
              <w:rPr>
                <w:sz w:val="20"/>
                <w:szCs w:val="20"/>
                <w:color w:val="auto"/>
              </w:rPr>
            </w:pPr>
            <w:r>
              <w:rPr>
                <w:rFonts w:ascii="Arial" w:cs="Arial" w:eastAsia="Arial" w:hAnsi="Arial"/>
                <w:sz w:val="18"/>
                <w:szCs w:val="18"/>
                <w:color w:val="auto"/>
              </w:rPr>
              <w:t>Credit</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14,777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3,721,199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3,186,209</w:t>
            </w:r>
          </w:p>
        </w:tc>
        <w:tc>
          <w:tcPr>
            <w:tcW w:w="102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1,972,767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1,962,566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Money Markets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213,209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53,706,377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173,743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43,462,916</w:t>
            </w:r>
          </w:p>
        </w:tc>
        <w:tc>
          <w:tcPr>
            <w:tcW w:w="1020" w:type="dxa"/>
            <w:vAlign w:val="bottom"/>
          </w:tcPr>
          <w:p>
            <w:pPr>
              <w:jc w:val="right"/>
              <w:spacing w:after="0"/>
              <w:rPr>
                <w:sz w:val="20"/>
                <w:szCs w:val="20"/>
                <w:color w:val="auto"/>
              </w:rPr>
            </w:pPr>
            <w:r>
              <w:rPr>
                <w:rFonts w:ascii="Arial" w:cs="Arial" w:eastAsia="Arial" w:hAnsi="Arial"/>
                <w:sz w:val="18"/>
                <w:szCs w:val="18"/>
                <w:color w:val="auto"/>
              </w:rPr>
              <w:t>22.7 %</w:t>
            </w:r>
          </w:p>
        </w:tc>
      </w:tr>
      <w:tr>
        <w:trPr>
          <w:trHeight w:val="217"/>
        </w:trPr>
        <w:tc>
          <w:tcPr>
            <w:tcW w:w="1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$ 725,426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$ 182,272,068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$ 548,222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$ 137,237,306</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the increases in average daily volumes for our rates, credit and money markets asset classes in the year ended December 31, 2019 can be attributed to various factors, including further electronification of trading activities across our asset classes, increase in market share, new products, new clients and volatility. Rates ADV increased due mainly to higher trading activity in long and short-tenor interest rate swaps and swaptions, mortgages and U.S. treasuries. Credit ADV increased due to higher trading activity in U.S. high-grade and high-yield credit products, derivatives products and Chinese bonds. Equities ADV was flat, as an increase in European ETFs and derivatives products was offset by lower U.S. ETF notional volumes. Money Markets ADV increased mainly due to bilateral electronic trading in repurchase agreements.</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years ended December 31, 2019 and 2018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7.4% for the year ended December 31, 2019 while gross revenue for our Rates asset class increased 14.5% over the same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Rates - excluding short-tenor swaps (less than 1 year)</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Equities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Fees per Million</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Total Fees per Million - excluding short-tenor swaps (less than 1 year)</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Rates average variable fees per million was impacted by the growth in short tenor swap volumes, a product which has a lower variable fee capture compared to other rates products. Credit average variable fees per million was impacted by the growth in credit cash volumes, products which have a higher variable fee capture compared to credit derivative products. Equities average variable fees per million was impacted by a mix shift in volumes towards Institutional ETFs and away from Wholesale products. Money Markets average variable fees per million was impacted by a mix shift in volumes towards repurchase agreements and away from other lower variable fee capture Money Markets products.</w:t>
      </w:r>
    </w:p>
    <w:p>
      <w:pPr>
        <w:spacing w:after="0" w:line="16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gross revenue by geography (based on client location)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85"/>
              </w:rPr>
              <w:t xml:space="preserve">Combined </w:t>
            </w:r>
            <w:r>
              <w:rPr>
                <w:rFonts w:ascii="Arial" w:cs="Arial" w:eastAsia="Arial" w:hAnsi="Arial"/>
                <w:sz w:val="11"/>
                <w:szCs w:val="11"/>
                <w:b w:val="1"/>
                <w:bCs w:val="1"/>
                <w:color w:val="auto"/>
                <w:w w:val="85"/>
                <w:vertAlign w:val="superscript"/>
              </w:rPr>
              <w:t>(1)</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3"/>
              </w:rPr>
              <w:t>Successor</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Predecessor</w:t>
            </w:r>
          </w:p>
        </w:tc>
        <w:tc>
          <w:tcPr>
            <w:tcW w:w="204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6"/>
              <w:spacing w:after="0" w:line="115" w:lineRule="exact"/>
              <w:rPr>
                <w:sz w:val="20"/>
                <w:szCs w:val="20"/>
                <w:color w:val="auto"/>
              </w:rPr>
            </w:pPr>
            <w:r>
              <w:rPr>
                <w:rFonts w:ascii="Arial" w:cs="Arial" w:eastAsia="Arial" w:hAnsi="Arial"/>
                <w:sz w:val="11"/>
                <w:szCs w:val="11"/>
                <w:b w:val="1"/>
                <w:bCs w:val="1"/>
                <w:color w:val="auto"/>
                <w:w w:val="89"/>
              </w:rPr>
              <w:t>Year Ended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26"/>
              <w:spacing w:after="0" w:line="115" w:lineRule="exact"/>
              <w:rPr>
                <w:sz w:val="20"/>
                <w:szCs w:val="20"/>
                <w:color w:val="auto"/>
              </w:rPr>
            </w:pPr>
            <w:r>
              <w:rPr>
                <w:rFonts w:ascii="Arial" w:cs="Arial" w:eastAsia="Arial" w:hAnsi="Arial"/>
                <w:sz w:val="11"/>
                <w:szCs w:val="11"/>
                <w:b w:val="1"/>
                <w:bCs w:val="1"/>
                <w:color w:val="auto"/>
                <w:w w:val="89"/>
              </w:rPr>
              <w:t>Year Ended</w:t>
            </w:r>
          </w:p>
        </w:tc>
        <w:tc>
          <w:tcPr>
            <w:tcW w:w="60" w:type="dxa"/>
            <w:vAlign w:val="bottom"/>
            <w:tcBorders>
              <w:left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26"/>
              <w:spacing w:after="0" w:line="115" w:lineRule="exact"/>
              <w:rPr>
                <w:sz w:val="20"/>
                <w:szCs w:val="20"/>
                <w:color w:val="auto"/>
              </w:rPr>
            </w:pPr>
            <w:r>
              <w:rPr>
                <w:rFonts w:ascii="Arial" w:cs="Arial" w:eastAsia="Arial" w:hAnsi="Arial"/>
                <w:sz w:val="11"/>
                <w:szCs w:val="11"/>
                <w:b w:val="1"/>
                <w:bCs w:val="1"/>
                <w:color w:val="auto"/>
                <w:w w:val="90"/>
              </w:rPr>
              <w:t>October 1, 2018 to</w:t>
            </w:r>
          </w:p>
        </w:tc>
        <w:tc>
          <w:tcPr>
            <w:tcW w:w="60" w:type="dxa"/>
            <w:vAlign w:val="bottom"/>
            <w:tcBorders>
              <w:left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January 1, 2018 to</w:t>
            </w:r>
          </w:p>
        </w:tc>
        <w:tc>
          <w:tcPr>
            <w:tcW w:w="100" w:type="dxa"/>
            <w:vAlign w:val="bottom"/>
          </w:tcPr>
          <w:p>
            <w:pPr>
              <w:spacing w:after="0"/>
              <w:rPr>
                <w:sz w:val="10"/>
                <w:szCs w:val="10"/>
                <w:color w:val="auto"/>
              </w:rPr>
            </w:pPr>
          </w:p>
        </w:tc>
        <w:tc>
          <w:tcPr>
            <w:tcW w:w="2040" w:type="dxa"/>
            <w:vAlign w:val="bottom"/>
            <w:tcBorders>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0"/>
              </w:rPr>
              <w:t>Combined Year Ended December 31, 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December 31, 2019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60" w:type="dxa"/>
            <w:vAlign w:val="bottom"/>
            <w:tcBorders>
              <w:left w:val="single" w:sz="8" w:color="auto"/>
            </w:tcBorders>
          </w:tcPr>
          <w:p>
            <w:pPr>
              <w:spacing w:after="0"/>
              <w:rPr>
                <w:sz w:val="10"/>
                <w:szCs w:val="10"/>
                <w:color w:val="auto"/>
              </w:rPr>
            </w:pPr>
          </w:p>
        </w:tc>
        <w:tc>
          <w:tcPr>
            <w:tcW w:w="9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60" w:type="dxa"/>
            <w:vAlign w:val="bottom"/>
            <w:tcBorders>
              <w:left w:val="single" w:sz="8" w:color="auto"/>
            </w:tcBorders>
          </w:tcPr>
          <w:p>
            <w:pPr>
              <w:spacing w:after="0"/>
              <w:rPr>
                <w:sz w:val="10"/>
                <w:szCs w:val="10"/>
                <w:color w:val="auto"/>
              </w:rPr>
            </w:pPr>
          </w:p>
        </w:tc>
        <w:tc>
          <w:tcPr>
            <w:tcW w:w="10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w w:val="97"/>
              </w:rPr>
              <w:t>September 30, 2018</w:t>
            </w:r>
          </w:p>
        </w:tc>
        <w:tc>
          <w:tcPr>
            <w:tcW w:w="1020" w:type="dxa"/>
            <w:vAlign w:val="bottom"/>
            <w:gridSpan w:val="2"/>
          </w:tcPr>
          <w:p>
            <w:pPr>
              <w:ind w:left="200"/>
              <w:spacing w:after="0" w:line="115" w:lineRule="exact"/>
              <w:rPr>
                <w:sz w:val="20"/>
                <w:szCs w:val="20"/>
                <w:color w:val="auto"/>
              </w:rPr>
            </w:pPr>
            <w:r>
              <w:rPr>
                <w:rFonts w:ascii="Arial" w:cs="Arial" w:eastAsia="Arial" w:hAnsi="Arial"/>
                <w:sz w:val="11"/>
                <w:szCs w:val="11"/>
                <w:b w:val="1"/>
                <w:bCs w:val="1"/>
                <w:color w:val="auto"/>
              </w:rPr>
              <w:t>$ Change</w:t>
            </w:r>
          </w:p>
        </w:tc>
        <w:tc>
          <w:tcPr>
            <w:tcW w:w="102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right"/>
              <w:ind w:right="466"/>
              <w:spacing w:after="0" w:line="115" w:lineRule="exact"/>
              <w:rPr>
                <w:sz w:val="20"/>
                <w:szCs w:val="20"/>
                <w:color w:val="auto"/>
              </w:rPr>
            </w:pPr>
            <w:r>
              <w:rPr>
                <w:rFonts w:ascii="Arial" w:cs="Arial" w:eastAsia="Arial" w:hAnsi="Arial"/>
                <w:sz w:val="11"/>
                <w:szCs w:val="11"/>
                <w:b w:val="1"/>
                <w:bCs w:val="1"/>
                <w:color w:val="auto"/>
              </w:rPr>
              <w:t>(dollars in thousands)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U.S.</w:t>
            </w:r>
          </w:p>
        </w:tc>
        <w:tc>
          <w:tcPr>
            <w:tcW w:w="1220" w:type="dxa"/>
            <w:vAlign w:val="bottom"/>
            <w:gridSpan w:val="2"/>
          </w:tcPr>
          <w:p>
            <w:pPr>
              <w:jc w:val="right"/>
              <w:ind w:right="9"/>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497,316</w:t>
            </w:r>
          </w:p>
        </w:tc>
        <w:tc>
          <w:tcPr>
            <w:tcW w:w="100" w:type="dxa"/>
            <w:vAlign w:val="bottom"/>
            <w:tcBorders>
              <w:right w:val="single" w:sz="8" w:color="auto"/>
            </w:tcBorders>
          </w:tcPr>
          <w:p>
            <w:pPr>
              <w:spacing w:after="0"/>
              <w:rPr>
                <w:sz w:val="10"/>
                <w:szCs w:val="10"/>
                <w:color w:val="auto"/>
              </w:rPr>
            </w:pPr>
          </w:p>
        </w:tc>
        <w:tc>
          <w:tcPr>
            <w:tcW w:w="160" w:type="dxa"/>
            <w:vAlign w:val="bottom"/>
            <w:gridSpan w:val="2"/>
          </w:tcPr>
          <w:p>
            <w:pPr>
              <w:jc w:val="right"/>
              <w:ind w:right="19"/>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440,211</w:t>
            </w:r>
          </w:p>
        </w:tc>
        <w:tc>
          <w:tcPr>
            <w:tcW w:w="20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115,907</w:t>
            </w:r>
          </w:p>
        </w:tc>
        <w:tc>
          <w:tcPr>
            <w:tcW w:w="18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324,304</w:t>
            </w:r>
          </w:p>
        </w:tc>
        <w:tc>
          <w:tcPr>
            <w:tcW w:w="1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57,105</w:t>
            </w:r>
          </w:p>
        </w:tc>
        <w:tc>
          <w:tcPr>
            <w:tcW w:w="200" w:type="dxa"/>
            <w:vAlign w:val="bottom"/>
          </w:tcPr>
          <w:p>
            <w:pPr>
              <w:spacing w:after="0"/>
              <w:rPr>
                <w:sz w:val="10"/>
                <w:szCs w:val="10"/>
                <w:color w:val="auto"/>
              </w:rPr>
            </w:pPr>
          </w:p>
        </w:tc>
        <w:tc>
          <w:tcPr>
            <w:tcW w:w="10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13.0</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International</w:t>
            </w:r>
          </w:p>
        </w:tc>
        <w:tc>
          <w:tcPr>
            <w:tcW w:w="11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278,250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244,197</w:t>
            </w:r>
          </w:p>
        </w:tc>
        <w:tc>
          <w:tcPr>
            <w:tcW w:w="60" w:type="dxa"/>
            <w:vAlign w:val="bottom"/>
            <w:tcBorders>
              <w:left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62,730</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181,467</w:t>
            </w:r>
          </w:p>
        </w:tc>
        <w:tc>
          <w:tcPr>
            <w:tcW w:w="10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34,053</w:t>
            </w:r>
          </w:p>
        </w:tc>
        <w:tc>
          <w:tcPr>
            <w:tcW w:w="200" w:type="dxa"/>
            <w:vAlign w:val="bottom"/>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720" w:type="dxa"/>
            <w:vAlign w:val="bottom"/>
          </w:tcPr>
          <w:p>
            <w:pPr>
              <w:spacing w:after="0" w:line="115" w:lineRule="exact"/>
              <w:rPr>
                <w:sz w:val="20"/>
                <w:szCs w:val="20"/>
                <w:color w:val="auto"/>
              </w:rPr>
            </w:pPr>
            <w:r>
              <w:rPr>
                <w:rFonts w:ascii="Arial" w:cs="Arial" w:eastAsia="Arial" w:hAnsi="Arial"/>
                <w:sz w:val="11"/>
                <w:szCs w:val="11"/>
                <w:color w:val="auto"/>
              </w:rPr>
              <w:t>Gross revenue</w:t>
            </w:r>
          </w:p>
        </w:tc>
        <w:tc>
          <w:tcPr>
            <w:tcW w:w="1100" w:type="dxa"/>
            <w:vAlign w:val="bottom"/>
          </w:tcPr>
          <w:p>
            <w:pPr>
              <w:spacing w:after="0"/>
              <w:rPr>
                <w:sz w:val="10"/>
                <w:szCs w:val="1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775,566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jc w:val="right"/>
              <w:ind w:right="19"/>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684,408</w:t>
            </w:r>
          </w:p>
        </w:tc>
        <w:tc>
          <w:tcPr>
            <w:tcW w:w="60" w:type="dxa"/>
            <w:vAlign w:val="bottom"/>
            <w:tcBorders>
              <w:left w:val="single" w:sz="8" w:color="auto"/>
            </w:tcBorders>
          </w:tcPr>
          <w:p>
            <w:pPr>
              <w:spacing w:after="0"/>
              <w:rPr>
                <w:sz w:val="10"/>
                <w:szCs w:val="10"/>
                <w:color w:val="auto"/>
              </w:rPr>
            </w:pPr>
          </w:p>
        </w:tc>
        <w:tc>
          <w:tcPr>
            <w:tcW w:w="1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178,637</w:t>
            </w: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200" w:type="dxa"/>
            <w:vAlign w:val="bottom"/>
          </w:tcPr>
          <w:p>
            <w:pPr>
              <w:spacing w:after="0"/>
              <w:rPr>
                <w:sz w:val="10"/>
                <w:szCs w:val="10"/>
                <w:color w:val="auto"/>
              </w:rPr>
            </w:pPr>
          </w:p>
        </w:tc>
        <w:tc>
          <w:tcPr>
            <w:tcW w:w="10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60" w:hanging="333"/>
        <w:spacing w:after="0" w:line="256" w:lineRule="auto"/>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39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$57.1 million or 13.0% to $497.3 million for the year ended December 31, 2019 from $440.2 million for the combined year ended December 31, 2018 primarily due to higher trading volumes for U.S. credit products, U.S. government bonds, mortgages and rates derivatives products.</w:t>
      </w:r>
    </w:p>
    <w:p>
      <w:pPr>
        <w:spacing w:after="0" w:line="18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$34.1 million or 13.9% to $278.3 million for the year ended December 31, 2019 from $244.2 million for the combined year ended December 31, 2018 primarily due to higher trading volumes for rates derivatives products, European equities products, Chinese bonds and repurchase agreements. Compared to 2018 average rates, fluctuations in foreign currency rates throughout 2019 decreased our International gross revenue by $11.8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expenses for the year ended December 31, 2019, the 2018 Successor Period and the 2018 Predecessor Period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89"/>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r>
              <w:rPr>
                <w:rFonts w:ascii="Arial" w:cs="Arial" w:eastAsia="Arial" w:hAnsi="Arial"/>
                <w:sz w:val="14"/>
                <w:szCs w:val="14"/>
                <w:color w:val="auto"/>
                <w:vertAlign w:val="superscript"/>
              </w:rPr>
              <w:t>(1)</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329,457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80,436</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209,053</w:t>
            </w:r>
          </w:p>
        </w:tc>
        <w:tc>
          <w:tcPr>
            <w:tcW w:w="0" w:type="dxa"/>
            <w:vAlign w:val="bottom"/>
          </w:tcPr>
          <w:p>
            <w:pPr>
              <w:spacing w:after="0"/>
              <w:rPr>
                <w:sz w:val="1"/>
                <w:szCs w:val="1"/>
                <w:color w:val="auto"/>
              </w:rPr>
            </w:pPr>
          </w:p>
        </w:tc>
      </w:tr>
      <w:tr>
        <w:trPr>
          <w:trHeight w:val="149"/>
        </w:trPr>
        <w:tc>
          <w:tcPr>
            <w:tcW w:w="506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139,330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33,020</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48,808</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 and communications</w:t>
            </w:r>
            <w:r>
              <w:rPr>
                <w:rFonts w:ascii="Arial" w:cs="Arial" w:eastAsia="Arial" w:hAnsi="Arial"/>
                <w:sz w:val="14"/>
                <w:szCs w:val="14"/>
                <w:color w:val="auto"/>
                <w:vertAlign w:val="superscript"/>
              </w:rPr>
              <w:t>(1)</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w:t>
            </w:r>
          </w:p>
        </w:tc>
        <w:tc>
          <w:tcPr>
            <w:tcW w:w="0" w:type="dxa"/>
            <w:vAlign w:val="bottom"/>
          </w:tcPr>
          <w:p>
            <w:pPr>
              <w:spacing w:after="0"/>
              <w:rPr>
                <w:sz w:val="1"/>
                <w:szCs w:val="1"/>
                <w:color w:val="auto"/>
              </w:rPr>
            </w:pPr>
          </w:p>
        </w:tc>
      </w:tr>
      <w:tr>
        <w:trPr>
          <w:trHeight w:val="149"/>
        </w:trPr>
        <w:tc>
          <w:tcPr>
            <w:tcW w:w="506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4"/>
                <w:szCs w:val="14"/>
                <w:color w:val="auto"/>
                <w:vertAlign w:val="superscript"/>
              </w:rPr>
              <w:t>(1)</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34,960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23,056</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r>
              <w:rPr>
                <w:rFonts w:ascii="Arial" w:cs="Arial" w:eastAsia="Arial" w:hAnsi="Arial"/>
                <w:sz w:val="14"/>
                <w:szCs w:val="14"/>
                <w:color w:val="auto"/>
                <w:vertAlign w:val="superscript"/>
              </w:rPr>
              <w:t>(1)</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8,194</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20,360</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Occupancy</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14,686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3,308</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10,732</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146,702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338,607</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80" w:hanging="333"/>
        <w:spacing w:after="0" w:line="25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change in basis resulting from the Refinitiv Transaction and the application of pushdown accounting did not impact these operating expense accounts.</w:t>
      </w:r>
    </w:p>
    <w:p>
      <w:pPr>
        <w:spacing w:after="0" w:line="39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xml:space="preserve"> Employee compensation and benefits expense increased by $40.0 million or 13.8% to $329.5 million for the year ended December 31, 2019 from $289.5 million for the combined year ended December 31, 2018. The increase was primarily due to $24.4 million of non-cash stock-based compensation expense related to the Special Option Award, which, as a result of the completion of the IPO, we began to expense during the second quarter of 2019 (with $18.9 million recognized as compensation expense related to these options immediately upon the completion of the IPO), and post-IPO options awarded in the second half of 2019, an increase in commission related expenses of $9.9 million related to higher Wholesale revenues and an increase in salaries, bonus and benefits of $3.9 million.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year ended December 31, 2019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$139.3 million. Depreciation and amortization expense for the 2018 Successor Period and the 2018 Predecessor Period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$33.0 million and $48.8 million, respectively. As a result of the Refinitiv Transaction and the application of pushdown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we adjusted our assets and liabilities to their estimated fair values as of October 1, 2018, which resulted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depreciation of tangible assets and amortization of our intangible assets. For the year ended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Refinitiv related depreciation and amortization was $97.6 million. For the 2018 Successor Period,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Predecessor Period, acquisition and Refinitiv related depreciation and amortization was $22.4 million and $19.6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and communications expense increased by $2.8 million or 7.6% to $39.3 million for the year ended December 31, 2019 from $36.5 million for the combined year ended December 31, 2018. The increase was primarily due to increased clearance and data fees as a result of higher trading volumes.</w:t>
      </w:r>
    </w:p>
    <w:p>
      <w:pPr>
        <w:spacing w:after="0" w:line="166"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increased by $0.1 million or 0.2% to $35.0 million for the year ended December 31, 2019 from $34.9 million for the combined year ended December 31, 2018. The increase was primarily a result of an increase in insurance costs of $2.2 million associated with being a public company, and foreign exchange losses of $1.1 million, partially offset by lower bad debt expenses of $1.5 million associated with an evaluation of the reserve, sales and use taxes of $1.2 million, and lower recruiting fees of $0.6 million.</w:t>
      </w:r>
    </w:p>
    <w:p>
      <w:pPr>
        <w:spacing w:after="0" w:line="1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Professional fees decreased by $0.5 million or (1.8)% to $28.0 million for the year ended December 31, 2019 from $28.6 million for the combined year ended December 31, 2018. The decrease was primarily due to lower legal and consulting fees, as well as lower advisory fees in 2019, as 2018 included higher fees incurred in connection with the IPO, partially offset by higher audit and tax advisory fees associated with being a public company.</w:t>
      </w:r>
    </w:p>
    <w:p>
      <w:pPr>
        <w:spacing w:after="0" w:line="17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u w:val="single" w:color="auto"/>
          <w:color w:val="auto"/>
        </w:rPr>
        <w:t>Occupancy</w:t>
      </w:r>
      <w:r>
        <w:rPr>
          <w:rFonts w:ascii="Arial" w:cs="Arial" w:eastAsia="Arial" w:hAnsi="Arial"/>
          <w:sz w:val="16"/>
          <w:szCs w:val="16"/>
          <w:color w:val="auto"/>
        </w:rPr>
        <w:t>. Occupancy expense for the year ended December 31, 2019 was $14.7 million. Occupancy expense for the 2018 Successor Period and the 2018 Predecessor Period was $3.3 million and $10.7 million, respectively. As a result of the Refinitiv Transaction and the application of pushdown accounting, at October 1, 2018, we established a leasehold interest liability, which resulted in contra expense of $0.4 million during the year ended December 31, 2019. Occupancy expense for the year ended December 31, 2019 also was impacted by an increase in costs associated with our Europe and Asia offices.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Net interest income for the year ended December 31, 2019 decreased by $0.1 million, or (5.5)% to $2.4 million from $2.5 million for the combined year ended December 31, 2018. The decrease was due to higher interest expense associated with credit facility fees related to the Revolving Credit Facility of $1.3 million, partially offset by higher interest income from cash investments. The change in basis resulting from the Refinitiv Transaction and the application of pushdown accounting did not impact net interest income (expense).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Receivable Agreement Liability Adjustment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tax receivable agreement liability adjustment for the year ended December 31, 2019 was $33.1 million, which represents income recognized during the year ended December 31, 2019 primarily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Provision for income taxes for the year ended December 31, 2019 was $52.3 million. Provision for income taxes for the 2018 Successor Period and the 2018 Predecessor Period was $3.4 million and $11.9 million, respectively. Provision for income taxes for the year ended December 31, 2019 was impacted by the Reorganization Transactions and the IPO, which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 The provision for income taxes for the year ended December 31, 2019 was also impacted by an increase in Tradeweb Market Inc.’s ownership interest in TWM LLC following the completion of the October 2019 follow-on offering and the application of the use of proceeds therefrom.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For October 1, 2018 to December 31, 2018 (Successor), January 1, 2018 to September 30, 2018 (Predecessor) and the Year Ended December 31, 2017 (Predecessor)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a summary of our statements of income for the 2018 Successor Period, the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Predecessor Period and the year ended 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8"/>
              </w:rPr>
              <w:t>Successor</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October 1, 2018 to</w:t>
            </w:r>
          </w:p>
        </w:tc>
        <w:tc>
          <w:tcPr>
            <w:tcW w:w="160" w:type="dxa"/>
            <w:vAlign w:val="bottom"/>
            <w:tcBorders>
              <w:left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2018</w:t>
            </w:r>
          </w:p>
        </w:tc>
        <w:tc>
          <w:tcPr>
            <w:tcW w:w="160" w:type="dxa"/>
            <w:vAlign w:val="bottom"/>
            <w:tcBorders>
              <w:left w:val="single" w:sz="8" w:color="auto"/>
            </w:tcBorders>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2018</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178,637</w:t>
            </w:r>
          </w:p>
        </w:tc>
        <w:tc>
          <w:tcPr>
            <w:tcW w:w="320" w:type="dxa"/>
            <w:vAlign w:val="bottom"/>
            <w:tcBorders>
              <w:left w:val="single" w:sz="8" w:color="auto"/>
            </w:tcBorders>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505,771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180" w:type="dxa"/>
            <w:vAlign w:val="bottom"/>
          </w:tcPr>
          <w:p>
            <w:pPr>
              <w:spacing w:after="0"/>
              <w:rPr>
                <w:sz w:val="12"/>
                <w:szCs w:val="12"/>
                <w:color w:val="auto"/>
              </w:rPr>
            </w:pP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(26,830)</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178,637</w:t>
            </w:r>
          </w:p>
        </w:tc>
        <w:tc>
          <w:tcPr>
            <w:tcW w:w="160" w:type="dxa"/>
            <w:vAlign w:val="bottom"/>
            <w:tcBorders>
              <w:top w:val="single" w:sz="8" w:color="CCEEFF"/>
              <w:left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478,941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146,702</w:t>
            </w:r>
          </w:p>
        </w:tc>
        <w:tc>
          <w:tcPr>
            <w:tcW w:w="160" w:type="dxa"/>
            <w:vAlign w:val="bottom"/>
            <w:tcBorders>
              <w:left w:val="single" w:sz="8" w:color="auto"/>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338,607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31,935</w:t>
            </w:r>
          </w:p>
        </w:tc>
        <w:tc>
          <w:tcPr>
            <w:tcW w:w="160" w:type="dxa"/>
            <w:vAlign w:val="bottom"/>
            <w:tcBorders>
              <w:lef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140,334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interest income</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787</w:t>
            </w:r>
          </w:p>
        </w:tc>
        <w:tc>
          <w:tcPr>
            <w:tcW w:w="160" w:type="dxa"/>
            <w:vAlign w:val="bottom"/>
            <w:tcBorders>
              <w:left w:val="single" w:sz="8" w:color="auto"/>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before taxes</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32,722</w:t>
            </w:r>
          </w:p>
        </w:tc>
        <w:tc>
          <w:tcPr>
            <w:tcW w:w="160" w:type="dxa"/>
            <w:vAlign w:val="bottom"/>
            <w:tcBorders>
              <w:lef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(3,415)</w:t>
            </w: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(11,900)</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29,307</w:t>
            </w:r>
          </w:p>
        </w:tc>
        <w:tc>
          <w:tcPr>
            <w:tcW w:w="16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130,160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During the combined year ended December 31, 2018,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higher employee compensation and benefits expense and higher professional fees, as well as higher depreciation and amortization expense as a result of the application of pushdown accounting.</w:t>
      </w:r>
    </w:p>
    <w:p>
      <w:pPr>
        <w:spacing w:after="0" w:line="173"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$504.4 million for the year ended December 31, 2017. Non-cash contingent consideration decreased by $31.7 million to</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$26.8 million for the combined year ended December 31, 2018 from $58.5 million for the year ended December 31, 2017 as a result of changes in projected and actual revenues related to the Credit Initiative Earnout during the periods.</w:t>
      </w:r>
    </w:p>
    <w:p>
      <w:pPr>
        <w:spacing w:after="0" w:line="1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taxes for the 2018 Successor Period and the 2018 Predecessor Period was $32.7 million and</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Our revenues for the 2018 Successor Period, the 2018 Predecessor Period, the combined year ended December 31, 2018 and the year ended December 31, 2017, and the resulting dollar and percentage changes,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9"/>
                <w:szCs w:val="9"/>
                <w:b w:val="1"/>
                <w:bCs w:val="1"/>
                <w:color w:val="auto"/>
                <w:w w:val="83"/>
              </w:rPr>
              <w:t>Successor</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85"/>
              </w:rPr>
              <w:t>Predecessor</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940" w:type="dxa"/>
            <w:vAlign w:val="bottom"/>
            <w:gridSpan w:val="4"/>
            <w:vMerge w:val="restart"/>
          </w:tcPr>
          <w:p>
            <w:pPr>
              <w:jc w:val="center"/>
              <w:ind w:right="200"/>
              <w:spacing w:after="0"/>
              <w:rPr>
                <w:sz w:val="20"/>
                <w:szCs w:val="20"/>
                <w:color w:val="auto"/>
              </w:rPr>
            </w:pPr>
            <w:r>
              <w:rPr>
                <w:rFonts w:ascii="Arial" w:cs="Arial" w:eastAsia="Arial" w:hAnsi="Arial"/>
                <w:sz w:val="9"/>
                <w:szCs w:val="9"/>
                <w:b w:val="1"/>
                <w:bCs w:val="1"/>
                <w:color w:val="auto"/>
                <w:w w:val="88"/>
              </w:rPr>
              <w:t>Combined</w:t>
            </w:r>
            <w:r>
              <w:rPr>
                <w:rFonts w:ascii="Arial" w:cs="Arial" w:eastAsia="Arial" w:hAnsi="Arial"/>
                <w:sz w:val="10"/>
                <w:szCs w:val="10"/>
                <w:b w:val="1"/>
                <w:bCs w:val="1"/>
                <w:color w:val="auto"/>
                <w:w w:val="88"/>
                <w:vertAlign w:val="superscript"/>
              </w:rPr>
              <w:t>(1)</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3"/>
            <w:vMerge w:val="restart"/>
          </w:tcPr>
          <w:p>
            <w:pPr>
              <w:jc w:val="center"/>
              <w:ind w:right="16"/>
              <w:spacing w:after="0"/>
              <w:rPr>
                <w:sz w:val="20"/>
                <w:szCs w:val="20"/>
                <w:color w:val="auto"/>
              </w:rPr>
            </w:pPr>
            <w:r>
              <w:rPr>
                <w:rFonts w:ascii="Arial" w:cs="Arial" w:eastAsia="Arial" w:hAnsi="Arial"/>
                <w:sz w:val="9"/>
                <w:szCs w:val="9"/>
                <w:b w:val="1"/>
                <w:bCs w:val="1"/>
                <w:color w:val="auto"/>
                <w:w w:val="85"/>
              </w:rPr>
              <w:t>Predecessor</w:t>
            </w: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80" w:type="dxa"/>
            <w:vAlign w:val="bottom"/>
            <w:gridSpan w:val="6"/>
            <w:vMerge w:val="restart"/>
          </w:tcPr>
          <w:p>
            <w:pPr>
              <w:jc w:val="right"/>
              <w:ind w:right="200"/>
              <w:spacing w:after="0"/>
              <w:rPr>
                <w:sz w:val="20"/>
                <w:szCs w:val="20"/>
                <w:color w:val="auto"/>
              </w:rPr>
            </w:pPr>
            <w:r>
              <w:rPr>
                <w:rFonts w:ascii="Arial" w:cs="Arial" w:eastAsia="Arial" w:hAnsi="Arial"/>
                <w:sz w:val="9"/>
                <w:szCs w:val="9"/>
                <w:b w:val="1"/>
                <w:bCs w:val="1"/>
                <w:color w:val="auto"/>
                <w:w w:val="91"/>
              </w:rPr>
              <w:t>Combined Year Ended December 31, 2018 vs</w:t>
            </w: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vMerge w:val="continue"/>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180" w:type="dxa"/>
            <w:vAlign w:val="bottom"/>
            <w:tcBorders>
              <w:lef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center"/>
              <w:ind w:right="35"/>
              <w:spacing w:after="0" w:line="79" w:lineRule="exact"/>
              <w:rPr>
                <w:sz w:val="20"/>
                <w:szCs w:val="20"/>
                <w:color w:val="auto"/>
              </w:rPr>
            </w:pPr>
            <w:r>
              <w:rPr>
                <w:rFonts w:ascii="Arial" w:cs="Arial" w:eastAsia="Arial" w:hAnsi="Arial"/>
                <w:sz w:val="9"/>
                <w:szCs w:val="9"/>
                <w:b w:val="1"/>
                <w:bCs w:val="1"/>
                <w:color w:val="auto"/>
                <w:w w:val="89"/>
              </w:rPr>
              <w:t>October 1, 2018 to</w:t>
            </w:r>
          </w:p>
        </w:tc>
        <w:tc>
          <w:tcPr>
            <w:tcW w:w="80" w:type="dxa"/>
            <w:vAlign w:val="bottom"/>
          </w:tcPr>
          <w:p>
            <w:pPr>
              <w:spacing w:after="0"/>
              <w:rPr>
                <w:sz w:val="6"/>
                <w:szCs w:val="6"/>
                <w:color w:val="auto"/>
              </w:rPr>
            </w:pPr>
          </w:p>
        </w:tc>
        <w:tc>
          <w:tcPr>
            <w:tcW w:w="20" w:type="dxa"/>
            <w:vAlign w:val="bottom"/>
            <w:tcBorders>
              <w:top w:val="single" w:sz="8" w:color="auto"/>
            </w:tcBorders>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center"/>
              <w:ind w:right="77"/>
              <w:spacing w:after="0" w:line="79" w:lineRule="exact"/>
              <w:rPr>
                <w:sz w:val="20"/>
                <w:szCs w:val="20"/>
                <w:color w:val="auto"/>
              </w:rPr>
            </w:pPr>
            <w:r>
              <w:rPr>
                <w:rFonts w:ascii="Arial" w:cs="Arial" w:eastAsia="Arial" w:hAnsi="Arial"/>
                <w:sz w:val="9"/>
                <w:szCs w:val="9"/>
                <w:b w:val="1"/>
                <w:bCs w:val="1"/>
                <w:color w:val="auto"/>
                <w:w w:val="92"/>
              </w:rPr>
              <w:t>January 1, 2018 to</w:t>
            </w:r>
          </w:p>
        </w:tc>
        <w:tc>
          <w:tcPr>
            <w:tcW w:w="100" w:type="dxa"/>
            <w:vAlign w:val="bottom"/>
          </w:tcPr>
          <w:p>
            <w:pPr>
              <w:spacing w:after="0"/>
              <w:rPr>
                <w:sz w:val="6"/>
                <w:szCs w:val="6"/>
                <w:color w:val="auto"/>
              </w:rPr>
            </w:pPr>
          </w:p>
        </w:tc>
        <w:tc>
          <w:tcPr>
            <w:tcW w:w="20" w:type="dxa"/>
            <w:vAlign w:val="bottom"/>
            <w:tcBorders>
              <w:top w:val="single" w:sz="8" w:color="auto"/>
            </w:tcBorders>
            <w:shd w:val="clear" w:color="auto" w:fill="000000"/>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4"/>
          </w:tcPr>
          <w:p>
            <w:pPr>
              <w:jc w:val="center"/>
              <w:ind w:right="200"/>
              <w:spacing w:after="0" w:line="79" w:lineRule="exact"/>
              <w:rPr>
                <w:sz w:val="20"/>
                <w:szCs w:val="20"/>
                <w:color w:val="auto"/>
              </w:rPr>
            </w:pPr>
            <w:r>
              <w:rPr>
                <w:rFonts w:ascii="Arial" w:cs="Arial" w:eastAsia="Arial" w:hAnsi="Arial"/>
                <w:sz w:val="9"/>
                <w:szCs w:val="9"/>
                <w:b w:val="1"/>
                <w:bCs w:val="1"/>
                <w:color w:val="auto"/>
                <w:w w:val="92"/>
              </w:rPr>
              <w:t>Year Ended</w:t>
            </w:r>
          </w:p>
        </w:tc>
        <w:tc>
          <w:tcPr>
            <w:tcW w:w="180" w:type="dxa"/>
            <w:vAlign w:val="bottom"/>
            <w:tcBorders>
              <w:lef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gridSpan w:val="3"/>
          </w:tcPr>
          <w:p>
            <w:pPr>
              <w:jc w:val="center"/>
              <w:ind w:right="16"/>
              <w:spacing w:after="0" w:line="79" w:lineRule="exact"/>
              <w:rPr>
                <w:sz w:val="20"/>
                <w:szCs w:val="20"/>
                <w:color w:val="auto"/>
              </w:rPr>
            </w:pPr>
            <w:r>
              <w:rPr>
                <w:rFonts w:ascii="Arial" w:cs="Arial" w:eastAsia="Arial" w:hAnsi="Arial"/>
                <w:sz w:val="9"/>
                <w:szCs w:val="9"/>
                <w:b w:val="1"/>
                <w:bCs w:val="1"/>
                <w:color w:val="auto"/>
                <w:w w:val="92"/>
              </w:rPr>
              <w:t>Year Ended</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8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w w:val="91"/>
              </w:rPr>
              <w:t>December 31, 2018</w:t>
            </w: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77"/>
              <w:spacing w:after="0"/>
              <w:rPr>
                <w:sz w:val="20"/>
                <w:szCs w:val="20"/>
                <w:color w:val="auto"/>
              </w:rPr>
            </w:pPr>
            <w:r>
              <w:rPr>
                <w:rFonts w:ascii="Arial" w:cs="Arial" w:eastAsia="Arial" w:hAnsi="Arial"/>
                <w:sz w:val="9"/>
                <w:szCs w:val="9"/>
                <w:b w:val="1"/>
                <w:bCs w:val="1"/>
                <w:color w:val="auto"/>
                <w:w w:val="90"/>
              </w:rPr>
              <w:t>September 30, 2018</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9"/>
                <w:szCs w:val="9"/>
                <w:b w:val="1"/>
                <w:bCs w:val="1"/>
                <w:color w:val="auto"/>
                <w:w w:val="88"/>
              </w:rPr>
              <w:t>December 31, 2018</w:t>
            </w:r>
          </w:p>
        </w:tc>
        <w:tc>
          <w:tcPr>
            <w:tcW w:w="18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tcPr>
          <w:p>
            <w:pPr>
              <w:jc w:val="center"/>
              <w:ind w:right="16"/>
              <w:spacing w:after="0"/>
              <w:rPr>
                <w:sz w:val="20"/>
                <w:szCs w:val="20"/>
                <w:color w:val="auto"/>
              </w:rPr>
            </w:pPr>
            <w:r>
              <w:rPr>
                <w:rFonts w:ascii="Arial" w:cs="Arial" w:eastAsia="Arial" w:hAnsi="Arial"/>
                <w:sz w:val="9"/>
                <w:szCs w:val="9"/>
                <w:b w:val="1"/>
                <w:bCs w:val="1"/>
                <w:color w:val="auto"/>
                <w:w w:val="91"/>
              </w:rPr>
              <w:t>December 31, 2017</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9"/>
                <w:szCs w:val="9"/>
                <w:b w:val="1"/>
                <w:bCs w:val="1"/>
                <w:color w:val="auto"/>
                <w:w w:val="94"/>
              </w:rPr>
              <w:t>Year Ended December 31, 2017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tcPr>
          <w:p>
            <w:pPr>
              <w:jc w:val="right"/>
              <w:ind w:right="40"/>
              <w:spacing w:after="0" w:line="79" w:lineRule="exact"/>
              <w:rPr>
                <w:sz w:val="20"/>
                <w:szCs w:val="20"/>
                <w:color w:val="auto"/>
              </w:rPr>
            </w:pPr>
            <w:r>
              <w:rPr>
                <w:rFonts w:ascii="Arial" w:cs="Arial" w:eastAsia="Arial" w:hAnsi="Arial"/>
                <w:sz w:val="9"/>
                <w:szCs w:val="9"/>
                <w:b w:val="1"/>
                <w:bCs w:val="1"/>
                <w:color w:val="auto"/>
              </w:rPr>
              <w:t>% of Gross</w:t>
            </w:r>
          </w:p>
        </w:tc>
        <w:tc>
          <w:tcPr>
            <w:tcW w:w="18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jc w:val="right"/>
              <w:ind w:right="16"/>
              <w:spacing w:after="0" w:line="79" w:lineRule="exact"/>
              <w:rPr>
                <w:sz w:val="20"/>
                <w:szCs w:val="20"/>
                <w:color w:val="auto"/>
              </w:rPr>
            </w:pPr>
            <w:r>
              <w:rPr>
                <w:rFonts w:ascii="Arial" w:cs="Arial" w:eastAsia="Arial" w:hAnsi="Arial"/>
                <w:sz w:val="9"/>
                <w:szCs w:val="9"/>
                <w:b w:val="1"/>
                <w:bCs w:val="1"/>
                <w:color w:val="auto"/>
                <w:w w:val="96"/>
              </w:rPr>
              <w:t>% of Gross</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9"/>
                <w:szCs w:val="9"/>
                <w:b w:val="1"/>
                <w:bCs w:val="1"/>
                <w:color w:val="auto"/>
                <w:w w:val="78"/>
              </w:rPr>
              <w:t>$</w:t>
            </w:r>
          </w:p>
        </w:tc>
        <w:tc>
          <w:tcPr>
            <w:tcW w:w="10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500" w:type="dxa"/>
            <w:vAlign w:val="bottom"/>
            <w:gridSpan w:val="2"/>
          </w:tcPr>
          <w:p>
            <w:pPr>
              <w:jc w:val="right"/>
              <w:ind w:right="155"/>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9"/>
                <w:szCs w:val="9"/>
                <w:b w:val="1"/>
                <w:bCs w:val="1"/>
                <w:color w:val="auto"/>
              </w:rPr>
              <w:t>Revenue</w:t>
            </w:r>
          </w:p>
        </w:tc>
        <w:tc>
          <w:tcPr>
            <w:tcW w:w="18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auto"/>
            </w:tcBorders>
          </w:tcPr>
          <w:p>
            <w:pPr>
              <w:jc w:val="right"/>
              <w:ind w:right="137"/>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9"/>
                <w:szCs w:val="9"/>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Revenue</w:t>
            </w:r>
          </w:p>
        </w:tc>
        <w:tc>
          <w:tcPr>
            <w:tcW w:w="160" w:type="dxa"/>
            <w:vAlign w:val="bottom"/>
          </w:tcPr>
          <w:p>
            <w:pPr>
              <w:spacing w:after="0"/>
              <w:rPr>
                <w:sz w:val="9"/>
                <w:szCs w:val="9"/>
                <w:color w:val="auto"/>
              </w:rPr>
            </w:pPr>
          </w:p>
        </w:tc>
        <w:tc>
          <w:tcPr>
            <w:tcW w:w="44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84"/>
              </w:rPr>
              <w:t>Change</w:t>
            </w:r>
          </w:p>
        </w:tc>
        <w:tc>
          <w:tcPr>
            <w:tcW w:w="160" w:type="dxa"/>
            <w:vAlign w:val="bottom"/>
          </w:tcPr>
          <w:p>
            <w:pPr>
              <w:spacing w:after="0"/>
              <w:rPr>
                <w:sz w:val="9"/>
                <w:szCs w:val="9"/>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9"/>
                <w:szCs w:val="9"/>
                <w:b w:val="1"/>
                <w:bCs w:val="1"/>
                <w:color w:val="auto"/>
              </w:rPr>
              <w:t>% Change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04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Revenues</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Borders>
              <w:lef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tcBorders>
              <w:lef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line="96" w:lineRule="exact"/>
              <w:rPr>
                <w:sz w:val="20"/>
                <w:szCs w:val="20"/>
                <w:color w:val="auto"/>
              </w:rPr>
            </w:pPr>
            <w:r>
              <w:rPr>
                <w:rFonts w:ascii="Arial" w:cs="Arial" w:eastAsia="Arial" w:hAnsi="Arial"/>
                <w:sz w:val="9"/>
                <w:szCs w:val="9"/>
                <w:color w:val="auto"/>
              </w:rPr>
              <w:t xml:space="preserve">Transaction fees </w:t>
            </w:r>
            <w:r>
              <w:rPr>
                <w:rFonts w:ascii="Arial" w:cs="Arial" w:eastAsia="Arial" w:hAnsi="Arial"/>
                <w:sz w:val="10"/>
                <w:szCs w:val="10"/>
                <w:color w:val="auto"/>
                <w:vertAlign w:val="subscript"/>
              </w:rPr>
              <w:t>(2)</w:t>
            </w:r>
          </w:p>
        </w:tc>
        <w:tc>
          <w:tcPr>
            <w:tcW w:w="10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line="96" w:lineRule="exact"/>
              <w:rPr>
                <w:sz w:val="20"/>
                <w:szCs w:val="20"/>
                <w:color w:val="auto"/>
              </w:rPr>
            </w:pPr>
            <w:r>
              <w:rPr>
                <w:rFonts w:ascii="Arial" w:cs="Arial" w:eastAsia="Arial" w:hAnsi="Arial"/>
                <w:sz w:val="9"/>
                <w:szCs w:val="9"/>
                <w:color w:val="auto"/>
              </w:rPr>
              <w:t>97,130</w:t>
            </w: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jc w:val="right"/>
              <w:ind w:right="21"/>
              <w:spacing w:after="0" w:line="96" w:lineRule="exact"/>
              <w:rPr>
                <w:sz w:val="20"/>
                <w:szCs w:val="20"/>
                <w:color w:val="auto"/>
              </w:rPr>
            </w:pPr>
            <w:r>
              <w:rPr>
                <w:rFonts w:ascii="Arial" w:cs="Arial" w:eastAsia="Arial" w:hAnsi="Arial"/>
                <w:sz w:val="9"/>
                <w:szCs w:val="9"/>
                <w:color w:val="auto"/>
                <w:w w:val="78"/>
              </w:rPr>
              <w:t>$</w:t>
            </w:r>
          </w:p>
        </w:tc>
        <w:tc>
          <w:tcPr>
            <w:tcW w:w="1000" w:type="dxa"/>
            <w:vAlign w:val="bottom"/>
          </w:tcPr>
          <w:p>
            <w:pPr>
              <w:jc w:val="right"/>
              <w:spacing w:after="0" w:line="96" w:lineRule="exact"/>
              <w:rPr>
                <w:sz w:val="20"/>
                <w:szCs w:val="20"/>
                <w:color w:val="auto"/>
              </w:rPr>
            </w:pPr>
            <w:r>
              <w:rPr>
                <w:rFonts w:ascii="Arial" w:cs="Arial" w:eastAsia="Arial" w:hAnsi="Arial"/>
                <w:sz w:val="9"/>
                <w:szCs w:val="9"/>
                <w:color w:val="auto"/>
              </w:rPr>
              <w:t>273,751</w:t>
            </w:r>
          </w:p>
        </w:tc>
        <w:tc>
          <w:tcPr>
            <w:tcW w:w="1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gridSpan w:val="2"/>
          </w:tcPr>
          <w:p>
            <w:pPr>
              <w:jc w:val="right"/>
              <w:spacing w:after="0" w:line="96" w:lineRule="exact"/>
              <w:rPr>
                <w:sz w:val="20"/>
                <w:szCs w:val="20"/>
                <w:color w:val="auto"/>
              </w:rPr>
            </w:pPr>
            <w:r>
              <w:rPr>
                <w:rFonts w:ascii="Arial" w:cs="Arial" w:eastAsia="Arial" w:hAnsi="Arial"/>
                <w:sz w:val="9"/>
                <w:szCs w:val="9"/>
                <w:color w:val="auto"/>
              </w:rPr>
              <w:t>370,881</w:t>
            </w:r>
          </w:p>
        </w:tc>
        <w:tc>
          <w:tcPr>
            <w:tcW w:w="640" w:type="dxa"/>
            <w:vAlign w:val="bottom"/>
            <w:gridSpan w:val="3"/>
          </w:tcPr>
          <w:p>
            <w:pPr>
              <w:jc w:val="right"/>
              <w:ind w:right="40"/>
              <w:spacing w:after="0" w:line="96" w:lineRule="exact"/>
              <w:rPr>
                <w:sz w:val="20"/>
                <w:szCs w:val="20"/>
                <w:color w:val="auto"/>
              </w:rPr>
            </w:pPr>
            <w:r>
              <w:rPr>
                <w:rFonts w:ascii="Arial" w:cs="Arial" w:eastAsia="Arial" w:hAnsi="Arial"/>
                <w:sz w:val="9"/>
                <w:szCs w:val="9"/>
                <w:color w:val="auto"/>
              </w:rPr>
              <w:t>54.2</w:t>
            </w:r>
          </w:p>
        </w:tc>
        <w:tc>
          <w:tcPr>
            <w:tcW w:w="180" w:type="dxa"/>
            <w:vAlign w:val="bottom"/>
            <w:tcBorders>
              <w:left w:val="single" w:sz="8" w:color="auto"/>
            </w:tcBorders>
          </w:tcPr>
          <w:p>
            <w:pPr>
              <w:jc w:val="right"/>
              <w:ind w:right="36"/>
              <w:spacing w:after="0" w:line="96" w:lineRule="exact"/>
              <w:rPr>
                <w:sz w:val="20"/>
                <w:szCs w:val="20"/>
                <w:color w:val="auto"/>
              </w:rPr>
            </w:pPr>
            <w:r>
              <w:rPr>
                <w:rFonts w:ascii="Arial" w:cs="Arial" w:eastAsia="Arial" w:hAnsi="Arial"/>
                <w:sz w:val="9"/>
                <w:szCs w:val="9"/>
                <w:color w:val="auto"/>
                <w:w w:val="99"/>
              </w:rPr>
              <w:t>%</w:t>
            </w:r>
          </w:p>
        </w:tc>
        <w:tc>
          <w:tcPr>
            <w:tcW w:w="60" w:type="dxa"/>
            <w:vAlign w:val="bottom"/>
          </w:tcPr>
          <w:p>
            <w:pPr>
              <w:jc w:val="right"/>
              <w:spacing w:after="0" w:line="96" w:lineRule="exact"/>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rPr>
              <w:t>267,020</w:t>
            </w:r>
          </w:p>
        </w:tc>
        <w:tc>
          <w:tcPr>
            <w:tcW w:w="660" w:type="dxa"/>
            <w:vAlign w:val="bottom"/>
            <w:gridSpan w:val="2"/>
          </w:tcPr>
          <w:p>
            <w:pPr>
              <w:jc w:val="right"/>
              <w:spacing w:after="0" w:line="96" w:lineRule="exact"/>
              <w:rPr>
                <w:sz w:val="20"/>
                <w:szCs w:val="20"/>
                <w:color w:val="auto"/>
              </w:rPr>
            </w:pPr>
            <w:r>
              <w:rPr>
                <w:rFonts w:ascii="Arial" w:cs="Arial" w:eastAsia="Arial" w:hAnsi="Arial"/>
                <w:sz w:val="9"/>
                <w:szCs w:val="9"/>
                <w:color w:val="auto"/>
              </w:rPr>
              <w:t>47.4</w:t>
            </w:r>
          </w:p>
        </w:tc>
        <w:tc>
          <w:tcPr>
            <w:tcW w:w="160" w:type="dxa"/>
            <w:vAlign w:val="bottom"/>
          </w:tcPr>
          <w:p>
            <w:pPr>
              <w:jc w:val="right"/>
              <w:ind w:right="36"/>
              <w:spacing w:after="0" w:line="96" w:lineRule="exact"/>
              <w:rPr>
                <w:sz w:val="20"/>
                <w:szCs w:val="20"/>
                <w:color w:val="auto"/>
              </w:rPr>
            </w:pPr>
            <w:r>
              <w:rPr>
                <w:rFonts w:ascii="Arial" w:cs="Arial" w:eastAsia="Arial" w:hAnsi="Arial"/>
                <w:sz w:val="9"/>
                <w:szCs w:val="9"/>
                <w:color w:val="auto"/>
                <w:w w:val="74"/>
              </w:rPr>
              <w:t>%</w:t>
            </w:r>
          </w:p>
        </w:tc>
        <w:tc>
          <w:tcPr>
            <w:tcW w:w="200" w:type="dxa"/>
            <w:vAlign w:val="bottom"/>
          </w:tcPr>
          <w:p>
            <w:pPr>
              <w:jc w:val="right"/>
              <w:ind w:right="19"/>
              <w:spacing w:after="0" w:line="96"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640" w:type="dxa"/>
            <w:vAlign w:val="bottom"/>
            <w:gridSpan w:val="2"/>
          </w:tcPr>
          <w:p>
            <w:pPr>
              <w:jc w:val="right"/>
              <w:ind w:right="40"/>
              <w:spacing w:after="0" w:line="96" w:lineRule="exact"/>
              <w:rPr>
                <w:sz w:val="20"/>
                <w:szCs w:val="20"/>
                <w:color w:val="auto"/>
              </w:rPr>
            </w:pPr>
            <w:r>
              <w:rPr>
                <w:rFonts w:ascii="Arial" w:cs="Arial" w:eastAsia="Arial" w:hAnsi="Arial"/>
                <w:sz w:val="9"/>
                <w:szCs w:val="9"/>
                <w:color w:val="auto"/>
              </w:rPr>
              <w:t>103,861</w:t>
            </w:r>
          </w:p>
        </w:tc>
        <w:tc>
          <w:tcPr>
            <w:tcW w:w="1100" w:type="dxa"/>
            <w:vAlign w:val="bottom"/>
            <w:gridSpan w:val="3"/>
          </w:tcPr>
          <w:p>
            <w:pPr>
              <w:jc w:val="right"/>
              <w:ind w:right="40"/>
              <w:spacing w:after="0" w:line="96" w:lineRule="exact"/>
              <w:rPr>
                <w:sz w:val="20"/>
                <w:szCs w:val="20"/>
                <w:color w:val="auto"/>
              </w:rPr>
            </w:pPr>
            <w:r>
              <w:rPr>
                <w:rFonts w:ascii="Arial" w:cs="Arial" w:eastAsia="Arial" w:hAnsi="Arial"/>
                <w:sz w:val="9"/>
                <w:szCs w:val="9"/>
                <w:color w:val="auto"/>
              </w:rPr>
              <w:t>38.9</w:t>
            </w:r>
          </w:p>
        </w:tc>
        <w:tc>
          <w:tcPr>
            <w:tcW w:w="80" w:type="dxa"/>
            <w:vAlign w:val="bottom"/>
          </w:tcPr>
          <w:p>
            <w:pPr>
              <w:jc w:val="right"/>
              <w:spacing w:after="0" w:line="96"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40" w:type="dxa"/>
            <w:vAlign w:val="bottom"/>
          </w:tcPr>
          <w:p>
            <w:pPr>
              <w:spacing w:after="0" w:line="94" w:lineRule="exact"/>
              <w:rPr>
                <w:sz w:val="20"/>
                <w:szCs w:val="20"/>
                <w:color w:val="auto"/>
              </w:rPr>
            </w:pPr>
            <w:r>
              <w:rPr>
                <w:rFonts w:ascii="Arial" w:cs="Arial" w:eastAsia="Arial" w:hAnsi="Arial"/>
                <w:sz w:val="9"/>
                <w:szCs w:val="9"/>
                <w:color w:val="auto"/>
              </w:rPr>
              <w:t>Subscription fees</w:t>
            </w:r>
          </w:p>
        </w:tc>
        <w:tc>
          <w:tcPr>
            <w:tcW w:w="100" w:type="dxa"/>
            <w:vAlign w:val="bottom"/>
          </w:tcPr>
          <w:p>
            <w:pPr>
              <w:spacing w:after="0"/>
              <w:rPr>
                <w:sz w:val="8"/>
                <w:szCs w:val="8"/>
                <w:color w:val="auto"/>
              </w:rPr>
            </w:pPr>
          </w:p>
        </w:tc>
        <w:tc>
          <w:tcPr>
            <w:tcW w:w="820" w:type="dxa"/>
            <w:vAlign w:val="bottom"/>
            <w:gridSpan w:val="2"/>
          </w:tcPr>
          <w:p>
            <w:pPr>
              <w:jc w:val="right"/>
              <w:spacing w:after="0" w:line="94" w:lineRule="exact"/>
              <w:rPr>
                <w:sz w:val="20"/>
                <w:szCs w:val="20"/>
                <w:color w:val="auto"/>
              </w:rPr>
            </w:pPr>
            <w:r>
              <w:rPr>
                <w:rFonts w:ascii="Arial" w:cs="Arial" w:eastAsia="Arial" w:hAnsi="Arial"/>
                <w:sz w:val="9"/>
                <w:szCs w:val="9"/>
                <w:color w:val="auto"/>
              </w:rPr>
              <w:t>46,519</w:t>
            </w: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right"/>
              <w:spacing w:after="0" w:line="94" w:lineRule="exact"/>
              <w:rPr>
                <w:sz w:val="20"/>
                <w:szCs w:val="20"/>
                <w:color w:val="auto"/>
              </w:rPr>
            </w:pPr>
            <w:r>
              <w:rPr>
                <w:rFonts w:ascii="Arial" w:cs="Arial" w:eastAsia="Arial" w:hAnsi="Arial"/>
                <w:sz w:val="9"/>
                <w:szCs w:val="9"/>
                <w:color w:val="auto"/>
              </w:rPr>
              <w:t>143,981</w:t>
            </w:r>
          </w:p>
        </w:tc>
        <w:tc>
          <w:tcPr>
            <w:tcW w:w="1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gridSpan w:val="2"/>
          </w:tcPr>
          <w:p>
            <w:pPr>
              <w:jc w:val="right"/>
              <w:spacing w:after="0" w:line="94" w:lineRule="exact"/>
              <w:rPr>
                <w:sz w:val="20"/>
                <w:szCs w:val="20"/>
                <w:color w:val="auto"/>
              </w:rPr>
            </w:pPr>
            <w:r>
              <w:rPr>
                <w:rFonts w:ascii="Arial" w:cs="Arial" w:eastAsia="Arial" w:hAnsi="Arial"/>
                <w:sz w:val="9"/>
                <w:szCs w:val="9"/>
                <w:color w:val="auto"/>
              </w:rPr>
              <w:t>190,500</w:t>
            </w:r>
          </w:p>
        </w:tc>
        <w:tc>
          <w:tcPr>
            <w:tcW w:w="640" w:type="dxa"/>
            <w:vAlign w:val="bottom"/>
            <w:gridSpan w:val="3"/>
          </w:tcPr>
          <w:p>
            <w:pPr>
              <w:jc w:val="right"/>
              <w:ind w:right="40"/>
              <w:spacing w:after="0" w:line="94" w:lineRule="exact"/>
              <w:rPr>
                <w:sz w:val="20"/>
                <w:szCs w:val="20"/>
                <w:color w:val="auto"/>
              </w:rPr>
            </w:pPr>
            <w:r>
              <w:rPr>
                <w:rFonts w:ascii="Arial" w:cs="Arial" w:eastAsia="Arial" w:hAnsi="Arial"/>
                <w:sz w:val="9"/>
                <w:szCs w:val="9"/>
                <w:color w:val="auto"/>
              </w:rPr>
              <w:t>27.8</w:t>
            </w:r>
          </w:p>
        </w:tc>
        <w:tc>
          <w:tcPr>
            <w:tcW w:w="180" w:type="dxa"/>
            <w:vAlign w:val="bottom"/>
            <w:tcBorders>
              <w:left w:val="single" w:sz="8" w:color="auto"/>
            </w:tcBorders>
          </w:tcPr>
          <w:p>
            <w:pPr>
              <w:jc w:val="right"/>
              <w:ind w:right="36"/>
              <w:spacing w:after="0" w:line="94" w:lineRule="exact"/>
              <w:rPr>
                <w:sz w:val="20"/>
                <w:szCs w:val="20"/>
                <w:color w:val="auto"/>
              </w:rPr>
            </w:pPr>
            <w:r>
              <w:rPr>
                <w:rFonts w:ascii="Arial" w:cs="Arial" w:eastAsia="Arial" w:hAnsi="Arial"/>
                <w:sz w:val="9"/>
                <w:szCs w:val="9"/>
                <w:color w:val="auto"/>
                <w:w w:val="99"/>
              </w:rPr>
              <w:t>%</w:t>
            </w:r>
          </w:p>
        </w:tc>
        <w:tc>
          <w:tcPr>
            <w:tcW w:w="60" w:type="dxa"/>
            <w:vAlign w:val="bottom"/>
          </w:tcPr>
          <w:p>
            <w:pPr>
              <w:spacing w:after="0"/>
              <w:rPr>
                <w:sz w:val="8"/>
                <w:szCs w:val="8"/>
                <w:color w:val="auto"/>
              </w:rPr>
            </w:pPr>
          </w:p>
        </w:tc>
        <w:tc>
          <w:tcPr>
            <w:tcW w:w="420" w:type="dxa"/>
            <w:vAlign w:val="bottom"/>
          </w:tcPr>
          <w:p>
            <w:pPr>
              <w:jc w:val="right"/>
              <w:spacing w:after="0" w:line="94" w:lineRule="exact"/>
              <w:rPr>
                <w:sz w:val="20"/>
                <w:szCs w:val="20"/>
                <w:color w:val="auto"/>
              </w:rPr>
            </w:pPr>
            <w:r>
              <w:rPr>
                <w:rFonts w:ascii="Arial" w:cs="Arial" w:eastAsia="Arial" w:hAnsi="Arial"/>
                <w:sz w:val="9"/>
                <w:szCs w:val="9"/>
                <w:color w:val="auto"/>
              </w:rPr>
              <w:t>194,534</w:t>
            </w:r>
          </w:p>
        </w:tc>
        <w:tc>
          <w:tcPr>
            <w:tcW w:w="660" w:type="dxa"/>
            <w:vAlign w:val="bottom"/>
            <w:gridSpan w:val="2"/>
          </w:tcPr>
          <w:p>
            <w:pPr>
              <w:jc w:val="right"/>
              <w:spacing w:after="0" w:line="94" w:lineRule="exact"/>
              <w:rPr>
                <w:sz w:val="20"/>
                <w:szCs w:val="20"/>
                <w:color w:val="auto"/>
              </w:rPr>
            </w:pPr>
            <w:r>
              <w:rPr>
                <w:rFonts w:ascii="Arial" w:cs="Arial" w:eastAsia="Arial" w:hAnsi="Arial"/>
                <w:sz w:val="9"/>
                <w:szCs w:val="9"/>
                <w:color w:val="auto"/>
              </w:rPr>
              <w:t>34.6</w:t>
            </w:r>
          </w:p>
        </w:tc>
        <w:tc>
          <w:tcPr>
            <w:tcW w:w="160" w:type="dxa"/>
            <w:vAlign w:val="bottom"/>
          </w:tcPr>
          <w:p>
            <w:pPr>
              <w:jc w:val="right"/>
              <w:ind w:right="36"/>
              <w:spacing w:after="0" w:line="94" w:lineRule="exact"/>
              <w:rPr>
                <w:sz w:val="20"/>
                <w:szCs w:val="20"/>
                <w:color w:val="auto"/>
              </w:rPr>
            </w:pPr>
            <w:r>
              <w:rPr>
                <w:rFonts w:ascii="Arial" w:cs="Arial" w:eastAsia="Arial" w:hAnsi="Arial"/>
                <w:sz w:val="9"/>
                <w:szCs w:val="9"/>
                <w:color w:val="auto"/>
                <w:w w:val="74"/>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right"/>
              <w:spacing w:after="0" w:line="94" w:lineRule="exact"/>
              <w:rPr>
                <w:sz w:val="20"/>
                <w:szCs w:val="20"/>
                <w:color w:val="auto"/>
              </w:rPr>
            </w:pPr>
            <w:r>
              <w:rPr>
                <w:rFonts w:ascii="Arial" w:cs="Arial" w:eastAsia="Arial" w:hAnsi="Arial"/>
                <w:sz w:val="9"/>
                <w:szCs w:val="9"/>
                <w:color w:val="auto"/>
              </w:rPr>
              <w:t>(4,034)</w:t>
            </w:r>
          </w:p>
        </w:tc>
        <w:tc>
          <w:tcPr>
            <w:tcW w:w="1180" w:type="dxa"/>
            <w:vAlign w:val="bottom"/>
            <w:gridSpan w:val="4"/>
          </w:tcPr>
          <w:p>
            <w:pPr>
              <w:jc w:val="right"/>
              <w:spacing w:after="0" w:line="94" w:lineRule="exact"/>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95"/>
        </w:trPr>
        <w:tc>
          <w:tcPr>
            <w:tcW w:w="2060" w:type="dxa"/>
            <w:vAlign w:val="bottom"/>
            <w:gridSpan w:val="2"/>
          </w:tcPr>
          <w:p>
            <w:pPr>
              <w:spacing w:after="0" w:line="95" w:lineRule="exact"/>
              <w:rPr>
                <w:sz w:val="20"/>
                <w:szCs w:val="20"/>
                <w:color w:val="auto"/>
              </w:rPr>
            </w:pPr>
            <w:r>
              <w:rPr>
                <w:rFonts w:ascii="Arial" w:cs="Arial" w:eastAsia="Arial" w:hAnsi="Arial"/>
                <w:sz w:val="9"/>
                <w:szCs w:val="9"/>
                <w:color w:val="auto"/>
              </w:rPr>
              <w:t>Commissions</w:t>
            </w:r>
          </w:p>
        </w:tc>
        <w:tc>
          <w:tcPr>
            <w:tcW w:w="100" w:type="dxa"/>
            <w:vAlign w:val="bottom"/>
          </w:tcPr>
          <w:p>
            <w:pPr>
              <w:spacing w:after="0"/>
              <w:rPr>
                <w:sz w:val="8"/>
                <w:szCs w:val="8"/>
                <w:color w:val="auto"/>
              </w:rPr>
            </w:pPr>
          </w:p>
        </w:tc>
        <w:tc>
          <w:tcPr>
            <w:tcW w:w="820" w:type="dxa"/>
            <w:vAlign w:val="bottom"/>
            <w:gridSpan w:val="2"/>
          </w:tcPr>
          <w:p>
            <w:pPr>
              <w:jc w:val="right"/>
              <w:spacing w:after="0" w:line="95" w:lineRule="exact"/>
              <w:rPr>
                <w:sz w:val="20"/>
                <w:szCs w:val="20"/>
                <w:color w:val="auto"/>
              </w:rPr>
            </w:pPr>
            <w:r>
              <w:rPr>
                <w:rFonts w:ascii="Arial" w:cs="Arial" w:eastAsia="Arial" w:hAnsi="Arial"/>
                <w:sz w:val="9"/>
                <w:szCs w:val="9"/>
                <w:color w:val="auto"/>
              </w:rPr>
              <w:t>32,840</w:t>
            </w: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right"/>
              <w:spacing w:after="0" w:line="95" w:lineRule="exact"/>
              <w:rPr>
                <w:sz w:val="20"/>
                <w:szCs w:val="20"/>
                <w:color w:val="auto"/>
              </w:rPr>
            </w:pPr>
            <w:r>
              <w:rPr>
                <w:rFonts w:ascii="Arial" w:cs="Arial" w:eastAsia="Arial" w:hAnsi="Arial"/>
                <w:sz w:val="9"/>
                <w:szCs w:val="9"/>
                <w:color w:val="auto"/>
              </w:rPr>
              <w:t>79,830</w:t>
            </w:r>
          </w:p>
        </w:tc>
        <w:tc>
          <w:tcPr>
            <w:tcW w:w="1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Arial" w:cs="Arial" w:eastAsia="Arial" w:hAnsi="Arial"/>
                <w:sz w:val="9"/>
                <w:szCs w:val="9"/>
                <w:color w:val="auto"/>
              </w:rPr>
              <w:t>112,670</w:t>
            </w:r>
          </w:p>
        </w:tc>
        <w:tc>
          <w:tcPr>
            <w:tcW w:w="640" w:type="dxa"/>
            <w:vAlign w:val="bottom"/>
            <w:gridSpan w:val="3"/>
          </w:tcPr>
          <w:p>
            <w:pPr>
              <w:jc w:val="right"/>
              <w:ind w:right="40"/>
              <w:spacing w:after="0" w:line="95" w:lineRule="exact"/>
              <w:rPr>
                <w:sz w:val="20"/>
                <w:szCs w:val="20"/>
                <w:color w:val="auto"/>
              </w:rPr>
            </w:pPr>
            <w:r>
              <w:rPr>
                <w:rFonts w:ascii="Arial" w:cs="Arial" w:eastAsia="Arial" w:hAnsi="Arial"/>
                <w:sz w:val="9"/>
                <w:szCs w:val="9"/>
                <w:color w:val="auto"/>
              </w:rPr>
              <w:t>16.5</w:t>
            </w:r>
          </w:p>
        </w:tc>
        <w:tc>
          <w:tcPr>
            <w:tcW w:w="180" w:type="dxa"/>
            <w:vAlign w:val="bottom"/>
            <w:tcBorders>
              <w:left w:val="single" w:sz="8" w:color="auto"/>
            </w:tcBorders>
          </w:tcPr>
          <w:p>
            <w:pPr>
              <w:jc w:val="right"/>
              <w:ind w:right="36"/>
              <w:spacing w:after="0" w:line="95" w:lineRule="exact"/>
              <w:rPr>
                <w:sz w:val="20"/>
                <w:szCs w:val="20"/>
                <w:color w:val="auto"/>
              </w:rPr>
            </w:pPr>
            <w:r>
              <w:rPr>
                <w:rFonts w:ascii="Arial" w:cs="Arial" w:eastAsia="Arial" w:hAnsi="Arial"/>
                <w:sz w:val="9"/>
                <w:szCs w:val="9"/>
                <w:color w:val="auto"/>
                <w:w w:val="99"/>
              </w:rPr>
              <w:t>%</w:t>
            </w:r>
          </w:p>
        </w:tc>
        <w:tc>
          <w:tcPr>
            <w:tcW w:w="6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9"/>
                <w:szCs w:val="9"/>
                <w:color w:val="auto"/>
              </w:rPr>
              <w:t>96,745</w:t>
            </w:r>
          </w:p>
        </w:tc>
        <w:tc>
          <w:tcPr>
            <w:tcW w:w="660" w:type="dxa"/>
            <w:vAlign w:val="bottom"/>
            <w:gridSpan w:val="2"/>
          </w:tcPr>
          <w:p>
            <w:pPr>
              <w:jc w:val="right"/>
              <w:spacing w:after="0" w:line="95" w:lineRule="exact"/>
              <w:rPr>
                <w:sz w:val="20"/>
                <w:szCs w:val="20"/>
                <w:color w:val="auto"/>
              </w:rPr>
            </w:pPr>
            <w:r>
              <w:rPr>
                <w:rFonts w:ascii="Arial" w:cs="Arial" w:eastAsia="Arial" w:hAnsi="Arial"/>
                <w:sz w:val="9"/>
                <w:szCs w:val="9"/>
                <w:color w:val="auto"/>
              </w:rPr>
              <w:t>17.2</w:t>
            </w:r>
          </w:p>
        </w:tc>
        <w:tc>
          <w:tcPr>
            <w:tcW w:w="160" w:type="dxa"/>
            <w:vAlign w:val="bottom"/>
          </w:tcPr>
          <w:p>
            <w:pPr>
              <w:jc w:val="right"/>
              <w:ind w:right="36"/>
              <w:spacing w:after="0" w:line="95" w:lineRule="exact"/>
              <w:rPr>
                <w:sz w:val="20"/>
                <w:szCs w:val="20"/>
                <w:color w:val="auto"/>
              </w:rPr>
            </w:pPr>
            <w:r>
              <w:rPr>
                <w:rFonts w:ascii="Arial" w:cs="Arial" w:eastAsia="Arial" w:hAnsi="Arial"/>
                <w:sz w:val="9"/>
                <w:szCs w:val="9"/>
                <w:color w:val="auto"/>
                <w:w w:val="74"/>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right"/>
              <w:ind w:right="40"/>
              <w:spacing w:after="0" w:line="95" w:lineRule="exact"/>
              <w:rPr>
                <w:sz w:val="20"/>
                <w:szCs w:val="20"/>
                <w:color w:val="auto"/>
              </w:rPr>
            </w:pPr>
            <w:r>
              <w:rPr>
                <w:rFonts w:ascii="Arial" w:cs="Arial" w:eastAsia="Arial" w:hAnsi="Arial"/>
                <w:sz w:val="9"/>
                <w:szCs w:val="9"/>
                <w:color w:val="auto"/>
              </w:rPr>
              <w:t>15,925</w:t>
            </w:r>
          </w:p>
        </w:tc>
        <w:tc>
          <w:tcPr>
            <w:tcW w:w="1100" w:type="dxa"/>
            <w:vAlign w:val="bottom"/>
            <w:gridSpan w:val="3"/>
          </w:tcPr>
          <w:p>
            <w:pPr>
              <w:jc w:val="right"/>
              <w:ind w:right="40"/>
              <w:spacing w:after="0" w:line="95" w:lineRule="exact"/>
              <w:rPr>
                <w:sz w:val="20"/>
                <w:szCs w:val="20"/>
                <w:color w:val="auto"/>
              </w:rPr>
            </w:pPr>
            <w:r>
              <w:rPr>
                <w:rFonts w:ascii="Arial" w:cs="Arial" w:eastAsia="Arial" w:hAnsi="Arial"/>
                <w:sz w:val="9"/>
                <w:szCs w:val="9"/>
                <w:color w:val="auto"/>
              </w:rPr>
              <w:t>16.5</w:t>
            </w: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206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Other</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2,148</w:t>
            </w:r>
          </w:p>
        </w:tc>
        <w:tc>
          <w:tcPr>
            <w:tcW w:w="8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8,209</w:t>
            </w:r>
          </w:p>
        </w:tc>
        <w:tc>
          <w:tcPr>
            <w:tcW w:w="10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tcBorders>
              <w:left w:val="single" w:sz="8" w:color="CCEEFF"/>
            </w:tcBorders>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10,357</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1.5</w:t>
            </w:r>
          </w:p>
        </w:tc>
        <w:tc>
          <w:tcPr>
            <w:tcW w:w="180" w:type="dxa"/>
            <w:vAlign w:val="bottom"/>
            <w:tcBorders>
              <w:left w:val="single" w:sz="8" w:color="auto"/>
            </w:tcBorders>
            <w:shd w:val="clear" w:color="auto" w:fill="CCEEFF"/>
          </w:tcPr>
          <w:p>
            <w:pPr>
              <w:jc w:val="right"/>
              <w:ind w:right="36"/>
              <w:spacing w:after="0" w:line="95" w:lineRule="exact"/>
              <w:rPr>
                <w:sz w:val="20"/>
                <w:szCs w:val="20"/>
                <w:color w:val="auto"/>
              </w:rPr>
            </w:pPr>
            <w:r>
              <w:rPr>
                <w:rFonts w:ascii="Arial" w:cs="Arial" w:eastAsia="Arial" w:hAnsi="Arial"/>
                <w:sz w:val="9"/>
                <w:szCs w:val="9"/>
                <w:color w:val="auto"/>
                <w:w w:val="99"/>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4,669</w:t>
            </w:r>
          </w:p>
        </w:tc>
        <w:tc>
          <w:tcPr>
            <w:tcW w:w="120" w:type="dxa"/>
            <w:vAlign w:val="bottom"/>
            <w:shd w:val="clear" w:color="auto" w:fill="CCEEFF"/>
          </w:tcPr>
          <w:p>
            <w:pPr>
              <w:spacing w:after="0"/>
              <w:rPr>
                <w:sz w:val="8"/>
                <w:szCs w:val="8"/>
                <w:color w:val="auto"/>
              </w:rPr>
            </w:pPr>
          </w:p>
        </w:tc>
        <w:tc>
          <w:tcPr>
            <w:tcW w:w="540" w:type="dxa"/>
            <w:vAlign w:val="bottom"/>
            <w:tcBorders>
              <w:right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0.8</w:t>
            </w:r>
          </w:p>
        </w:tc>
        <w:tc>
          <w:tcPr>
            <w:tcW w:w="160" w:type="dxa"/>
            <w:vAlign w:val="bottom"/>
            <w:shd w:val="clear" w:color="auto" w:fill="CCEEFF"/>
          </w:tcPr>
          <w:p>
            <w:pPr>
              <w:jc w:val="right"/>
              <w:ind w:right="36"/>
              <w:spacing w:after="0" w:line="95" w:lineRule="exact"/>
              <w:rPr>
                <w:sz w:val="20"/>
                <w:szCs w:val="20"/>
                <w:color w:val="auto"/>
              </w:rPr>
            </w:pPr>
            <w:r>
              <w:rPr>
                <w:rFonts w:ascii="Arial" w:cs="Arial" w:eastAsia="Arial" w:hAnsi="Arial"/>
                <w:sz w:val="9"/>
                <w:szCs w:val="9"/>
                <w:color w:val="auto"/>
                <w:w w:val="74"/>
              </w:rPr>
              <w:t>%</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5,688</w:t>
            </w:r>
          </w:p>
        </w:tc>
        <w:tc>
          <w:tcPr>
            <w:tcW w:w="1100" w:type="dxa"/>
            <w:vAlign w:val="bottom"/>
            <w:tcBorders>
              <w:right w:val="single" w:sz="8" w:color="CCEEFF"/>
            </w:tcBorders>
            <w:gridSpan w:val="3"/>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121.8</w:t>
            </w:r>
          </w:p>
        </w:tc>
        <w:tc>
          <w:tcPr>
            <w:tcW w:w="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line="88" w:lineRule="exact"/>
              <w:rPr>
                <w:sz w:val="20"/>
                <w:szCs w:val="20"/>
                <w:color w:val="auto"/>
              </w:rPr>
            </w:pPr>
            <w:r>
              <w:rPr>
                <w:rFonts w:ascii="Arial" w:cs="Arial" w:eastAsia="Arial" w:hAnsi="Arial"/>
                <w:sz w:val="9"/>
                <w:szCs w:val="9"/>
                <w:color w:val="auto"/>
              </w:rPr>
              <w:t>Gross revenue</w:t>
            </w: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spacing w:after="0" w:line="75" w:lineRule="exact"/>
              <w:rPr>
                <w:sz w:val="20"/>
                <w:szCs w:val="20"/>
                <w:color w:val="auto"/>
              </w:rPr>
            </w:pPr>
            <w:r>
              <w:rPr>
                <w:rFonts w:ascii="Arial" w:cs="Arial" w:eastAsia="Arial" w:hAnsi="Arial"/>
                <w:sz w:val="8"/>
                <w:szCs w:val="8"/>
                <w:color w:val="auto"/>
              </w:rPr>
              <w:t>178,637</w:t>
            </w: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right"/>
              <w:spacing w:after="0" w:line="75" w:lineRule="exact"/>
              <w:rPr>
                <w:sz w:val="20"/>
                <w:szCs w:val="20"/>
                <w:color w:val="auto"/>
              </w:rPr>
            </w:pPr>
            <w:r>
              <w:rPr>
                <w:rFonts w:ascii="Arial" w:cs="Arial" w:eastAsia="Arial" w:hAnsi="Arial"/>
                <w:sz w:val="8"/>
                <w:szCs w:val="8"/>
                <w:color w:val="auto"/>
              </w:rPr>
              <w:t>505,771</w:t>
            </w:r>
          </w:p>
        </w:tc>
        <w:tc>
          <w:tcPr>
            <w:tcW w:w="1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gridSpan w:val="2"/>
          </w:tcPr>
          <w:p>
            <w:pPr>
              <w:jc w:val="right"/>
              <w:spacing w:after="0" w:line="75" w:lineRule="exact"/>
              <w:rPr>
                <w:sz w:val="20"/>
                <w:szCs w:val="20"/>
                <w:color w:val="auto"/>
              </w:rPr>
            </w:pPr>
            <w:r>
              <w:rPr>
                <w:rFonts w:ascii="Arial" w:cs="Arial" w:eastAsia="Arial" w:hAnsi="Arial"/>
                <w:sz w:val="8"/>
                <w:szCs w:val="8"/>
                <w:color w:val="auto"/>
              </w:rPr>
              <w:t>684,408</w:t>
            </w:r>
          </w:p>
        </w:tc>
        <w:tc>
          <w:tcPr>
            <w:tcW w:w="100" w:type="dxa"/>
            <w:vAlign w:val="bottom"/>
            <w:vMerge w:val="continue"/>
          </w:tcPr>
          <w:p>
            <w:pPr>
              <w:spacing w:after="0"/>
              <w:rPr>
                <w:sz w:val="8"/>
                <w:szCs w:val="8"/>
                <w:color w:val="auto"/>
              </w:rPr>
            </w:pPr>
          </w:p>
        </w:tc>
        <w:tc>
          <w:tcPr>
            <w:tcW w:w="540" w:type="dxa"/>
            <w:vAlign w:val="bottom"/>
            <w:gridSpan w:val="2"/>
          </w:tcPr>
          <w:p>
            <w:pPr>
              <w:jc w:val="right"/>
              <w:ind w:right="40"/>
              <w:spacing w:after="0" w:line="75" w:lineRule="exact"/>
              <w:rPr>
                <w:sz w:val="20"/>
                <w:szCs w:val="20"/>
                <w:color w:val="auto"/>
              </w:rPr>
            </w:pPr>
            <w:r>
              <w:rPr>
                <w:rFonts w:ascii="Arial" w:cs="Arial" w:eastAsia="Arial" w:hAnsi="Arial"/>
                <w:sz w:val="8"/>
                <w:szCs w:val="8"/>
                <w:color w:val="auto"/>
              </w:rPr>
              <w:t>100.0</w:t>
            </w:r>
          </w:p>
        </w:tc>
        <w:tc>
          <w:tcPr>
            <w:tcW w:w="180" w:type="dxa"/>
            <w:vAlign w:val="bottom"/>
            <w:tcBorders>
              <w:left w:val="single" w:sz="8" w:color="auto"/>
            </w:tcBorders>
          </w:tcPr>
          <w:p>
            <w:pPr>
              <w:jc w:val="right"/>
              <w:ind w:right="36"/>
              <w:spacing w:after="0" w:line="75"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spacing w:after="0" w:line="75" w:lineRule="exact"/>
              <w:rPr>
                <w:sz w:val="20"/>
                <w:szCs w:val="20"/>
                <w:color w:val="auto"/>
              </w:rPr>
            </w:pPr>
            <w:r>
              <w:rPr>
                <w:rFonts w:ascii="Arial" w:cs="Arial" w:eastAsia="Arial" w:hAnsi="Arial"/>
                <w:sz w:val="8"/>
                <w:szCs w:val="8"/>
                <w:color w:val="auto"/>
              </w:rPr>
              <w:t>562,968</w:t>
            </w:r>
          </w:p>
        </w:tc>
        <w:tc>
          <w:tcPr>
            <w:tcW w:w="120" w:type="dxa"/>
            <w:vAlign w:val="bottom"/>
            <w:vMerge w:val="continue"/>
          </w:tcPr>
          <w:p>
            <w:pPr>
              <w:spacing w:after="0"/>
              <w:rPr>
                <w:sz w:val="8"/>
                <w:szCs w:val="8"/>
                <w:color w:val="auto"/>
              </w:rPr>
            </w:pPr>
          </w:p>
        </w:tc>
        <w:tc>
          <w:tcPr>
            <w:tcW w:w="540" w:type="dxa"/>
            <w:vAlign w:val="bottom"/>
          </w:tcPr>
          <w:p>
            <w:pPr>
              <w:jc w:val="right"/>
              <w:spacing w:after="0" w:line="75" w:lineRule="exact"/>
              <w:rPr>
                <w:sz w:val="20"/>
                <w:szCs w:val="20"/>
                <w:color w:val="auto"/>
              </w:rPr>
            </w:pPr>
            <w:r>
              <w:rPr>
                <w:rFonts w:ascii="Arial" w:cs="Arial" w:eastAsia="Arial" w:hAnsi="Arial"/>
                <w:sz w:val="8"/>
                <w:szCs w:val="8"/>
                <w:color w:val="auto"/>
              </w:rPr>
              <w:t>100.0</w:t>
            </w:r>
          </w:p>
        </w:tc>
        <w:tc>
          <w:tcPr>
            <w:tcW w:w="160" w:type="dxa"/>
            <w:vAlign w:val="bottom"/>
          </w:tcPr>
          <w:p>
            <w:pPr>
              <w:jc w:val="right"/>
              <w:ind w:right="36"/>
              <w:spacing w:after="0" w:line="75" w:lineRule="exact"/>
              <w:rPr>
                <w:sz w:val="20"/>
                <w:szCs w:val="20"/>
                <w:color w:val="auto"/>
              </w:rPr>
            </w:pPr>
            <w:r>
              <w:rPr>
                <w:rFonts w:ascii="Arial" w:cs="Arial" w:eastAsia="Arial" w:hAnsi="Arial"/>
                <w:sz w:val="8"/>
                <w:szCs w:val="8"/>
                <w:color w:val="auto"/>
                <w:w w:val="83"/>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right"/>
              <w:ind w:right="40"/>
              <w:spacing w:after="0" w:line="75" w:lineRule="exact"/>
              <w:rPr>
                <w:sz w:val="20"/>
                <w:szCs w:val="20"/>
                <w:color w:val="auto"/>
              </w:rPr>
            </w:pPr>
            <w:r>
              <w:rPr>
                <w:rFonts w:ascii="Arial" w:cs="Arial" w:eastAsia="Arial" w:hAnsi="Arial"/>
                <w:sz w:val="8"/>
                <w:szCs w:val="8"/>
                <w:color w:val="auto"/>
              </w:rPr>
              <w:t>121,440</w:t>
            </w:r>
          </w:p>
        </w:tc>
        <w:tc>
          <w:tcPr>
            <w:tcW w:w="1100" w:type="dxa"/>
            <w:vAlign w:val="bottom"/>
            <w:gridSpan w:val="3"/>
          </w:tcPr>
          <w:p>
            <w:pPr>
              <w:jc w:val="right"/>
              <w:ind w:right="40"/>
              <w:spacing w:after="0" w:line="75" w:lineRule="exact"/>
              <w:rPr>
                <w:sz w:val="20"/>
                <w:szCs w:val="20"/>
                <w:color w:val="auto"/>
              </w:rPr>
            </w:pPr>
            <w:r>
              <w:rPr>
                <w:rFonts w:ascii="Arial" w:cs="Arial" w:eastAsia="Arial" w:hAnsi="Arial"/>
                <w:sz w:val="8"/>
                <w:szCs w:val="8"/>
                <w:color w:val="auto"/>
              </w:rPr>
              <w:t>21.6</w:t>
            </w:r>
          </w:p>
        </w:tc>
        <w:tc>
          <w:tcPr>
            <w:tcW w:w="80" w:type="dxa"/>
            <w:vAlign w:val="bottom"/>
          </w:tcPr>
          <w:p>
            <w:pPr>
              <w:jc w:val="right"/>
              <w:spacing w:after="0" w:line="75" w:lineRule="exact"/>
              <w:rPr>
                <w:sz w:val="20"/>
                <w:szCs w:val="20"/>
                <w:color w:val="auto"/>
              </w:rPr>
            </w:pPr>
            <w:r>
              <w:rPr>
                <w:rFonts w:ascii="Arial" w:cs="Arial" w:eastAsia="Arial" w:hAnsi="Arial"/>
                <w:sz w:val="8"/>
                <w:szCs w:val="8"/>
                <w:color w:val="auto"/>
                <w:w w:val="83"/>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Contingent consideration</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CCEEFF"/>
              <w:bottom w:val="single" w:sz="8" w:color="CCEEFF"/>
            </w:tcBorders>
            <w:gridSpan w:val="2"/>
            <w:shd w:val="clear" w:color="auto" w:fill="CCEEFF"/>
          </w:tcPr>
          <w:p>
            <w:pPr>
              <w:jc w:val="right"/>
              <w:ind w:right="120"/>
              <w:spacing w:after="0" w:line="95" w:lineRule="exact"/>
              <w:rPr>
                <w:sz w:val="20"/>
                <w:szCs w:val="20"/>
                <w:color w:val="auto"/>
              </w:rPr>
            </w:pPr>
            <w:r>
              <w:rPr>
                <w:rFonts w:ascii="Arial" w:cs="Arial" w:eastAsia="Arial" w:hAnsi="Arial"/>
                <w:sz w:val="9"/>
                <w:szCs w:val="9"/>
                <w:color w:val="auto"/>
              </w:rPr>
              <w:t>—</w:t>
            </w:r>
          </w:p>
        </w:tc>
        <w:tc>
          <w:tcPr>
            <w:tcW w:w="20" w:type="dxa"/>
            <w:vAlign w:val="bottom"/>
            <w:tcBorders>
              <w:top w:val="single" w:sz="8" w:color="auto"/>
              <w:bottom w:val="single" w:sz="8" w:color="auto"/>
            </w:tcBorders>
            <w:shd w:val="clear" w:color="auto" w:fill="000000"/>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CCEEFF"/>
              <w:bottom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(26,830)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000000"/>
          </w:tcPr>
          <w:p>
            <w:pPr>
              <w:spacing w:after="0"/>
              <w:rPr>
                <w:sz w:val="9"/>
                <w:szCs w:val="9"/>
                <w:color w:val="auto"/>
              </w:rPr>
            </w:pPr>
          </w:p>
        </w:tc>
        <w:tc>
          <w:tcPr>
            <w:tcW w:w="500" w:type="dxa"/>
            <w:vAlign w:val="bottom"/>
            <w:tcBorders>
              <w:top w:val="single" w:sz="8" w:color="CCEEFF"/>
              <w:left w:val="single" w:sz="8" w:color="CCEEFF"/>
              <w:bottom w:val="single" w:sz="8" w:color="auto"/>
            </w:tcBorders>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(26,830)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(58,520)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CCEEFF"/>
              <w:bottom w:val="single" w:sz="8" w:color="CCEEFF"/>
            </w:tcBorders>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31,690</w:t>
            </w:r>
          </w:p>
        </w:tc>
        <w:tc>
          <w:tcPr>
            <w:tcW w:w="1180" w:type="dxa"/>
            <w:vAlign w:val="bottom"/>
            <w:tcBorders>
              <w:top w:val="single" w:sz="8" w:color="CCEEFF"/>
              <w:bottom w:val="single" w:sz="8" w:color="CCEEFF"/>
            </w:tcBorders>
            <w:gridSpan w:val="4"/>
            <w:shd w:val="clear" w:color="auto" w:fill="CCEEFF"/>
          </w:tcPr>
          <w:p>
            <w:pPr>
              <w:jc w:val="right"/>
              <w:spacing w:after="0" w:line="95" w:lineRule="exact"/>
              <w:rPr>
                <w:sz w:val="20"/>
                <w:szCs w:val="20"/>
                <w:color w:val="auto"/>
              </w:rPr>
            </w:pPr>
            <w:r>
              <w:rPr>
                <w:rFonts w:ascii="Arial" w:cs="Arial" w:eastAsia="Arial" w:hAnsi="Arial"/>
                <w:sz w:val="9"/>
                <w:szCs w:val="9"/>
                <w:color w:val="auto"/>
              </w:rPr>
              <w:t>(54.2)%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40" w:type="dxa"/>
            <w:vAlign w:val="bottom"/>
          </w:tcPr>
          <w:p>
            <w:pPr>
              <w:spacing w:after="0" w:line="68" w:lineRule="exact"/>
              <w:rPr>
                <w:sz w:val="20"/>
                <w:szCs w:val="20"/>
                <w:color w:val="auto"/>
              </w:rPr>
            </w:pPr>
            <w:r>
              <w:rPr>
                <w:rFonts w:ascii="Arial" w:cs="Arial" w:eastAsia="Arial" w:hAnsi="Arial"/>
                <w:sz w:val="7"/>
                <w:szCs w:val="7"/>
                <w:color w:val="auto"/>
              </w:rPr>
              <w:t>Net revenue</w:t>
            </w:r>
          </w:p>
        </w:tc>
        <w:tc>
          <w:tcPr>
            <w:tcW w:w="10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w:t>
            </w:r>
          </w:p>
        </w:tc>
        <w:tc>
          <w:tcPr>
            <w:tcW w:w="820" w:type="dxa"/>
            <w:vAlign w:val="bottom"/>
            <w:tcBorders>
              <w:top w:val="single" w:sz="8" w:color="auto"/>
              <w:bottom w:val="single" w:sz="8" w:color="auto"/>
            </w:tcBorders>
            <w:gridSpan w:val="2"/>
          </w:tcPr>
          <w:p>
            <w:pPr>
              <w:jc w:val="right"/>
              <w:spacing w:after="0" w:line="68" w:lineRule="exact"/>
              <w:rPr>
                <w:sz w:val="20"/>
                <w:szCs w:val="20"/>
                <w:color w:val="auto"/>
              </w:rPr>
            </w:pPr>
            <w:r>
              <w:rPr>
                <w:rFonts w:ascii="Arial" w:cs="Arial" w:eastAsia="Arial" w:hAnsi="Arial"/>
                <w:sz w:val="7"/>
                <w:szCs w:val="7"/>
                <w:color w:val="auto"/>
              </w:rPr>
              <w:t>178,637</w:t>
            </w:r>
          </w:p>
        </w:tc>
        <w:tc>
          <w:tcPr>
            <w:tcW w:w="80" w:type="dxa"/>
            <w:vAlign w:val="bottom"/>
          </w:tcPr>
          <w:p>
            <w:pPr>
              <w:spacing w:after="0"/>
              <w:rPr>
                <w:sz w:val="6"/>
                <w:szCs w:val="6"/>
                <w:color w:val="auto"/>
              </w:rPr>
            </w:pPr>
          </w:p>
        </w:tc>
        <w:tc>
          <w:tcPr>
            <w:tcW w:w="20" w:type="dxa"/>
            <w:vAlign w:val="bottom"/>
            <w:tcBorders>
              <w:top w:val="single" w:sz="8" w:color="auto"/>
              <w:bottom w:val="single" w:sz="8" w:color="auto"/>
            </w:tcBorders>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bottom w:val="single" w:sz="8" w:color="auto"/>
            </w:tcBorders>
          </w:tcPr>
          <w:p>
            <w:pPr>
              <w:jc w:val="right"/>
              <w:ind w:right="21"/>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478,941</w:t>
            </w:r>
          </w:p>
        </w:tc>
        <w:tc>
          <w:tcPr>
            <w:tcW w:w="100" w:type="dxa"/>
            <w:vAlign w:val="bottom"/>
          </w:tcPr>
          <w:p>
            <w:pPr>
              <w:spacing w:after="0"/>
              <w:rPr>
                <w:sz w:val="6"/>
                <w:szCs w:val="6"/>
                <w:color w:val="auto"/>
              </w:rPr>
            </w:pPr>
          </w:p>
        </w:tc>
        <w:tc>
          <w:tcPr>
            <w:tcW w:w="20" w:type="dxa"/>
            <w:vAlign w:val="bottom"/>
            <w:tcBorders>
              <w:top w:val="single" w:sz="8" w:color="auto"/>
              <w:bottom w:val="single" w:sz="8" w:color="auto"/>
            </w:tcBorders>
            <w:shd w:val="clear" w:color="auto" w:fill="000000"/>
          </w:tcPr>
          <w:p>
            <w:pPr>
              <w:spacing w:after="0"/>
              <w:rPr>
                <w:sz w:val="6"/>
                <w:szCs w:val="6"/>
                <w:color w:val="auto"/>
              </w:rPr>
            </w:pPr>
          </w:p>
        </w:tc>
        <w:tc>
          <w:tcPr>
            <w:tcW w:w="500" w:type="dxa"/>
            <w:vAlign w:val="bottom"/>
            <w:tcBorders>
              <w:top w:val="single" w:sz="8" w:color="auto"/>
              <w:bottom w:val="single" w:sz="8" w:color="auto"/>
            </w:tcBorders>
            <w:gridSpan w:val="2"/>
          </w:tcPr>
          <w:p>
            <w:pPr>
              <w:jc w:val="right"/>
              <w:spacing w:after="0" w:line="68" w:lineRule="exact"/>
              <w:rPr>
                <w:sz w:val="20"/>
                <w:szCs w:val="20"/>
                <w:color w:val="auto"/>
              </w:rPr>
            </w:pPr>
            <w:r>
              <w:rPr>
                <w:rFonts w:ascii="Arial" w:cs="Arial" w:eastAsia="Arial" w:hAnsi="Arial"/>
                <w:sz w:val="7"/>
                <w:szCs w:val="7"/>
                <w:color w:val="auto"/>
              </w:rPr>
              <w:t>657,578</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left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w:t>
            </w:r>
          </w:p>
        </w:tc>
        <w:tc>
          <w:tcPr>
            <w:tcW w:w="42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504,448</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jc w:val="right"/>
              <w:ind w:right="19"/>
              <w:spacing w:after="0" w:line="68" w:lineRule="exact"/>
              <w:rPr>
                <w:sz w:val="20"/>
                <w:szCs w:val="20"/>
                <w:color w:val="auto"/>
              </w:rPr>
            </w:pPr>
            <w:r>
              <w:rPr>
                <w:rFonts w:ascii="Arial" w:cs="Arial" w:eastAsia="Arial" w:hAnsi="Arial"/>
                <w:sz w:val="7"/>
                <w:szCs w:val="7"/>
                <w:color w:val="auto"/>
              </w:rPr>
              <w:t>$</w:t>
            </w:r>
          </w:p>
        </w:tc>
        <w:tc>
          <w:tcPr>
            <w:tcW w:w="24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gridSpan w:val="2"/>
          </w:tcPr>
          <w:p>
            <w:pPr>
              <w:jc w:val="right"/>
              <w:ind w:right="40"/>
              <w:spacing w:after="0" w:line="68" w:lineRule="exact"/>
              <w:rPr>
                <w:sz w:val="20"/>
                <w:szCs w:val="20"/>
                <w:color w:val="auto"/>
              </w:rPr>
            </w:pPr>
            <w:r>
              <w:rPr>
                <w:rFonts w:ascii="Arial" w:cs="Arial" w:eastAsia="Arial" w:hAnsi="Arial"/>
                <w:sz w:val="7"/>
                <w:szCs w:val="7"/>
                <w:color w:val="auto"/>
              </w:rPr>
              <w:t>153,130</w:t>
            </w:r>
          </w:p>
        </w:tc>
        <w:tc>
          <w:tcPr>
            <w:tcW w:w="1100" w:type="dxa"/>
            <w:vAlign w:val="bottom"/>
            <w:gridSpan w:val="3"/>
          </w:tcPr>
          <w:p>
            <w:pPr>
              <w:jc w:val="right"/>
              <w:ind w:right="40"/>
              <w:spacing w:after="0" w:line="68" w:lineRule="exact"/>
              <w:rPr>
                <w:sz w:val="20"/>
                <w:szCs w:val="20"/>
                <w:color w:val="auto"/>
              </w:rPr>
            </w:pPr>
            <w:r>
              <w:rPr>
                <w:rFonts w:ascii="Arial" w:cs="Arial" w:eastAsia="Arial" w:hAnsi="Arial"/>
                <w:sz w:val="7"/>
                <w:szCs w:val="7"/>
                <w:color w:val="auto"/>
              </w:rPr>
              <w:t>30.4</w:t>
            </w: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w w:val="95"/>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40" w:type="dxa"/>
            <w:vAlign w:val="bottom"/>
          </w:tcPr>
          <w:p>
            <w:pPr>
              <w:spacing w:after="0" w:line="68" w:lineRule="exact"/>
              <w:rPr>
                <w:sz w:val="20"/>
                <w:szCs w:val="20"/>
                <w:color w:val="auto"/>
              </w:rPr>
            </w:pPr>
            <w:r>
              <w:rPr>
                <w:rFonts w:ascii="Arial" w:cs="Arial" w:eastAsia="Arial" w:hAnsi="Arial"/>
                <w:sz w:val="7"/>
                <w:szCs w:val="7"/>
                <w:color w:val="auto"/>
              </w:rPr>
              <w:t>Components of gross revenue growth:</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rPr>
                <w:sz w:val="20"/>
                <w:szCs w:val="20"/>
                <w:color w:val="auto"/>
              </w:rPr>
            </w:pPr>
            <w:r>
              <w:rPr>
                <w:rFonts w:ascii="Arial" w:cs="Arial" w:eastAsia="Arial" w:hAnsi="Arial"/>
                <w:sz w:val="9"/>
                <w:szCs w:val="9"/>
                <w:color w:val="auto"/>
              </w:rPr>
              <w:t>Constant currency growth</w:t>
            </w:r>
            <w:r>
              <w:rPr>
                <w:rFonts w:ascii="Arial" w:cs="Arial" w:eastAsia="Arial" w:hAnsi="Arial"/>
                <w:sz w:val="10"/>
                <w:szCs w:val="10"/>
                <w:color w:val="auto"/>
                <w:vertAlign w:val="superscript"/>
              </w:rPr>
              <w:t>(3)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9"/>
                <w:szCs w:val="9"/>
                <w:color w:val="auto"/>
              </w:rPr>
              <w:t>19.7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shd w:val="clear" w:color="auto" w:fill="CCEEFF"/>
          </w:tcPr>
          <w:p>
            <w:pPr>
              <w:ind w:left="200"/>
              <w:spacing w:after="0" w:line="95" w:lineRule="exact"/>
              <w:rPr>
                <w:sz w:val="20"/>
                <w:szCs w:val="20"/>
                <w:color w:val="auto"/>
              </w:rPr>
            </w:pPr>
            <w:r>
              <w:rPr>
                <w:rFonts w:ascii="Arial" w:cs="Arial" w:eastAsia="Arial" w:hAnsi="Arial"/>
                <w:sz w:val="9"/>
                <w:szCs w:val="9"/>
                <w:color w:val="auto"/>
              </w:rPr>
              <w:t>Foreign currency impact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Borders>
              <w:lef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tcBorders>
              <w:lef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100" w:type="dxa"/>
            <w:vAlign w:val="bottom"/>
            <w:tcBorders>
              <w:right w:val="single" w:sz="8" w:color="CCEEFF"/>
            </w:tcBorders>
            <w:gridSpan w:val="3"/>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1.8</w:t>
            </w:r>
          </w:p>
        </w:tc>
        <w:tc>
          <w:tcPr>
            <w:tcW w:w="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ind w:left="200"/>
              <w:spacing w:after="0" w:line="95" w:lineRule="exact"/>
              <w:rPr>
                <w:sz w:val="20"/>
                <w:szCs w:val="20"/>
                <w:color w:val="auto"/>
              </w:rPr>
            </w:pPr>
            <w:r>
              <w:rPr>
                <w:rFonts w:ascii="Arial" w:cs="Arial" w:eastAsia="Arial" w:hAnsi="Arial"/>
                <w:sz w:val="9"/>
                <w:szCs w:val="9"/>
                <w:color w:val="auto"/>
              </w:rPr>
              <w:t>Total gross revenue growth</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lef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gridSpan w:val="3"/>
          </w:tcPr>
          <w:p>
            <w:pPr>
              <w:jc w:val="right"/>
              <w:ind w:right="40"/>
              <w:spacing w:after="0" w:line="95" w:lineRule="exact"/>
              <w:rPr>
                <w:sz w:val="20"/>
                <w:szCs w:val="20"/>
                <w:color w:val="auto"/>
              </w:rPr>
            </w:pPr>
            <w:r>
              <w:rPr>
                <w:rFonts w:ascii="Arial" w:cs="Arial" w:eastAsia="Arial" w:hAnsi="Arial"/>
                <w:sz w:val="9"/>
                <w:szCs w:val="9"/>
                <w:color w:val="auto"/>
              </w:rPr>
              <w:t>21.6</w:t>
            </w: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-728345</wp:posOffset>
            </wp:positionV>
            <wp:extent cx="5908675" cy="603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08675" cy="603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-325120</wp:posOffset>
            </wp:positionV>
            <wp:extent cx="5908675"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08675" cy="68580"/>
                    </a:xfrm>
                    <a:prstGeom prst="rect">
                      <a:avLst/>
                    </a:prstGeom>
                    <a:noFill/>
                  </pic:spPr>
                </pic:pic>
              </a:graphicData>
            </a:graphic>
          </wp:anchor>
        </w:drawing>
      </w:r>
    </w:p>
    <w:p>
      <w:pPr>
        <w:spacing w:after="0" w:line="69" w:lineRule="exact"/>
        <w:rPr>
          <w:sz w:val="20"/>
          <w:szCs w:val="20"/>
          <w:color w:val="auto"/>
        </w:rPr>
      </w:pPr>
    </w:p>
    <w:p>
      <w:pPr>
        <w:ind w:left="660" w:right="500" w:hanging="333"/>
        <w:spacing w:after="0" w:line="256" w:lineRule="auto"/>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2" w:lineRule="exact"/>
        <w:rPr>
          <w:sz w:val="20"/>
          <w:szCs w:val="20"/>
          <w:color w:val="auto"/>
        </w:rPr>
      </w:pPr>
    </w:p>
    <w:p>
      <w:pPr>
        <w:ind w:left="660" w:right="300" w:hanging="333"/>
        <w:spacing w:after="0" w:line="238"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Subscription fees for the combined year ended December 31, 2018, the 2018 Successor Period, the 2018 Predecessor Period and the year ended December 31, 2017 include $50.3 million, $13.5 million, $36.8 million and $50.1 million, respectively, of Refinitiv (formerly Thomson Reuters) market data fees.</w:t>
      </w:r>
    </w:p>
    <w:p>
      <w:pPr>
        <w:spacing w:after="0" w:line="183" w:lineRule="exact"/>
        <w:rPr>
          <w:sz w:val="20"/>
          <w:szCs w:val="20"/>
          <w:color w:val="auto"/>
        </w:rPr>
      </w:pPr>
    </w:p>
    <w:p>
      <w:pPr>
        <w:ind w:left="660" w:right="280" w:hanging="333"/>
        <w:spacing w:after="0" w:line="251" w:lineRule="auto"/>
        <w:tabs>
          <w:tab w:leader="none" w:pos="6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2017.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2" w:lineRule="exact"/>
        <w:rPr>
          <w:sz w:val="20"/>
          <w:szCs w:val="20"/>
          <w:color w:val="auto"/>
        </w:rPr>
      </w:pPr>
    </w:p>
    <w:p>
      <w:pPr>
        <w:ind w:right="340" w:firstLine="324"/>
        <w:spacing w:after="0" w:line="273" w:lineRule="auto"/>
        <w:rPr>
          <w:sz w:val="20"/>
          <w:szCs w:val="20"/>
          <w:color w:val="auto"/>
        </w:rPr>
      </w:pPr>
      <w:r>
        <w:rPr>
          <w:rFonts w:ascii="Arial" w:cs="Arial" w:eastAsia="Arial" w:hAnsi="Arial"/>
          <w:sz w:val="17"/>
          <w:szCs w:val="17"/>
          <w:color w:val="auto"/>
        </w:rPr>
        <w:t>Transaction Fees.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178"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decreased by $4.0 million or (2.1)% to $190.5 million for the combined year ended December 31, 2018 from $194.5 million for the year ended December 31, 2017 due primarily to a $10.3 million decline from MiFID II contract adjustments where certain annual subscription fees were replaced with monthly minimum transaction fees, partially offset by a $2.5 million increase in market data fees, a $1.4 million increase in Retail fees and a $2.6 million increase in Institutional fees.</w:t>
      </w:r>
    </w:p>
    <w:p>
      <w:pPr>
        <w:spacing w:after="0" w:line="188" w:lineRule="exact"/>
        <w:rPr>
          <w:sz w:val="20"/>
          <w:szCs w:val="20"/>
          <w:color w:val="auto"/>
        </w:rPr>
      </w:pPr>
    </w:p>
    <w:p>
      <w:pPr>
        <w:ind w:right="280" w:firstLine="360"/>
        <w:spacing w:after="0" w:line="279" w:lineRule="auto"/>
        <w:rPr>
          <w:sz w:val="20"/>
          <w:szCs w:val="20"/>
          <w:color w:val="auto"/>
        </w:rPr>
      </w:pPr>
      <w:r>
        <w:rPr>
          <w:rFonts w:ascii="Arial" w:cs="Arial" w:eastAsia="Arial" w:hAnsi="Arial"/>
          <w:sz w:val="17"/>
          <w:szCs w:val="17"/>
          <w:u w:val="single" w:color="auto"/>
          <w:color w:val="auto"/>
        </w:rPr>
        <w:t>Commissions</w:t>
      </w:r>
      <w:r>
        <w:rPr>
          <w:rFonts w:ascii="Arial" w:cs="Arial" w:eastAsia="Arial" w:hAnsi="Arial"/>
          <w:sz w:val="17"/>
          <w:szCs w:val="17"/>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increased by $5.7 million or 121.8% to $10.4 million for the combined year ended December 31,</w:t>
      </w:r>
    </w:p>
    <w:p>
      <w:pPr>
        <w:spacing w:after="0" w:line="35"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190"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u w:val="single" w:color="auto"/>
          <w:color w:val="auto"/>
        </w:rPr>
        <w:t>Contingent consideration</w:t>
      </w:r>
      <w:r>
        <w:rPr>
          <w:rFonts w:ascii="Arial" w:cs="Arial" w:eastAsia="Arial" w:hAnsi="Arial"/>
          <w:sz w:val="16"/>
          <w:szCs w:val="16"/>
          <w:color w:val="auto"/>
        </w:rPr>
        <w:t>. Contingent consideration decreased by $31.7 million or (54.2)% to $26.8 million for the combined year ended December 31, 2018 from $58.5 million for the year ended December 31, 2017. The decrease was a</w:t>
      </w: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00"/>
          </w:cols>
          <w:pgMar w:left="1420" w:top="125" w:right="117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 of changes in projected and actual revenues related to the Credit Initiative Earnout during the periods and the vesting of the Credit Initiative Earnout at July 31, 2018.</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gross revenue by client sector for the 2018 Successor Period, the 2018 Predecessor Period, the combined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the year ended December 31, 2017, and the resulting dollar and percentage changes,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w w:val="87"/>
              </w:rPr>
              <w:t>Predecessor</w:t>
            </w: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7"/>
              </w:rPr>
              <w:t>Predecessor</w:t>
            </w:r>
          </w:p>
        </w:tc>
        <w:tc>
          <w:tcPr>
            <w:tcW w:w="100" w:type="dxa"/>
            <w:vAlign w:val="bottom"/>
            <w:vMerge w:val="restart"/>
          </w:tcPr>
          <w:p>
            <w:pPr>
              <w:spacing w:after="0" w:line="20" w:lineRule="exact"/>
              <w:rPr>
                <w:sz w:val="1"/>
                <w:szCs w:val="1"/>
                <w:color w:val="auto"/>
              </w:rPr>
            </w:pPr>
          </w:p>
        </w:tc>
        <w:tc>
          <w:tcPr>
            <w:tcW w:w="216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9"/>
              </w:rPr>
              <w:t>Combined Year Ended December 31, 2018 vs</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left w:val="single" w:sz="8" w:color="auto"/>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tcBorders>
              <w:bottom w:val="single" w:sz="8" w:color="auto"/>
            </w:tcBorders>
            <w:shd w:val="clear" w:color="auto" w:fill="000000"/>
          </w:tcPr>
          <w:p>
            <w:pPr>
              <w:spacing w:after="0"/>
              <w:rPr>
                <w:sz w:val="19"/>
                <w:szCs w:val="19"/>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6"/>
              </w:rPr>
              <w:t>January 1, 2018 to</w:t>
            </w:r>
          </w:p>
        </w:tc>
        <w:tc>
          <w:tcPr>
            <w:tcW w:w="120" w:type="dxa"/>
            <w:vAlign w:val="bottom"/>
            <w:tcBorders>
              <w:left w:val="single" w:sz="8" w:color="auto"/>
            </w:tcBorders>
          </w:tcPr>
          <w:p>
            <w:pPr>
              <w:spacing w:after="0"/>
              <w:rPr>
                <w:sz w:val="19"/>
                <w:szCs w:val="19"/>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Year Ended</w:t>
            </w:r>
          </w:p>
        </w:tc>
        <w:tc>
          <w:tcPr>
            <w:tcW w:w="216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1"/>
                <w:szCs w:val="11"/>
                <w:b w:val="1"/>
                <w:bCs w:val="1"/>
                <w:color w:val="auto"/>
              </w:rPr>
              <w:t>Year Ended December 31, 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0"/>
                <w:szCs w:val="10"/>
                <w:color w:val="auto"/>
              </w:rPr>
            </w:pPr>
          </w:p>
        </w:tc>
        <w:tc>
          <w:tcPr>
            <w:tcW w:w="102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w w:val="89"/>
              </w:rPr>
              <w:t>September 30, 2018</w:t>
            </w:r>
          </w:p>
        </w:tc>
        <w:tc>
          <w:tcPr>
            <w:tcW w:w="900" w:type="dxa"/>
            <w:vAlign w:val="bottom"/>
            <w:tcBorders>
              <w:left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6"/>
              </w:rPr>
              <w:t>December 31, 2018</w:t>
            </w:r>
          </w:p>
        </w:tc>
        <w:tc>
          <w:tcPr>
            <w:tcW w:w="20" w:type="dxa"/>
            <w:vAlign w:val="bottom"/>
            <w:shd w:val="clear" w:color="auto" w:fill="000000"/>
          </w:tcPr>
          <w:p>
            <w:pPr>
              <w:spacing w:after="0"/>
              <w:rPr>
                <w:sz w:val="10"/>
                <w:szCs w:val="10"/>
                <w:color w:val="auto"/>
              </w:rPr>
            </w:pPr>
          </w:p>
        </w:tc>
        <w:tc>
          <w:tcPr>
            <w:tcW w:w="104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6"/>
              </w:rPr>
              <w:t>December 31, 2017</w:t>
            </w:r>
          </w:p>
        </w:tc>
        <w:tc>
          <w:tcPr>
            <w:tcW w:w="4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Change</w:t>
            </w:r>
          </w:p>
        </w:tc>
        <w:tc>
          <w:tcPr>
            <w:tcW w:w="9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4"/>
          </w:tcPr>
          <w:p>
            <w:pPr>
              <w:ind w:left="24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Institutional</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103,971</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301,918</w:t>
            </w:r>
          </w:p>
        </w:tc>
        <w:tc>
          <w:tcPr>
            <w:tcW w:w="120" w:type="dxa"/>
            <w:vAlign w:val="bottom"/>
            <w:tcBorders>
              <w:left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405,889</w:t>
            </w:r>
          </w:p>
        </w:tc>
        <w:tc>
          <w:tcPr>
            <w:tcW w:w="20" w:type="dxa"/>
            <w:vAlign w:val="bottom"/>
            <w:shd w:val="clear" w:color="auto" w:fill="000000"/>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318,038</w:t>
            </w:r>
          </w:p>
        </w:tc>
        <w:tc>
          <w:tcPr>
            <w:tcW w:w="100" w:type="dxa"/>
            <w:vAlign w:val="bottom"/>
          </w:tcPr>
          <w:p>
            <w:pPr>
              <w:spacing w:after="0"/>
              <w:rPr>
                <w:sz w:val="10"/>
                <w:szCs w:val="10"/>
                <w:color w:val="auto"/>
              </w:rPr>
            </w:pP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87,851</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27.6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Wholesale</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38,153</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99,028</w:t>
            </w: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137,181</w:t>
            </w: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118,451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18,730</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Retail</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19,780</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57,766</w:t>
            </w:r>
          </w:p>
        </w:tc>
        <w:tc>
          <w:tcPr>
            <w:tcW w:w="120" w:type="dxa"/>
            <w:vAlign w:val="bottom"/>
            <w:tcBorders>
              <w:left w:val="single" w:sz="8" w:color="auto"/>
            </w:tcBorders>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77,546</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70,857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6,689</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9.4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Market Data</w:t>
            </w:r>
          </w:p>
        </w:tc>
        <w:tc>
          <w:tcPr>
            <w:tcW w:w="1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16,733</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47,059</w:t>
            </w:r>
          </w:p>
        </w:tc>
        <w:tc>
          <w:tcPr>
            <w:tcW w:w="120" w:type="dxa"/>
            <w:vAlign w:val="bottom"/>
            <w:tcBorders>
              <w:left w:val="single" w:sz="8" w:color="auto"/>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63,792</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left w:val="single" w:sz="8" w:color="CCEEFF"/>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55,622</w:t>
            </w:r>
          </w:p>
        </w:tc>
        <w:tc>
          <w:tcPr>
            <w:tcW w:w="10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8,170</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Gross revenue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8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505,771</w:t>
            </w:r>
          </w:p>
        </w:tc>
        <w:tc>
          <w:tcPr>
            <w:tcW w:w="120" w:type="dxa"/>
            <w:vAlign w:val="bottom"/>
            <w:tcBorders>
              <w:left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ind w:left="4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00" w:type="dxa"/>
            <w:vAlign w:val="bottom"/>
          </w:tcPr>
          <w:p>
            <w:pPr>
              <w:spacing w:after="0"/>
              <w:rPr>
                <w:sz w:val="10"/>
                <w:szCs w:val="10"/>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19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17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18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gross revenue by asset class for the 2018 Successor Period, the 2018 Predecessor Period, the combined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the year ended December 31, 2017, and the resulting dollar and percentage changes,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 xml:space="preserve">Combined </w:t>
            </w:r>
            <w:r>
              <w:rPr>
                <w:rFonts w:ascii="Arial" w:cs="Arial" w:eastAsia="Arial" w:hAnsi="Arial"/>
                <w:sz w:val="11"/>
                <w:szCs w:val="11"/>
                <w:b w:val="1"/>
                <w:bCs w:val="1"/>
                <w:color w:val="auto"/>
                <w:vertAlign w:val="superscript"/>
              </w:rPr>
              <w:t>(1)</w:t>
            </w:r>
          </w:p>
        </w:tc>
        <w:tc>
          <w:tcPr>
            <w:tcW w:w="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7"/>
              </w:rPr>
              <w:t>Predecessor</w:t>
            </w:r>
          </w:p>
        </w:tc>
        <w:tc>
          <w:tcPr>
            <w:tcW w:w="100" w:type="dxa"/>
            <w:vAlign w:val="bottom"/>
            <w:vMerge w:val="restart"/>
          </w:tcPr>
          <w:p>
            <w:pPr>
              <w:spacing w:after="0"/>
              <w:rPr>
                <w:sz w:val="2"/>
                <w:szCs w:val="2"/>
                <w:color w:val="auto"/>
              </w:rPr>
            </w:pPr>
          </w:p>
        </w:tc>
        <w:tc>
          <w:tcPr>
            <w:tcW w:w="216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9"/>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tcBorders>
              <w:bottom w:val="single" w:sz="8" w:color="auto"/>
            </w:tcBorders>
            <w:shd w:val="clear" w:color="auto" w:fill="000000"/>
          </w:tcPr>
          <w:p>
            <w:pPr>
              <w:spacing w:after="0"/>
              <w:rPr>
                <w:sz w:val="19"/>
                <w:szCs w:val="19"/>
                <w:color w:val="auto"/>
              </w:rPr>
            </w:pPr>
          </w:p>
        </w:tc>
        <w:tc>
          <w:tcPr>
            <w:tcW w:w="1040" w:type="dxa"/>
            <w:vAlign w:val="bottom"/>
            <w:gridSpan w:val="3"/>
          </w:tcPr>
          <w:p>
            <w:pPr>
              <w:ind w:left="100"/>
              <w:spacing w:after="0"/>
              <w:rPr>
                <w:sz w:val="20"/>
                <w:szCs w:val="20"/>
                <w:color w:val="auto"/>
              </w:rPr>
            </w:pPr>
            <w:r>
              <w:rPr>
                <w:rFonts w:ascii="Arial" w:cs="Arial" w:eastAsia="Arial" w:hAnsi="Arial"/>
                <w:sz w:val="11"/>
                <w:szCs w:val="11"/>
                <w:b w:val="1"/>
                <w:bCs w:val="1"/>
                <w:color w:val="auto"/>
                <w:w w:val="96"/>
              </w:rPr>
              <w:t>January 1, 2018 to</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Year Ended</w:t>
            </w:r>
          </w:p>
        </w:tc>
        <w:tc>
          <w:tcPr>
            <w:tcW w:w="216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1"/>
                <w:szCs w:val="11"/>
                <w:b w:val="1"/>
                <w:bCs w:val="1"/>
                <w:color w:val="auto"/>
              </w:rPr>
              <w:t>Year Ended December 31, 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0"/>
                <w:szCs w:val="10"/>
                <w:color w:val="auto"/>
              </w:rPr>
            </w:pPr>
          </w:p>
        </w:tc>
        <w:tc>
          <w:tcPr>
            <w:tcW w:w="104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3"/>
              </w:rPr>
              <w:t>September 30, 2018</w:t>
            </w:r>
          </w:p>
        </w:tc>
        <w:tc>
          <w:tcPr>
            <w:tcW w:w="94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w w:val="92"/>
              </w:rPr>
              <w:t>December 31, 2018</w:t>
            </w:r>
          </w:p>
        </w:tc>
        <w:tc>
          <w:tcPr>
            <w:tcW w:w="10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6"/>
              </w:rPr>
              <w:t>December 31, 2017</w:t>
            </w:r>
          </w:p>
        </w:tc>
        <w:tc>
          <w:tcPr>
            <w:tcW w:w="4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Change</w:t>
            </w:r>
          </w:p>
        </w:tc>
        <w:tc>
          <w:tcPr>
            <w:tcW w:w="9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5"/>
          </w:tcPr>
          <w:p>
            <w:pPr>
              <w:ind w:left="24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Rates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97,592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281,641</w:t>
            </w:r>
          </w:p>
        </w:tc>
        <w:tc>
          <w:tcPr>
            <w:tcW w:w="60" w:type="dxa"/>
            <w:vAlign w:val="bottom"/>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379,233</w:t>
            </w:r>
          </w:p>
        </w:tc>
        <w:tc>
          <w:tcPr>
            <w:tcW w:w="6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324,302</w:t>
            </w:r>
          </w:p>
        </w:tc>
        <w:tc>
          <w:tcPr>
            <w:tcW w:w="100" w:type="dxa"/>
            <w:vAlign w:val="bottom"/>
          </w:tcPr>
          <w:p>
            <w:pPr>
              <w:spacing w:after="0"/>
              <w:rPr>
                <w:sz w:val="10"/>
                <w:szCs w:val="10"/>
                <w:color w:val="auto"/>
              </w:rPr>
            </w:pP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54,931</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16.9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37,204</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102,452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139,656</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105,336</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34,320</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Equities</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12,592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28,347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40,939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23,681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17,258</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72.9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9,493</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25,248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34,741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28,633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6,108</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Market Data</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55,622</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8,170</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Fees</w:t>
            </w:r>
          </w:p>
        </w:tc>
        <w:tc>
          <w:tcPr>
            <w:tcW w:w="1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21,024</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26,047</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25,394</w:t>
            </w:r>
          </w:p>
        </w:tc>
        <w:tc>
          <w:tcPr>
            <w:tcW w:w="10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653</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Total gross revenue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8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00" w:type="dxa"/>
            <w:vAlign w:val="bottom"/>
          </w:tcPr>
          <w:p>
            <w:pPr>
              <w:spacing w:after="0"/>
              <w:rPr>
                <w:sz w:val="10"/>
                <w:szCs w:val="10"/>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260" w:hanging="333"/>
        <w:spacing w:after="0" w:line="256" w:lineRule="auto"/>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variable and fixed revenues by asset class for the 2018 Successor Period, the 2018 Predecessor Period, the combined year ended December 31, 2018 and the year ended December 31, 2017,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5"/>
            <w:vMerge w:val="restart"/>
          </w:tcPr>
          <w:p>
            <w:pPr>
              <w:jc w:val="right"/>
              <w:ind w:right="306"/>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20" w:type="dxa"/>
            <w:vAlign w:val="bottom"/>
          </w:tcPr>
          <w:p>
            <w:pPr>
              <w:spacing w:after="0"/>
              <w:rPr>
                <w:sz w:val="2"/>
                <w:szCs w:val="2"/>
                <w:color w:val="auto"/>
              </w:rPr>
            </w:pPr>
          </w:p>
        </w:tc>
        <w:tc>
          <w:tcPr>
            <w:tcW w:w="126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84"/>
              </w:rPr>
              <w:t>Predecessor</w:t>
            </w:r>
          </w:p>
        </w:tc>
        <w:tc>
          <w:tcPr>
            <w:tcW w:w="80" w:type="dxa"/>
            <w:vAlign w:val="bottom"/>
          </w:tcPr>
          <w:p>
            <w:pPr>
              <w:spacing w:after="0"/>
              <w:rPr>
                <w:sz w:val="2"/>
                <w:szCs w:val="2"/>
                <w:color w:val="auto"/>
              </w:rPr>
            </w:pPr>
          </w:p>
        </w:tc>
        <w:tc>
          <w:tcPr>
            <w:tcW w:w="2140" w:type="dxa"/>
            <w:vAlign w:val="bottom"/>
            <w:gridSpan w:val="9"/>
            <w:vMerge w:val="restart"/>
          </w:tcPr>
          <w:p>
            <w:pPr>
              <w:jc w:val="center"/>
              <w:spacing w:after="0"/>
              <w:rPr>
                <w:sz w:val="20"/>
                <w:szCs w:val="20"/>
                <w:color w:val="auto"/>
              </w:rPr>
            </w:pPr>
            <w:r>
              <w:rPr>
                <w:rFonts w:ascii="Arial" w:cs="Arial" w:eastAsia="Arial" w:hAnsi="Arial"/>
                <w:sz w:val="11"/>
                <w:szCs w:val="11"/>
                <w:b w:val="1"/>
                <w:bCs w:val="1"/>
                <w:color w:val="auto"/>
                <w:w w:val="88"/>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5"/>
          </w:tcPr>
          <w:p>
            <w:pPr>
              <w:jc w:val="right"/>
              <w:ind w:right="126"/>
              <w:spacing w:after="0" w:line="115" w:lineRule="exact"/>
              <w:rPr>
                <w:sz w:val="20"/>
                <w:szCs w:val="20"/>
                <w:color w:val="auto"/>
              </w:rPr>
            </w:pPr>
            <w:r>
              <w:rPr>
                <w:rFonts w:ascii="Arial" w:cs="Arial" w:eastAsia="Arial" w:hAnsi="Arial"/>
                <w:sz w:val="11"/>
                <w:szCs w:val="11"/>
                <w:b w:val="1"/>
                <w:bCs w:val="1"/>
                <w:color w:val="auto"/>
                <w:w w:val="88"/>
              </w:rPr>
              <w:t>October 1, 2018 to</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90"/>
              </w:rPr>
              <w:t>January 1, 2018 to</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89"/>
              </w:rPr>
              <w:t>Year Ended</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16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92"/>
              </w:rPr>
              <w:t>Year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gridSpan w:val="8"/>
          </w:tcPr>
          <w:p>
            <w:pPr>
              <w:jc w:val="center"/>
              <w:ind w:left="286"/>
              <w:spacing w:after="0" w:line="115" w:lineRule="exact"/>
              <w:rPr>
                <w:sz w:val="20"/>
                <w:szCs w:val="20"/>
                <w:color w:val="auto"/>
              </w:rPr>
            </w:pPr>
            <w:r>
              <w:rPr>
                <w:rFonts w:ascii="Arial" w:cs="Arial" w:eastAsia="Arial" w:hAnsi="Arial"/>
                <w:sz w:val="11"/>
                <w:szCs w:val="11"/>
                <w:b w:val="1"/>
                <w:bCs w:val="1"/>
                <w:color w:val="auto"/>
                <w:w w:val="88"/>
              </w:rPr>
              <w:t>Year Ended December 31, 2017</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right"/>
              <w:ind w:right="106"/>
              <w:spacing w:after="0" w:line="115" w:lineRule="exact"/>
              <w:rPr>
                <w:sz w:val="20"/>
                <w:szCs w:val="20"/>
                <w:color w:val="auto"/>
              </w:rPr>
            </w:pPr>
            <w:r>
              <w:rPr>
                <w:rFonts w:ascii="Arial" w:cs="Arial" w:eastAsia="Arial" w:hAnsi="Arial"/>
                <w:sz w:val="11"/>
                <w:szCs w:val="11"/>
                <w:b w:val="1"/>
                <w:bCs w:val="1"/>
                <w:color w:val="auto"/>
                <w:w w:val="86"/>
              </w:rPr>
              <w:t>December 31, 2018</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140"/>
              <w:spacing w:after="0" w:line="115" w:lineRule="exact"/>
              <w:rPr>
                <w:sz w:val="20"/>
                <w:szCs w:val="20"/>
                <w:color w:val="auto"/>
              </w:rPr>
            </w:pPr>
            <w:r>
              <w:rPr>
                <w:rFonts w:ascii="Arial" w:cs="Arial" w:eastAsia="Arial" w:hAnsi="Arial"/>
                <w:sz w:val="11"/>
                <w:szCs w:val="11"/>
                <w:b w:val="1"/>
                <w:bCs w:val="1"/>
                <w:color w:val="auto"/>
                <w:w w:val="87"/>
              </w:rPr>
              <w:t>September 30, 2018</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tcPr>
          <w:p>
            <w:pPr>
              <w:jc w:val="center"/>
              <w:ind w:right="140"/>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0"/>
                <w:szCs w:val="10"/>
                <w:color w:val="auto"/>
              </w:rPr>
            </w:pPr>
          </w:p>
        </w:tc>
        <w:tc>
          <w:tcPr>
            <w:tcW w:w="1260" w:type="dxa"/>
            <w:vAlign w:val="bottom"/>
            <w:gridSpan w:val="5"/>
          </w:tcPr>
          <w:p>
            <w:pPr>
              <w:jc w:val="center"/>
              <w:ind w:right="60"/>
              <w:spacing w:after="0" w:line="115" w:lineRule="exact"/>
              <w:rPr>
                <w:sz w:val="20"/>
                <w:szCs w:val="20"/>
                <w:color w:val="auto"/>
              </w:rPr>
            </w:pPr>
            <w:r>
              <w:rPr>
                <w:rFonts w:ascii="Arial" w:cs="Arial" w:eastAsia="Arial" w:hAnsi="Arial"/>
                <w:sz w:val="11"/>
                <w:szCs w:val="11"/>
                <w:b w:val="1"/>
                <w:bCs w:val="1"/>
                <w:color w:val="auto"/>
                <w:w w:val="88"/>
              </w:rPr>
              <w:t>December 31, 2017</w:t>
            </w:r>
          </w:p>
        </w:tc>
        <w:tc>
          <w:tcPr>
            <w:tcW w:w="80" w:type="dxa"/>
            <w:vAlign w:val="bottom"/>
          </w:tcPr>
          <w:p>
            <w:pPr>
              <w:spacing w:after="0"/>
              <w:rPr>
                <w:sz w:val="10"/>
                <w:szCs w:val="10"/>
                <w:color w:val="auto"/>
              </w:rPr>
            </w:pPr>
          </w:p>
        </w:tc>
        <w:tc>
          <w:tcPr>
            <w:tcW w:w="1140" w:type="dxa"/>
            <w:vAlign w:val="bottom"/>
            <w:gridSpan w:val="5"/>
          </w:tcPr>
          <w:p>
            <w:pPr>
              <w:ind w:left="260"/>
              <w:spacing w:after="0" w:line="115" w:lineRule="exact"/>
              <w:rPr>
                <w:sz w:val="20"/>
                <w:szCs w:val="20"/>
                <w:color w:val="auto"/>
              </w:rPr>
            </w:pPr>
            <w:r>
              <w:rPr>
                <w:rFonts w:ascii="Arial" w:cs="Arial" w:eastAsia="Arial" w:hAnsi="Arial"/>
                <w:sz w:val="11"/>
                <w:szCs w:val="11"/>
                <w:b w:val="1"/>
                <w:bCs w:val="1"/>
                <w:color w:val="auto"/>
              </w:rPr>
              <w:t>$ Change</w:t>
            </w:r>
          </w:p>
        </w:tc>
        <w:tc>
          <w:tcPr>
            <w:tcW w:w="1000" w:type="dxa"/>
            <w:vAlign w:val="bottom"/>
            <w:gridSpan w:val="4"/>
          </w:tcPr>
          <w:p>
            <w:pPr>
              <w:jc w:val="right"/>
              <w:ind w:right="20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600" w:type="dxa"/>
            <w:vAlign w:val="bottom"/>
            <w:tcBorders>
              <w:top w:val="single" w:sz="8" w:color="auto"/>
            </w:tcBorders>
            <w:gridSpan w:val="4"/>
          </w:tcPr>
          <w:p>
            <w:pPr>
              <w:ind w:left="40"/>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3"/>
              </w:rPr>
              <w:t>Variable</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6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Pr>
          <w:p>
            <w:pPr>
              <w:spacing w:after="0"/>
              <w:rPr>
                <w:sz w:val="10"/>
                <w:szCs w:val="10"/>
                <w:color w:val="auto"/>
              </w:rPr>
            </w:pPr>
          </w:p>
        </w:tc>
        <w:tc>
          <w:tcPr>
            <w:tcW w:w="6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1"/>
                <w:szCs w:val="11"/>
                <w:b w:val="1"/>
                <w:bCs w:val="1"/>
                <w:color w:val="auto"/>
              </w:rPr>
              <w:t>Variable</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0"/>
              </w:rPr>
              <w:t>Fixed</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Variable</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6"/>
          </w:tcPr>
          <w:p>
            <w:pPr>
              <w:ind w:left="20"/>
              <w:spacing w:after="0" w:line="115" w:lineRule="exact"/>
              <w:rPr>
                <w:sz w:val="20"/>
                <w:szCs w:val="20"/>
                <w:color w:val="auto"/>
              </w:rPr>
            </w:pPr>
            <w:r>
              <w:rPr>
                <w:rFonts w:ascii="Arial" w:cs="Arial" w:eastAsia="Arial" w:hAnsi="Arial"/>
                <w:sz w:val="11"/>
                <w:szCs w:val="11"/>
                <w:b w:val="1"/>
                <w:bCs w:val="1"/>
                <w:color w:val="auto"/>
                <w:w w:val="99"/>
              </w:rPr>
              <w:t>(dollars in thousands)</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Rates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47,868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4"/>
              </w:rPr>
              <w:t>49,724</w:t>
            </w:r>
          </w:p>
        </w:tc>
        <w:tc>
          <w:tcPr>
            <w:tcW w:w="140" w:type="dxa"/>
            <w:vAlign w:val="bottom"/>
            <w:tcBorders>
              <w:left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133,183</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148,458</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181,051</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198,182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w w:val="97"/>
              </w:rPr>
              <w:t>$ 143,840</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180,462</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37,211</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17,720</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25.9</w:t>
            </w: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9.8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31,976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5,228</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87,241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15,211</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5"/>
              </w:rPr>
              <w:t>119,217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20,439</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90,846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14,490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28,371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10,949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1,643</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23,494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4,853</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34,443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6,496</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19,150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4,531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15,293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1,965</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79.9</w:t>
            </w: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43.4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3,453</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14,803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10,445</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13,898</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15,055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13,578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5,788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38.4</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8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4"/>
              </w:rPr>
              <w:t>16,733</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55,622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8,170</w:t>
            </w:r>
          </w:p>
        </w:tc>
        <w:tc>
          <w:tcPr>
            <w:tcW w:w="100" w:type="dxa"/>
            <w:vAlign w:val="bottom"/>
          </w:tcPr>
          <w:p>
            <w:pPr>
              <w:spacing w:after="0"/>
              <w:rPr>
                <w:sz w:val="10"/>
                <w:szCs w:val="10"/>
                <w:color w:val="auto"/>
              </w:rPr>
            </w:pPr>
          </w:p>
        </w:tc>
        <w:tc>
          <w:tcPr>
            <w:tcW w:w="6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14.7 %</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5,023</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20,984</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26,007</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25,358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15" w:lineRule="exact"/>
              <w:rPr>
                <w:sz w:val="20"/>
                <w:szCs w:val="20"/>
                <w:color w:val="auto"/>
              </w:rPr>
            </w:pPr>
            <w:r>
              <w:rPr>
                <w:rFonts w:ascii="Arial" w:cs="Arial" w:eastAsia="Arial" w:hAnsi="Arial"/>
                <w:sz w:val="11"/>
                <w:szCs w:val="11"/>
                <w:color w:val="auto"/>
              </w:rPr>
              <w:t>Gross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96,833</w:t>
            </w:r>
          </w:p>
        </w:tc>
        <w:tc>
          <w:tcPr>
            <w:tcW w:w="4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w w:val="94"/>
              </w:rPr>
              <w:t>81,804</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5"/>
              </w:rPr>
              <w:t>258,761</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247,010</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5"/>
              </w:rPr>
              <w:t>355,594</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328,814</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$ 268,927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294,041</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86,667</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34,773</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32.2</w:t>
            </w:r>
          </w:p>
        </w:tc>
        <w:tc>
          <w:tcPr>
            <w:tcW w:w="180" w:type="dxa"/>
            <w:vAlign w:val="bottom"/>
          </w:tcPr>
          <w:p>
            <w:pPr>
              <w:jc w:val="right"/>
              <w:ind w:right="26"/>
              <w:spacing w:after="0" w:line="115" w:lineRule="exact"/>
              <w:rPr>
                <w:sz w:val="20"/>
                <w:szCs w:val="20"/>
                <w:color w:val="auto"/>
              </w:rPr>
            </w:pPr>
            <w:r>
              <w:rPr>
                <w:rFonts w:ascii="Arial" w:cs="Arial" w:eastAsia="Arial" w:hAnsi="Arial"/>
                <w:sz w:val="11"/>
                <w:szCs w:val="11"/>
                <w:color w:val="auto"/>
                <w:w w:val="81"/>
              </w:rPr>
              <w:t>%</w:t>
            </w:r>
          </w:p>
        </w:tc>
        <w:tc>
          <w:tcPr>
            <w:tcW w:w="6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u w:val="single" w:color="auto"/>
          <w:color w:val="auto"/>
        </w:rPr>
        <w:t>Rates</w:t>
      </w:r>
      <w:r>
        <w:rPr>
          <w:rFonts w:ascii="Arial" w:cs="Arial" w:eastAsia="Arial" w:hAnsi="Arial"/>
          <w:sz w:val="16"/>
          <w:szCs w:val="16"/>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147"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173" w:lineRule="exact"/>
        <w:rPr>
          <w:sz w:val="20"/>
          <w:szCs w:val="20"/>
          <w:color w:val="auto"/>
        </w:rPr>
      </w:pPr>
    </w:p>
    <w:p>
      <w:pPr>
        <w:ind w:right="640"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18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$6.1 million or 21.3% to $34.7 million for the combined year ended December 31, 2018 from $28.6 million for the year ended December 31, 2017 primarily due to increased Wholesale transactional volumes for repurchase agreements and higher Institutional transactional volumes for European repurchase agreements.</w:t>
      </w:r>
    </w:p>
    <w:p>
      <w:pPr>
        <w:spacing w:after="0" w:line="18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15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ADV</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428"/>
              <w:spacing w:after="0" w:line="142" w:lineRule="exact"/>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ADV</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Volume</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ADV</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Rates</w:t>
            </w:r>
          </w:p>
        </w:tc>
        <w:tc>
          <w:tcPr>
            <w:tcW w:w="1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354,023</w:t>
            </w:r>
          </w:p>
        </w:tc>
        <w:tc>
          <w:tcPr>
            <w:tcW w:w="3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88,625,615</w:t>
            </w:r>
          </w:p>
        </w:tc>
        <w:tc>
          <w:tcPr>
            <w:tcW w:w="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253,432</w:t>
            </w:r>
          </w:p>
        </w:tc>
        <w:tc>
          <w:tcPr>
            <w:tcW w:w="3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63,475,383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Credit</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3,186,209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7,554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1,864,700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67.6</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Equities</w:t>
            </w: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1,962,566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1,214,081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Money Markets</w:t>
            </w:r>
          </w:p>
        </w:tc>
        <w:tc>
          <w:tcPr>
            <w:tcW w:w="1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173,743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43,462,916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132,105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33,060,749</w:t>
            </w:r>
          </w:p>
        </w:tc>
        <w:tc>
          <w:tcPr>
            <w:tcW w:w="86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31.5</w:t>
            </w:r>
          </w:p>
        </w:tc>
        <w:tc>
          <w:tcPr>
            <w:tcW w:w="160" w:type="dxa"/>
            <w:vAlign w:val="bottom"/>
            <w:tcBorders>
              <w:bottom w:val="single" w:sz="8" w:color="CCEEFF"/>
            </w:tcBorders>
            <w:gridSpan w:val="2"/>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548,222</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137,237,306</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397,908</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99,614,913</w:t>
            </w:r>
          </w:p>
        </w:tc>
        <w:tc>
          <w:tcPr>
            <w:tcW w:w="86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37.8</w:t>
            </w:r>
          </w:p>
        </w:tc>
        <w:tc>
          <w:tcPr>
            <w:tcW w:w="160" w:type="dxa"/>
            <w:vAlign w:val="bottom"/>
            <w:tcBorders>
              <w:bottom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 Rates ADV increased due mainly to higher trading activity in interest rate swaps, U.S. treasuries and mortgages. Credit ADV increased due mainly to higher trading activity in credit default swaps, U.S. high-grade credit, European credit and Chinese bonds. Equities ADV increased due mainly to higher trading activity in U.S. and European ETFs and equity futures. Money Markets ADV increased due to the continued growth of bilateral electronic trading in repurchase agreements.</w:t>
      </w:r>
    </w:p>
    <w:p>
      <w:pPr>
        <w:spacing w:after="0" w:line="18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years ended December 31, 2018 and 2017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Rates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4780" w:type="dxa"/>
            <w:vAlign w:val="bottom"/>
          </w:tcPr>
          <w:p>
            <w:pPr>
              <w:ind w:left="120"/>
              <w:spacing w:after="0" w:line="149" w:lineRule="exact"/>
              <w:rPr>
                <w:sz w:val="20"/>
                <w:szCs w:val="20"/>
                <w:color w:val="auto"/>
              </w:rPr>
            </w:pPr>
            <w:r>
              <w:rPr>
                <w:rFonts w:ascii="Arial" w:cs="Arial" w:eastAsia="Arial" w:hAnsi="Arial"/>
                <w:sz w:val="14"/>
                <w:szCs w:val="14"/>
                <w:color w:val="auto"/>
              </w:rPr>
              <w:t>Rates - excluding short-tenor swaps (less than 1 year)</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48.72</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Equities</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15.77</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Money Markets</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Total Fees per Million</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Fees per Million - excluding short-tenor swaps (less than 1 year)</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Rates average variable fees per million was impacted by volume discounts in both cash and derivatives products. Credit average variable fees per million was impacted by a mix shift in volumes towards derivatives products and away from cash products, as well as a shift in volumes towards electronically processed institutional cash products. Equities average variable fees per million was impacted by a mix shift towards institutional derivatives protocols and away from wholesale derivatives protocols. Money Markets average variable fees per million was impacted by a mix shift towards repurchase agreements and away from other lower variable fee capture Money Markets products.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Successor Period, the 2018 Predecessor Period, the combined year ended December 31, 2018 and the year ended December 31, 2017,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w w:val="87"/>
              </w:rPr>
              <w:t>Predecessor</w:t>
            </w:r>
          </w:p>
        </w:tc>
        <w:tc>
          <w:tcPr>
            <w:tcW w:w="120" w:type="dxa"/>
            <w:vAlign w:val="bottom"/>
          </w:tcPr>
          <w:p>
            <w:pPr>
              <w:spacing w:after="0"/>
              <w:rPr>
                <w:sz w:val="2"/>
                <w:szCs w:val="2"/>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7"/>
              </w:rPr>
              <w:t>Predecessor</w:t>
            </w: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88"/>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left w:val="single" w:sz="8" w:color="auto"/>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shd w:val="clear" w:color="auto" w:fill="000000"/>
          </w:tcPr>
          <w:p>
            <w:pPr>
              <w:spacing w:after="0"/>
              <w:rPr>
                <w:sz w:val="18"/>
                <w:szCs w:val="18"/>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6"/>
              </w:rPr>
              <w:t>January 1, 2018 to</w:t>
            </w:r>
          </w:p>
        </w:tc>
        <w:tc>
          <w:tcPr>
            <w:tcW w:w="120" w:type="dxa"/>
            <w:vAlign w:val="bottom"/>
            <w:tcBorders>
              <w:left w:val="single" w:sz="8" w:color="auto"/>
            </w:tcBorders>
          </w:tcPr>
          <w:p>
            <w:pPr>
              <w:spacing w:after="0"/>
              <w:rPr>
                <w:sz w:val="18"/>
                <w:szCs w:val="18"/>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306"/>
              <w:spacing w:after="0"/>
              <w:rPr>
                <w:sz w:val="20"/>
                <w:szCs w:val="20"/>
                <w:color w:val="auto"/>
              </w:rPr>
            </w:pPr>
            <w:r>
              <w:rPr>
                <w:rFonts w:ascii="Arial" w:cs="Arial" w:eastAsia="Arial" w:hAnsi="Arial"/>
                <w:sz w:val="11"/>
                <w:szCs w:val="11"/>
                <w:b w:val="1"/>
                <w:bCs w:val="1"/>
                <w:color w:val="auto"/>
                <w:w w:val="99"/>
              </w:rPr>
              <w:t>Year Ended December 31,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w w:val="89"/>
              </w:rPr>
              <w:t>September 30, 2018</w:t>
            </w:r>
          </w:p>
        </w:tc>
        <w:tc>
          <w:tcPr>
            <w:tcW w:w="90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6"/>
              </w:rPr>
              <w:t>December 31, 2018</w:t>
            </w:r>
          </w:p>
        </w:tc>
        <w:tc>
          <w:tcPr>
            <w:tcW w:w="20" w:type="dxa"/>
            <w:vAlign w:val="bottom"/>
            <w:shd w:val="clear" w:color="auto" w:fill="000000"/>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w w:val="96"/>
              </w:rPr>
              <w:t>December 31, 2017</w:t>
            </w:r>
          </w:p>
        </w:tc>
        <w:tc>
          <w:tcPr>
            <w:tcW w:w="20" w:type="dxa"/>
            <w:vAlign w:val="bottom"/>
            <w:shd w:val="clear" w:color="auto" w:fill="000000"/>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Change</w:t>
            </w:r>
          </w:p>
        </w:tc>
        <w:tc>
          <w:tcPr>
            <w:tcW w:w="920" w:type="dxa"/>
            <w:vAlign w:val="bottom"/>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4"/>
          </w:tcPr>
          <w:p>
            <w:pPr>
              <w:ind w:left="24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U.S.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115,907</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324,304</w:t>
            </w:r>
          </w:p>
        </w:tc>
        <w:tc>
          <w:tcPr>
            <w:tcW w:w="120" w:type="dxa"/>
            <w:vAlign w:val="bottom"/>
            <w:tcBorders>
              <w:left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440,211</w:t>
            </w:r>
          </w:p>
        </w:tc>
        <w:tc>
          <w:tcPr>
            <w:tcW w:w="20" w:type="dxa"/>
            <w:vAlign w:val="bottom"/>
            <w:shd w:val="clear" w:color="auto" w:fill="000000"/>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385,176</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55,035</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14.3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International</w:t>
            </w:r>
          </w:p>
        </w:tc>
        <w:tc>
          <w:tcPr>
            <w:tcW w:w="14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62,730</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181,467</w:t>
            </w: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244,197</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177,792</w:t>
            </w:r>
          </w:p>
        </w:tc>
        <w:tc>
          <w:tcPr>
            <w:tcW w:w="10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66,405</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15" w:lineRule="exact"/>
              <w:rPr>
                <w:sz w:val="20"/>
                <w:szCs w:val="20"/>
                <w:color w:val="auto"/>
              </w:rPr>
            </w:pPr>
            <w:r>
              <w:rPr>
                <w:rFonts w:ascii="Arial" w:cs="Arial" w:eastAsia="Arial" w:hAnsi="Arial"/>
                <w:sz w:val="11"/>
                <w:szCs w:val="11"/>
                <w:color w:val="auto"/>
              </w:rPr>
              <w:t>Gross revenue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8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505,771</w:t>
            </w:r>
          </w:p>
        </w:tc>
        <w:tc>
          <w:tcPr>
            <w:tcW w:w="120" w:type="dxa"/>
            <w:vAlign w:val="bottom"/>
            <w:tcBorders>
              <w:left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ind w:left="4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0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15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expenses for the 2018 Successor Period, the 2018 Predecessor Period and the year ended December 31,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 2018 to</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r>
              <w:rPr>
                <w:rFonts w:ascii="Arial" w:cs="Arial" w:eastAsia="Arial" w:hAnsi="Arial"/>
                <w:sz w:val="14"/>
                <w:szCs w:val="14"/>
                <w:color w:val="auto"/>
                <w:vertAlign w:val="superscript"/>
              </w:rPr>
              <w:t>(1)</w:t>
            </w:r>
          </w:p>
        </w:tc>
        <w:tc>
          <w:tcPr>
            <w:tcW w:w="2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80,436</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209,053</w:t>
            </w:r>
          </w:p>
        </w:tc>
        <w:tc>
          <w:tcPr>
            <w:tcW w:w="26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248,963</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33,020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48,808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68,615</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 and communications</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33,973</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4"/>
                <w:szCs w:val="14"/>
                <w:color w:val="auto"/>
                <w:vertAlign w:val="superscript"/>
              </w:rPr>
              <w:t>(1)</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23,056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30,013</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19,351</w:t>
            </w: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10,732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14,441</w:t>
            </w: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146,705</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338,607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415,356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80" w:hanging="333"/>
        <w:spacing w:after="0" w:line="253"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change in basis resulting from the Refinitiv Transaction and the application of pushdown accounting did not impact these operating expense accounts.</w:t>
      </w:r>
    </w:p>
    <w:p>
      <w:pPr>
        <w:spacing w:after="0" w:line="178"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for the 2018 Successor Period and the 2018 Predecessor Period was $80.4 million and $209.1 million, respectively.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for the 2018 Successor Period and the 2018</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Predecessor Period was $11.8 million and $23.1 million, respectively. General and administrative expense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or 2.7% to $34.9 million for the combined year ended December 31, 2018 from $34.0 million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The increase was primarily a result of $1.0 million in recruiting and expatriate expense, $0.9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marketing expense due to increased marketing efforts for key growth, client acquisition and regulatory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$0.5 million increase in value-added taxes and $0.8 million increase in other administrative fees, partially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reduction in foreign exchange losses of $2.4 million.</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for the 2018 Successor Period and the 2018 Predecessor Period was $9.9 million and $26.6 million, respectively.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19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 $8.2 million and $20.4 million, respectively. Professional fees increased by $9.2 million or 47.6% to $28.6 million for the combined year ended December 31, 2018 from $19.4 million for the year ended December 31, 2017. The increase was primarily due to higher investment banking advisory, legal and audit fees, including fees incurred in connection with the IPO.</w:t>
      </w:r>
    </w:p>
    <w:p>
      <w:pPr>
        <w:spacing w:after="0" w:line="154"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u w:val="single" w:color="auto"/>
          <w:color w:val="auto"/>
        </w:rPr>
        <w:t>Occupancy</w:t>
      </w:r>
      <w:r>
        <w:rPr>
          <w:rFonts w:ascii="Arial" w:cs="Arial" w:eastAsia="Arial" w:hAnsi="Arial"/>
          <w:sz w:val="16"/>
          <w:szCs w:val="16"/>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jc w:val="both"/>
        <w:ind w:right="160" w:firstLine="360"/>
        <w:spacing w:after="0" w:line="302" w:lineRule="auto"/>
        <w:rPr>
          <w:sz w:val="20"/>
          <w:szCs w:val="20"/>
          <w:color w:val="auto"/>
        </w:rPr>
      </w:pPr>
      <w:r>
        <w:rPr>
          <w:rFonts w:ascii="Arial" w:cs="Arial" w:eastAsia="Arial" w:hAnsi="Arial"/>
          <w:sz w:val="16"/>
          <w:szCs w:val="16"/>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Provision for income taxes for the 2018 Successor Period and the 2018 Predecessor Period was $3.4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 million, respectively. Provision for income taxes for the year ended December 31, 2017 was $6.1 million.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for the 2018 Successor Period and the 2018 Predecessor Period was impacted by increased earnings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higher tax expense in certain jurisdictions. Provision for income taxes for the 2018 Predecessor Period was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 by a $3.3 million adjustment related to an uncertain tax position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 For our quarterly results of operations for the years ended December 31, 2019 and 2018, see Note 21—Quarterly Results of Operations to our audited consolidated financial statements included elsewhere in this Annual Report on Form 10-K.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December 31, 2019 under the Tax Receivable Agreement were $240.8 million.</w:t>
      </w:r>
    </w:p>
    <w:p>
      <w:pPr>
        <w:spacing w:after="0" w:line="178"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14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As of December 31, 2019 and 2018, we had cash and cash equivalents of approximately $460.7 million and $410.1 million, respectively. All cash and cash equivalents were held in accounts with banks such that the funds are immediately available or in fixed term deposits with a maximum maturity of three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 Dividends declared and paid to Class A and B common stockholders during the year ended December 31, 2019 amounted to $35.9 million.</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83"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w:t>
      </w:r>
    </w:p>
    <w:p>
      <w:pPr>
        <w:spacing w:after="0" w:line="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pay regular dividends on our Class A common stock and Class B common stock, but our ability to do so may be limited.”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March and April 2019, TWM LLC made pre-IPO cash distributions to the Original LLC Owners in aggregate amounts of $20.0 million and $100.0 million, respectively.</w:t>
      </w:r>
    </w:p>
    <w:p>
      <w:pPr>
        <w:spacing w:after="0" w:line="17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May, September and December 2019, TWM LLC made quarterly cash distributions to its equityholders, including Tradeweb Markets Inc., in aggregate amounts of $33.4 million, $33.0 million and $45.8 million, respectively.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June, September and December 2019, Tradeweb Markets Inc. paid quarterly cash dividends to the holders of Class A common stock and Class B common stock in aggregate amounts of $11.4 million, $11.4 million and $13.1 million, respectively.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February 11, 2020, our board of directors declared a cash dividend of $0.08 per share of Class A common stock and Class B common stock for the first quarter of 2020. This dividend will be payable on March 16, 2020 to stockholders of record as of March 2,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and 2018, we had no outstanding indebtedness.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 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8"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As of December 31, 2019, there were no amounts outstanding under the Revolving Credit Facility and we had availability of $500.0 million.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9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43" w:lineRule="exact"/>
        <w:rPr>
          <w:sz w:val="20"/>
          <w:szCs w:val="20"/>
          <w:color w:val="auto"/>
        </w:rPr>
      </w:pPr>
    </w:p>
    <w:p>
      <w:pPr>
        <w:ind w:left="660" w:hanging="333"/>
        <w:spacing w:after="0"/>
        <w:tabs>
          <w:tab w:leader="none" w:pos="66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incur additional indebtedness and guarantee indebtedness;</w:t>
      </w:r>
    </w:p>
    <w:p>
      <w:pPr>
        <w:spacing w:after="0" w:line="139"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create or incur liens;</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pay dividends and distributions or repurchase capital stock;</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make investments, loans and advances; and</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enter into certain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7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we were in compliance with all the covenants set forth in the Revolving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2019 and 2018, each of our regulated subsidiaries had maintained sufficient net capital or financial resources to at least satisfy their minimum requirements which in aggregate were $53.2 million and $41.7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patterns, changes in client billing terms and other changes in the demand for our platforms and solutions. Our working capital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142"/>
        </w:trPr>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right"/>
              <w:ind w:right="311"/>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Restricted cash</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87,192</w:t>
            </w: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1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597,415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171,214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27,883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24,187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Payable to affiliates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1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390,999</w:t>
            </w:r>
          </w:p>
        </w:tc>
      </w:tr>
      <w:tr>
        <w:trPr>
          <w:trHeight w:val="21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372,705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Current assets decreased to $597.4 million as of December 31, 2019 from $687.8 million as of December 31, 2018 due to a decrease in receivable from brokers and dealers and clearing organizations resulting from a lower number of fails to deliver from unsettled wholesale platform transactions, offset by higher cash and cash equivalents as a result of an increase in gross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Current liabilities decreased to $224.7 million as of December 31, 2019 from $391.0 million as of December 31, 2018 due to a decrease in payable to brokers and dealers and clearing organizations resulting from a lower number of fails to receive from unsettled wholesale platform transactions and a decrease in employee equity compensation payable as a result of payments of cash-settled PRSUs.</w:t>
      </w:r>
    </w:p>
    <w:p>
      <w:pPr>
        <w:spacing w:after="0" w:line="18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cash flows for the year ended December 31, 2019, the 2018 Successor Period, the 2018 Predecessor Period and the year ended December 31, 2017 were as follows: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Pr>
          <w:p>
            <w:pPr>
              <w:spacing w:after="0"/>
              <w:rPr>
                <w:sz w:val="11"/>
                <w:szCs w:val="11"/>
                <w:color w:val="auto"/>
              </w:rPr>
            </w:pPr>
          </w:p>
        </w:tc>
        <w:tc>
          <w:tcPr>
            <w:tcW w:w="12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Predecessor</w:t>
            </w:r>
          </w:p>
        </w:tc>
        <w:tc>
          <w:tcPr>
            <w:tcW w:w="60" w:type="dxa"/>
            <w:vAlign w:val="bottom"/>
          </w:tcPr>
          <w:p>
            <w:pPr>
              <w:spacing w:after="0"/>
              <w:rPr>
                <w:sz w:val="11"/>
                <w:szCs w:val="11"/>
                <w:color w:val="auto"/>
              </w:rPr>
            </w:pP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84"/>
              </w:rPr>
              <w:t>Predecessor</w:t>
            </w:r>
          </w:p>
        </w:tc>
      </w:tr>
      <w:tr>
        <w:trPr>
          <w:trHeight w:val="101"/>
        </w:trPr>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center"/>
              <w:ind w:right="1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20" w:type="dxa"/>
            <w:vAlign w:val="bottom"/>
            <w:tcBorders>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auto"/>
                <w:w w:val="92"/>
              </w:rPr>
              <w:t>October 1, 2018</w:t>
            </w:r>
          </w:p>
        </w:tc>
        <w:tc>
          <w:tcPr>
            <w:tcW w:w="120" w:type="dxa"/>
            <w:vAlign w:val="bottom"/>
            <w:tcBorders>
              <w:right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90"/>
              </w:rPr>
              <w:t>January 1, 2018</w:t>
            </w: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Year Ended</w:t>
            </w:r>
          </w:p>
        </w:tc>
      </w:tr>
      <w:tr>
        <w:trPr>
          <w:trHeight w:val="122"/>
        </w:trPr>
        <w:tc>
          <w:tcPr>
            <w:tcW w:w="3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To</w:t>
            </w:r>
          </w:p>
        </w:tc>
        <w:tc>
          <w:tcPr>
            <w:tcW w:w="8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to</w:t>
            </w:r>
          </w:p>
        </w:tc>
        <w:tc>
          <w:tcPr>
            <w:tcW w:w="6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December 31, 2018</w:t>
            </w: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7"/>
              </w:rPr>
              <w:t>September 30, 2018</w:t>
            </w: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2017</w:t>
            </w:r>
          </w:p>
        </w:tc>
      </w:tr>
      <w:tr>
        <w:trPr>
          <w:trHeight w:val="115"/>
        </w:trPr>
        <w:tc>
          <w:tcPr>
            <w:tcW w:w="3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340"/>
              <w:spacing w:after="0" w:line="115" w:lineRule="exact"/>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3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cash flows provided by operating activities</w:t>
            </w:r>
          </w:p>
        </w:tc>
        <w:tc>
          <w:tcPr>
            <w:tcW w:w="740" w:type="dxa"/>
            <w:vAlign w:val="bottom"/>
            <w:gridSpan w:val="2"/>
            <w:shd w:val="clear" w:color="auto" w:fill="CCEEFF"/>
          </w:tcPr>
          <w:p>
            <w:pPr>
              <w:jc w:val="right"/>
              <w:ind w:right="91"/>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311,003</w:t>
            </w:r>
          </w:p>
        </w:tc>
        <w:tc>
          <w:tcPr>
            <w:tcW w:w="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112,556</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164,828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224,580</w:t>
            </w:r>
          </w:p>
        </w:tc>
      </w:tr>
      <w:tr>
        <w:trPr>
          <w:trHeight w:val="122"/>
        </w:trPr>
        <w:tc>
          <w:tcPr>
            <w:tcW w:w="3180" w:type="dxa"/>
            <w:vAlign w:val="bottom"/>
          </w:tcPr>
          <w:p>
            <w:pPr>
              <w:spacing w:after="0" w:line="122" w:lineRule="exact"/>
              <w:rPr>
                <w:sz w:val="20"/>
                <w:szCs w:val="20"/>
                <w:color w:val="auto"/>
              </w:rPr>
            </w:pPr>
            <w:r>
              <w:rPr>
                <w:rFonts w:ascii="Arial" w:cs="Arial" w:eastAsia="Arial" w:hAnsi="Arial"/>
                <w:sz w:val="11"/>
                <w:szCs w:val="11"/>
                <w:color w:val="auto"/>
              </w:rPr>
              <w:t>Net cash flows (used in) investing activities</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Arial" w:cs="Arial" w:eastAsia="Arial" w:hAnsi="Arial"/>
                <w:sz w:val="11"/>
                <w:szCs w:val="11"/>
                <w:color w:val="auto"/>
              </w:rPr>
              <w:t>(44,462)</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(16,246)</w:t>
            </w:r>
          </w:p>
        </w:tc>
        <w:tc>
          <w:tcPr>
            <w:tcW w:w="80" w:type="dxa"/>
            <w:vAlign w:val="bottom"/>
          </w:tcPr>
          <w:p>
            <w:pPr>
              <w:spacing w:after="0"/>
              <w:rPr>
                <w:sz w:val="10"/>
                <w:szCs w:val="10"/>
                <w:color w:val="auto"/>
              </w:rPr>
            </w:pP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(25,850)</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(45,552)</w:t>
            </w:r>
          </w:p>
        </w:tc>
      </w:tr>
      <w:tr>
        <w:trPr>
          <w:trHeight w:val="122"/>
        </w:trPr>
        <w:tc>
          <w:tcPr>
            <w:tcW w:w="3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cash flows (used in) financing activities</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(218,142)</w:t>
            </w:r>
          </w:p>
        </w:tc>
        <w:tc>
          <w:tcPr>
            <w:tcW w:w="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tcBorders>
              <w:right w:val="single" w:sz="8" w:color="auto"/>
            </w:tcBorders>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(36,000)</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(139,350)</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(153,461)</w:t>
            </w:r>
          </w:p>
        </w:tc>
      </w:tr>
      <w:tr>
        <w:trPr>
          <w:trHeight w:val="122"/>
        </w:trPr>
        <w:tc>
          <w:tcPr>
            <w:tcW w:w="3180" w:type="dxa"/>
            <w:vAlign w:val="bottom"/>
          </w:tcPr>
          <w:p>
            <w:pPr>
              <w:spacing w:after="0" w:line="122" w:lineRule="exact"/>
              <w:rPr>
                <w:sz w:val="20"/>
                <w:szCs w:val="20"/>
                <w:color w:val="auto"/>
              </w:rPr>
            </w:pPr>
            <w:r>
              <w:rPr>
                <w:rFonts w:ascii="Arial" w:cs="Arial" w:eastAsia="Arial" w:hAnsi="Arial"/>
                <w:sz w:val="11"/>
                <w:szCs w:val="11"/>
                <w:color w:val="auto"/>
              </w:rPr>
              <w:t>Effect of exchange rate changes on cash and cash equivalents</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Arial" w:cs="Arial" w:eastAsia="Arial" w:hAnsi="Arial"/>
                <w:sz w:val="11"/>
                <w:szCs w:val="11"/>
                <w:color w:val="auto"/>
              </w:rPr>
              <w:t>2,008</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(389)</w:t>
            </w:r>
          </w:p>
        </w:tc>
        <w:tc>
          <w:tcPr>
            <w:tcW w:w="80" w:type="dxa"/>
            <w:vAlign w:val="bottom"/>
          </w:tcPr>
          <w:p>
            <w:pPr>
              <w:spacing w:after="0"/>
              <w:rPr>
                <w:sz w:val="10"/>
                <w:szCs w:val="10"/>
                <w:color w:val="auto"/>
              </w:rPr>
            </w:pP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(2,043)</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3,157</w:t>
            </w:r>
          </w:p>
        </w:tc>
      </w:tr>
      <w:tr>
        <w:trPr>
          <w:trHeight w:val="122"/>
        </w:trPr>
        <w:tc>
          <w:tcPr>
            <w:tcW w:w="31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Net increase (decrease) in cash and cash equivalents</w:t>
            </w:r>
          </w:p>
        </w:tc>
        <w:tc>
          <w:tcPr>
            <w:tcW w:w="54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50,407</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59,921</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(2,415)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28,724</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expense and contingent consideration. Cash flows from operating activities can fluctuate significantly from period-to-period as working capital needs and the timing of payments for accrued compensation (primarily in the first quarter) and other items impact reported cash flows.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2019 was $311.0 million and primarily driven by an increase in gross revenue.</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2017 was $224.6 million, which was primarily driven by an increase in gross revenue and an improvement in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cash used in investing activities was $44.5 million for the year ended December 31, 2019, which consisted of $28.7 million of capitalized software development costs and $15.8 million of purchases of furniture, equipment, purchased software and leasehold improvements. For the year ending December 31, 2020, we expect capital expenditures and capitalization of software of $45 million to $50 million.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investing activities was $45.6 million for the year ended December 31, 2017, which consisted of $27.2 million of capitalized software development costs, $13.5 million of purchase of furniture, equipment, purchased software and leasehold improvements and $5.0 million of purchase of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Financing activities consist of purchases of LLC Interests, cash dividends to our Class A common stockholders and Class B common stockholders during the post-IPO period and cash distributions from TWM LLC to the Original LLC Owners during the pre-IPO period.</w:t>
      </w:r>
    </w:p>
    <w:p>
      <w:pPr>
        <w:spacing w:after="0" w:line="18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Net cash used in financing activities for the year ended December 31, 2019 was $218.1 million, which consisted of purchases of LLC Interests and shares of Class A common stock of $1,971.2 million from certain of the Bank Stockholders and members of management using the net proceeds from the IPO and the October 2019 follow-on offering, as applicable, cash dividends to our Class A and Class B common stockholders of $35.9 million, capital distributions to non-controlling interests of $38.3 million and pre-IPO capital distributions of $120.0 million, which includes a one-time distribution of $100.0 million paid to the Original LLC Owners in connection with the IPO.</w:t>
      </w:r>
    </w:p>
    <w:p>
      <w:pPr>
        <w:spacing w:after="0" w:line="178"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Net cash used in financing activities for the 2018 Successor Period and the 2018 Predecessor Period was $36.0 million and $139.4 million, respectively, which consisted of capital distributions to the Original LLC Owners.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Net cash used in financing activities was $153.5 million for the year ended December 31, 2017, which consisted of capital distributions to the Original LLC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6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93"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 ended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78"/>
              </w:rPr>
              <w:t>Successor</w:t>
            </w:r>
          </w:p>
        </w:tc>
        <w:tc>
          <w:tcPr>
            <w:tcW w:w="60" w:type="dxa"/>
            <w:vAlign w:val="bottom"/>
          </w:tcPr>
          <w:p>
            <w:pPr>
              <w:spacing w:after="0"/>
              <w:rPr>
                <w:sz w:val="11"/>
                <w:szCs w:val="11"/>
                <w:color w:val="auto"/>
              </w:rPr>
            </w:pPr>
          </w:p>
        </w:tc>
        <w:tc>
          <w:tcPr>
            <w:tcW w:w="880" w:type="dxa"/>
            <w:vAlign w:val="bottom"/>
          </w:tcPr>
          <w:p>
            <w:pPr>
              <w:jc w:val="center"/>
              <w:ind w:left="83"/>
              <w:spacing w:after="0"/>
              <w:rPr>
                <w:sz w:val="20"/>
                <w:szCs w:val="20"/>
                <w:color w:val="auto"/>
              </w:rPr>
            </w:pPr>
            <w:r>
              <w:rPr>
                <w:rFonts w:ascii="Arial" w:cs="Arial" w:eastAsia="Arial" w:hAnsi="Arial"/>
                <w:sz w:val="11"/>
                <w:szCs w:val="11"/>
                <w:b w:val="1"/>
                <w:bCs w:val="1"/>
                <w:color w:val="auto"/>
                <w:w w:val="81"/>
              </w:rPr>
              <w:t>Predecessor</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82"/>
              <w:spacing w:after="0"/>
              <w:rPr>
                <w:sz w:val="20"/>
                <w:szCs w:val="20"/>
                <w:color w:val="auto"/>
              </w:rPr>
            </w:pPr>
            <w:r>
              <w:rPr>
                <w:rFonts w:ascii="Arial" w:cs="Arial" w:eastAsia="Arial" w:hAnsi="Arial"/>
                <w:sz w:val="11"/>
                <w:szCs w:val="11"/>
                <w:b w:val="1"/>
                <w:bCs w:val="1"/>
                <w:color w:val="auto"/>
                <w:w w:val="81"/>
              </w:rPr>
              <w:t>Predecessor</w:t>
            </w:r>
          </w:p>
        </w:tc>
      </w:tr>
      <w:tr>
        <w:trPr>
          <w:trHeight w:val="101"/>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ind w:right="62"/>
              <w:spacing w:after="0" w:line="102" w:lineRule="exact"/>
              <w:rPr>
                <w:sz w:val="20"/>
                <w:szCs w:val="20"/>
                <w:color w:val="auto"/>
              </w:rPr>
            </w:pPr>
            <w:r>
              <w:rPr>
                <w:rFonts w:ascii="Arial" w:cs="Arial" w:eastAsia="Arial" w:hAnsi="Arial"/>
                <w:sz w:val="11"/>
                <w:szCs w:val="11"/>
                <w:b w:val="1"/>
                <w:bCs w:val="1"/>
                <w:color w:val="auto"/>
                <w:w w:val="83"/>
              </w:rPr>
              <w:t>Year</w:t>
            </w: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2" w:lineRule="exact"/>
              <w:rPr>
                <w:sz w:val="20"/>
                <w:szCs w:val="20"/>
                <w:color w:val="auto"/>
              </w:rPr>
            </w:pPr>
            <w:r>
              <w:rPr>
                <w:rFonts w:ascii="Arial" w:cs="Arial" w:eastAsia="Arial" w:hAnsi="Arial"/>
                <w:sz w:val="11"/>
                <w:szCs w:val="11"/>
                <w:b w:val="1"/>
                <w:bCs w:val="1"/>
                <w:color w:val="auto"/>
                <w:w w:val="87"/>
              </w:rPr>
              <w:t>October 1, 2018</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Borders>
              <w:top w:val="single" w:sz="8" w:color="auto"/>
            </w:tcBorders>
          </w:tcPr>
          <w:p>
            <w:pPr>
              <w:jc w:val="center"/>
              <w:ind w:left="83"/>
              <w:spacing w:after="0" w:line="102" w:lineRule="exact"/>
              <w:rPr>
                <w:sz w:val="20"/>
                <w:szCs w:val="20"/>
                <w:color w:val="auto"/>
              </w:rPr>
            </w:pPr>
            <w:r>
              <w:rPr>
                <w:rFonts w:ascii="Arial" w:cs="Arial" w:eastAsia="Arial" w:hAnsi="Arial"/>
                <w:sz w:val="11"/>
                <w:szCs w:val="11"/>
                <w:b w:val="1"/>
                <w:bCs w:val="1"/>
                <w:color w:val="auto"/>
                <w:w w:val="90"/>
              </w:rPr>
              <w:t>January 1, 2018</w:t>
            </w:r>
          </w:p>
        </w:tc>
        <w:tc>
          <w:tcPr>
            <w:tcW w:w="1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ind w:right="82"/>
              <w:spacing w:after="0" w:line="102"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76"/>
              </w:rPr>
              <w:t>to</w:t>
            </w:r>
          </w:p>
        </w:tc>
        <w:tc>
          <w:tcPr>
            <w:tcW w:w="60" w:type="dxa"/>
            <w:vAlign w:val="bottom"/>
          </w:tcPr>
          <w:p>
            <w:pPr>
              <w:spacing w:after="0"/>
              <w:rPr>
                <w:sz w:val="10"/>
                <w:szCs w:val="10"/>
                <w:color w:val="auto"/>
              </w:rPr>
            </w:pPr>
          </w:p>
        </w:tc>
        <w:tc>
          <w:tcPr>
            <w:tcW w:w="880" w:type="dxa"/>
            <w:vAlign w:val="bottom"/>
          </w:tcPr>
          <w:p>
            <w:pPr>
              <w:jc w:val="center"/>
              <w:ind w:left="83"/>
              <w:spacing w:after="0" w:line="122" w:lineRule="exact"/>
              <w:rPr>
                <w:sz w:val="20"/>
                <w:szCs w:val="20"/>
                <w:color w:val="auto"/>
              </w:rPr>
            </w:pPr>
            <w:r>
              <w:rPr>
                <w:rFonts w:ascii="Arial" w:cs="Arial" w:eastAsia="Arial" w:hAnsi="Arial"/>
                <w:sz w:val="11"/>
                <w:szCs w:val="11"/>
                <w:b w:val="1"/>
                <w:bCs w:val="1"/>
                <w:color w:val="auto"/>
                <w:w w:val="95"/>
              </w:rPr>
              <w:t>to</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82"/>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60" w:type="dxa"/>
            <w:vAlign w:val="bottom"/>
          </w:tcPr>
          <w:p>
            <w:pPr>
              <w:spacing w:after="0"/>
              <w:rPr>
                <w:sz w:val="10"/>
                <w:szCs w:val="10"/>
                <w:color w:val="auto"/>
              </w:rPr>
            </w:pPr>
          </w:p>
        </w:tc>
        <w:tc>
          <w:tcPr>
            <w:tcW w:w="880" w:type="dxa"/>
            <w:vAlign w:val="bottom"/>
          </w:tcPr>
          <w:p>
            <w:pPr>
              <w:jc w:val="center"/>
              <w:ind w:left="83"/>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102"/>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43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1"/>
              </w:rPr>
              <w:t>2019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1"/>
              </w:rPr>
              <w:t>2018</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89"/>
              </w:rPr>
              <w:t>2017</w:t>
            </w: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 from operating activities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311,003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112,556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23"/>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5"/>
              </w:rPr>
              <w:t>164,828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224,580</w:t>
            </w: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Less: Capitalization of software development costs</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(28,681)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(7,156)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0"/>
              </w:rPr>
              <w:t>(19,523)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(27,157)</w:t>
            </w: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Purchases of furniture, equipment and leasehold improvements</w:t>
            </w: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(15,781)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(9,090)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(6,327)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(13,461)</w:t>
            </w:r>
          </w:p>
        </w:tc>
      </w:tr>
      <w:tr>
        <w:trPr>
          <w:trHeight w:val="136"/>
        </w:trPr>
        <w:tc>
          <w:tcPr>
            <w:tcW w:w="4460" w:type="dxa"/>
            <w:vAlign w:val="bottom"/>
            <w:gridSpan w:val="2"/>
          </w:tcPr>
          <w:p>
            <w:pPr>
              <w:spacing w:after="0" w:line="129" w:lineRule="exact"/>
              <w:rPr>
                <w:sz w:val="20"/>
                <w:szCs w:val="20"/>
                <w:color w:val="auto"/>
              </w:rPr>
            </w:pPr>
            <w:r>
              <w:rPr>
                <w:rFonts w:ascii="Arial" w:cs="Arial" w:eastAsia="Arial" w:hAnsi="Arial"/>
                <w:sz w:val="13"/>
                <w:szCs w:val="13"/>
                <w:color w:val="auto"/>
              </w:rPr>
              <w:t>Free Cash Flow</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266,541</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96,310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bottom w:val="single" w:sz="8" w:color="auto"/>
            </w:tcBorders>
          </w:tcPr>
          <w:p>
            <w:pPr>
              <w:jc w:val="right"/>
              <w:ind w:right="723"/>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w w:val="85"/>
              </w:rPr>
              <w:t>138,978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183,962</w:t>
            </w:r>
          </w:p>
        </w:tc>
      </w:tr>
    </w:tbl>
    <w:p>
      <w:pPr>
        <w:spacing w:after="0" w:line="200" w:lineRule="exact"/>
        <w:rPr>
          <w:sz w:val="20"/>
          <w:szCs w:val="20"/>
          <w:color w:val="auto"/>
        </w:rPr>
      </w:pPr>
    </w:p>
    <w:p>
      <w:pPr>
        <w:spacing w:after="0" w:line="218"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b w:val="1"/>
          <w:bCs w:val="1"/>
          <w:i w:val="1"/>
          <w:iCs w:val="1"/>
          <w:color w:val="auto"/>
        </w:rPr>
        <w:t xml:space="preserve">Adjusted EBITDA, Adjusted EBITDA margin, Adjusted EBIT, Adjusted EBIT margin, Adjusted Net Income and </w:t>
      </w:r>
      <w:r>
        <w:rPr>
          <w:rFonts w:ascii="Arial" w:cs="Arial" w:eastAsia="Arial" w:hAnsi="Arial"/>
          <w:sz w:val="16"/>
          <w:szCs w:val="16"/>
          <w:color w:val="auto"/>
        </w:rPr>
        <w: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the Special Option Award discussed below under “— Critical Accounting Policies and Estimates — Stock-Based Compensation”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17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9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1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set forth below presents a reconciliation of net income to Adjusted EBITDA, Adjusted EBITDA margin,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Adjusted EBIT and Adjusted EBIT margin for the year ended December 31, 2019, the 2018 Successor Period, the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Predecessor Period and the year ended December 31,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2"/>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w w:val="88"/>
              </w:rPr>
              <w:t>Successor</w:t>
            </w:r>
          </w:p>
        </w:tc>
        <w:tc>
          <w:tcPr>
            <w:tcW w:w="40" w:type="dxa"/>
            <w:vAlign w:val="bottom"/>
          </w:tcPr>
          <w:p>
            <w:pPr>
              <w:spacing w:after="0"/>
              <w:rPr>
                <w:sz w:val="13"/>
                <w:szCs w:val="13"/>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81"/>
              </w:rPr>
              <w:t>Predecessor</w:t>
            </w:r>
          </w:p>
        </w:tc>
        <w:tc>
          <w:tcPr>
            <w:tcW w:w="20" w:type="dxa"/>
            <w:vAlign w:val="bottom"/>
          </w:tcPr>
          <w:p>
            <w:pPr>
              <w:spacing w:after="0"/>
              <w:rPr>
                <w:sz w:val="13"/>
                <w:szCs w:val="13"/>
                <w:color w:val="auto"/>
              </w:rPr>
            </w:pPr>
          </w:p>
        </w:tc>
        <w:tc>
          <w:tcPr>
            <w:tcW w:w="960" w:type="dxa"/>
            <w:vAlign w:val="bottom"/>
            <w:gridSpan w:val="3"/>
          </w:tcPr>
          <w:p>
            <w:pPr>
              <w:jc w:val="right"/>
              <w:ind w:right="262"/>
              <w:spacing w:after="0"/>
              <w:rPr>
                <w:sz w:val="20"/>
                <w:szCs w:val="20"/>
                <w:color w:val="auto"/>
              </w:rPr>
            </w:pPr>
            <w:r>
              <w:rPr>
                <w:rFonts w:ascii="Arial" w:cs="Arial" w:eastAsia="Arial" w:hAnsi="Arial"/>
                <w:sz w:val="13"/>
                <w:szCs w:val="13"/>
                <w:b w:val="1"/>
                <w:bCs w:val="1"/>
                <w:color w:val="auto"/>
                <w:w w:val="79"/>
              </w:rPr>
              <w:t>Predecessor</w:t>
            </w:r>
          </w:p>
        </w:tc>
        <w:tc>
          <w:tcPr>
            <w:tcW w:w="0" w:type="dxa"/>
            <w:vAlign w:val="bottom"/>
          </w:tcPr>
          <w:p>
            <w:pPr>
              <w:spacing w:after="0"/>
              <w:rPr>
                <w:sz w:val="1"/>
                <w:szCs w:val="1"/>
                <w:color w:val="auto"/>
              </w:rPr>
            </w:pPr>
          </w:p>
        </w:tc>
      </w:tr>
      <w:tr>
        <w:trPr>
          <w:trHeight w:val="110"/>
        </w:trPr>
        <w:tc>
          <w:tcPr>
            <w:tcW w:w="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8"/>
              <w:spacing w:after="0" w:line="110" w:lineRule="exact"/>
              <w:rPr>
                <w:sz w:val="20"/>
                <w:szCs w:val="20"/>
                <w:color w:val="auto"/>
              </w:rPr>
            </w:pPr>
            <w:r>
              <w:rPr>
                <w:rFonts w:ascii="Arial" w:cs="Arial" w:eastAsia="Arial" w:hAnsi="Arial"/>
                <w:sz w:val="12"/>
                <w:szCs w:val="12"/>
                <w:b w:val="1"/>
                <w:bCs w:val="1"/>
                <w:color w:val="auto"/>
                <w:w w:val="99"/>
              </w:rPr>
              <w:t>Year</w:t>
            </w:r>
          </w:p>
        </w:tc>
        <w:tc>
          <w:tcPr>
            <w:tcW w:w="2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6"/>
              </w:rPr>
              <w:t>October 1, 2018</w:t>
            </w:r>
          </w:p>
        </w:tc>
        <w:tc>
          <w:tcPr>
            <w:tcW w:w="180" w:type="dxa"/>
            <w:vAlign w:val="bottom"/>
            <w:tcBorders>
              <w:right w:val="single" w:sz="8" w:color="auto"/>
            </w:tcBorders>
          </w:tcPr>
          <w:p>
            <w:pPr>
              <w:spacing w:after="0"/>
              <w:rPr>
                <w:sz w:val="9"/>
                <w:szCs w:val="9"/>
                <w:color w:val="auto"/>
              </w:rPr>
            </w:pPr>
          </w:p>
        </w:tc>
        <w:tc>
          <w:tcPr>
            <w:tcW w:w="9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3"/>
              </w:rPr>
              <w:t>January 1, 2018</w:t>
            </w: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98"/>
              <w:spacing w:after="0" w:line="110" w:lineRule="exact"/>
              <w:rPr>
                <w:sz w:val="20"/>
                <w:szCs w:val="20"/>
                <w:color w:val="auto"/>
              </w:rPr>
            </w:pPr>
            <w:r>
              <w:rPr>
                <w:rFonts w:ascii="Arial" w:cs="Arial" w:eastAsia="Arial" w:hAnsi="Arial"/>
                <w:sz w:val="12"/>
                <w:szCs w:val="12"/>
                <w:b w:val="1"/>
                <w:bCs w:val="1"/>
                <w:color w:val="auto"/>
                <w:w w:val="92"/>
              </w:rPr>
              <w:t>Year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2"/>
              <w:spacing w:after="0" w:line="135" w:lineRule="exact"/>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213"/>
              <w:spacing w:after="0" w:line="135" w:lineRule="exact"/>
              <w:rPr>
                <w:sz w:val="20"/>
                <w:szCs w:val="20"/>
                <w:color w:val="auto"/>
              </w:rPr>
            </w:pPr>
            <w:r>
              <w:rPr>
                <w:rFonts w:ascii="Arial" w:cs="Arial" w:eastAsia="Arial" w:hAnsi="Arial"/>
                <w:sz w:val="13"/>
                <w:szCs w:val="13"/>
                <w:b w:val="1"/>
                <w:bCs w:val="1"/>
                <w:color w:val="auto"/>
                <w:w w:val="81"/>
              </w:rPr>
              <w:t>to</w:t>
            </w:r>
          </w:p>
        </w:tc>
        <w:tc>
          <w:tcPr>
            <w:tcW w:w="4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to</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02"/>
              <w:spacing w:after="0" w:line="135"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213"/>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20" w:type="dxa"/>
            <w:vAlign w:val="bottom"/>
          </w:tcPr>
          <w:p>
            <w:pPr>
              <w:spacing w:after="0"/>
              <w:rPr>
                <w:sz w:val="11"/>
                <w:szCs w:val="11"/>
                <w:color w:val="auto"/>
              </w:rPr>
            </w:pPr>
          </w:p>
        </w:tc>
        <w:tc>
          <w:tcPr>
            <w:tcW w:w="960" w:type="dxa"/>
            <w:vAlign w:val="bottom"/>
            <w:gridSpan w:val="3"/>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vMerge w:val="continue"/>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2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173,024</w:t>
            </w:r>
          </w:p>
        </w:tc>
        <w:tc>
          <w:tcPr>
            <w:tcW w:w="2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29,307</w:t>
            </w:r>
          </w:p>
        </w:tc>
        <w:tc>
          <w:tcPr>
            <w:tcW w:w="1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130,160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Contingent consideration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right"/>
              <w:ind w:right="193"/>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26,830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58,520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income, net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(2,373)</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w:t>
            </w:r>
          </w:p>
        </w:tc>
        <w:tc>
          <w:tcPr>
            <w:tcW w:w="1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540" w:type="dxa"/>
            <w:vAlign w:val="bottom"/>
            <w:gridSpan w:val="2"/>
          </w:tcPr>
          <w:p>
            <w:pPr>
              <w:spacing w:after="0" w:line="108" w:lineRule="exact"/>
              <w:rPr>
                <w:sz w:val="20"/>
                <w:szCs w:val="20"/>
                <w:color w:val="auto"/>
              </w:rPr>
            </w:pPr>
            <w:r>
              <w:rPr>
                <w:rFonts w:ascii="Arial" w:cs="Arial" w:eastAsia="Arial" w:hAnsi="Arial"/>
                <w:sz w:val="12"/>
                <w:szCs w:val="12"/>
                <w:color w:val="auto"/>
              </w:rPr>
              <w:t>Depreciation and amortization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139,330</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2"/>
                <w:szCs w:val="12"/>
                <w:color w:val="auto"/>
              </w:rPr>
              <w:t>33,020</w:t>
            </w: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48,808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2"/>
                <w:szCs w:val="12"/>
                <w:color w:val="auto"/>
              </w:rPr>
              <w:t>68,615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40" w:type="dxa"/>
            <w:vAlign w:val="bottom"/>
            <w:gridSpan w:val="2"/>
          </w:tcPr>
          <w:p>
            <w:pPr>
              <w:spacing w:after="0" w:line="148" w:lineRule="exact"/>
              <w:rPr>
                <w:sz w:val="20"/>
                <w:szCs w:val="20"/>
                <w:color w:val="auto"/>
              </w:rPr>
            </w:pPr>
            <w:r>
              <w:rPr>
                <w:rFonts w:ascii="Arial" w:cs="Arial" w:eastAsia="Arial" w:hAnsi="Arial"/>
                <w:sz w:val="13"/>
                <w:szCs w:val="13"/>
                <w:color w:val="auto"/>
              </w:rPr>
              <w:t>Stock-based compensation expense</w:t>
            </w:r>
            <w:r>
              <w:rPr>
                <w:rFonts w:ascii="Arial" w:cs="Arial" w:eastAsia="Arial" w:hAnsi="Arial"/>
                <w:sz w:val="14"/>
                <w:szCs w:val="14"/>
                <w:color w:val="auto"/>
                <w:vertAlign w:val="superscript"/>
              </w:rPr>
              <w:t>(1)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25,098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19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6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2"/>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Provision for income taxes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52,302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3,415</w:t>
            </w: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11,900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540" w:type="dxa"/>
            <w:vAlign w:val="bottom"/>
            <w:gridSpan w:val="2"/>
          </w:tcPr>
          <w:p>
            <w:pPr>
              <w:spacing w:after="0" w:line="123" w:lineRule="exact"/>
              <w:rPr>
                <w:sz w:val="20"/>
                <w:szCs w:val="20"/>
                <w:color w:val="auto"/>
              </w:rPr>
            </w:pPr>
            <w:r>
              <w:rPr>
                <w:rFonts w:ascii="Arial" w:cs="Arial" w:eastAsia="Arial" w:hAnsi="Arial"/>
                <w:sz w:val="13"/>
                <w:szCs w:val="13"/>
                <w:color w:val="auto"/>
              </w:rPr>
              <w:t>Unrealized foreign exchange (gains) / losses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3"/>
                <w:szCs w:val="13"/>
                <w:color w:val="auto"/>
              </w:rPr>
              <w:t>(2,310)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3"/>
                <w:szCs w:val="13"/>
                <w:color w:val="auto"/>
              </w:rPr>
              <w:t>263</w:t>
            </w:r>
          </w:p>
        </w:tc>
        <w:tc>
          <w:tcPr>
            <w:tcW w:w="1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3"/>
                <w:szCs w:val="13"/>
                <w:color w:val="auto"/>
              </w:rPr>
              <w:t>(960)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(Gain) / loss from revaluation of foreign denominated cash</w:t>
            </w:r>
            <w:r>
              <w:rPr>
                <w:rFonts w:ascii="Arial" w:cs="Arial" w:eastAsia="Arial" w:hAnsi="Arial"/>
                <w:sz w:val="14"/>
                <w:szCs w:val="14"/>
                <w:color w:val="auto"/>
                <w:vertAlign w:val="superscript"/>
              </w:rPr>
              <w:t>(2)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(921)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40" w:type="dxa"/>
            <w:vAlign w:val="bottom"/>
            <w:gridSpan w:val="2"/>
          </w:tcPr>
          <w:p>
            <w:pPr>
              <w:spacing w:after="0" w:line="148" w:lineRule="exact"/>
              <w:rPr>
                <w:sz w:val="20"/>
                <w:szCs w:val="20"/>
                <w:color w:val="auto"/>
              </w:rPr>
            </w:pPr>
            <w:r>
              <w:rPr>
                <w:rFonts w:ascii="Arial" w:cs="Arial" w:eastAsia="Arial" w:hAnsi="Arial"/>
                <w:sz w:val="13"/>
                <w:szCs w:val="13"/>
                <w:color w:val="auto"/>
              </w:rPr>
              <w:t>Tax receivable agreement liability adjustment</w:t>
            </w:r>
            <w:r>
              <w:rPr>
                <w:rFonts w:ascii="Arial" w:cs="Arial" w:eastAsia="Arial" w:hAnsi="Arial"/>
                <w:sz w:val="14"/>
                <w:szCs w:val="14"/>
                <w:color w:val="auto"/>
                <w:vertAlign w:val="superscript"/>
              </w:rPr>
              <w:t>(3)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(33,134)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9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96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2"/>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3540" w:type="dxa"/>
            <w:vAlign w:val="bottom"/>
            <w:gridSpan w:val="2"/>
          </w:tcPr>
          <w:p>
            <w:pPr>
              <w:spacing w:after="0" w:line="133" w:lineRule="exact"/>
              <w:rPr>
                <w:sz w:val="20"/>
                <w:szCs w:val="20"/>
                <w:color w:val="auto"/>
              </w:rPr>
            </w:pPr>
            <w:r>
              <w:rPr>
                <w:rFonts w:ascii="Arial" w:cs="Arial" w:eastAsia="Arial" w:hAnsi="Arial"/>
                <w:sz w:val="13"/>
                <w:szCs w:val="13"/>
                <w:color w:val="auto"/>
              </w:rPr>
              <w:t>Adjusted EBITDA</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353,162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65,308</w:t>
            </w:r>
          </w:p>
        </w:tc>
        <w:tc>
          <w:tcPr>
            <w:tcW w:w="180" w:type="dxa"/>
            <w:vAlign w:val="bottom"/>
            <w:tcBorders>
              <w:right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214,091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215,185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540" w:type="dxa"/>
            <w:vAlign w:val="bottom"/>
            <w:gridSpan w:val="2"/>
          </w:tcPr>
          <w:p>
            <w:pPr>
              <w:spacing w:after="0" w:line="108" w:lineRule="exact"/>
              <w:rPr>
                <w:sz w:val="20"/>
                <w:szCs w:val="20"/>
                <w:color w:val="auto"/>
              </w:rPr>
            </w:pPr>
            <w:r>
              <w:rPr>
                <w:rFonts w:ascii="Arial" w:cs="Arial" w:eastAsia="Arial" w:hAnsi="Arial"/>
                <w:sz w:val="12"/>
                <w:szCs w:val="12"/>
                <w:color w:val="auto"/>
              </w:rPr>
              <w:t>Less: Depreciation and amortization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(139,330)</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2"/>
                <w:szCs w:val="12"/>
                <w:color w:val="auto"/>
              </w:rPr>
              <w:t>(33,020)</w:t>
            </w: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(48,808)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2"/>
                <w:szCs w:val="12"/>
                <w:color w:val="auto"/>
              </w:rPr>
              <w:t>(68,615)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Add: Acquisition and Refinitiv Transaction related D&amp;A</w:t>
            </w:r>
            <w:r>
              <w:rPr>
                <w:rFonts w:ascii="Arial" w:cs="Arial" w:eastAsia="Arial" w:hAnsi="Arial"/>
                <w:sz w:val="14"/>
                <w:szCs w:val="14"/>
                <w:color w:val="auto"/>
                <w:vertAlign w:val="superscript"/>
              </w:rPr>
              <w:t>(4)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97,565</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22,413</w:t>
            </w:r>
          </w:p>
        </w:tc>
        <w:tc>
          <w:tcPr>
            <w:tcW w:w="180" w:type="dxa"/>
            <w:vAlign w:val="bottom"/>
            <w:tcBorders>
              <w:bottom w:val="single" w:sz="8" w:color="CCEEFF"/>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19,576</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31,236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Adjusted EBIT</w:t>
            </w: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311,397</w:t>
            </w:r>
          </w:p>
        </w:tc>
        <w:tc>
          <w:tcPr>
            <w:tcW w:w="2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54,701</w:t>
            </w:r>
          </w:p>
        </w:tc>
        <w:tc>
          <w:tcPr>
            <w:tcW w:w="18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184,859</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177,806</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540" w:type="dxa"/>
            <w:vAlign w:val="bottom"/>
            <w:gridSpan w:val="2"/>
          </w:tcPr>
          <w:p>
            <w:pPr>
              <w:spacing w:after="0" w:line="122" w:lineRule="exact"/>
              <w:rPr>
                <w:sz w:val="20"/>
                <w:szCs w:val="20"/>
                <w:color w:val="auto"/>
              </w:rPr>
            </w:pPr>
            <w:r>
              <w:rPr>
                <w:rFonts w:ascii="Arial" w:cs="Arial" w:eastAsia="Arial" w:hAnsi="Arial"/>
                <w:sz w:val="13"/>
                <w:szCs w:val="13"/>
                <w:color w:val="auto"/>
              </w:rPr>
              <w:t>Adjusted EBITDA margin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45.5</w:t>
            </w:r>
          </w:p>
        </w:tc>
        <w:tc>
          <w:tcPr>
            <w:tcW w:w="200" w:type="dxa"/>
            <w:vAlign w:val="bottom"/>
          </w:tcPr>
          <w:p>
            <w:pPr>
              <w:jc w:val="right"/>
              <w:ind w:right="42"/>
              <w:spacing w:after="0" w:line="122"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36.6</w:t>
            </w:r>
          </w:p>
        </w:tc>
        <w:tc>
          <w:tcPr>
            <w:tcW w:w="180" w:type="dxa"/>
            <w:vAlign w:val="bottom"/>
            <w:tcBorders>
              <w:right w:val="single" w:sz="8" w:color="auto"/>
            </w:tcBorders>
          </w:tcPr>
          <w:p>
            <w:pPr>
              <w:jc w:val="right"/>
              <w:ind w:right="53"/>
              <w:spacing w:after="0"/>
              <w:rPr>
                <w:sz w:val="20"/>
                <w:szCs w:val="20"/>
                <w:color w:val="auto"/>
              </w:rPr>
            </w:pPr>
            <w:r>
              <w:rPr>
                <w:rFonts w:ascii="Arial" w:cs="Arial" w:eastAsia="Arial" w:hAnsi="Arial"/>
                <w:sz w:val="9"/>
                <w:szCs w:val="9"/>
                <w:color w:val="auto"/>
                <w:w w:val="74"/>
              </w:rPr>
              <w:t>%</w:t>
            </w:r>
          </w:p>
        </w:tc>
        <w:tc>
          <w:tcPr>
            <w:tcW w:w="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42.3</w:t>
            </w:r>
          </w:p>
        </w:tc>
        <w:tc>
          <w:tcPr>
            <w:tcW w:w="100" w:type="dxa"/>
            <w:vAlign w:val="bottom"/>
            <w:gridSpan w:val="2"/>
          </w:tcPr>
          <w:p>
            <w:pPr>
              <w:jc w:val="right"/>
              <w:spacing w:after="0" w:line="122" w:lineRule="exact"/>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38.2</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Adjusted EBIT margin</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40.2 %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tcBorders>
              <w:right w:val="single" w:sz="8" w:color="auto"/>
            </w:tcBorders>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30.6 %</w:t>
            </w:r>
          </w:p>
        </w:tc>
        <w:tc>
          <w:tcPr>
            <w:tcW w:w="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36.5 %</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08"/>
        </w:trPr>
        <w:tc>
          <w:tcPr>
            <w:tcW w:w="4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-1071245</wp:posOffset>
            </wp:positionV>
            <wp:extent cx="516255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-899795</wp:posOffset>
            </wp:positionV>
            <wp:extent cx="516255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-728345</wp:posOffset>
            </wp:positionV>
            <wp:extent cx="516255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-539750</wp:posOffset>
            </wp:positionV>
            <wp:extent cx="516255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62550" cy="94615"/>
                    </a:xfrm>
                    <a:prstGeom prst="rect">
                      <a:avLst/>
                    </a:prstGeom>
                    <a:noFill/>
                  </pic:spPr>
                </pic:pic>
              </a:graphicData>
            </a:graphic>
          </wp:anchor>
        </w:drawing>
      </w:r>
    </w:p>
    <w:p>
      <w:pPr>
        <w:spacing w:after="0" w:line="69" w:lineRule="exact"/>
        <w:rPr>
          <w:sz w:val="20"/>
          <w:szCs w:val="20"/>
          <w:color w:val="auto"/>
        </w:rPr>
      </w:pPr>
    </w:p>
    <w:p>
      <w:pPr>
        <w:ind w:left="320" w:right="100" w:hanging="317"/>
        <w:spacing w:after="0" w:line="253" w:lineRule="auto"/>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73" w:lineRule="exact"/>
        <w:rPr>
          <w:rFonts w:ascii="Arial" w:cs="Arial" w:eastAsia="Arial" w:hAnsi="Arial"/>
          <w:sz w:val="14"/>
          <w:szCs w:val="14"/>
          <w:color w:val="auto"/>
        </w:rPr>
      </w:pPr>
    </w:p>
    <w:p>
      <w:pPr>
        <w:ind w:left="320" w:hanging="317"/>
        <w:spacing w:after="0"/>
        <w:tabs>
          <w:tab w:leader="none" w:pos="3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15" w:lineRule="exact"/>
        <w:rPr>
          <w:rFonts w:ascii="Arial" w:cs="Arial" w:eastAsia="Arial" w:hAnsi="Arial"/>
          <w:sz w:val="13"/>
          <w:szCs w:val="13"/>
          <w:color w:val="auto"/>
        </w:rPr>
      </w:pPr>
    </w:p>
    <w:p>
      <w:pPr>
        <w:ind w:left="320" w:right="160" w:hanging="317"/>
        <w:spacing w:after="0" w:line="291" w:lineRule="auto"/>
        <w:tabs>
          <w:tab w:leader="none" w:pos="3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179" w:hanging="317"/>
        <w:spacing w:after="0" w:line="238" w:lineRule="auto"/>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87"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year ended December 31, 2019, the 2018 Successor Period and the 2018 Predecessor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79"/>
              </w:rPr>
              <w:t>Successor</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79"/>
              </w:rPr>
              <w:t>Successor</w:t>
            </w:r>
          </w:p>
        </w:tc>
        <w:tc>
          <w:tcPr>
            <w:tcW w:w="24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4"/>
              </w:rPr>
              <w:t>Predecessor</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Predecessor</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center"/>
              <w:ind w:right="58"/>
              <w:spacing w:after="0"/>
              <w:rPr>
                <w:sz w:val="20"/>
                <w:szCs w:val="20"/>
                <w:color w:val="auto"/>
              </w:rPr>
            </w:pPr>
            <w:r>
              <w:rPr>
                <w:rFonts w:ascii="Arial" w:cs="Arial" w:eastAsia="Arial" w:hAnsi="Arial"/>
                <w:sz w:val="13"/>
                <w:szCs w:val="13"/>
                <w:b w:val="1"/>
                <w:bCs w:val="1"/>
                <w:color w:val="auto"/>
                <w:w w:val="84"/>
              </w:rPr>
              <w:t>Year</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October 1, 2018</w:t>
            </w:r>
          </w:p>
        </w:tc>
        <w:tc>
          <w:tcPr>
            <w:tcW w:w="240" w:type="dxa"/>
            <w:vAlign w:val="bottom"/>
            <w:tcBorders>
              <w:right w:val="single" w:sz="8" w:color="auto"/>
            </w:tcBorders>
          </w:tcPr>
          <w:p>
            <w:pPr>
              <w:spacing w:after="0"/>
              <w:rPr>
                <w:sz w:val="21"/>
                <w:szCs w:val="21"/>
                <w:color w:val="auto"/>
              </w:rPr>
            </w:pP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January 1, 2018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38"/>
              <w:spacing w:after="0"/>
              <w:rPr>
                <w:sz w:val="20"/>
                <w:szCs w:val="20"/>
                <w:color w:val="auto"/>
              </w:rPr>
            </w:pPr>
            <w:r>
              <w:rPr>
                <w:rFonts w:ascii="Arial" w:cs="Arial" w:eastAsia="Arial" w:hAnsi="Arial"/>
                <w:sz w:val="13"/>
                <w:szCs w:val="13"/>
                <w:b w:val="1"/>
                <w:bCs w:val="1"/>
                <w:color w:val="auto"/>
                <w:w w:val="84"/>
              </w:rPr>
              <w:t>Year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81"/>
              </w:rPr>
              <w:t>to</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81"/>
              </w:rPr>
              <w:t>to</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Ended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December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8"/>
              </w:rPr>
              <w:t>31,</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8"/>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3"/>
                <w:szCs w:val="13"/>
                <w:b w:val="1"/>
                <w:bCs w:val="1"/>
                <w:color w:val="auto"/>
                <w:w w:val="82"/>
              </w:rPr>
              <w:t>2019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3"/>
                <w:szCs w:val="13"/>
                <w:b w:val="1"/>
                <w:bCs w:val="1"/>
                <w:color w:val="auto"/>
                <w:w w:val="82"/>
              </w:rPr>
              <w:t>2018</w:t>
            </w:r>
          </w:p>
        </w:tc>
        <w:tc>
          <w:tcPr>
            <w:tcW w:w="240" w:type="dxa"/>
            <w:vAlign w:val="bottom"/>
            <w:tcBorders>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3"/>
                <w:szCs w:val="13"/>
                <w:b w:val="1"/>
                <w:bCs w:val="1"/>
                <w:color w:val="auto"/>
                <w:w w:val="89"/>
              </w:rPr>
              <w:t>2018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2017</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3"/>
                <w:szCs w:val="13"/>
                <w:color w:val="auto"/>
              </w:rPr>
              <w:t>Earnings per diluted share</w:t>
            </w:r>
            <w:r>
              <w:rPr>
                <w:rFonts w:ascii="Arial" w:cs="Arial" w:eastAsia="Arial" w:hAnsi="Arial"/>
                <w:sz w:val="14"/>
                <w:szCs w:val="14"/>
                <w:color w:val="auto"/>
                <w:vertAlign w:val="superscript"/>
              </w:rPr>
              <w:t>(1)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auto"/>
              </w:rPr>
              <w:t>(a)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0.190.54 (b)</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0.13</w:t>
            </w:r>
          </w:p>
        </w:tc>
        <w:tc>
          <w:tcPr>
            <w:tcW w:w="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0.60</w:t>
            </w:r>
          </w:p>
        </w:tc>
        <w:tc>
          <w:tcPr>
            <w:tcW w:w="260" w:type="dxa"/>
            <w:vAlign w:val="bottom"/>
          </w:tcPr>
          <w:p>
            <w:pPr>
              <w:spacing w:after="0" w:line="135" w:lineRule="exact"/>
              <w:rPr>
                <w:sz w:val="20"/>
                <w:szCs w:val="20"/>
                <w:color w:val="auto"/>
              </w:rPr>
            </w:pPr>
            <w:r>
              <w:rPr>
                <w:rFonts w:ascii="Arial" w:cs="Arial" w:eastAsia="Arial" w:hAnsi="Arial"/>
                <w:sz w:val="13"/>
                <w:szCs w:val="13"/>
                <w:color w:val="auto"/>
              </w:rPr>
              <w:t>(a)</w:t>
            </w:r>
          </w:p>
        </w:tc>
        <w:tc>
          <w:tcPr>
            <w:tcW w:w="100" w:type="dxa"/>
            <w:vAlign w:val="bottom"/>
            <w:gridSpan w:val="3"/>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0.39</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75"/>
              </w:rPr>
              <w:t>(a)</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3440" w:type="dxa"/>
            <w:vAlign w:val="bottom"/>
            <w:gridSpan w:val="2"/>
          </w:tcPr>
          <w:p>
            <w:pPr>
              <w:spacing w:after="0" w:line="108" w:lineRule="exact"/>
              <w:rPr>
                <w:sz w:val="20"/>
                <w:szCs w:val="20"/>
                <w:color w:val="auto"/>
              </w:rPr>
            </w:pPr>
            <w:r>
              <w:rPr>
                <w:rFonts w:ascii="Arial" w:cs="Arial" w:eastAsia="Arial" w:hAnsi="Arial"/>
                <w:sz w:val="11"/>
                <w:szCs w:val="11"/>
                <w:color w:val="auto"/>
              </w:rPr>
              <w:t xml:space="preserve">Pre-IPO net income attributable to Tradeweb Markets LLC </w:t>
            </w:r>
            <w:r>
              <w:rPr>
                <w:rFonts w:ascii="Arial" w:cs="Arial" w:eastAsia="Arial" w:hAnsi="Arial"/>
                <w:sz w:val="12"/>
                <w:szCs w:val="12"/>
                <w:color w:val="auto"/>
                <w:vertAlign w:val="superscript"/>
              </w:rPr>
              <w:t>(1)</w:t>
            </w: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42,352</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29,307</w:t>
            </w:r>
          </w:p>
        </w:tc>
        <w:tc>
          <w:tcPr>
            <w:tcW w:w="240" w:type="dxa"/>
            <w:vAlign w:val="bottom"/>
            <w:tcBorders>
              <w:right w:val="single" w:sz="8" w:color="auto"/>
            </w:tcBorders>
          </w:tcPr>
          <w:p>
            <w:pPr>
              <w:spacing w:after="0" w:line="108" w:lineRule="exact"/>
              <w:rPr>
                <w:sz w:val="20"/>
                <w:szCs w:val="20"/>
                <w:color w:val="auto"/>
              </w:rPr>
            </w:pPr>
            <w:r>
              <w:rPr>
                <w:rFonts w:ascii="Arial" w:cs="Arial" w:eastAsia="Arial" w:hAnsi="Arial"/>
                <w:sz w:val="12"/>
                <w:szCs w:val="12"/>
                <w:color w:val="auto"/>
              </w:rPr>
              <w:t>(a)</w:t>
            </w: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130,160</w:t>
            </w:r>
          </w:p>
        </w:tc>
        <w:tc>
          <w:tcPr>
            <w:tcW w:w="260" w:type="dxa"/>
            <w:vAlign w:val="bottom"/>
          </w:tcPr>
          <w:p>
            <w:pPr>
              <w:spacing w:after="0" w:line="108" w:lineRule="exact"/>
              <w:rPr>
                <w:sz w:val="20"/>
                <w:szCs w:val="20"/>
                <w:color w:val="auto"/>
              </w:rPr>
            </w:pPr>
            <w:r>
              <w:rPr>
                <w:rFonts w:ascii="Arial" w:cs="Arial" w:eastAsia="Arial" w:hAnsi="Arial"/>
                <w:sz w:val="12"/>
                <w:szCs w:val="12"/>
                <w:color w:val="auto"/>
              </w:rPr>
              <w:t>(a)</w:t>
            </w: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83,648</w:t>
            </w:r>
          </w:p>
        </w:tc>
        <w:tc>
          <w:tcPr>
            <w:tcW w:w="160" w:type="dxa"/>
            <w:vAlign w:val="bottom"/>
            <w:gridSpan w:val="2"/>
          </w:tcPr>
          <w:p>
            <w:pPr>
              <w:jc w:val="right"/>
              <w:spacing w:after="0" w:line="108" w:lineRule="exact"/>
              <w:rPr>
                <w:sz w:val="20"/>
                <w:szCs w:val="20"/>
                <w:color w:val="auto"/>
              </w:rPr>
            </w:pPr>
            <w:r>
              <w:rPr>
                <w:rFonts w:ascii="Arial" w:cs="Arial" w:eastAsia="Arial" w:hAnsi="Arial"/>
                <w:sz w:val="12"/>
                <w:szCs w:val="12"/>
                <w:color w:val="auto"/>
                <w:w w:val="81"/>
              </w:rPr>
              <w:t>(a)</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Add: Net income attributable to Tradeweb Markets Inc. </w:t>
            </w:r>
            <w:r>
              <w:rPr>
                <w:rFonts w:ascii="Arial" w:cs="Arial" w:eastAsia="Arial" w:hAnsi="Arial"/>
                <w:sz w:val="14"/>
                <w:szCs w:val="14"/>
                <w:color w:val="auto"/>
                <w:vertAlign w:val="superscript"/>
              </w:rPr>
              <w:t>(1)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83,769</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w w:val="98"/>
              </w:rPr>
              <w:t xml:space="preserve">Add: Net income attributable to non-controlling interests </w:t>
            </w:r>
            <w:r>
              <w:rPr>
                <w:rFonts w:ascii="Arial" w:cs="Arial" w:eastAsia="Arial" w:hAnsi="Arial"/>
                <w:sz w:val="14"/>
                <w:szCs w:val="14"/>
                <w:color w:val="auto"/>
                <w:w w:val="98"/>
                <w:vertAlign w:val="superscript"/>
              </w:rPr>
              <w:t>(1)(2)</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46,903</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income</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173,024</w:t>
            </w:r>
          </w:p>
        </w:tc>
        <w:tc>
          <w:tcPr>
            <w:tcW w:w="3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7"/>
              </w:rPr>
              <w:t>(a)(b)</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29,307</w:t>
            </w:r>
          </w:p>
        </w:tc>
        <w:tc>
          <w:tcPr>
            <w:tcW w:w="24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(a)</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130,160</w:t>
            </w:r>
          </w:p>
        </w:tc>
        <w:tc>
          <w:tcPr>
            <w:tcW w:w="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w:t>
            </w:r>
          </w:p>
        </w:tc>
        <w:tc>
          <w:tcPr>
            <w:tcW w:w="20" w:type="dxa"/>
            <w:vAlign w:val="bottom"/>
            <w:shd w:val="clear" w:color="auto" w:fill="CCEEFF"/>
          </w:tcPr>
          <w:p>
            <w:pPr>
              <w:spacing w:after="0"/>
              <w:rPr>
                <w:sz w:val="11"/>
                <w:szCs w:val="11"/>
                <w:color w:val="auto"/>
              </w:rPr>
            </w:pPr>
          </w:p>
        </w:tc>
        <w:tc>
          <w:tcPr>
            <w:tcW w:w="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83,648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Provision for income taxes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52,302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3,415</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11,900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6,129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3440" w:type="dxa"/>
            <w:vAlign w:val="bottom"/>
            <w:gridSpan w:val="2"/>
          </w:tcPr>
          <w:p>
            <w:pPr>
              <w:spacing w:after="0" w:line="123" w:lineRule="exact"/>
              <w:rPr>
                <w:sz w:val="20"/>
                <w:szCs w:val="20"/>
                <w:color w:val="auto"/>
              </w:rPr>
            </w:pPr>
            <w:r>
              <w:rPr>
                <w:rFonts w:ascii="Arial" w:cs="Arial" w:eastAsia="Arial" w:hAnsi="Arial"/>
                <w:sz w:val="13"/>
                <w:szCs w:val="13"/>
                <w:color w:val="auto"/>
              </w:rPr>
              <w:t>Contingent consideration</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26,830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58,520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Acquisition and Refinitiv Transaction related D&amp;A</w:t>
            </w:r>
            <w:r>
              <w:rPr>
                <w:rFonts w:ascii="Arial" w:cs="Arial" w:eastAsia="Arial" w:hAnsi="Arial"/>
                <w:sz w:val="14"/>
                <w:szCs w:val="14"/>
                <w:color w:val="auto"/>
                <w:vertAlign w:val="superscript"/>
              </w:rPr>
              <w:t>(3)</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97,565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22,413</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19,576</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31,236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440" w:type="dxa"/>
            <w:vAlign w:val="bottom"/>
            <w:gridSpan w:val="2"/>
          </w:tcPr>
          <w:p>
            <w:pPr>
              <w:spacing w:after="0" w:line="148" w:lineRule="exact"/>
              <w:rPr>
                <w:sz w:val="20"/>
                <w:szCs w:val="20"/>
                <w:color w:val="auto"/>
              </w:rPr>
            </w:pPr>
            <w:r>
              <w:rPr>
                <w:rFonts w:ascii="Arial" w:cs="Arial" w:eastAsia="Arial" w:hAnsi="Arial"/>
                <w:sz w:val="13"/>
                <w:szCs w:val="13"/>
                <w:color w:val="auto"/>
              </w:rPr>
              <w:t>Stock-based compensation expense</w:t>
            </w:r>
            <w:r>
              <w:rPr>
                <w:rFonts w:ascii="Arial" w:cs="Arial" w:eastAsia="Arial" w:hAnsi="Arial"/>
                <w:sz w:val="14"/>
                <w:szCs w:val="14"/>
                <w:color w:val="auto"/>
                <w:vertAlign w:val="superscript"/>
              </w:rPr>
              <w:t>(4)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25,098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3440" w:type="dxa"/>
            <w:vAlign w:val="bottom"/>
            <w:gridSpan w:val="2"/>
          </w:tcPr>
          <w:p>
            <w:pPr>
              <w:spacing w:after="0" w:line="123" w:lineRule="exact"/>
              <w:rPr>
                <w:sz w:val="20"/>
                <w:szCs w:val="20"/>
                <w:color w:val="auto"/>
              </w:rPr>
            </w:pPr>
            <w:r>
              <w:rPr>
                <w:rFonts w:ascii="Arial" w:cs="Arial" w:eastAsia="Arial" w:hAnsi="Arial"/>
                <w:sz w:val="13"/>
                <w:szCs w:val="13"/>
                <w:color w:val="auto"/>
              </w:rPr>
              <w:t>Unrealized foreign exchange (gains) / losses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(2,310)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263</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(960)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(364)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w w:val="98"/>
              </w:rPr>
              <w:t>(Gain) / loss from revaluation of foreign denominated cash</w:t>
            </w:r>
            <w:r>
              <w:rPr>
                <w:rFonts w:ascii="Arial" w:cs="Arial" w:eastAsia="Arial" w:hAnsi="Arial"/>
                <w:sz w:val="14"/>
                <w:szCs w:val="14"/>
                <w:color w:val="auto"/>
                <w:w w:val="98"/>
                <w:vertAlign w:val="superscript"/>
              </w:rPr>
              <w:t>(5)</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3440" w:type="dxa"/>
            <w:vAlign w:val="bottom"/>
            <w:gridSpan w:val="2"/>
          </w:tcPr>
          <w:p>
            <w:pPr>
              <w:spacing w:after="0" w:line="148" w:lineRule="exact"/>
              <w:rPr>
                <w:sz w:val="20"/>
                <w:szCs w:val="20"/>
                <w:color w:val="auto"/>
              </w:rPr>
            </w:pPr>
            <w:r>
              <w:rPr>
                <w:rFonts w:ascii="Arial" w:cs="Arial" w:eastAsia="Arial" w:hAnsi="Arial"/>
                <w:sz w:val="13"/>
                <w:szCs w:val="13"/>
                <w:color w:val="auto"/>
              </w:rPr>
              <w:t>Tax receivable agreement liability adjustment</w:t>
            </w:r>
            <w:r>
              <w:rPr>
                <w:rFonts w:ascii="Arial" w:cs="Arial" w:eastAsia="Arial" w:hAnsi="Arial"/>
                <w:sz w:val="14"/>
                <w:szCs w:val="14"/>
                <w:color w:val="auto"/>
                <w:vertAlign w:val="superscript"/>
              </w:rPr>
              <w:t>(6)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line="148" w:lineRule="exact"/>
              <w:rPr>
                <w:sz w:val="20"/>
                <w:szCs w:val="20"/>
                <w:color w:val="auto"/>
              </w:rPr>
            </w:pPr>
            <w:r>
              <w:rPr>
                <w:rFonts w:ascii="Arial" w:cs="Arial" w:eastAsia="Arial" w:hAnsi="Arial"/>
                <w:sz w:val="13"/>
                <w:szCs w:val="13"/>
                <w:color w:val="auto"/>
                <w:w w:val="99"/>
              </w:rPr>
              <w:t>(33,134)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3440" w:type="dxa"/>
            <w:vAlign w:val="bottom"/>
            <w:gridSpan w:val="2"/>
          </w:tcPr>
          <w:p>
            <w:pPr>
              <w:spacing w:after="0" w:line="108" w:lineRule="exact"/>
              <w:rPr>
                <w:sz w:val="20"/>
                <w:szCs w:val="20"/>
                <w:color w:val="auto"/>
              </w:rPr>
            </w:pPr>
            <w:r>
              <w:rPr>
                <w:rFonts w:ascii="Arial" w:cs="Arial" w:eastAsia="Arial" w:hAnsi="Arial"/>
                <w:sz w:val="12"/>
                <w:szCs w:val="12"/>
                <w:color w:val="auto"/>
              </w:rPr>
              <w:t>Adjusted Net Income before income taxes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w w:val="96"/>
              </w:rPr>
              <w:t>313,770</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55,488</w:t>
            </w: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186,585</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178,491</w:t>
            </w: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Adjusted income taxes</w:t>
            </w:r>
            <w:r>
              <w:rPr>
                <w:rFonts w:ascii="Arial" w:cs="Arial" w:eastAsia="Arial" w:hAnsi="Arial"/>
                <w:sz w:val="14"/>
                <w:szCs w:val="14"/>
                <w:color w:val="auto"/>
                <w:vertAlign w:val="superscript"/>
              </w:rPr>
              <w:t>(7)</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(82,835)</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(14,649)</w:t>
            </w:r>
          </w:p>
        </w:tc>
        <w:tc>
          <w:tcPr>
            <w:tcW w:w="24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(49,258)</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(47,122)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4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Adjusted Net Income</w:t>
            </w: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230,935</w:t>
            </w: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40,839</w:t>
            </w:r>
          </w:p>
        </w:tc>
        <w:tc>
          <w:tcPr>
            <w:tcW w:w="24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137,327</w:t>
            </w:r>
          </w:p>
        </w:tc>
        <w:tc>
          <w:tcPr>
            <w:tcW w:w="2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131,369</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940" w:type="dxa"/>
            <w:vAlign w:val="bottom"/>
            <w:gridSpan w:val="3"/>
            <w:vMerge w:val="restart"/>
          </w:tcPr>
          <w:p>
            <w:pPr>
              <w:ind w:left="500"/>
              <w:spacing w:after="0"/>
              <w:rPr>
                <w:sz w:val="20"/>
                <w:szCs w:val="20"/>
                <w:color w:val="auto"/>
              </w:rPr>
            </w:pPr>
            <w:r>
              <w:rPr>
                <w:rFonts w:ascii="Arial" w:cs="Arial" w:eastAsia="Arial" w:hAnsi="Arial"/>
                <w:sz w:val="13"/>
                <w:szCs w:val="13"/>
                <w:color w:val="auto"/>
              </w:rPr>
              <w:t xml:space="preserve">Adjusted Diluted EPS </w:t>
            </w:r>
            <w:r>
              <w:rPr>
                <w:rFonts w:ascii="Arial" w:cs="Arial" w:eastAsia="Arial" w:hAnsi="Arial"/>
                <w:sz w:val="14"/>
                <w:szCs w:val="14"/>
                <w:color w:val="auto"/>
                <w:vertAlign w:val="superscript"/>
              </w:rPr>
              <w:t>(1)(8)</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8"/>
              <w:spacing w:after="0" w:line="109" w:lineRule="exact"/>
              <w:rPr>
                <w:sz w:val="20"/>
                <w:szCs w:val="20"/>
                <w:color w:val="auto"/>
              </w:rPr>
            </w:pPr>
            <w:r>
              <w:rPr>
                <w:rFonts w:ascii="Arial" w:cs="Arial" w:eastAsia="Arial" w:hAnsi="Arial"/>
                <w:sz w:val="12"/>
                <w:szCs w:val="12"/>
                <w:color w:val="auto"/>
              </w:rPr>
              <w:t>0.23</w:t>
            </w:r>
          </w:p>
        </w:tc>
        <w:tc>
          <w:tcPr>
            <w:tcW w:w="300" w:type="dxa"/>
            <w:vAlign w:val="bottom"/>
          </w:tcPr>
          <w:p>
            <w:pPr>
              <w:spacing w:after="0" w:line="109" w:lineRule="exact"/>
              <w:rPr>
                <w:sz w:val="20"/>
                <w:szCs w:val="20"/>
                <w:color w:val="auto"/>
              </w:rPr>
            </w:pPr>
            <w:r>
              <w:rPr>
                <w:rFonts w:ascii="Arial" w:cs="Arial" w:eastAsia="Arial" w:hAnsi="Arial"/>
                <w:sz w:val="12"/>
                <w:szCs w:val="12"/>
                <w:color w:val="auto"/>
              </w:rPr>
              <w:t>(a)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940" w:type="dxa"/>
            <w:vAlign w:val="bottom"/>
            <w:gridSpan w:val="3"/>
            <w:vMerge w:val="continue"/>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
              <w:spacing w:after="0"/>
              <w:rPr>
                <w:sz w:val="20"/>
                <w:szCs w:val="20"/>
                <w:color w:val="auto"/>
              </w:rPr>
            </w:pPr>
            <w:r>
              <w:rPr>
                <w:rFonts w:ascii="Arial" w:cs="Arial" w:eastAsia="Arial" w:hAnsi="Arial"/>
                <w:sz w:val="13"/>
                <w:szCs w:val="13"/>
                <w:color w:val="auto"/>
              </w:rPr>
              <w:t>0.77</w:t>
            </w:r>
          </w:p>
        </w:tc>
        <w:tc>
          <w:tcPr>
            <w:tcW w:w="300" w:type="dxa"/>
            <w:vAlign w:val="bottom"/>
          </w:tcPr>
          <w:p>
            <w:pPr>
              <w:spacing w:after="0"/>
              <w:rPr>
                <w:sz w:val="20"/>
                <w:szCs w:val="20"/>
                <w:color w:val="auto"/>
              </w:rPr>
            </w:pPr>
            <w:r>
              <w:rPr>
                <w:rFonts w:ascii="Arial" w:cs="Arial" w:eastAsia="Arial" w:hAnsi="Arial"/>
                <w:sz w:val="13"/>
                <w:szCs w:val="13"/>
                <w:color w:val="auto"/>
              </w:rPr>
              <w:t>(b)</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0.18</w:t>
            </w:r>
          </w:p>
        </w:tc>
        <w:tc>
          <w:tcPr>
            <w:tcW w:w="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0.64</w:t>
            </w:r>
          </w:p>
        </w:tc>
        <w:tc>
          <w:tcPr>
            <w:tcW w:w="260" w:type="dxa"/>
            <w:vAlign w:val="bottom"/>
          </w:tcPr>
          <w:p>
            <w:pPr>
              <w:spacing w:after="0"/>
              <w:rPr>
                <w:sz w:val="20"/>
                <w:szCs w:val="20"/>
                <w:color w:val="auto"/>
              </w:rPr>
            </w:pPr>
            <w:r>
              <w:rPr>
                <w:rFonts w:ascii="Arial" w:cs="Arial" w:eastAsia="Arial" w:hAnsi="Arial"/>
                <w:sz w:val="13"/>
                <w:szCs w:val="13"/>
                <w:color w:val="auto"/>
              </w:rPr>
              <w:t>(a)</w:t>
            </w:r>
          </w:p>
        </w:tc>
        <w:tc>
          <w:tcPr>
            <w:tcW w:w="100" w:type="dxa"/>
            <w:vAlign w:val="bottom"/>
            <w:gridSpan w:val="3"/>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0.62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w w:val="75"/>
              </w:rPr>
              <w:t>(a)</w:t>
            </w:r>
          </w:p>
        </w:tc>
        <w:tc>
          <w:tcPr>
            <w:tcW w:w="0" w:type="dxa"/>
            <w:vAlign w:val="bottom"/>
          </w:tcPr>
          <w:p>
            <w:pPr>
              <w:spacing w:after="0"/>
              <w:rPr>
                <w:sz w:val="1"/>
                <w:szCs w:val="1"/>
                <w:color w:val="auto"/>
              </w:rPr>
            </w:pPr>
          </w:p>
        </w:tc>
      </w:tr>
      <w:tr>
        <w:trPr>
          <w:trHeight w:val="108"/>
        </w:trPr>
        <w:tc>
          <w:tcPr>
            <w:tcW w:w="5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-1689100</wp:posOffset>
            </wp:positionV>
            <wp:extent cx="512826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2826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-1423035</wp:posOffset>
            </wp:positionV>
            <wp:extent cx="512826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28260" cy="8572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-1071245</wp:posOffset>
            </wp:positionV>
            <wp:extent cx="512826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28260" cy="8572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-899795</wp:posOffset>
            </wp:positionV>
            <wp:extent cx="512826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28260" cy="8572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-728345</wp:posOffset>
            </wp:positionV>
            <wp:extent cx="512826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28260" cy="8572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-556895</wp:posOffset>
            </wp:positionV>
            <wp:extent cx="512826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28260" cy="94615"/>
                    </a:xfrm>
                    <a:prstGeom prst="rect">
                      <a:avLst/>
                    </a:prstGeom>
                    <a:noFill/>
                  </pic:spPr>
                </pic:pic>
              </a:graphicData>
            </a:graphic>
          </wp:anchor>
        </w:drawing>
      </w:r>
    </w:p>
    <w:p>
      <w:pPr>
        <w:spacing w:after="0" w:line="218" w:lineRule="exact"/>
        <w:rPr>
          <w:sz w:val="20"/>
          <w:szCs w:val="20"/>
          <w:color w:val="auto"/>
        </w:rPr>
      </w:pPr>
    </w:p>
    <w:p>
      <w:pPr>
        <w:ind w:left="400" w:hanging="316"/>
        <w:spacing w:after="0"/>
        <w:tabs>
          <w:tab w:leader="none" w:pos="4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 April 2019, we completed the Reorganization Transactions and the IPO. Therefore, certain earnings information is being presented separately for</w:t>
      </w:r>
    </w:p>
    <w:p>
      <w:pPr>
        <w:spacing w:after="0" w:line="147" w:lineRule="exact"/>
        <w:rPr>
          <w:sz w:val="20"/>
          <w:szCs w:val="20"/>
          <w:color w:val="auto"/>
        </w:rPr>
      </w:pPr>
    </w:p>
    <w:p>
      <w:pPr>
        <w:ind w:left="1060" w:hanging="328"/>
        <w:spacing w:after="0"/>
        <w:tabs>
          <w:tab w:leader="none" w:pos="10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1060" w:hanging="328"/>
        <w:spacing w:after="0" w:line="221" w:lineRule="auto"/>
        <w:tabs>
          <w:tab w:leader="none" w:pos="10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320" w:right="359"/>
        <w:spacing w:after="0" w:line="237" w:lineRule="auto"/>
        <w:rPr>
          <w:sz w:val="20"/>
          <w:szCs w:val="20"/>
          <w:color w:val="auto"/>
        </w:rPr>
      </w:pPr>
      <w:r>
        <w:rPr>
          <w:rFonts w:ascii="Arial" w:cs="Arial" w:eastAsia="Arial" w:hAnsi="Arial"/>
          <w:sz w:val="14"/>
          <w:szCs w:val="14"/>
          <w:color w:val="auto"/>
        </w:rPr>
        <w:t>See “Basis of Presentation” and Note 18 – Earnings Per Share to our audited consolidated financial statements included elsewhere in this Annual Report on Form 10-K.</w:t>
      </w:r>
    </w:p>
    <w:p>
      <w:pPr>
        <w:spacing w:after="0" w:line="183" w:lineRule="exact"/>
        <w:rPr>
          <w:sz w:val="20"/>
          <w:szCs w:val="20"/>
          <w:color w:val="auto"/>
        </w:rPr>
      </w:pPr>
    </w:p>
    <w:p>
      <w:pPr>
        <w:ind w:left="400" w:right="39" w:hanging="316"/>
        <w:spacing w:after="0" w:line="253" w:lineRule="auto"/>
        <w:tabs>
          <w:tab w:leader="none" w:pos="4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390" w:lineRule="exact"/>
        <w:rPr>
          <w:sz w:val="20"/>
          <w:szCs w:val="20"/>
          <w:color w:val="auto"/>
        </w:rPr>
      </w:pPr>
    </w:p>
    <w:p>
      <w:pPr>
        <w:ind w:left="400" w:right="99" w:hanging="316"/>
        <w:spacing w:after="0" w:line="238" w:lineRule="auto"/>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399" w:lineRule="exact"/>
        <w:rPr>
          <w:sz w:val="20"/>
          <w:szCs w:val="20"/>
          <w:color w:val="auto"/>
        </w:rPr>
      </w:pPr>
    </w:p>
    <w:p>
      <w:pPr>
        <w:ind w:left="400" w:right="19" w:hanging="316"/>
        <w:spacing w:after="0" w:line="253"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74" w:lineRule="exact"/>
        <w:rPr>
          <w:sz w:val="20"/>
          <w:szCs w:val="20"/>
          <w:color w:val="auto"/>
        </w:rPr>
      </w:pPr>
    </w:p>
    <w:p>
      <w:pPr>
        <w:ind w:left="400" w:hanging="316"/>
        <w:spacing w:after="0"/>
        <w:tabs>
          <w:tab w:leader="none" w:pos="4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15" w:lineRule="exact"/>
        <w:rPr>
          <w:sz w:val="20"/>
          <w:szCs w:val="20"/>
          <w:color w:val="auto"/>
        </w:rPr>
      </w:pPr>
    </w:p>
    <w:p>
      <w:pPr>
        <w:ind w:left="400" w:right="79" w:hanging="316"/>
        <w:spacing w:after="0" w:line="291" w:lineRule="auto"/>
        <w:tabs>
          <w:tab w:leader="none" w:pos="4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51" w:lineRule="exact"/>
        <w:rPr>
          <w:sz w:val="20"/>
          <w:szCs w:val="20"/>
          <w:color w:val="auto"/>
        </w:rPr>
      </w:pPr>
    </w:p>
    <w:p>
      <w:pPr>
        <w:ind w:left="400" w:right="59" w:hanging="316"/>
        <w:spacing w:after="0" w:line="291" w:lineRule="auto"/>
        <w:tabs>
          <w:tab w:leader="none" w:pos="4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51" w:lineRule="exact"/>
        <w:rPr>
          <w:sz w:val="20"/>
          <w:szCs w:val="20"/>
          <w:color w:val="auto"/>
        </w:rPr>
      </w:pPr>
    </w:p>
    <w:p>
      <w:pPr>
        <w:ind w:left="400" w:right="19" w:hanging="316"/>
        <w:spacing w:after="0" w:line="291" w:lineRule="auto"/>
        <w:tabs>
          <w:tab w:leader="none" w:pos="4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set forth below summarizes the calculation of Adjusted Diluted EPS for the periods presented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rPr>
                <w:sz w:val="20"/>
                <w:szCs w:val="20"/>
                <w:color w:val="auto"/>
              </w:rPr>
            </w:pPr>
            <w:r>
              <w:rPr>
                <w:rFonts w:ascii="Arial" w:cs="Arial" w:eastAsia="Arial" w:hAnsi="Arial"/>
                <w:sz w:val="11"/>
                <w:szCs w:val="11"/>
                <w:b w:val="1"/>
                <w:bCs w:val="1"/>
                <w:color w:val="auto"/>
                <w:w w:val="93"/>
              </w:rPr>
              <w:t>Pre-</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IPO Period</w:t>
            </w:r>
          </w:p>
        </w:tc>
        <w:tc>
          <w:tcPr>
            <w:tcW w:w="4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0"/>
              </w:rPr>
              <w:t>Post-IPO Period</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Borders>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4"/>
              </w:rPr>
              <w:t>Predecessor</w:t>
            </w: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1"/>
              </w:rPr>
              <w:t>Predecessor</w:t>
            </w:r>
          </w:p>
        </w:tc>
      </w:tr>
      <w:tr>
        <w:trPr>
          <w:trHeight w:val="223"/>
        </w:trPr>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4"/>
          </w:tcPr>
          <w:p>
            <w:pPr>
              <w:jc w:val="center"/>
              <w:ind w:right="620"/>
              <w:spacing w:after="0"/>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Nine Months</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October 1, 2018</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January 1, 2018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326"/>
              <w:spacing w:after="0" w:line="122"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line="122" w:lineRule="exact"/>
              <w:rPr>
                <w:sz w:val="20"/>
                <w:szCs w:val="20"/>
                <w:color w:val="auto"/>
              </w:rPr>
            </w:pPr>
            <w:r>
              <w:rPr>
                <w:rFonts w:ascii="Arial" w:cs="Arial" w:eastAsia="Arial" w:hAnsi="Arial"/>
                <w:sz w:val="11"/>
                <w:szCs w:val="11"/>
                <w:b w:val="1"/>
                <w:bCs w:val="1"/>
                <w:color w:val="auto"/>
                <w:w w:val="95"/>
              </w:rPr>
              <w:t>Ended</w:t>
            </w:r>
          </w:p>
        </w:tc>
        <w:tc>
          <w:tcPr>
            <w:tcW w:w="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76"/>
              </w:rPr>
              <w:t>to</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to</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center"/>
              <w:ind w:right="580"/>
              <w:spacing w:after="0" w:line="122" w:lineRule="exact"/>
              <w:rPr>
                <w:sz w:val="20"/>
                <w:szCs w:val="20"/>
                <w:color w:val="auto"/>
              </w:rPr>
            </w:pPr>
            <w:r>
              <w:rPr>
                <w:rFonts w:ascii="Arial" w:cs="Arial" w:eastAsia="Arial" w:hAnsi="Arial"/>
                <w:sz w:val="11"/>
                <w:szCs w:val="11"/>
                <w:b w:val="1"/>
                <w:bCs w:val="1"/>
                <w:color w:val="auto"/>
                <w:w w:val="90"/>
              </w:rPr>
              <w:t>March 31,</w:t>
            </w:r>
          </w:p>
        </w:tc>
        <w:tc>
          <w:tcPr>
            <w:tcW w:w="4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jc w:val="right"/>
              <w:ind w:right="126"/>
              <w:spacing w:after="0" w:line="122" w:lineRule="exact"/>
              <w:rPr>
                <w:sz w:val="20"/>
                <w:szCs w:val="20"/>
                <w:color w:val="auto"/>
              </w:rPr>
            </w:pPr>
            <w:r>
              <w:rPr>
                <w:rFonts w:ascii="Arial" w:cs="Arial" w:eastAsia="Arial" w:hAnsi="Arial"/>
                <w:sz w:val="11"/>
                <w:szCs w:val="11"/>
                <w:b w:val="1"/>
                <w:bCs w:val="1"/>
                <w:color w:val="auto"/>
              </w:rPr>
              <w:t>December 31,</w:t>
            </w:r>
          </w:p>
        </w:tc>
      </w:tr>
      <w:tr>
        <w:trPr>
          <w:trHeight w:val="135"/>
        </w:trPr>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ind w:right="86"/>
              <w:spacing w:after="0"/>
              <w:rPr>
                <w:sz w:val="20"/>
                <w:szCs w:val="20"/>
                <w:color w:val="auto"/>
              </w:rPr>
            </w:pPr>
            <w:r>
              <w:rPr>
                <w:rFonts w:ascii="Arial" w:cs="Arial" w:eastAsia="Arial" w:hAnsi="Arial"/>
                <w:sz w:val="11"/>
                <w:szCs w:val="11"/>
                <w:b w:val="1"/>
                <w:bCs w:val="1"/>
                <w:color w:val="auto"/>
                <w:w w:val="81"/>
              </w:rPr>
              <w:t>2019</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1040" w:type="dxa"/>
            <w:vAlign w:val="bottom"/>
            <w:gridSpan w:val="6"/>
          </w:tcPr>
          <w:p>
            <w:pPr>
              <w:jc w:val="center"/>
              <w:ind w:left="6"/>
              <w:spacing w:after="0"/>
              <w:rPr>
                <w:sz w:val="20"/>
                <w:szCs w:val="20"/>
                <w:color w:val="auto"/>
              </w:rPr>
            </w:pPr>
            <w:r>
              <w:rPr>
                <w:rFonts w:ascii="Arial" w:cs="Arial" w:eastAsia="Arial" w:hAnsi="Arial"/>
                <w:sz w:val="11"/>
                <w:szCs w:val="11"/>
                <w:b w:val="1"/>
                <w:bCs w:val="1"/>
                <w:color w:val="auto"/>
                <w:w w:val="89"/>
              </w:rPr>
              <w:t>2017</w:t>
            </w:r>
          </w:p>
        </w:tc>
      </w:tr>
      <w:tr>
        <w:trPr>
          <w:trHeight w:val="115"/>
        </w:trPr>
        <w:tc>
          <w:tcPr>
            <w:tcW w:w="30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rPr>
              <w:t>Diluted weighted average TWM LLC shares outstanding</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223,320,457</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222,243,851</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215,365,920</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212,568,635</w:t>
            </w:r>
          </w:p>
        </w:tc>
      </w:tr>
      <w:tr>
        <w:trPr>
          <w:trHeight w:val="112"/>
        </w:trPr>
        <w:tc>
          <w:tcPr>
            <w:tcW w:w="3120" w:type="dxa"/>
            <w:vAlign w:val="bottom"/>
            <w:gridSpan w:val="3"/>
          </w:tcPr>
          <w:p>
            <w:pPr>
              <w:spacing w:after="0" w:line="112" w:lineRule="exact"/>
              <w:rPr>
                <w:sz w:val="20"/>
                <w:szCs w:val="20"/>
                <w:color w:val="auto"/>
              </w:rPr>
            </w:pPr>
            <w:r>
              <w:rPr>
                <w:rFonts w:ascii="Arial" w:cs="Arial" w:eastAsia="Arial" w:hAnsi="Arial"/>
                <w:sz w:val="11"/>
                <w:szCs w:val="11"/>
                <w:color w:val="auto"/>
                <w:w w:val="96"/>
              </w:rPr>
              <w:t>Diluted weighted average shares of Class A and Class B common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1"/>
        </w:trPr>
        <w:tc>
          <w:tcPr>
            <w:tcW w:w="3120" w:type="dxa"/>
            <w:vAlign w:val="bottom"/>
            <w:gridSpan w:val="3"/>
          </w:tcPr>
          <w:p>
            <w:pPr>
              <w:spacing w:after="0"/>
              <w:rPr>
                <w:sz w:val="20"/>
                <w:szCs w:val="20"/>
                <w:color w:val="auto"/>
              </w:rPr>
            </w:pPr>
            <w:r>
              <w:rPr>
                <w:rFonts w:ascii="Arial" w:cs="Arial" w:eastAsia="Arial" w:hAnsi="Arial"/>
                <w:sz w:val="11"/>
                <w:szCs w:val="11"/>
                <w:color w:val="auto"/>
              </w:rPr>
              <w:t>stock outstanding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156,540,246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96"/>
        </w:trPr>
        <w:tc>
          <w:tcPr>
            <w:tcW w:w="3120" w:type="dxa"/>
            <w:vAlign w:val="bottom"/>
            <w:gridSpan w:val="3"/>
            <w:shd w:val="clear" w:color="auto" w:fill="CCEEFF"/>
          </w:tcPr>
          <w:p>
            <w:pPr>
              <w:spacing w:after="0" w:line="96" w:lineRule="exact"/>
              <w:rPr>
                <w:sz w:val="20"/>
                <w:szCs w:val="20"/>
                <w:color w:val="auto"/>
              </w:rPr>
            </w:pPr>
            <w:r>
              <w:rPr>
                <w:rFonts w:ascii="Arial" w:cs="Arial" w:eastAsia="Arial" w:hAnsi="Arial"/>
                <w:sz w:val="11"/>
                <w:szCs w:val="11"/>
                <w:color w:val="auto"/>
                <w:w w:val="92"/>
              </w:rPr>
              <w:t>Assumed exchange of LLC interests for shares of Class A or Class B</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7"/>
        </w:trPr>
        <w:tc>
          <w:tcPr>
            <w:tcW w:w="31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 xml:space="preserve">common stock </w:t>
            </w:r>
            <w:r>
              <w:rPr>
                <w:rFonts w:ascii="Arial" w:cs="Arial" w:eastAsia="Arial" w:hAnsi="Arial"/>
                <w:sz w:val="11"/>
                <w:szCs w:val="11"/>
                <w:color w:val="auto"/>
                <w:vertAlign w:val="superscript"/>
              </w:rPr>
              <w:t>(1)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74,279,741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3120" w:type="dxa"/>
            <w:vAlign w:val="bottom"/>
            <w:tcBorders>
              <w:bottom w:val="single" w:sz="8" w:color="CCEEFF"/>
            </w:tcBorders>
            <w:gridSpan w:val="3"/>
          </w:tcPr>
          <w:p>
            <w:pPr>
              <w:spacing w:after="0" w:line="115" w:lineRule="exact"/>
              <w:rPr>
                <w:sz w:val="20"/>
                <w:szCs w:val="20"/>
                <w:color w:val="auto"/>
              </w:rPr>
            </w:pPr>
            <w:r>
              <w:rPr>
                <w:rFonts w:ascii="Arial" w:cs="Arial" w:eastAsia="Arial" w:hAnsi="Arial"/>
                <w:sz w:val="11"/>
                <w:szCs w:val="11"/>
                <w:color w:val="auto"/>
              </w:rPr>
              <w:t>Adjusted diluted weighted average shares outstanding</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223,320,457</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230,819,987</w:t>
            </w:r>
          </w:p>
        </w:tc>
        <w:tc>
          <w:tcPr>
            <w:tcW w:w="1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222,243,851</w:t>
            </w: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215,365,920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4"/>
              </w:rPr>
              <w:t>212,568,635</w:t>
            </w:r>
          </w:p>
        </w:tc>
      </w:tr>
      <w:tr>
        <w:trPr>
          <w:trHeight w:val="142"/>
        </w:trPr>
        <w:tc>
          <w:tcPr>
            <w:tcW w:w="3120" w:type="dxa"/>
            <w:vAlign w:val="bottom"/>
            <w:tcBorders>
              <w:bottom w:val="single" w:sz="8" w:color="CCEEFF"/>
            </w:tcBorders>
            <w:gridSpan w:val="3"/>
            <w:shd w:val="clear" w:color="auto" w:fill="CCEEFF"/>
          </w:tcPr>
          <w:p>
            <w:pPr>
              <w:spacing w:after="0" w:line="122" w:lineRule="exact"/>
              <w:rPr>
                <w:sz w:val="20"/>
                <w:szCs w:val="20"/>
                <w:color w:val="auto"/>
              </w:rPr>
            </w:pPr>
            <w:r>
              <w:rPr>
                <w:rFonts w:ascii="Arial" w:cs="Arial" w:eastAsia="Arial" w:hAnsi="Arial"/>
                <w:sz w:val="11"/>
                <w:szCs w:val="11"/>
                <w:color w:val="auto"/>
              </w:rPr>
              <w:t>Adjusted Net Income (in thousands)</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52,190</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178,745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40,839</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137,327</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131,369</w:t>
            </w:r>
          </w:p>
        </w:tc>
      </w:tr>
      <w:tr>
        <w:trPr>
          <w:trHeight w:val="116"/>
        </w:trPr>
        <w:tc>
          <w:tcPr>
            <w:tcW w:w="3120" w:type="dxa"/>
            <w:vAlign w:val="bottom"/>
            <w:gridSpan w:val="3"/>
          </w:tcPr>
          <w:p>
            <w:pPr>
              <w:spacing w:after="0" w:line="109" w:lineRule="exact"/>
              <w:rPr>
                <w:sz w:val="20"/>
                <w:szCs w:val="20"/>
                <w:color w:val="auto"/>
              </w:rPr>
            </w:pPr>
            <w:r>
              <w:rPr>
                <w:rFonts w:ascii="Arial" w:cs="Arial" w:eastAsia="Arial" w:hAnsi="Arial"/>
                <w:sz w:val="11"/>
                <w:szCs w:val="11"/>
                <w:color w:val="auto"/>
              </w:rPr>
              <w:t>Adjusted Diluted EPS</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0.23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line="109" w:lineRule="exact"/>
              <w:rPr>
                <w:sz w:val="20"/>
                <w:szCs w:val="20"/>
                <w:color w:val="auto"/>
              </w:rPr>
            </w:pPr>
            <w:r>
              <w:rPr>
                <w:rFonts w:ascii="Arial" w:cs="Arial" w:eastAsia="Arial" w:hAnsi="Arial"/>
                <w:sz w:val="11"/>
                <w:szCs w:val="11"/>
                <w:color w:val="auto"/>
              </w:rPr>
              <w:t>0.77</w:t>
            </w:r>
          </w:p>
        </w:tc>
        <w:tc>
          <w:tcPr>
            <w:tcW w:w="120" w:type="dxa"/>
            <w:vAlign w:val="bottom"/>
          </w:tcPr>
          <w:p>
            <w:pPr>
              <w:spacing w:after="0"/>
              <w:rPr>
                <w:sz w:val="10"/>
                <w:szCs w:val="10"/>
                <w:color w:val="auto"/>
              </w:rPr>
            </w:pPr>
          </w:p>
        </w:tc>
        <w:tc>
          <w:tcPr>
            <w:tcW w:w="80" w:type="dxa"/>
            <w:vAlign w:val="bottom"/>
          </w:tcPr>
          <w:p>
            <w:pPr>
              <w:jc w:val="right"/>
              <w:spacing w:after="0" w:line="109"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9" w:lineRule="exact"/>
              <w:rPr>
                <w:sz w:val="20"/>
                <w:szCs w:val="20"/>
                <w:color w:val="auto"/>
              </w:rPr>
            </w:pPr>
            <w:r>
              <w:rPr>
                <w:rFonts w:ascii="Arial" w:cs="Arial" w:eastAsia="Arial" w:hAnsi="Arial"/>
                <w:sz w:val="11"/>
                <w:szCs w:val="11"/>
                <w:color w:val="auto"/>
              </w:rPr>
              <w:t>0.18</w:t>
            </w:r>
          </w:p>
        </w:tc>
        <w:tc>
          <w:tcPr>
            <w:tcW w:w="100" w:type="dxa"/>
            <w:vAlign w:val="bottom"/>
            <w:tcBorders>
              <w:right w:val="single" w:sz="8" w:color="auto"/>
            </w:tcBorders>
          </w:tcPr>
          <w:p>
            <w:pPr>
              <w:spacing w:after="0"/>
              <w:rPr>
                <w:sz w:val="10"/>
                <w:szCs w:val="10"/>
                <w:color w:val="auto"/>
              </w:rPr>
            </w:pPr>
          </w:p>
        </w:tc>
        <w:tc>
          <w:tcPr>
            <w:tcW w:w="60" w:type="dxa"/>
            <w:vAlign w:val="bottom"/>
          </w:tcPr>
          <w:p>
            <w:pPr>
              <w:jc w:val="right"/>
              <w:spacing w:after="0" w:line="109" w:lineRule="exact"/>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09" w:lineRule="exact"/>
              <w:rPr>
                <w:sz w:val="20"/>
                <w:szCs w:val="20"/>
                <w:color w:val="auto"/>
              </w:rPr>
            </w:pPr>
            <w:r>
              <w:rPr>
                <w:rFonts w:ascii="Arial" w:cs="Arial" w:eastAsia="Arial" w:hAnsi="Arial"/>
                <w:sz w:val="11"/>
                <w:szCs w:val="11"/>
                <w:color w:val="auto"/>
              </w:rPr>
              <w:t>0.64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67288"/>
              </w:rPr>
              <w:t>$</w:t>
            </w:r>
          </w:p>
        </w:tc>
        <w:tc>
          <w:tcPr>
            <w:tcW w:w="580" w:type="dxa"/>
            <w:vAlign w:val="bottom"/>
          </w:tcPr>
          <w:p>
            <w:pPr>
              <w:jc w:val="right"/>
              <w:spacing w:after="0" w:line="109" w:lineRule="exact"/>
              <w:rPr>
                <w:sz w:val="20"/>
                <w:szCs w:val="20"/>
                <w:color w:val="auto"/>
              </w:rPr>
            </w:pPr>
            <w:r>
              <w:rPr>
                <w:rFonts w:ascii="Arial" w:cs="Arial" w:eastAsia="Arial" w:hAnsi="Arial"/>
                <w:sz w:val="11"/>
                <w:szCs w:val="11"/>
                <w:color w:val="auto"/>
              </w:rPr>
              <w:t>0.62</w:t>
            </w:r>
          </w:p>
        </w:tc>
      </w:tr>
      <w:tr>
        <w:trPr>
          <w:trHeight w:val="108"/>
        </w:trPr>
        <w:tc>
          <w:tcPr>
            <w:tcW w:w="22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r>
    </w:tbl>
    <w:p>
      <w:pPr>
        <w:spacing w:after="0" w:line="98" w:lineRule="exact"/>
        <w:rPr>
          <w:sz w:val="20"/>
          <w:szCs w:val="20"/>
          <w:color w:val="auto"/>
        </w:rPr>
      </w:pPr>
    </w:p>
    <w:p>
      <w:pPr>
        <w:ind w:left="400" w:hanging="316"/>
        <w:spacing w:after="0" w:line="249" w:lineRule="auto"/>
        <w:tabs>
          <w:tab w:leader="none" w:pos="4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we had the following contractual obligations:</w:t>
      </w:r>
    </w:p>
    <w:p>
      <w:pPr>
        <w:spacing w:after="0" w:line="235"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231F20"/>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2540</wp:posOffset>
            </wp:positionV>
            <wp:extent cx="34817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3880"/>
        <w:spacing w:after="0"/>
        <w:tabs>
          <w:tab w:leader="none" w:pos="4560" w:val="left"/>
          <w:tab w:leader="none" w:pos="5760" w:val="left"/>
          <w:tab w:leader="none" w:pos="6880" w:val="left"/>
          <w:tab w:leader="none" w:pos="7900" w:val="left"/>
        </w:tabs>
        <w:rPr>
          <w:sz w:val="20"/>
          <w:szCs w:val="20"/>
          <w:color w:val="auto"/>
        </w:rPr>
      </w:pPr>
      <w:r>
        <w:rPr>
          <w:rFonts w:ascii="Arial" w:cs="Arial" w:eastAsia="Arial" w:hAnsi="Arial"/>
          <w:sz w:val="13"/>
          <w:szCs w:val="13"/>
          <w:b w:val="1"/>
          <w:bCs w:val="1"/>
          <w:color w:val="231F20"/>
        </w:rPr>
        <w:t>Total</w:t>
      </w:r>
      <w:r>
        <w:rPr>
          <w:sz w:val="20"/>
          <w:szCs w:val="20"/>
          <w:color w:val="auto"/>
        </w:rPr>
        <w:tab/>
      </w:r>
      <w:r>
        <w:rPr>
          <w:rFonts w:ascii="Arial" w:cs="Arial" w:eastAsia="Arial" w:hAnsi="Arial"/>
          <w:sz w:val="13"/>
          <w:szCs w:val="13"/>
          <w:b w:val="1"/>
          <w:bCs w:val="1"/>
          <w:color w:val="231F20"/>
        </w:rPr>
        <w:t>Less than 1 year</w:t>
      </w:r>
      <w:r>
        <w:rPr>
          <w:sz w:val="20"/>
          <w:szCs w:val="20"/>
          <w:color w:val="auto"/>
        </w:rPr>
        <w:tab/>
      </w:r>
      <w:r>
        <w:rPr>
          <w:rFonts w:ascii="Arial" w:cs="Arial" w:eastAsia="Arial" w:hAnsi="Arial"/>
          <w:sz w:val="13"/>
          <w:szCs w:val="13"/>
          <w:b w:val="1"/>
          <w:bCs w:val="1"/>
          <w:color w:val="231F20"/>
        </w:rPr>
        <w:t>1 to 3 years</w:t>
      </w:r>
      <w:r>
        <w:rPr>
          <w:sz w:val="20"/>
          <w:szCs w:val="20"/>
          <w:color w:val="auto"/>
        </w:rPr>
        <w:tab/>
      </w:r>
      <w:r>
        <w:rPr>
          <w:rFonts w:ascii="Arial" w:cs="Arial" w:eastAsia="Arial" w:hAnsi="Arial"/>
          <w:sz w:val="13"/>
          <w:szCs w:val="13"/>
          <w:b w:val="1"/>
          <w:bCs w:val="1"/>
          <w:color w:val="231F20"/>
        </w:rPr>
        <w:t>3 to 5 years</w:t>
      </w:r>
      <w:r>
        <w:rPr>
          <w:sz w:val="20"/>
          <w:szCs w:val="20"/>
          <w:color w:val="auto"/>
        </w:rPr>
        <w:tab/>
      </w:r>
      <w:r>
        <w:rPr>
          <w:rFonts w:ascii="Arial" w:cs="Arial" w:eastAsia="Arial" w:hAnsi="Arial"/>
          <w:sz w:val="11"/>
          <w:szCs w:val="11"/>
          <w:b w:val="1"/>
          <w:bCs w:val="1"/>
          <w:color w:val="231F20"/>
        </w:rPr>
        <w:t>More than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-5080</wp:posOffset>
            </wp:positionV>
            <wp:extent cx="3481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5940"/>
        <w:spacing w:after="0" w:line="216" w:lineRule="auto"/>
        <w:rPr>
          <w:sz w:val="20"/>
          <w:szCs w:val="20"/>
          <w:color w:val="auto"/>
        </w:rPr>
      </w:pPr>
      <w:r>
        <w:rPr>
          <w:rFonts w:ascii="Arial" w:cs="Arial" w:eastAsia="Arial" w:hAnsi="Arial"/>
          <w:sz w:val="13"/>
          <w:szCs w:val="13"/>
          <w:b w:val="1"/>
          <w:bCs w:val="1"/>
          <w:color w:val="231F20"/>
        </w:rPr>
        <w:t>(in thousands)</w:t>
      </w:r>
    </w:p>
    <w:tbl>
      <w:tblPr>
        <w:tblLayout w:type="fixed"/>
        <w:tblInd w:w="0" w:type="dxa"/>
        <w:tblCellMar>
          <w:top w:w="0" w:type="dxa"/>
          <w:left w:w="0" w:type="dxa"/>
          <w:bottom w:w="0" w:type="dxa"/>
          <w:right w:w="0" w:type="dxa"/>
        </w:tblCellMar>
      </w:tblPr>
      <w:tr>
        <w:trPr>
          <w:trHeight w:val="140"/>
        </w:trPr>
        <w:tc>
          <w:tcPr>
            <w:tcW w:w="3580" w:type="dxa"/>
            <w:vAlign w:val="bottom"/>
            <w:shd w:val="clear" w:color="auto" w:fill="CCEEFF"/>
          </w:tcPr>
          <w:p>
            <w:pPr>
              <w:spacing w:after="0" w:line="140" w:lineRule="exact"/>
              <w:rPr>
                <w:sz w:val="20"/>
                <w:szCs w:val="20"/>
                <w:color w:val="auto"/>
              </w:rPr>
            </w:pPr>
            <w:r>
              <w:rPr>
                <w:rFonts w:ascii="Arial" w:cs="Arial" w:eastAsia="Arial" w:hAnsi="Arial"/>
                <w:sz w:val="13"/>
                <w:szCs w:val="13"/>
                <w:color w:val="231F20"/>
              </w:rPr>
              <w:t>Lease obligations</w:t>
            </w:r>
          </w:p>
        </w:tc>
        <w:tc>
          <w:tcPr>
            <w:tcW w:w="240" w:type="dxa"/>
            <w:vAlign w:val="bottom"/>
            <w:shd w:val="clear" w:color="auto" w:fill="CCEEFF"/>
          </w:tcPr>
          <w:p>
            <w:pPr>
              <w:jc w:val="right"/>
              <w:ind w:right="97"/>
              <w:spacing w:after="0" w:line="140" w:lineRule="exact"/>
              <w:rPr>
                <w:sz w:val="20"/>
                <w:szCs w:val="20"/>
                <w:color w:val="auto"/>
              </w:rPr>
            </w:pPr>
            <w:r>
              <w:rPr>
                <w:rFonts w:ascii="Arial" w:cs="Arial" w:eastAsia="Arial" w:hAnsi="Arial"/>
                <w:sz w:val="13"/>
                <w:szCs w:val="13"/>
                <w:color w:val="231F20"/>
                <w:w w:val="82"/>
              </w:rPr>
              <w:t>$</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33,752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37"/>
              <w:spacing w:after="0" w:line="140" w:lineRule="exact"/>
              <w:rPr>
                <w:sz w:val="20"/>
                <w:szCs w:val="20"/>
                <w:color w:val="auto"/>
              </w:rPr>
            </w:pPr>
            <w:r>
              <w:rPr>
                <w:rFonts w:ascii="Arial" w:cs="Arial" w:eastAsia="Arial" w:hAnsi="Arial"/>
                <w:sz w:val="13"/>
                <w:szCs w:val="13"/>
                <w:color w:val="231F20"/>
              </w:rPr>
              <w:t>$</w:t>
            </w:r>
          </w:p>
        </w:tc>
        <w:tc>
          <w:tcPr>
            <w:tcW w:w="600" w:type="dxa"/>
            <w:vAlign w:val="bottom"/>
            <w:shd w:val="clear" w:color="auto" w:fill="CCEEFF"/>
          </w:tcPr>
          <w:p>
            <w:pPr>
              <w:jc w:val="center"/>
              <w:ind w:left="77"/>
              <w:spacing w:after="0" w:line="140" w:lineRule="exact"/>
              <w:rPr>
                <w:sz w:val="20"/>
                <w:szCs w:val="20"/>
                <w:color w:val="auto"/>
              </w:rPr>
            </w:pPr>
            <w:r>
              <w:rPr>
                <w:rFonts w:ascii="Arial" w:cs="Arial" w:eastAsia="Arial" w:hAnsi="Arial"/>
                <w:sz w:val="13"/>
                <w:szCs w:val="13"/>
                <w:color w:val="231F20"/>
                <w:w w:val="92"/>
              </w:rPr>
              <w:t>8,516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37"/>
              <w:spacing w:after="0" w:line="140" w:lineRule="exact"/>
              <w:rPr>
                <w:sz w:val="20"/>
                <w:szCs w:val="20"/>
                <w:color w:val="auto"/>
              </w:rPr>
            </w:pPr>
            <w:r>
              <w:rPr>
                <w:rFonts w:ascii="Arial" w:cs="Arial" w:eastAsia="Arial" w:hAnsi="Arial"/>
                <w:sz w:val="13"/>
                <w:szCs w:val="13"/>
                <w:color w:val="231F20"/>
                <w:w w:val="82"/>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10,089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7"/>
              <w:spacing w:after="0" w:line="140"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231F20"/>
              </w:rPr>
              <w:t>7,514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7"/>
              <w:spacing w:after="0" w:line="140" w:lineRule="exact"/>
              <w:rPr>
                <w:sz w:val="20"/>
                <w:szCs w:val="20"/>
                <w:color w:val="auto"/>
              </w:rPr>
            </w:pPr>
            <w:r>
              <w:rPr>
                <w:rFonts w:ascii="Arial" w:cs="Arial" w:eastAsia="Arial" w:hAnsi="Arial"/>
                <w:sz w:val="13"/>
                <w:szCs w:val="13"/>
                <w:color w:val="231F20"/>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7,633</w:t>
            </w:r>
          </w:p>
        </w:tc>
      </w:tr>
      <w:tr>
        <w:trPr>
          <w:trHeight w:val="135"/>
        </w:trPr>
        <w:tc>
          <w:tcPr>
            <w:tcW w:w="35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231F20"/>
              </w:rPr>
              <w:t>Tax receivable agreement liability</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240,817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77"/>
              <w:spacing w:after="0" w:line="135" w:lineRule="exact"/>
              <w:rPr>
                <w:sz w:val="20"/>
                <w:szCs w:val="20"/>
                <w:color w:val="auto"/>
              </w:rPr>
            </w:pPr>
            <w:r>
              <w:rPr>
                <w:rFonts w:ascii="Arial" w:cs="Arial" w:eastAsia="Arial" w:hAnsi="Arial"/>
                <w:sz w:val="13"/>
                <w:szCs w:val="13"/>
                <w:color w:val="231F20"/>
                <w:w w:val="92"/>
              </w:rPr>
              <w:t>6,949</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49,000</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231F20"/>
                <w:w w:val="80"/>
              </w:rPr>
              <w:t>14,316</w:t>
            </w: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170,552</w:t>
            </w:r>
          </w:p>
        </w:tc>
      </w:tr>
      <w:tr>
        <w:trPr>
          <w:trHeight w:val="136"/>
        </w:trPr>
        <w:tc>
          <w:tcPr>
            <w:tcW w:w="35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231F20"/>
              </w:rPr>
              <w:t>Total</w:t>
            </w:r>
          </w:p>
        </w:tc>
        <w:tc>
          <w:tcPr>
            <w:tcW w:w="24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231F20"/>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274,569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shd w:val="clear" w:color="auto" w:fill="CCEEFF"/>
          </w:tcPr>
          <w:p>
            <w:pPr>
              <w:jc w:val="center"/>
              <w:ind w:left="77"/>
              <w:spacing w:after="0" w:line="129" w:lineRule="exact"/>
              <w:rPr>
                <w:sz w:val="20"/>
                <w:szCs w:val="20"/>
                <w:color w:val="auto"/>
              </w:rPr>
            </w:pPr>
            <w:r>
              <w:rPr>
                <w:rFonts w:ascii="Arial" w:cs="Arial" w:eastAsia="Arial" w:hAnsi="Arial"/>
                <w:sz w:val="13"/>
                <w:szCs w:val="13"/>
                <w:color w:val="auto"/>
                <w:w w:val="85"/>
              </w:rPr>
              <w:t>15,465</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37"/>
              <w:spacing w:after="0" w:line="129" w:lineRule="exact"/>
              <w:rPr>
                <w:sz w:val="20"/>
                <w:szCs w:val="20"/>
                <w:color w:val="auto"/>
              </w:rPr>
            </w:pPr>
            <w:r>
              <w:rPr>
                <w:rFonts w:ascii="Arial" w:cs="Arial" w:eastAsia="Arial" w:hAnsi="Arial"/>
                <w:sz w:val="13"/>
                <w:szCs w:val="13"/>
                <w:color w:val="231F20"/>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21,830</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297"/>
              <w:spacing w:after="0" w:line="12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178,185</w:t>
            </w: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w:t>
      </w:r>
    </w:p>
    <w:p>
      <w:pPr>
        <w:spacing w:after="0" w:line="170"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Liabilities under the Tax Receivable Agreement include amounts to be paid to Continuing LLC Owners, assuming we will have sufficient taxable income over the term of the Tax Receivable Agreement to utilize the related tax benefits.</w:t>
      </w:r>
    </w:p>
    <w:p>
      <w:pPr>
        <w:spacing w:after="0" w:line="12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audited consolidated financial statements included elsewhere in this Annual Report on Form 10-K.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79" w:firstLine="324"/>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39" w:firstLine="324"/>
        <w:spacing w:after="0" w:line="272"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78" w:lineRule="exact"/>
        <w:rPr>
          <w:sz w:val="20"/>
          <w:szCs w:val="20"/>
          <w:color w:val="auto"/>
        </w:rPr>
      </w:pPr>
    </w:p>
    <w:p>
      <w:pPr>
        <w:ind w:right="259" w:firstLine="324"/>
        <w:spacing w:after="0" w:line="308"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79" w:firstLine="324"/>
        <w:spacing w:after="0" w:line="276"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sixteen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59" w:firstLine="324"/>
        <w:spacing w:after="0" w:line="271" w:lineRule="auto"/>
        <w:rPr>
          <w:sz w:val="20"/>
          <w:szCs w:val="20"/>
          <w:color w:val="auto"/>
        </w:rPr>
      </w:pPr>
      <w:r>
        <w:rPr>
          <w:rFonts w:ascii="Arial" w:cs="Arial" w:eastAsia="Arial" w:hAnsi="Arial"/>
          <w:sz w:val="17"/>
          <w:szCs w:val="17"/>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our Class A common stock and Class B common stock. We calculate such loss as the difference between the estimated fair value of goodwill and its carrying value. If future events or results differ adversely from the estimates and assumptions made at acquisition or as part of subsequent impairment tests, we may record increased impairment charges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39" w:firstLine="324"/>
        <w:spacing w:after="0" w:line="293"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47"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we are required to make significant judgements for the Refinitiv market data fees. Significant judgements used in accounting for this contract include: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provision of real-time market data feeds and annual historical data sets are distinct performance obligations.</w:t>
      </w:r>
    </w:p>
    <w:p>
      <w:pPr>
        <w:spacing w:after="0" w:line="237" w:lineRule="exact"/>
        <w:rPr>
          <w:sz w:val="20"/>
          <w:szCs w:val="20"/>
          <w:color w:val="auto"/>
        </w:rPr>
      </w:pPr>
    </w:p>
    <w:p>
      <w:pPr>
        <w:ind w:left="660" w:right="180" w:hanging="323"/>
        <w:spacing w:after="0" w:line="277" w:lineRule="auto"/>
        <w:rPr>
          <w:sz w:val="20"/>
          <w:szCs w:val="20"/>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sz w:val="20"/>
          <w:szCs w:val="20"/>
          <w:color w:val="auto"/>
        </w:rPr>
      </w:pPr>
    </w:p>
    <w:p>
      <w:pPr>
        <w:ind w:left="660" w:right="80" w:hanging="323"/>
        <w:spacing w:after="0" w:line="264" w:lineRule="auto"/>
        <w:rPr>
          <w:sz w:val="20"/>
          <w:szCs w:val="20"/>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and members’ capital in our audited consolidated financial statements included elsewhere in this Annual Report on Form 10-K).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For grants made during the post-IPO period, the fair value of the equity instruments is determined based on the price of our Class A common stock on the grant date. For grants made during the pre-IPO period, the fair value of the equity instruments was determined in accordance with the American Institute of Certified Public Accountants Practice Aid, Valuation of Privately Held Company Securities Issued as Compensation. Factors that were considered in determining the fair value include forecasted future cash flows, the weighted average cost of capital, and the performance multiples of comparable companies.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firstLine="324"/>
        <w:spacing w:after="0" w:line="264" w:lineRule="auto"/>
        <w:rPr>
          <w:sz w:val="20"/>
          <w:szCs w:val="20"/>
          <w:color w:val="auto"/>
        </w:rPr>
      </w:pPr>
      <w:r>
        <w:rPr>
          <w:rFonts w:ascii="Arial" w:cs="Arial" w:eastAsia="Arial" w:hAnsi="Arial"/>
          <w:sz w:val="18"/>
          <w:szCs w:val="18"/>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181"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Prior to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expect the non-cash stock-based compensation expense associated with the Special Option Award to be between approximately $33.5 million and $35.7 million, which we started to expense beginning in the second quarter of 2019, with a charge of $20.4 million during the second quarter of 2019 ($18.9 million of which was charged immediately upon the completion of the IPO), and will continue to expense over the following three years.</w:t>
      </w:r>
    </w:p>
    <w:p>
      <w:pPr>
        <w:spacing w:after="0" w:line="182" w:lineRule="exact"/>
        <w:rPr>
          <w:sz w:val="20"/>
          <w:szCs w:val="20"/>
          <w:color w:val="auto"/>
        </w:rPr>
      </w:pPr>
    </w:p>
    <w:p>
      <w:pPr>
        <w:ind w:right="59" w:firstLine="324"/>
        <w:spacing w:after="0" w:line="279"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79" w:firstLine="324"/>
        <w:spacing w:after="0" w:line="288" w:lineRule="auto"/>
        <w:rPr>
          <w:sz w:val="20"/>
          <w:szCs w:val="20"/>
          <w:color w:val="auto"/>
        </w:rPr>
      </w:pPr>
      <w:r>
        <w:rPr>
          <w:rFonts w:ascii="Arial" w:cs="Arial" w:eastAsia="Arial" w:hAnsi="Arial"/>
          <w:sz w:val="16"/>
          <w:szCs w:val="16"/>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us for the post-IPO period.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w:t>
      </w:r>
    </w:p>
    <w:p>
      <w:pPr>
        <w:spacing w:after="0" w:line="169" w:lineRule="exact"/>
        <w:rPr>
          <w:sz w:val="20"/>
          <w:szCs w:val="20"/>
          <w:color w:val="auto"/>
        </w:rPr>
      </w:pPr>
    </w:p>
    <w:p>
      <w:pPr>
        <w:ind w:right="239" w:firstLine="324"/>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181" w:lineRule="exact"/>
        <w:rPr>
          <w:sz w:val="20"/>
          <w:szCs w:val="20"/>
          <w:color w:val="auto"/>
        </w:rPr>
      </w:pPr>
    </w:p>
    <w:p>
      <w:pPr>
        <w:ind w:right="39" w:firstLine="324"/>
        <w:spacing w:after="0" w:line="259" w:lineRule="auto"/>
        <w:rPr>
          <w:sz w:val="20"/>
          <w:szCs w:val="20"/>
          <w:color w:val="auto"/>
        </w:rPr>
      </w:pPr>
      <w:r>
        <w:rPr>
          <w:rFonts w:ascii="Arial" w:cs="Arial" w:eastAsia="Arial" w:hAnsi="Arial"/>
          <w:sz w:val="18"/>
          <w:szCs w:val="18"/>
          <w:color w:val="auto"/>
        </w:rPr>
        <w:t>On December 22, 2017, the President signed into law the Tax Cuts and Jobs Act (“TCJA”) effective for tax years ending after December 31, 2017. This legislation replaces the prior corporate tax rate structure with a flat 21% rate, effective in 2018. There were many other impacts of the tax reform such as the repeal of the corporate alternative minimum tax rate, tax loss carryback and carryforward limitations effective in 2019.</w:t>
      </w:r>
    </w:p>
    <w:p>
      <w:pPr>
        <w:spacing w:after="0" w:line="187" w:lineRule="exact"/>
        <w:rPr>
          <w:sz w:val="20"/>
          <w:szCs w:val="20"/>
          <w:color w:val="auto"/>
        </w:rPr>
      </w:pPr>
    </w:p>
    <w:p>
      <w:pPr>
        <w:jc w:val="both"/>
        <w:ind w:right="39" w:firstLine="324"/>
        <w:spacing w:after="0" w:line="264" w:lineRule="auto"/>
        <w:rPr>
          <w:sz w:val="20"/>
          <w:szCs w:val="20"/>
          <w:color w:val="auto"/>
        </w:rPr>
      </w:pPr>
      <w:r>
        <w:rPr>
          <w:rFonts w:ascii="Arial" w:cs="Arial" w:eastAsia="Arial" w:hAnsi="Arial"/>
          <w:sz w:val="18"/>
          <w:szCs w:val="18"/>
          <w:color w:val="auto"/>
        </w:rPr>
        <w:t>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19" w:firstLine="324"/>
        <w:spacing w:after="0" w:line="293"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Owner of LLC Interests for shares of Class A common stock or Class B common stock or for cash, as applicable, and (ii) certain other tax benefits related to Tradeweb Markets Inc. making payments under the Tax Receivable Agreement.</w:t>
      </w:r>
    </w:p>
    <w:p>
      <w:pPr>
        <w:spacing w:after="0" w:line="12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recorded an initial liability of $171.4 million related to our projected obligations under the Tax Receivable Agreement with respect to LLC Interests that were purchased by us using the net proceeds from the IPO. 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 During 2019, the liability increased to $240.8 million primarily due to the purchase of additional LLC Interests using the net proceeds from the October 2019 follow-on offering, as well as exchanges of LLC Interests by Continuing LLC owners during the year ended December 31, 2019, partially offset by changes in tax rates of $33.1 million recorded in our consolidated income statement as tax receivable agreement liability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participated in the earnings of the Company together with the other Class A Shares, Class P(A) Shares, Class C Shares and Class P(C) Shares of the Company. Most of the holders of Class A shares had the right to appoint members to the board of managers of the Company. The Class P-1(A) Shares and Class P-1(C) Shares did not have any earnings participation rights, nor did any of the Class P-1(A) Shares have the right to appoint members to the former board of managers, until they vested.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18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19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was included in employee equity compensation payable because the Class P-1(C) were owned for less than six months by employees who had the ability to exercise a put option of those shares under certain conditions under their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See “Note 2 — Summary of Significant Accounting Policies” to our audited consolidated financial statements included elsewhere in this Annual Report on Form 10-K for a discussion of recent accounting pronouncements (adopted and not yet adopted).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 over financial reporting. We will be required to comply with the management certification requirements of Section 404 in our annual report on Form 10-K for the year ending December 31, 2020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following table shows the percentage breakdown of our gross revenue and operating expenses denominated in currencies other than the U.S. dollar for the year ended December 31, 2019, the 2018 Successor Period and the 2018 Predecessor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00" w:type="dxa"/>
            <w:vAlign w:val="bottom"/>
          </w:tcPr>
          <w:p>
            <w:pPr>
              <w:spacing w:after="0"/>
              <w:rPr>
                <w:sz w:val="13"/>
                <w:szCs w:val="13"/>
                <w:color w:val="auto"/>
              </w:rPr>
            </w:pPr>
          </w:p>
        </w:tc>
        <w:tc>
          <w:tcPr>
            <w:tcW w:w="94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2"/>
              </w:rPr>
              <w:t>Successor</w:t>
            </w:r>
          </w:p>
        </w:tc>
        <w:tc>
          <w:tcPr>
            <w:tcW w:w="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Borders>
              <w:bottom w:val="single" w:sz="8" w:color="auto"/>
            </w:tcBorders>
          </w:tcPr>
          <w:p>
            <w:pPr>
              <w:jc w:val="center"/>
              <w:ind w:left="4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300" w:type="dxa"/>
            <w:vAlign w:val="bottom"/>
          </w:tcPr>
          <w:p>
            <w:pPr>
              <w:spacing w:after="0"/>
              <w:rPr>
                <w:sz w:val="9"/>
                <w:szCs w:val="9"/>
                <w:color w:val="auto"/>
              </w:rPr>
            </w:pPr>
          </w:p>
        </w:tc>
        <w:tc>
          <w:tcPr>
            <w:tcW w:w="940" w:type="dxa"/>
            <w:vAlign w:val="bottom"/>
          </w:tcPr>
          <w:p>
            <w:pPr>
              <w:jc w:val="center"/>
              <w:ind w:left="20"/>
              <w:spacing w:after="0" w:line="11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jc w:val="center"/>
              <w:ind w:left="40"/>
              <w:spacing w:after="0" w:line="110" w:lineRule="exact"/>
              <w:rPr>
                <w:sz w:val="20"/>
                <w:szCs w:val="20"/>
                <w:color w:val="auto"/>
              </w:rPr>
            </w:pPr>
            <w:r>
              <w:rPr>
                <w:rFonts w:ascii="Arial" w:cs="Arial" w:eastAsia="Arial" w:hAnsi="Arial"/>
                <w:sz w:val="12"/>
                <w:szCs w:val="12"/>
                <w:b w:val="1"/>
                <w:bCs w:val="1"/>
                <w:color w:val="auto"/>
                <w:w w:val="93"/>
              </w:rPr>
              <w:t>October 1, 2018</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jc w:val="center"/>
              <w:ind w:left="20"/>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center"/>
              <w:ind w:left="20"/>
              <w:spacing w:after="0" w:line="135" w:lineRule="exact"/>
              <w:rPr>
                <w:sz w:val="20"/>
                <w:szCs w:val="20"/>
                <w:color w:val="auto"/>
              </w:rPr>
            </w:pPr>
            <w:r>
              <w:rPr>
                <w:rFonts w:ascii="Arial" w:cs="Arial" w:eastAsia="Arial" w:hAnsi="Arial"/>
                <w:sz w:val="13"/>
                <w:szCs w:val="13"/>
                <w:b w:val="1"/>
                <w:bCs w:val="1"/>
                <w:color w:val="auto"/>
                <w:w w:val="81"/>
              </w:rPr>
              <w:t>to</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center"/>
              <w:ind w:left="20"/>
              <w:spacing w:after="0" w:line="135" w:lineRule="exact"/>
              <w:rPr>
                <w:sz w:val="20"/>
                <w:szCs w:val="20"/>
                <w:color w:val="auto"/>
              </w:rPr>
            </w:pPr>
            <w:r>
              <w:rPr>
                <w:rFonts w:ascii="Arial" w:cs="Arial" w:eastAsia="Arial" w:hAnsi="Arial"/>
                <w:sz w:val="13"/>
                <w:szCs w:val="13"/>
                <w:b w:val="1"/>
                <w:bCs w:val="1"/>
                <w:color w:val="auto"/>
                <w:w w:val="81"/>
              </w:rPr>
              <w:t>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vMerge w:val="restart"/>
          </w:tcPr>
          <w:p>
            <w:pPr>
              <w:spacing w:after="0"/>
              <w:rPr>
                <w:sz w:val="20"/>
                <w:szCs w:val="20"/>
                <w:color w:val="auto"/>
              </w:rPr>
            </w:pPr>
            <w:r>
              <w:rPr>
                <w:rFonts w:ascii="Arial" w:cs="Arial" w:eastAsia="Arial" w:hAnsi="Arial"/>
                <w:sz w:val="13"/>
                <w:szCs w:val="13"/>
                <w:color w:val="auto"/>
              </w:rPr>
              <w:t xml:space="preserve">% of revenue denominated in foreign currencies </w:t>
            </w:r>
            <w:r>
              <w:rPr>
                <w:rFonts w:ascii="Arial" w:cs="Arial" w:eastAsia="Arial" w:hAnsi="Arial"/>
                <w:sz w:val="14"/>
                <w:szCs w:val="14"/>
                <w:color w:val="auto"/>
                <w:vertAlign w:val="superscript"/>
              </w:rPr>
              <w:t>(1)</w:t>
            </w:r>
          </w:p>
        </w:tc>
        <w:tc>
          <w:tcPr>
            <w:tcW w:w="94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Borders>
              <w:bottom w:val="single" w:sz="8" w:color="auto"/>
            </w:tcBorders>
          </w:tcPr>
          <w:p>
            <w:pPr>
              <w:spacing w:after="0"/>
              <w:rPr>
                <w:sz w:val="13"/>
                <w:szCs w:val="13"/>
                <w:color w:val="auto"/>
              </w:rPr>
            </w:pPr>
          </w:p>
        </w:tc>
        <w:tc>
          <w:tcPr>
            <w:tcW w:w="380" w:type="dxa"/>
            <w:vAlign w:val="bottom"/>
            <w:vMerge w:val="restart"/>
          </w:tcPr>
          <w:p>
            <w:pPr>
              <w:jc w:val="right"/>
              <w:ind w:right="222"/>
              <w:spacing w:after="0"/>
              <w:rPr>
                <w:sz w:val="20"/>
                <w:szCs w:val="20"/>
                <w:color w:val="auto"/>
              </w:rPr>
            </w:pPr>
            <w:r>
              <w:rPr>
                <w:rFonts w:ascii="Arial" w:cs="Arial" w:eastAsia="Arial" w:hAnsi="Arial"/>
                <w:sz w:val="12"/>
                <w:szCs w:val="12"/>
                <w:color w:val="auto"/>
                <w:w w:val="74"/>
              </w:rPr>
              <w:t>%</w:t>
            </w:r>
          </w:p>
        </w:tc>
        <w:tc>
          <w:tcPr>
            <w:tcW w:w="126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7"/>
              </w:rPr>
              <w:t>December 31, 2018</w:t>
            </w:r>
          </w:p>
        </w:tc>
        <w:tc>
          <w:tcPr>
            <w:tcW w:w="100" w:type="dxa"/>
            <w:vAlign w:val="bottom"/>
            <w:tcBorders>
              <w:bottom w:val="single" w:sz="8" w:color="auto"/>
            </w:tcBorders>
          </w:tcPr>
          <w:p>
            <w:pPr>
              <w:spacing w:after="0"/>
              <w:rPr>
                <w:sz w:val="13"/>
                <w:szCs w:val="13"/>
                <w:color w:val="auto"/>
              </w:rPr>
            </w:pPr>
          </w:p>
        </w:tc>
        <w:tc>
          <w:tcPr>
            <w:tcW w:w="400" w:type="dxa"/>
            <w:vAlign w:val="bottom"/>
            <w:vMerge w:val="restart"/>
          </w:tcPr>
          <w:p>
            <w:pPr>
              <w:jc w:val="right"/>
              <w:ind w:right="242"/>
              <w:spacing w:after="0"/>
              <w:rPr>
                <w:sz w:val="20"/>
                <w:szCs w:val="20"/>
                <w:color w:val="auto"/>
              </w:rPr>
            </w:pPr>
            <w:r>
              <w:rPr>
                <w:rFonts w:ascii="Arial" w:cs="Arial" w:eastAsia="Arial" w:hAnsi="Arial"/>
                <w:sz w:val="12"/>
                <w:szCs w:val="12"/>
                <w:color w:val="auto"/>
                <w:w w:val="74"/>
              </w:rPr>
              <w:t>%</w:t>
            </w:r>
          </w:p>
        </w:tc>
        <w:tc>
          <w:tcPr>
            <w:tcW w:w="130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7"/>
              </w:rPr>
              <w:t>September 30, 2018</w:t>
            </w:r>
          </w:p>
        </w:tc>
        <w:tc>
          <w:tcPr>
            <w:tcW w:w="80" w:type="dxa"/>
            <w:vAlign w:val="bottom"/>
            <w:tcBorders>
              <w:bottom w:val="single" w:sz="8" w:color="auto"/>
            </w:tcBorders>
          </w:tcPr>
          <w:p>
            <w:pPr>
              <w:spacing w:after="0"/>
              <w:rPr>
                <w:sz w:val="13"/>
                <w:szCs w:val="13"/>
                <w:color w:val="auto"/>
              </w:rPr>
            </w:pPr>
          </w:p>
        </w:tc>
        <w:tc>
          <w:tcPr>
            <w:tcW w:w="220" w:type="dxa"/>
            <w:vAlign w:val="bottom"/>
            <w:vMerge w:val="restart"/>
          </w:tcPr>
          <w:p>
            <w:pPr>
              <w:jc w:val="right"/>
              <w:ind w:right="62"/>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02"/>
        </w:trPr>
        <w:tc>
          <w:tcPr>
            <w:tcW w:w="4300" w:type="dxa"/>
            <w:vAlign w:val="bottom"/>
            <w:vMerge w:val="continue"/>
          </w:tcPr>
          <w:p>
            <w:pPr>
              <w:spacing w:after="0"/>
              <w:rPr>
                <w:sz w:val="8"/>
                <w:szCs w:val="8"/>
                <w:color w:val="auto"/>
              </w:rPr>
            </w:pPr>
          </w:p>
        </w:tc>
        <w:tc>
          <w:tcPr>
            <w:tcW w:w="940" w:type="dxa"/>
            <w:vAlign w:val="bottom"/>
          </w:tcPr>
          <w:p>
            <w:pPr>
              <w:jc w:val="right"/>
              <w:ind w:right="200"/>
              <w:spacing w:after="0" w:line="10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60" w:type="dxa"/>
            <w:vAlign w:val="bottom"/>
          </w:tcPr>
          <w:p>
            <w:pPr>
              <w:jc w:val="right"/>
              <w:ind w:right="360"/>
              <w:spacing w:after="0" w:line="102" w:lineRule="exact"/>
              <w:rPr>
                <w:sz w:val="20"/>
                <w:szCs w:val="20"/>
                <w:color w:val="auto"/>
              </w:rPr>
            </w:pPr>
            <w:r>
              <w:rPr>
                <w:rFonts w:ascii="Arial" w:cs="Arial" w:eastAsia="Arial" w:hAnsi="Arial"/>
                <w:sz w:val="11"/>
                <w:szCs w:val="11"/>
                <w:color w:val="auto"/>
              </w:rPr>
              <w:t>29</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300" w:type="dxa"/>
            <w:vAlign w:val="bottom"/>
          </w:tcPr>
          <w:p>
            <w:pPr>
              <w:jc w:val="right"/>
              <w:ind w:right="380"/>
              <w:spacing w:after="0" w:line="10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20"/>
                <w:szCs w:val="20"/>
                <w:color w:val="auto"/>
              </w:rPr>
            </w:pPr>
            <w:r>
              <w:rPr>
                <w:rFonts w:ascii="Arial" w:cs="Arial" w:eastAsia="Arial" w:hAnsi="Arial"/>
                <w:sz w:val="13"/>
                <w:szCs w:val="13"/>
                <w:color w:val="auto"/>
              </w:rPr>
              <w:t xml:space="preserve">% of operating expenses denominated in foreign currencies </w:t>
            </w:r>
            <w:r>
              <w:rPr>
                <w:rFonts w:ascii="Arial" w:cs="Arial" w:eastAsia="Arial" w:hAnsi="Arial"/>
                <w:sz w:val="14"/>
                <w:szCs w:val="14"/>
                <w:color w:val="auto"/>
                <w:vertAlign w:val="superscript"/>
              </w:rPr>
              <w:t>(2)</w:t>
            </w:r>
          </w:p>
        </w:tc>
        <w:tc>
          <w:tcPr>
            <w:tcW w:w="940" w:type="dxa"/>
            <w:vAlign w:val="bottom"/>
          </w:tcPr>
          <w:p>
            <w:pPr>
              <w:jc w:val="right"/>
              <w:ind w:right="200"/>
              <w:spacing w:after="0"/>
              <w:rPr>
                <w:sz w:val="20"/>
                <w:szCs w:val="20"/>
                <w:color w:val="auto"/>
              </w:rPr>
            </w:pPr>
            <w:r>
              <w:rPr>
                <w:rFonts w:ascii="Arial" w:cs="Arial" w:eastAsia="Arial" w:hAnsi="Arial"/>
                <w:sz w:val="13"/>
                <w:szCs w:val="13"/>
                <w:color w:val="auto"/>
              </w:rPr>
              <w:t>14</w:t>
            </w:r>
          </w:p>
        </w:tc>
        <w:tc>
          <w:tcPr>
            <w:tcW w:w="460" w:type="dxa"/>
            <w:vAlign w:val="bottom"/>
            <w:gridSpan w:val="2"/>
          </w:tcPr>
          <w:p>
            <w:pPr>
              <w:jc w:val="right"/>
              <w:ind w:right="222"/>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0"/>
              <w:spacing w:after="0"/>
              <w:rPr>
                <w:sz w:val="20"/>
                <w:szCs w:val="20"/>
                <w:color w:val="auto"/>
              </w:rPr>
            </w:pPr>
            <w:r>
              <w:rPr>
                <w:rFonts w:ascii="Arial" w:cs="Arial" w:eastAsia="Arial" w:hAnsi="Arial"/>
                <w:sz w:val="13"/>
                <w:szCs w:val="13"/>
                <w:color w:val="auto"/>
              </w:rPr>
              <w:t>15</w:t>
            </w:r>
          </w:p>
        </w:tc>
        <w:tc>
          <w:tcPr>
            <w:tcW w:w="500" w:type="dxa"/>
            <w:vAlign w:val="bottom"/>
            <w:gridSpan w:val="2"/>
          </w:tcPr>
          <w:p>
            <w:pPr>
              <w:jc w:val="right"/>
              <w:ind w:right="242"/>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80"/>
              <w:spacing w:after="0"/>
              <w:rPr>
                <w:sz w:val="20"/>
                <w:szCs w:val="20"/>
                <w:color w:val="auto"/>
              </w:rPr>
            </w:pPr>
            <w:r>
              <w:rPr>
                <w:rFonts w:ascii="Arial" w:cs="Arial" w:eastAsia="Arial" w:hAnsi="Arial"/>
                <w:sz w:val="13"/>
                <w:szCs w:val="13"/>
                <w:color w:val="auto"/>
              </w:rPr>
              <w:t>17</w:t>
            </w:r>
          </w:p>
        </w:tc>
        <w:tc>
          <w:tcPr>
            <w:tcW w:w="30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5754370"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94615"/>
                    </a:xfrm>
                    <a:prstGeom prst="rect">
                      <a:avLst/>
                    </a:prstGeom>
                    <a:noFill/>
                  </pic:spPr>
                </pic:pic>
              </a:graphicData>
            </a:graphic>
          </wp:anchor>
        </w:drawing>
      </w:r>
    </w:p>
    <w:p>
      <w:pPr>
        <w:ind w:left="660" w:hanging="333"/>
        <w:spacing w:after="0" w:line="230" w:lineRule="auto"/>
        <w:tabs>
          <w:tab w:leader="none" w:pos="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Gross revenue in foreign currencies is primarily denominated in Euros.</w:t>
      </w:r>
    </w:p>
    <w:p>
      <w:pPr>
        <w:ind w:left="660" w:hanging="333"/>
        <w:spacing w:after="0"/>
        <w:tabs>
          <w:tab w:leader="none" w:pos="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Operating expenses in foreign currencies are primarily denominated in British pounds.</w:t>
      </w:r>
    </w:p>
    <w:p>
      <w:pPr>
        <w:spacing w:after="0" w:line="200" w:lineRule="exact"/>
        <w:rPr>
          <w:sz w:val="20"/>
          <w:szCs w:val="20"/>
          <w:color w:val="auto"/>
        </w:rPr>
      </w:pPr>
    </w:p>
    <w:p>
      <w:pPr>
        <w:spacing w:after="0" w:line="21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Since our consolidated financial statements are presented in U.S. dollars, we must translate revenues and expenses, as well as assets and liabilities, into U.S. dollars. Accordingly, increases or decreases in the value of the U.S. dollar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7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following table shows the change in gross revenue and operating income caused by fluctuations in foreign currency rates during the year ended December 31, 2019, the 2018 Successor Period and the 2018 Predecessor Period: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9"/>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Impact of Foreign Currency Rate Fluctuations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October 1, 2018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December 31, 2018</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Increase (decrease) in gross revenue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(11,800)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Increase (decrease) in operating income</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11,200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580" w:firstLine="324"/>
        <w:spacing w:after="0" w:line="264"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gross revenue and operating income for the year ended December 31, 2019, the 2018 Successor Period and the 2018 Predecessor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4"/>
              </w:rPr>
              <w:t>Successor</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9"/>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10% Change in Value of U.S. Dollar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October 1, 2018</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10% change on gross revenue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$ 25,300</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$ 5,100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$ 14,300</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Effect of 10% change on operating income</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$ 16,000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$ 2,800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$ 8,600</w:t>
            </w:r>
          </w:p>
        </w:tc>
        <w:tc>
          <w:tcPr>
            <w:tcW w:w="0" w:type="dxa"/>
            <w:vAlign w:val="bottom"/>
          </w:tcPr>
          <w:p>
            <w:pPr>
              <w:spacing w:after="0"/>
              <w:rPr>
                <w:sz w:val="1"/>
                <w:szCs w:val="1"/>
                <w:color w:val="auto"/>
              </w:rPr>
            </w:pPr>
          </w:p>
        </w:tc>
      </w:tr>
    </w:tbl>
    <w:p>
      <w:pPr>
        <w:spacing w:after="0" w:line="3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December 31, 2019 and December 31, 2018, the notional amount of our foreign currency forward contracts was $83.9 million and $1.7 million, respectively.</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December 31, 2019 and December 31, 2018, the notional amount of our foreign currency forward contracts was $83.9 million and $1.7 million, respectively.</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10"/>
          </w:tcPr>
          <w:p>
            <w:pPr>
              <w:jc w:val="right"/>
              <w:ind w:right="3300"/>
              <w:spacing w:after="0"/>
              <w:rPr>
                <w:sz w:val="20"/>
                <w:szCs w:val="20"/>
                <w:color w:val="auto"/>
              </w:rPr>
            </w:pPr>
            <w:r>
              <w:rPr>
                <w:rFonts w:ascii="Arial" w:cs="Arial" w:eastAsia="Arial" w:hAnsi="Arial"/>
                <w:sz w:val="14"/>
                <w:szCs w:val="14"/>
                <w:b w:val="1"/>
                <w:bCs w:val="1"/>
                <w:color w:val="auto"/>
              </w:rPr>
              <w:t>ITEM 8. - FINANCIAL STATEMENTS AND SUPPLEMENTARY DATA</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7480" w:type="dxa"/>
            <w:vAlign w:val="bottom"/>
            <w:gridSpan w:val="9"/>
            <w:vMerge w:val="restart"/>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7480" w:type="dxa"/>
            <w:vAlign w:val="bottom"/>
            <w:gridSpan w:val="9"/>
            <w:vMerge w:val="continue"/>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115</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Financial Condition</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Consolidated Statements of Income</w:t>
              </w:r>
            </w:hyperlink>
          </w:p>
        </w:tc>
        <w:tc>
          <w:tcPr>
            <w:tcW w:w="880" w:type="dxa"/>
            <w:vAlign w:val="bottom"/>
            <w:tcBorders>
              <w:top w:val="single" w:sz="8" w:color="0000EE"/>
            </w:tcBorders>
            <w:gridSpan w:val="4"/>
          </w:tcPr>
          <w:p>
            <w:pPr>
              <w:spacing w:after="0"/>
              <w:rPr>
                <w:sz w:val="17"/>
                <w:szCs w:val="17"/>
                <w:color w:val="auto"/>
              </w:rPr>
            </w:pPr>
          </w:p>
        </w:tc>
        <w:tc>
          <w:tcPr>
            <w:tcW w:w="4020" w:type="dxa"/>
            <w:vAlign w:val="bottom"/>
            <w:gridSpan w:val="3"/>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Comprehensive Income</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Consolidated Statements of Changes in Equity</w:t>
              </w:r>
            </w:hyperlink>
          </w:p>
        </w:tc>
        <w:tc>
          <w:tcPr>
            <w:tcW w:w="3740" w:type="dxa"/>
            <w:vAlign w:val="bottom"/>
            <w:gridSpan w:val="2"/>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Cash Flows</w:t>
              </w:r>
            </w:hyperlink>
          </w:p>
        </w:tc>
        <w:tc>
          <w:tcPr>
            <w:tcW w:w="480" w:type="dxa"/>
            <w:vAlign w:val="bottom"/>
            <w:tcBorders>
              <w:top w:val="single" w:sz="8" w:color="0000EE"/>
            </w:tcBorders>
            <w:gridSpan w:val="2"/>
          </w:tcPr>
          <w:p>
            <w:pPr>
              <w:spacing w:after="0"/>
              <w:rPr>
                <w:sz w:val="17"/>
                <w:szCs w:val="17"/>
                <w:color w:val="auto"/>
              </w:rPr>
            </w:pPr>
          </w:p>
        </w:tc>
        <w:tc>
          <w:tcPr>
            <w:tcW w:w="4120" w:type="dxa"/>
            <w:vAlign w:val="bottom"/>
            <w:gridSpan w:val="4"/>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Notes to Consolidated Financial Statements</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817"/>
        </w:trPr>
        <w:tc>
          <w:tcPr>
            <w:tcW w:w="380" w:type="dxa"/>
            <w:vAlign w:val="bottom"/>
            <w:gridSpan w:val="2"/>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4320" w:type="dxa"/>
            <w:vAlign w:val="bottom"/>
            <w:gridSpan w:val="5"/>
          </w:tcPr>
          <w:p>
            <w:pPr>
              <w:jc w:val="right"/>
              <w:ind w:right="3180"/>
              <w:spacing w:after="0"/>
              <w:rPr>
                <w:sz w:val="20"/>
                <w:szCs w:val="20"/>
                <w:color w:val="auto"/>
              </w:rPr>
            </w:pPr>
            <w:r>
              <w:rPr>
                <w:rFonts w:ascii="Arial" w:cs="Arial" w:eastAsia="Arial" w:hAnsi="Arial"/>
                <w:sz w:val="18"/>
                <w:szCs w:val="18"/>
                <w:color w:val="auto"/>
              </w:rPr>
              <w:t>114</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Tradeweb Markets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9"/>
        <w:spacing w:after="0" w:line="291"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Inc. and subsidiaries (the "Company") as of December 31, 2019 and 2018, the related consolidated statements of income, comprehensive income, changes in equity, and cash flows for the year ended December 31, 2019 and the period from October 1, 2018 to December 31,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 ended December 31, 2019 and the period from October 1, 2018 to December 31, 2018,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229" w:lineRule="exact"/>
        <w:rPr>
          <w:sz w:val="20"/>
          <w:szCs w:val="20"/>
          <w:color w:val="auto"/>
        </w:rPr>
      </w:pPr>
    </w:p>
    <w:p>
      <w:pPr>
        <w:ind w:right="1659"/>
        <w:spacing w:after="0" w:line="255" w:lineRule="auto"/>
        <w:rPr>
          <w:sz w:val="20"/>
          <w:szCs w:val="20"/>
          <w:color w:val="auto"/>
        </w:rPr>
      </w:pPr>
      <w:r>
        <w:rPr>
          <w:rFonts w:ascii="Arial" w:cs="Arial" w:eastAsia="Arial" w:hAnsi="Arial"/>
          <w:sz w:val="18"/>
          <w:szCs w:val="18"/>
          <w:color w:val="auto"/>
        </w:rPr>
        <w:t>As discussed in Notes 1 and 3 to the financial statements, on October 1, 2018, a majority interest in King (Cayman) to Holdings Ltd., was acquired by BCP York Holdings, a company owned by certain investment funds affiliated with The Blackstone Group Inc. As a result of the application of pushdown accounting, the Company’s financial statements for the Successor Period are not comparable to the Predecessor Periods, which are from January 1, 2018 to September 30, 2018, and for the year ended December 31, 2017.</w:t>
      </w:r>
    </w:p>
    <w:p>
      <w:pPr>
        <w:spacing w:after="0" w:line="19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As discussed in Note 1 to the financial statements, the Company completed a series of reorganization transactions and an initial public offering in April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9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159"/>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and Members of Tradeweb Markets LLC (Predecessor):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statements of income, of comprehensive income, of changes in equity, and of cash flows of Tradeweb Markets LLC and its Subsidiaries (Predecessor) (the “Company”) for the nine months ended September 30, 2018 and for the year ended December 31, 2017, including the related notes (collectively referred to as the “consolidated financial statements”). In our opinion, the consolidated financial statements present fairly, in all material respects, the results of the Company’s operations and its cash flows for the nine months ended September 30, 2018 and for the year ended December 31, 2017,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December 17, 2018, except for the impact of the amendment to the LLC agreement discussed in Note 2 to the consolidated financial statements, as to which the date is May 20,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2008 to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6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r>
      <w:tr>
        <w:trPr>
          <w:trHeight w:val="142"/>
        </w:trPr>
        <w:tc>
          <w:tcPr>
            <w:tcW w:w="6760" w:type="dxa"/>
            <w:vAlign w:val="bottom"/>
            <w:shd w:val="clear" w:color="auto" w:fill="CCEEFF"/>
          </w:tcPr>
          <w:p>
            <w:pPr>
              <w:ind w:left="3180"/>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460,711</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410,104</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Receivable from brokers and dealers and clearing organizations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30,641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174,591</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with clearing organizations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11,427</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Accounts receivable, net of allowance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92,814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87,192</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Furniture, equipment, purchased software and leasehold improvements, net of accumulated depreciation and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38,128</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24,504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 development costs, net of accumulated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2,694,797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2,694,797</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 of accumulated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1,281,441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1,380,848</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Receivable from affiliates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3,243</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27,236</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25,027</w:t>
            </w:r>
          </w:p>
        </w:tc>
      </w:tr>
      <w:tr>
        <w:trPr>
          <w:trHeight w:val="149"/>
        </w:trPr>
        <w:tc>
          <w:tcPr>
            <w:tcW w:w="67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5,095,334</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4,997,139</w:t>
            </w: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6760" w:type="dxa"/>
            <w:vAlign w:val="bottom"/>
            <w:shd w:val="clear" w:color="auto" w:fill="CCEEFF"/>
          </w:tcPr>
          <w:p>
            <w:pPr>
              <w:ind w:left="1780"/>
              <w:spacing w:after="0" w:line="149" w:lineRule="exact"/>
              <w:rPr>
                <w:sz w:val="20"/>
                <w:szCs w:val="20"/>
                <w:color w:val="auto"/>
              </w:rPr>
            </w:pPr>
            <w:r>
              <w:rPr>
                <w:rFonts w:ascii="Arial" w:cs="Arial" w:eastAsia="Arial" w:hAnsi="Arial"/>
                <w:sz w:val="14"/>
                <w:szCs w:val="14"/>
                <w:b w:val="1"/>
                <w:bCs w:val="1"/>
                <w:color w:val="auto"/>
              </w:rPr>
              <w:t>Liabilities and Stockholders' Equity/Members'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to brokers and dealers and clearing organizations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171,214</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119,415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120,158</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27,883</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32,834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42,548</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equity compensation payable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24,187</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30,955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to affiliates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5,009</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19,627</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receivable agreement liability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240,817</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502,589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410,626</w:t>
            </w:r>
          </w:p>
        </w:tc>
      </w:tr>
      <w:tr>
        <w:trPr>
          <w:trHeight w:val="142"/>
        </w:trPr>
        <w:tc>
          <w:tcPr>
            <w:tcW w:w="6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C Shares and Class P(C) Shares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14,179</w:t>
            </w: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Members'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4,573,200</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$.00001 par value; 250,000,000 shares authorized; none issued or outstanding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tcPr>
          <w:p>
            <w:pPr>
              <w:spacing w:after="0" w:line="138" w:lineRule="exact"/>
              <w:rPr>
                <w:sz w:val="20"/>
                <w:szCs w:val="20"/>
                <w:color w:val="auto"/>
              </w:rPr>
            </w:pPr>
            <w:r>
              <w:rPr>
                <w:rFonts w:ascii="Arial" w:cs="Arial" w:eastAsia="Arial" w:hAnsi="Arial"/>
                <w:sz w:val="14"/>
                <w:szCs w:val="14"/>
                <w:color w:val="auto"/>
                <w:w w:val="95"/>
              </w:rPr>
              <w:t>Class A common stock, $.00001 par value; 1,000,000,000 shares authorized; 66,408,328 shares outstanding as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6760" w:type="dxa"/>
            <w:vAlign w:val="bottom"/>
          </w:tcPr>
          <w:p>
            <w:pPr>
              <w:spacing w:after="0" w:line="159" w:lineRule="exact"/>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Class B common stock, $.00001 par value; 450,000,000 shares authorized; 96,933,192 shares outstanding as of December</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9"/>
        </w:trPr>
        <w:tc>
          <w:tcPr>
            <w:tcW w:w="6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tcPr>
          <w:p>
            <w:pPr>
              <w:spacing w:after="0" w:line="138" w:lineRule="exact"/>
              <w:rPr>
                <w:sz w:val="20"/>
                <w:szCs w:val="20"/>
                <w:color w:val="auto"/>
              </w:rPr>
            </w:pPr>
            <w:r>
              <w:rPr>
                <w:rFonts w:ascii="Arial" w:cs="Arial" w:eastAsia="Arial" w:hAnsi="Arial"/>
                <w:sz w:val="14"/>
                <w:szCs w:val="14"/>
                <w:color w:val="auto"/>
                <w:w w:val="88"/>
              </w:rPr>
              <w:t>Class C common stock, $.00001 par value; 350,000,000 shares authorized; 8,328,983 shares outstanding as of December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6760" w:type="dxa"/>
            <w:vAlign w:val="bottom"/>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Class D common stock, $.00001 par value; 300,000,000 shares authorized; 50,853,172 shares outstanding as of December</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9"/>
        </w:trPr>
        <w:tc>
          <w:tcPr>
            <w:tcW w:w="6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3,329,386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47,833</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stockholders' equity attributable to Tradeweb Markets Inc./members'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3,378,588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4,572,334</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1,214,157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equity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4,592,745</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4,572,334</w:t>
            </w:r>
          </w:p>
        </w:tc>
      </w:tr>
      <w:tr>
        <w:trPr>
          <w:trHeight w:val="149"/>
        </w:trPr>
        <w:tc>
          <w:tcPr>
            <w:tcW w:w="6760" w:type="dxa"/>
            <w:vAlign w:val="bottom"/>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equity/members' capital</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5,095,334</w:t>
            </w: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4,997,139</w:t>
            </w: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5"/>
              </w:rPr>
              <w:t>Predecessor</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Transaction fees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423,583</w:t>
            </w:r>
          </w:p>
        </w:tc>
        <w:tc>
          <w:tcPr>
            <w:tcW w:w="3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97,130</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273,751</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267,020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Subscription fees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138,731</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107,130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144,409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Commissions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149,365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32,840</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96,745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Refinitiv market data fees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55,635</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36,851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ind w:left="1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8,252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8,209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ind w:left="220"/>
              <w:spacing w:after="0" w:line="142" w:lineRule="exact"/>
              <w:rPr>
                <w:sz w:val="20"/>
                <w:szCs w:val="20"/>
                <w:color w:val="auto"/>
              </w:rPr>
            </w:pPr>
            <w:r>
              <w:rPr>
                <w:rFonts w:ascii="Arial" w:cs="Arial" w:eastAsia="Arial" w:hAnsi="Arial"/>
                <w:sz w:val="14"/>
                <w:szCs w:val="14"/>
                <w:b w:val="1"/>
                <w:bCs w:val="1"/>
                <w:color w:val="auto"/>
              </w:rPr>
              <w:t>Gross revenue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775,566</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178,637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505,771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562,968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Contingent consideration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(58,520)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revenue</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775,566</w:t>
            </w: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178,637</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478,941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504,448</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Employee compensation and benefits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329,457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80,436</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209,053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248,963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139,330</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33,020</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48,808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Technology and communications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39,285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9,907</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26,598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34,960</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23,056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28,029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8,194</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20,360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19,351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Occupancy</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14,686</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3,308</w:t>
            </w:r>
          </w:p>
        </w:tc>
        <w:tc>
          <w:tcPr>
            <w:tcW w:w="2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10,732</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14,441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Total expenses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585,747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146,702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338,607</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415,356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189,819</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31,935</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140,334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89,092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4"/>
                <w:szCs w:val="14"/>
                <w:color w:val="auto"/>
                <w:vertAlign w:val="superscript"/>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33,134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2,373</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2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1,726</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Income before taxes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225,326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32,722</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142,060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89,777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rPr>
              <w:t>173,024</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29,307</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130,160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83,648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26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color w:val="auto"/>
              </w:rPr>
              <w:t>Less: Pre-IPO net income attributable to Tradeweb</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Markets LLC</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42,352</w:t>
            </w: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260" w:type="dxa"/>
            <w:vAlign w:val="bottom"/>
            <w:gridSpan w:val="3"/>
          </w:tcPr>
          <w:p>
            <w:pPr>
              <w:spacing w:after="0" w:line="110" w:lineRule="exact"/>
              <w:rPr>
                <w:sz w:val="20"/>
                <w:szCs w:val="20"/>
                <w:color w:val="auto"/>
              </w:rPr>
            </w:pPr>
            <w:r>
              <w:rPr>
                <w:rFonts w:ascii="Arial" w:cs="Arial" w:eastAsia="Arial" w:hAnsi="Arial"/>
                <w:sz w:val="12"/>
                <w:szCs w:val="12"/>
                <w:color w:val="auto"/>
              </w:rPr>
              <w:t>Net income attributable to Tradeweb Markets Inc. and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60" w:type="dxa"/>
            <w:vAlign w:val="bottom"/>
            <w:gridSpan w:val="3"/>
          </w:tcPr>
          <w:p>
            <w:pPr>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130,672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Less: Net income attributable to non-controlling</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46,903</w:t>
            </w: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w w:val="99"/>
              </w:rPr>
              <w:t>Net income attributable to Tradeweb Markets Inc.</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83,769</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EPS calculations for pre-IPO and post-IPO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 xml:space="preserve">periods </w:t>
            </w:r>
            <w:r>
              <w:rPr>
                <w:rFonts w:ascii="Arial" w:cs="Arial" w:eastAsia="Arial" w:hAnsi="Arial"/>
                <w:sz w:val="14"/>
                <w:szCs w:val="14"/>
                <w:b w:val="1"/>
                <w:bCs w:val="1"/>
                <w:color w:val="auto"/>
                <w:vertAlign w:val="superscript"/>
              </w:rPr>
              <w:t>(2)</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Earnings per share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3"/>
          </w:tcPr>
          <w:p>
            <w:pPr>
              <w:ind w:left="120"/>
              <w:spacing w:after="0" w:line="135"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8"/>
              <w:spacing w:after="0" w:line="135" w:lineRule="exact"/>
              <w:rPr>
                <w:sz w:val="20"/>
                <w:szCs w:val="20"/>
                <w:color w:val="auto"/>
              </w:rPr>
            </w:pPr>
            <w:r>
              <w:rPr>
                <w:rFonts w:ascii="Arial" w:cs="Arial" w:eastAsia="Arial" w:hAnsi="Arial"/>
                <w:sz w:val="14"/>
                <w:szCs w:val="14"/>
                <w:color w:val="auto"/>
              </w:rPr>
              <w:t>0.19</w:t>
            </w:r>
          </w:p>
        </w:tc>
        <w:tc>
          <w:tcPr>
            <w:tcW w:w="320" w:type="dxa"/>
            <w:vAlign w:val="bottom"/>
          </w:tcPr>
          <w:p>
            <w:pPr>
              <w:spacing w:after="0" w:line="135" w:lineRule="exact"/>
              <w:rPr>
                <w:sz w:val="20"/>
                <w:szCs w:val="20"/>
                <w:color w:val="auto"/>
              </w:rPr>
            </w:pPr>
            <w:r>
              <w:rPr>
                <w:rFonts w:ascii="Arial" w:cs="Arial" w:eastAsia="Arial" w:hAnsi="Arial"/>
                <w:sz w:val="14"/>
                <w:szCs w:val="14"/>
                <w:color w:val="auto"/>
              </w:rPr>
              <w:t>(a) /</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0.13 (a)</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w w:val="97"/>
              </w:rPr>
              <w:t>(a) $</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320" w:type="dxa"/>
            <w:vAlign w:val="bottom"/>
          </w:tcPr>
          <w:p>
            <w:pPr>
              <w:spacing w:after="0"/>
              <w:rPr>
                <w:sz w:val="20"/>
                <w:szCs w:val="20"/>
                <w:color w:val="auto"/>
              </w:rPr>
            </w:pPr>
            <w:r>
              <w:rPr>
                <w:rFonts w:ascii="Arial" w:cs="Arial" w:eastAsia="Arial" w:hAnsi="Arial"/>
                <w:sz w:val="14"/>
                <w:szCs w:val="14"/>
                <w:color w:val="auto"/>
              </w:rPr>
              <w:t>(b)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320" w:type="dxa"/>
            <w:vAlign w:val="bottom"/>
            <w:gridSpan w:val="2"/>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0.39</w:t>
            </w:r>
          </w:p>
        </w:tc>
        <w:tc>
          <w:tcPr>
            <w:tcW w:w="220" w:type="dxa"/>
            <w:vAlign w:val="bottom"/>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
        </w:trPr>
        <w:tc>
          <w:tcPr>
            <w:tcW w:w="326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(a) /</w:t>
            </w: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0.19</w:t>
            </w:r>
          </w:p>
        </w:tc>
        <w:tc>
          <w:tcPr>
            <w:tcW w:w="3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0.13 (a)</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7"/>
              </w:rPr>
              <w:t>(a) $</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320" w:type="dxa"/>
            <w:vAlign w:val="bottom"/>
            <w:gridSpan w:val="2"/>
            <w:vMerge w:val="continue"/>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36"/>
        </w:trPr>
        <w:tc>
          <w:tcPr>
            <w:tcW w:w="3260" w:type="dxa"/>
            <w:vAlign w:val="bottom"/>
            <w:tcBorders>
              <w:top w:val="single" w:sz="8" w:color="CCEEFF"/>
            </w:tcBorders>
            <w:gridSpan w:val="3"/>
          </w:tcPr>
          <w:p>
            <w:pPr>
              <w:spacing w:after="0" w:line="136" w:lineRule="exact"/>
              <w:rPr>
                <w:sz w:val="20"/>
                <w:szCs w:val="20"/>
                <w:color w:val="auto"/>
              </w:rPr>
            </w:pPr>
            <w:r>
              <w:rPr>
                <w:rFonts w:ascii="Arial" w:cs="Arial" w:eastAsia="Arial" w:hAnsi="Arial"/>
                <w:sz w:val="14"/>
                <w:szCs w:val="14"/>
                <w:color w:val="auto"/>
              </w:rPr>
              <w:t>Weighted average shares outstanding</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222,222,197</w:t>
            </w:r>
          </w:p>
        </w:tc>
        <w:tc>
          <w:tcPr>
            <w:tcW w:w="3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(a) /</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148,013,274</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222,221,628 (a)</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215,365,920</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215,568,635</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30"/>
        </w:trPr>
        <w:tc>
          <w:tcPr>
            <w:tcW w:w="3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4"/>
                <w:szCs w:val="14"/>
                <w:color w:val="auto"/>
              </w:rPr>
              <w:t>223,320,457</w:t>
            </w:r>
          </w:p>
        </w:tc>
        <w:tc>
          <w:tcPr>
            <w:tcW w:w="320" w:type="dxa"/>
            <w:vAlign w:val="bottom"/>
          </w:tcPr>
          <w:p>
            <w:pPr>
              <w:spacing w:after="0" w:line="130" w:lineRule="exact"/>
              <w:rPr>
                <w:sz w:val="20"/>
                <w:szCs w:val="20"/>
                <w:color w:val="auto"/>
              </w:rPr>
            </w:pPr>
            <w:r>
              <w:rPr>
                <w:rFonts w:ascii="Arial" w:cs="Arial" w:eastAsia="Arial" w:hAnsi="Arial"/>
                <w:sz w:val="14"/>
                <w:szCs w:val="14"/>
                <w:color w:val="auto"/>
              </w:rPr>
              <w:t>(a) /</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156,540,246</w:t>
            </w:r>
          </w:p>
        </w:tc>
        <w:tc>
          <w:tcPr>
            <w:tcW w:w="320" w:type="dxa"/>
            <w:vAlign w:val="bottom"/>
          </w:tcPr>
          <w:p>
            <w:pPr>
              <w:spacing w:after="0"/>
              <w:rPr>
                <w:sz w:val="20"/>
                <w:szCs w:val="20"/>
                <w:color w:val="auto"/>
              </w:rPr>
            </w:pPr>
            <w:r>
              <w:rPr>
                <w:rFonts w:ascii="Arial" w:cs="Arial" w:eastAsia="Arial" w:hAnsi="Arial"/>
                <w:sz w:val="14"/>
                <w:szCs w:val="14"/>
                <w:color w:val="auto"/>
              </w:rPr>
              <w:t>(b)</w:t>
            </w:r>
          </w:p>
        </w:tc>
        <w:tc>
          <w:tcPr>
            <w:tcW w:w="1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222,243,851 (a)</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215,365,920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(a)</w:t>
            </w:r>
          </w:p>
        </w:tc>
        <w:tc>
          <w:tcPr>
            <w:tcW w:w="1020" w:type="dxa"/>
            <w:vAlign w:val="bottom"/>
          </w:tcPr>
          <w:p>
            <w:pPr>
              <w:jc w:val="right"/>
              <w:spacing w:after="0"/>
              <w:rPr>
                <w:sz w:val="20"/>
                <w:szCs w:val="20"/>
                <w:color w:val="auto"/>
              </w:rPr>
            </w:pPr>
            <w:r>
              <w:rPr>
                <w:rFonts w:ascii="Arial" w:cs="Arial" w:eastAsia="Arial" w:hAnsi="Arial"/>
                <w:sz w:val="14"/>
                <w:szCs w:val="14"/>
                <w:color w:val="auto"/>
              </w:rPr>
              <w:t>215,568,635</w:t>
            </w:r>
          </w:p>
        </w:tc>
        <w:tc>
          <w:tcPr>
            <w:tcW w:w="220" w:type="dxa"/>
            <w:vAlign w:val="bottom"/>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hanging="316"/>
        <w:spacing w:after="0"/>
        <w:tabs>
          <w:tab w:leader="none" w:pos="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See Note 10 – Tax Receivable Agreement.</w:t>
      </w:r>
    </w:p>
    <w:p>
      <w:pPr>
        <w:ind w:left="400" w:right="40" w:hanging="316"/>
        <w:spacing w:after="0" w:line="216" w:lineRule="auto"/>
        <w:tabs>
          <w:tab w:leader="none" w:pos="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18 – Earnings Per Share for additional information.</w:t>
      </w:r>
    </w:p>
    <w:p>
      <w:pPr>
        <w:spacing w:after="0" w:line="2" w:lineRule="exact"/>
        <w:rPr>
          <w:rFonts w:ascii="Arial" w:cs="Arial" w:eastAsia="Arial" w:hAnsi="Arial"/>
          <w:sz w:val="13"/>
          <w:szCs w:val="13"/>
          <w:color w:val="auto"/>
        </w:rPr>
      </w:pPr>
    </w:p>
    <w:p>
      <w:pPr>
        <w:ind w:left="1060" w:hanging="328"/>
        <w:spacing w:after="0" w:line="216" w:lineRule="auto"/>
        <w:tabs>
          <w:tab w:leader="none" w:pos="1060" w:val="left"/>
        </w:tabs>
        <w:numPr>
          <w:ilvl w:val="1"/>
          <w:numId w:val="75"/>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1060" w:hanging="328"/>
        <w:spacing w:after="0"/>
        <w:tabs>
          <w:tab w:leader="none" w:pos="1060" w:val="left"/>
        </w:tabs>
        <w:numPr>
          <w:ilvl w:val="1"/>
          <w:numId w:val="75"/>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00" w:type="dxa"/>
            <w:vAlign w:val="bottom"/>
            <w:tcBorders>
              <w:left w:val="single" w:sz="8" w:color="auto"/>
            </w:tcBorders>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Comprehensive income - Pre-IPO attributable to Tradeweb Markets</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LLC</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Pre-IPO net income attributable to Tradeweb Markets LLC</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42,352</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29,307</w:t>
            </w:r>
          </w:p>
        </w:tc>
        <w:tc>
          <w:tcPr>
            <w:tcW w:w="200" w:type="dxa"/>
            <w:vAlign w:val="bottom"/>
            <w:tcBorders>
              <w:lef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130,160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LLC</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Pre-IPO comprehensive income attributable to Tradeweb Markets LLC</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28,441</w:t>
            </w: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127,096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Tradeweb Markets Inc.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Net income attributable to Tradeweb Markets Inc.</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83,769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Tradeweb Markets Inc.</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85,210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Non-controlling interests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46,903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8"/>
              </w:rPr>
              <w:t>Foreign currency translation adjustments attributable to non-controlling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non-controlling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47,201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Non-</w:t>
            </w:r>
          </w:p>
        </w:tc>
        <w:tc>
          <w:tcPr>
            <w:tcW w:w="100" w:type="dxa"/>
            <w:vAlign w:val="bottom"/>
          </w:tcPr>
          <w:p>
            <w:pPr>
              <w:spacing w:after="0"/>
              <w:rPr>
                <w:sz w:val="10"/>
                <w:szCs w:val="10"/>
                <w:color w:val="auto"/>
              </w:rPr>
            </w:pP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86"/>
              </w:rPr>
              <w:t>Members'</w:t>
            </w:r>
          </w:p>
        </w:tc>
        <w:tc>
          <w:tcPr>
            <w:tcW w:w="114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Class A</w:t>
            </w:r>
          </w:p>
        </w:tc>
        <w:tc>
          <w:tcPr>
            <w:tcW w:w="112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Class B</w:t>
            </w:r>
          </w:p>
        </w:tc>
        <w:tc>
          <w:tcPr>
            <w:tcW w:w="112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Class C</w:t>
            </w:r>
          </w:p>
        </w:tc>
        <w:tc>
          <w:tcPr>
            <w:tcW w:w="880" w:type="dxa"/>
            <w:vAlign w:val="bottom"/>
            <w:gridSpan w:val="3"/>
          </w:tcPr>
          <w:p>
            <w:pPr>
              <w:jc w:val="center"/>
              <w:ind w:left="108"/>
              <w:spacing w:after="0" w:line="122" w:lineRule="exact"/>
              <w:rPr>
                <w:sz w:val="20"/>
                <w:szCs w:val="20"/>
                <w:color w:val="auto"/>
              </w:rPr>
            </w:pPr>
            <w:r>
              <w:rPr>
                <w:rFonts w:ascii="Arial" w:cs="Arial" w:eastAsia="Arial" w:hAnsi="Arial"/>
                <w:sz w:val="11"/>
                <w:szCs w:val="11"/>
                <w:b w:val="1"/>
                <w:bCs w:val="1"/>
                <w:color w:val="auto"/>
                <w:w w:val="89"/>
              </w:rPr>
              <w:t>Class 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Paid-In</w:t>
            </w: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5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Retained</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Controlling</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Successor</w:t>
            </w:r>
          </w:p>
        </w:tc>
        <w:tc>
          <w:tcPr>
            <w:tcW w:w="6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Capital</w:t>
            </w:r>
          </w:p>
        </w:tc>
        <w:tc>
          <w:tcPr>
            <w:tcW w:w="11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11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Common Stock</w:t>
            </w:r>
          </w:p>
        </w:tc>
        <w:tc>
          <w:tcPr>
            <w:tcW w:w="11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Common Stock</w:t>
            </w:r>
          </w:p>
        </w:tc>
        <w:tc>
          <w:tcPr>
            <w:tcW w:w="880" w:type="dxa"/>
            <w:vAlign w:val="bottom"/>
            <w:gridSpan w:val="3"/>
          </w:tcPr>
          <w:p>
            <w:pPr>
              <w:jc w:val="center"/>
              <w:ind w:left="108"/>
              <w:spacing w:after="0"/>
              <w:rPr>
                <w:sz w:val="20"/>
                <w:szCs w:val="20"/>
                <w:color w:val="auto"/>
              </w:rPr>
            </w:pPr>
            <w:r>
              <w:rPr>
                <w:rFonts w:ascii="Arial" w:cs="Arial" w:eastAsia="Arial" w:hAnsi="Arial"/>
                <w:sz w:val="11"/>
                <w:szCs w:val="11"/>
                <w:b w:val="1"/>
                <w:bCs w:val="1"/>
                <w:color w:val="auto"/>
                <w:w w:val="89"/>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0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140" w:type="dxa"/>
            <w:vAlign w:val="bottom"/>
            <w:gridSpan w:val="2"/>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gridSpan w:val="2"/>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62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200"/>
              <w:spacing w:after="0" w:line="115"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1040" w:type="dxa"/>
            <w:vAlign w:val="bottom"/>
            <w:tcBorders>
              <w:top w:val="single" w:sz="8" w:color="auto"/>
            </w:tcBorders>
            <w:gridSpan w:val="4"/>
          </w:tcPr>
          <w:p>
            <w:pPr>
              <w:jc w:val="right"/>
              <w:spacing w:after="0" w:line="115" w:lineRule="exact"/>
              <w:rPr>
                <w:sz w:val="20"/>
                <w:szCs w:val="20"/>
                <w:color w:val="auto"/>
              </w:rPr>
            </w:pPr>
            <w:r>
              <w:rPr>
                <w:rFonts w:ascii="Arial" w:cs="Arial" w:eastAsia="Arial" w:hAnsi="Arial"/>
                <w:sz w:val="11"/>
                <w:szCs w:val="11"/>
                <w:b w:val="1"/>
                <w:bCs w:val="1"/>
                <w:color w:val="auto"/>
                <w:w w:val="91"/>
              </w:rPr>
              <w:t>SharesAmount</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6"/>
              </w:rPr>
              <w:t>Balance at December</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31, 2018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4,573,200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1"/>
                <w:szCs w:val="11"/>
                <w:color w:val="auto"/>
              </w:rPr>
              <w:t>— $</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(866)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4,572,334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Adjustment to Class C</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w w:val="99"/>
              </w:rPr>
              <w:t>Shares and Class P(C)</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rPr>
              <w:t>shares in mezzanine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capital</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(2,369)</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(2,369)</w:t>
            </w: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Capital distributions</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(20,000)</w:t>
            </w: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Stock-based</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4,674</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42,352</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Foreign currency</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w w:val="98"/>
              </w:rPr>
              <w:t>translation adjustments</w:t>
            </w: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14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color w:val="auto"/>
              </w:rPr>
              <w:t>Balance at March 31,</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4,597,857</w:t>
            </w:r>
          </w:p>
        </w:tc>
        <w:tc>
          <w:tcPr>
            <w:tcW w:w="10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1"/>
                <w:szCs w:val="11"/>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4,597,979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40" w:type="dxa"/>
            <w:vAlign w:val="bottom"/>
            <w:gridSpan w:val="2"/>
            <w:shd w:val="clear" w:color="auto" w:fill="CCEEFF"/>
          </w:tcPr>
          <w:p>
            <w:pPr>
              <w:spacing w:after="0" w:line="118" w:lineRule="exact"/>
              <w:rPr>
                <w:sz w:val="20"/>
                <w:szCs w:val="20"/>
                <w:color w:val="auto"/>
              </w:rPr>
            </w:pPr>
            <w:r>
              <w:rPr>
                <w:rFonts w:ascii="Arial" w:cs="Arial" w:eastAsia="Arial" w:hAnsi="Arial"/>
                <w:sz w:val="11"/>
                <w:szCs w:val="11"/>
                <w:color w:val="auto"/>
              </w:rPr>
              <w:t>2019 (Pre-IPO Period)</w:t>
            </w:r>
          </w:p>
        </w:tc>
        <w:tc>
          <w:tcPr>
            <w:tcW w:w="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80" w:type="dxa"/>
            <w:vAlign w:val="bottom"/>
            <w:gridSpan w:val="3"/>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40" w:type="dxa"/>
            <w:vAlign w:val="bottom"/>
            <w:tcBorders>
              <w:top w:val="single" w:sz="8" w:color="CCEEFF"/>
            </w:tcBorders>
            <w:gridSpan w:val="2"/>
          </w:tcPr>
          <w:p>
            <w:pPr>
              <w:spacing w:after="0" w:line="109" w:lineRule="exact"/>
              <w:rPr>
                <w:sz w:val="20"/>
                <w:szCs w:val="20"/>
                <w:color w:val="auto"/>
              </w:rPr>
            </w:pPr>
            <w:r>
              <w:rPr>
                <w:rFonts w:ascii="Arial" w:cs="Arial" w:eastAsia="Arial" w:hAnsi="Arial"/>
                <w:sz w:val="11"/>
                <w:szCs w:val="11"/>
                <w:color w:val="auto"/>
              </w:rPr>
              <w:t>Capital distributions</w:t>
            </w: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(100,000)</w:t>
            </w: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ind w:left="240"/>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9"/>
                <w:szCs w:val="9"/>
                <w:color w:val="auto"/>
              </w:rPr>
            </w:pPr>
          </w:p>
        </w:tc>
        <w:tc>
          <w:tcPr>
            <w:tcW w:w="5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w w:val="90"/>
              </w:rPr>
              <w:t>—</w:t>
            </w: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Effect of the</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reorganization</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transactions</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8"/>
              </w:rPr>
              <w:t>(4,497,857)</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4,521,132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rPr>
              <w:t>stock, net of offering</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w w:val="98"/>
              </w:rPr>
              <w:t>costs and cancellations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46,000,000</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83"/>
              </w:rPr>
              <w:t>96,933,192</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3"/>
              </w:rPr>
              <w:t>10,006,269</w:t>
            </w:r>
          </w:p>
        </w:tc>
        <w:tc>
          <w:tcPr>
            <w:tcW w:w="100" w:type="dxa"/>
            <w:vAlign w:val="bottom"/>
          </w:tcPr>
          <w:p>
            <w:pPr>
              <w:spacing w:after="0"/>
              <w:rPr>
                <w:sz w:val="11"/>
                <w:szCs w:val="11"/>
                <w:color w:val="auto"/>
              </w:rPr>
            </w:pP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0"/>
              </w:rPr>
              <w:t>69,282,736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(18,492)</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(18,490)</w:t>
            </w: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Activities related to the</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follow-on offering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exchanges of</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LLC Interests, net of</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offering costs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cancellations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7"/>
              </w:rPr>
              <w:t>20,106,850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8"/>
              </w:rPr>
              <w:t>(1,677,286)</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6"/>
              </w:rPr>
              <w:t>(18,429,564)</w:t>
            </w: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rPr>
              <w:t>stock from equity</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incentive plans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301,478</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Tax receivable</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agreement liability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deferred taxes arising</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8"/>
              </w:rPr>
              <w:t>from the reorganization</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transactions, IPO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follow-on offering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LLC Interest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ownership changes</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Allocation of equity to</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rPr>
              <w:t>non-controlling</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interests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8"/>
              </w:rPr>
              <w:t>(1,607,529)</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5"/>
              </w:rPr>
              <w:t>1,607,529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Adjustments to non-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controlling interests</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402,424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(197)</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(402,227)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Distributions to non-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controlling interests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(38,346)</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(38,346)</w:t>
            </w: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Dividends ($0.24 per</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87"/>
              </w:rPr>
              <w:t>(35,936)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Stock-based</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w w:val="98"/>
              </w:rPr>
              <w:t>compensation expense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rPr>
              <w:t>under the PRSU Plan</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20,718</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20,718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Stock-based</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8"/>
              </w:rPr>
              <w:t>compensation expense</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under the Option Plan</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24,432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Payroll taxes paid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spacing w:after="0" w:line="122" w:lineRule="exact"/>
              <w:rPr>
                <w:sz w:val="20"/>
                <w:szCs w:val="20"/>
                <w:color w:val="auto"/>
              </w:rPr>
            </w:pPr>
            <w:r>
              <w:rPr>
                <w:rFonts w:ascii="Arial" w:cs="Arial" w:eastAsia="Arial" w:hAnsi="Arial"/>
                <w:sz w:val="11"/>
                <w:szCs w:val="11"/>
                <w:color w:val="auto"/>
              </w:rPr>
              <w:t>stock-based</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w w:val="94"/>
              </w:rPr>
              <w:t>compensation exercises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(8,917)</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(8,917)</w:t>
            </w: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83,769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46,903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130,672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1"/>
                <w:szCs w:val="11"/>
                <w:color w:val="auto"/>
              </w:rPr>
              <w:t>Foreign currency</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2"/>
          </w:tcPr>
          <w:p>
            <w:pPr>
              <w:spacing w:after="0"/>
              <w:rPr>
                <w:sz w:val="20"/>
                <w:szCs w:val="20"/>
                <w:color w:val="auto"/>
              </w:rPr>
            </w:pPr>
            <w:r>
              <w:rPr>
                <w:rFonts w:ascii="Arial" w:cs="Arial" w:eastAsia="Arial" w:hAnsi="Arial"/>
                <w:sz w:val="11"/>
                <w:szCs w:val="11"/>
                <w:color w:val="auto"/>
                <w:w w:val="98"/>
              </w:rPr>
              <w:t>translation adjustments</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CCEEFF"/>
            </w:tcBorders>
            <w:gridSpan w:val="2"/>
            <w:shd w:val="clear" w:color="auto" w:fill="CCEEFF"/>
          </w:tcPr>
          <w:p>
            <w:pPr>
              <w:spacing w:after="0" w:line="92" w:lineRule="exact"/>
              <w:rPr>
                <w:sz w:val="20"/>
                <w:szCs w:val="20"/>
                <w:color w:val="auto"/>
              </w:rPr>
            </w:pPr>
            <w:r>
              <w:rPr>
                <w:rFonts w:ascii="Arial" w:cs="Arial" w:eastAsia="Arial" w:hAnsi="Arial"/>
                <w:sz w:val="10"/>
                <w:szCs w:val="10"/>
                <w:color w:val="auto"/>
              </w:rPr>
              <w:t>Balance at December</w:t>
            </w: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31, 2019 (Post-IPO</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66,408,328</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3"/>
              </w:rPr>
              <w:t>96,933,192</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8,328,983</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50,853,172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3,329,386</w:t>
            </w: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1,366</w:t>
            </w:r>
          </w:p>
        </w:tc>
        <w:tc>
          <w:tcPr>
            <w:tcW w:w="1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47,833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5"/>
              </w:rPr>
              <w:t>1,214,157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4,592,745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140" w:type="dxa"/>
            <w:vAlign w:val="bottom"/>
            <w:tcBorders>
              <w:bottom w:val="single" w:sz="8" w:color="CCEEFF"/>
            </w:tcBorders>
            <w:gridSpan w:val="2"/>
            <w:shd w:val="clear" w:color="auto" w:fill="CCEEFF"/>
          </w:tcPr>
          <w:p>
            <w:pPr>
              <w:spacing w:after="0" w:line="118" w:lineRule="exact"/>
              <w:rPr>
                <w:sz w:val="20"/>
                <w:szCs w:val="20"/>
                <w:color w:val="auto"/>
              </w:rPr>
            </w:pPr>
            <w:r>
              <w:rPr>
                <w:rFonts w:ascii="Arial" w:cs="Arial" w:eastAsia="Arial" w:hAnsi="Arial"/>
                <w:sz w:val="11"/>
                <w:szCs w:val="11"/>
                <w:color w:val="auto"/>
              </w:rPr>
              <w:t>Period)</w:t>
            </w: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6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5" w:right="113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Members'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15"/>
        </w:trPr>
        <w:tc>
          <w:tcPr>
            <w:tcW w:w="61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Successor</w:t>
            </w: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00" w:type="dxa"/>
            <w:vAlign w:val="bottom"/>
            <w:gridSpan w:val="3"/>
          </w:tcPr>
          <w:p>
            <w:pPr>
              <w:spacing w:after="0" w:line="149" w:lineRule="exact"/>
              <w:rPr>
                <w:sz w:val="20"/>
                <w:szCs w:val="20"/>
                <w:color w:val="auto"/>
              </w:rPr>
            </w:pPr>
            <w:r>
              <w:rPr>
                <w:rFonts w:ascii="Arial" w:cs="Arial" w:eastAsia="Arial" w:hAnsi="Arial"/>
                <w:sz w:val="14"/>
                <w:szCs w:val="14"/>
                <w:color w:val="auto"/>
              </w:rPr>
              <w:t>Members' capital at October 1, 2018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4,562,154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4,562,154</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29,307</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28,441</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Conversion of certain cash-settled PRSUs to equity-settled PRSUs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19,072</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Members' capital at December 31,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4,573,200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4,572,334</w:t>
            </w:r>
          </w:p>
        </w:tc>
        <w:tc>
          <w:tcPr>
            <w:tcW w:w="0" w:type="dxa"/>
            <w:vAlign w:val="bottom"/>
          </w:tcPr>
          <w:p>
            <w:pPr>
              <w:spacing w:after="0"/>
              <w:rPr>
                <w:sz w:val="1"/>
                <w:szCs w:val="1"/>
                <w:color w:val="auto"/>
              </w:rPr>
            </w:pPr>
          </w:p>
        </w:tc>
      </w:tr>
      <w:tr>
        <w:trPr>
          <w:trHeight w:val="57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Members'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22"/>
        </w:trPr>
        <w:tc>
          <w:tcPr>
            <w:tcW w:w="740" w:type="dxa"/>
            <w:vAlign w:val="bottom"/>
            <w:tcBorders>
              <w:top w:val="single" w:sz="8" w:color="CCEEFF"/>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2"/>
              </w:rPr>
              <w:t>Predecessor</w:t>
            </w:r>
          </w:p>
        </w:tc>
        <w:tc>
          <w:tcPr>
            <w:tcW w:w="53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9" w:lineRule="exact"/>
              <w:rPr>
                <w:sz w:val="20"/>
                <w:szCs w:val="20"/>
                <w:color w:val="auto"/>
              </w:rPr>
            </w:pPr>
            <w:r>
              <w:rPr>
                <w:rFonts w:ascii="Arial" w:cs="Arial" w:eastAsia="Arial" w:hAnsi="Arial"/>
                <w:sz w:val="14"/>
                <w:szCs w:val="14"/>
                <w:color w:val="auto"/>
              </w:rPr>
              <w:t>Members' capital at December 31, 2016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1,040,911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(16,152)</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1,024,759</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86,533</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 contributions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29,285</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(152,000)</w:t>
            </w:r>
          </w:p>
        </w:tc>
        <w:tc>
          <w:tcPr>
            <w:tcW w:w="0" w:type="dxa"/>
            <w:vAlign w:val="bottom"/>
          </w:tcPr>
          <w:p>
            <w:pPr>
              <w:spacing w:after="0"/>
              <w:rPr>
                <w:sz w:val="1"/>
                <w:szCs w:val="1"/>
                <w:color w:val="auto"/>
              </w:rPr>
            </w:pPr>
          </w:p>
        </w:tc>
      </w:tr>
      <w:tr>
        <w:trPr>
          <w:trHeight w:val="149"/>
        </w:trPr>
        <w:tc>
          <w:tcPr>
            <w:tcW w:w="61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Members' capital at December 31, 2017</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999,735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(13,267)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986,468</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130,160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130,160</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130,160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(3,064)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127,096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(139,350)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(139,350)</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contingent consideration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150,495</w:t>
            </w: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Members' capital at September 30,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1,141,496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(16,331)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2"/>
              </w:rPr>
              <w:t>Successor</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1"/>
              </w:rPr>
              <w:t>Predecessor</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Year Ended</w:t>
            </w:r>
          </w:p>
        </w:tc>
        <w:tc>
          <w:tcPr>
            <w:tcW w:w="12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October 1, 2018 to</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w w:val="90"/>
              </w:rPr>
              <w:t>January 1, 2018 to</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1"/>
              </w:rPr>
              <w:t>2018</w:t>
            </w:r>
          </w:p>
        </w:tc>
        <w:tc>
          <w:tcPr>
            <w:tcW w:w="12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173,024</w:t>
            </w:r>
          </w:p>
        </w:tc>
        <w:tc>
          <w:tcPr>
            <w:tcW w:w="2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29,307</w:t>
            </w:r>
          </w:p>
        </w:tc>
        <w:tc>
          <w:tcPr>
            <w:tcW w:w="120" w:type="dxa"/>
            <w:vAlign w:val="bottom"/>
            <w:tcBorders>
              <w:right w:val="single" w:sz="8" w:color="auto"/>
            </w:tcBorders>
          </w:tcPr>
          <w:p>
            <w:pPr>
              <w:spacing w:after="0"/>
              <w:rPr>
                <w:sz w:val="10"/>
                <w:szCs w:val="10"/>
                <w:color w:val="auto"/>
              </w:rPr>
            </w:pP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130,160</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83,648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Adjustments to reconcile net income to net cash provided by operating activities: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Depreciation and amortization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139,330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33,020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48,808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68,615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Contingent consideration</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26,830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58,520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Vesting of P-1 (C) Shares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(5,728)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Stock-based compensation expense</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Deferred taxes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15,024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968</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2,602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Tax receivable agreement liability adjustment</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(33,134)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(Increase) decrease in operating assets: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Receivable from/Payable to brokers and dealers and clearing organizations, net</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3,188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1,265</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(4,640)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200"/>
              <w:spacing w:after="0" w:line="122" w:lineRule="exact"/>
              <w:rPr>
                <w:sz w:val="20"/>
                <w:szCs w:val="20"/>
                <w:color w:val="auto"/>
              </w:rPr>
            </w:pPr>
            <w:r>
              <w:rPr>
                <w:rFonts w:ascii="Arial" w:cs="Arial" w:eastAsia="Arial" w:hAnsi="Arial"/>
                <w:sz w:val="11"/>
                <w:szCs w:val="11"/>
                <w:color w:val="auto"/>
              </w:rPr>
              <w:t>Deposits with clearing organizations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(2,248)</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Accounts receivable</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(4,283)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8,085</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(28,434)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200"/>
              <w:spacing w:after="0" w:line="122" w:lineRule="exact"/>
              <w:rPr>
                <w:sz w:val="20"/>
                <w:szCs w:val="20"/>
                <w:color w:val="auto"/>
              </w:rPr>
            </w:pPr>
            <w:r>
              <w:rPr>
                <w:rFonts w:ascii="Arial" w:cs="Arial" w:eastAsia="Arial" w:hAnsi="Arial"/>
                <w:sz w:val="11"/>
                <w:szCs w:val="11"/>
                <w:color w:val="auto"/>
              </w:rPr>
              <w:t>Receivable from/Payable to affiliates, net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(2,461)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(1,102)</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(1,850)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Other assets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(5,648)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(4,695)</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(6,371)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Increase (decrease) in operating liabilities: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Accrued compensation</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38,368</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12,364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200"/>
              <w:spacing w:after="0" w:line="122" w:lineRule="exact"/>
              <w:rPr>
                <w:sz w:val="20"/>
                <w:szCs w:val="20"/>
                <w:color w:val="auto"/>
              </w:rPr>
            </w:pPr>
            <w:r>
              <w:rPr>
                <w:rFonts w:ascii="Arial" w:cs="Arial" w:eastAsia="Arial" w:hAnsi="Arial"/>
                <w:sz w:val="11"/>
                <w:szCs w:val="11"/>
                <w:color w:val="auto"/>
              </w:rPr>
              <w:t>Deferred revenue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(396)</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(12,555)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Accounts payable, accrued expenses and other liabilities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(3,550)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639</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1"/>
                <w:szCs w:val="11"/>
                <w:color w:val="auto"/>
              </w:rPr>
              <w:t>Employee equity compensation payable</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(16,412)</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9,345</w:t>
            </w:r>
          </w:p>
        </w:tc>
        <w:tc>
          <w:tcPr>
            <w:tcW w:w="120" w:type="dxa"/>
            <w:vAlign w:val="bottom"/>
            <w:tcBorders>
              <w:bottom w:val="single" w:sz="8" w:color="CCEEFF"/>
              <w:right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2,896</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2,380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shd w:val="clear" w:color="auto" w:fill="CCEEFF"/>
          </w:tcPr>
          <w:p>
            <w:pPr>
              <w:ind w:left="300"/>
              <w:spacing w:after="0" w:line="115" w:lineRule="exact"/>
              <w:rPr>
                <w:sz w:val="20"/>
                <w:szCs w:val="20"/>
                <w:color w:val="auto"/>
              </w:rPr>
            </w:pPr>
            <w:r>
              <w:rPr>
                <w:rFonts w:ascii="Arial" w:cs="Arial" w:eastAsia="Arial" w:hAnsi="Arial"/>
                <w:sz w:val="11"/>
                <w:szCs w:val="11"/>
                <w:color w:val="auto"/>
              </w:rPr>
              <w:t>Net cash provided by operating activities</w:t>
            </w:r>
          </w:p>
        </w:tc>
        <w:tc>
          <w:tcPr>
            <w:tcW w:w="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311,003</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112,556</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164,828</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224,580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Pr>
          <w:p>
            <w:pPr>
              <w:spacing w:after="0" w:line="115" w:lineRule="exact"/>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furniture, equipment, software and leasehold improvements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(15,781)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(9,090)</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(6,327)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Capitalized software development costs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(28,681)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(7,156)</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(19,523)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(27,157)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Business acquisitions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Purchase of investments</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right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shd w:val="clear" w:color="auto" w:fill="CCEEFF"/>
          </w:tcPr>
          <w:p>
            <w:pPr>
              <w:ind w:left="300"/>
              <w:spacing w:after="0" w:line="115" w:lineRule="exact"/>
              <w:rPr>
                <w:sz w:val="20"/>
                <w:szCs w:val="20"/>
                <w:color w:val="auto"/>
              </w:rPr>
            </w:pPr>
            <w:r>
              <w:rPr>
                <w:rFonts w:ascii="Arial" w:cs="Arial" w:eastAsia="Arial" w:hAnsi="Arial"/>
                <w:sz w:val="11"/>
                <w:szCs w:val="11"/>
                <w:color w:val="auto"/>
              </w:rPr>
              <w:t>Net cash used in investing activities</w:t>
            </w:r>
          </w:p>
        </w:tc>
        <w:tc>
          <w:tcPr>
            <w:tcW w:w="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(44,462)</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(16,246)</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(25,850)</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Pr>
          <w:p>
            <w:pPr>
              <w:spacing w:after="0" w:line="115" w:lineRule="exact"/>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Mezzanine capital contributions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Mezzanine capital distributions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(1,543)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Pre-IPO capital distributions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(36,000)</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(139,350)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Proceeds from issuance of Class A common stock in the IPO, net of underwriting discounts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1,161,270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LLC Interests in connection with the IPO</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(1,161,270)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Proceeds from issuance of Class A common stock in the follow-on offering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809,954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LLC Interests and Class A common stock in connection with the follow-on offering</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(809,954)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Offering costs from IPO and follow-on offering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(14,943)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Dividends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(35,936)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Distributions to non-controlling interests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(38,346)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Payroll taxes paid for stock-based compensation exercises</w:t>
            </w:r>
          </w:p>
        </w:tc>
        <w:tc>
          <w:tcPr>
            <w:tcW w:w="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(8,917)</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Borders>
              <w:bottom w:val="single" w:sz="8" w:color="CCEEFF"/>
            </w:tcBorders>
          </w:tcPr>
          <w:p>
            <w:pPr>
              <w:ind w:left="300"/>
              <w:spacing w:after="0" w:line="115" w:lineRule="exact"/>
              <w:rPr>
                <w:sz w:val="20"/>
                <w:szCs w:val="20"/>
                <w:color w:val="auto"/>
              </w:rPr>
            </w:pPr>
            <w:r>
              <w:rPr>
                <w:rFonts w:ascii="Arial" w:cs="Arial" w:eastAsia="Arial" w:hAnsi="Arial"/>
                <w:sz w:val="11"/>
                <w:szCs w:val="11"/>
                <w:color w:val="auto"/>
              </w:rPr>
              <w:t>Net cash used in financing activities</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(218,142)</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(36,000)</w:t>
            </w:r>
          </w:p>
        </w:tc>
        <w:tc>
          <w:tcPr>
            <w:tcW w:w="120" w:type="dxa"/>
            <w:vAlign w:val="bottom"/>
            <w:tcBorders>
              <w:bottom w:val="single" w:sz="8" w:color="CCEEFF"/>
              <w:right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(139,350)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(153,461)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Effect of exchange rate changes on cash and cash equivalents</w:t>
            </w:r>
          </w:p>
        </w:tc>
        <w:tc>
          <w:tcPr>
            <w:tcW w:w="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2,008</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(389)</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(2,043)</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3,157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Pr>
          <w:p>
            <w:pPr>
              <w:ind w:left="300"/>
              <w:spacing w:after="0" w:line="115" w:lineRule="exact"/>
              <w:rPr>
                <w:sz w:val="20"/>
                <w:szCs w:val="20"/>
                <w:color w:val="auto"/>
              </w:rPr>
            </w:pPr>
            <w:r>
              <w:rPr>
                <w:rFonts w:ascii="Arial" w:cs="Arial" w:eastAsia="Arial" w:hAnsi="Arial"/>
                <w:sz w:val="11"/>
                <w:szCs w:val="11"/>
                <w:color w:val="auto"/>
              </w:rPr>
              <w:t>Net increase (decrease) in cash and cash equivalents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50,407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59,921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(2,415)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28,724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Cash and cash equivalents and restricted cash</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Beginning of period</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411,304</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351,383</w:t>
            </w:r>
          </w:p>
        </w:tc>
        <w:tc>
          <w:tcPr>
            <w:tcW w:w="120" w:type="dxa"/>
            <w:vAlign w:val="bottom"/>
            <w:tcBorders>
              <w:bottom w:val="single" w:sz="8" w:color="CCEEFF"/>
              <w:right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353,798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325,074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End of period</w:t>
            </w:r>
          </w:p>
        </w:tc>
        <w:tc>
          <w:tcPr>
            <w:tcW w:w="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461,711</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411,304</w:t>
            </w: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351,383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353,798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Supplemental disclosure of cash flow information</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line="122" w:lineRule="exact"/>
              <w:rPr>
                <w:sz w:val="20"/>
                <w:szCs w:val="20"/>
                <w:color w:val="auto"/>
              </w:rPr>
            </w:pPr>
            <w:r>
              <w:rPr>
                <w:rFonts w:ascii="Arial" w:cs="Arial" w:eastAsia="Arial" w:hAnsi="Arial"/>
                <w:sz w:val="11"/>
                <w:szCs w:val="11"/>
                <w:color w:val="auto"/>
              </w:rPr>
              <w:t>Interest paid</w:t>
            </w:r>
          </w:p>
        </w:tc>
        <w:tc>
          <w:tcPr>
            <w:tcW w:w="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Income taxes paid</w:t>
            </w:r>
          </w:p>
        </w:tc>
        <w:tc>
          <w:tcPr>
            <w:tcW w:w="3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43,842</w:t>
            </w:r>
          </w:p>
        </w:tc>
        <w:tc>
          <w:tcPr>
            <w:tcW w:w="200" w:type="dxa"/>
            <w:vAlign w:val="bottom"/>
            <w:gridSpan w:val="2"/>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2,659</w:t>
            </w:r>
          </w:p>
        </w:tc>
        <w:tc>
          <w:tcPr>
            <w:tcW w:w="120" w:type="dxa"/>
            <w:vAlign w:val="bottom"/>
            <w:tcBorders>
              <w:right w:val="single" w:sz="8" w:color="auto"/>
            </w:tcBorders>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5,500</w:t>
            </w: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6,312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Non-cash financing activities</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00" w:type="dxa"/>
            <w:vAlign w:val="bottom"/>
          </w:tcPr>
          <w:p>
            <w:pPr>
              <w:spacing w:after="0" w:line="112" w:lineRule="exact"/>
              <w:rPr>
                <w:sz w:val="20"/>
                <w:szCs w:val="20"/>
                <w:color w:val="auto"/>
              </w:rPr>
            </w:pPr>
            <w:r>
              <w:rPr>
                <w:rFonts w:ascii="Arial" w:cs="Arial" w:eastAsia="Arial" w:hAnsi="Arial"/>
                <w:sz w:val="11"/>
                <w:szCs w:val="11"/>
                <w:color w:val="auto"/>
                <w:w w:val="93"/>
              </w:rPr>
              <w:t>Items arising from the reorganization transactions, IPO, follow-on offering and other LLC Interest ownership</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920" w:type="dxa"/>
            <w:vAlign w:val="bottom"/>
            <w:gridSpan w:val="2"/>
          </w:tcPr>
          <w:p>
            <w:pPr>
              <w:spacing w:after="0"/>
              <w:rPr>
                <w:sz w:val="20"/>
                <w:szCs w:val="20"/>
                <w:color w:val="auto"/>
              </w:rPr>
            </w:pPr>
            <w:r>
              <w:rPr>
                <w:rFonts w:ascii="Arial" w:cs="Arial" w:eastAsia="Arial" w:hAnsi="Arial"/>
                <w:sz w:val="11"/>
                <w:szCs w:val="11"/>
                <w:color w:val="auto"/>
              </w:rPr>
              <w:t>changes: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Establishment of liabilities under tax receivable agreement</w:t>
            </w:r>
          </w:p>
        </w:tc>
        <w:tc>
          <w:tcPr>
            <w:tcW w:w="3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273,951</w:t>
            </w:r>
          </w:p>
        </w:tc>
        <w:tc>
          <w:tcPr>
            <w:tcW w:w="200" w:type="dxa"/>
            <w:vAlign w:val="bottom"/>
            <w:gridSpan w:val="2"/>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ind w:left="100"/>
              <w:spacing w:after="0" w:line="122" w:lineRule="exact"/>
              <w:rPr>
                <w:sz w:val="20"/>
                <w:szCs w:val="20"/>
                <w:color w:val="auto"/>
              </w:rPr>
            </w:pPr>
            <w:r>
              <w:rPr>
                <w:rFonts w:ascii="Arial" w:cs="Arial" w:eastAsia="Arial" w:hAnsi="Arial"/>
                <w:sz w:val="11"/>
                <w:szCs w:val="11"/>
                <w:color w:val="auto"/>
              </w:rPr>
              <w:t>Deferred tax asset</w:t>
            </w:r>
          </w:p>
        </w:tc>
        <w:tc>
          <w:tcPr>
            <w:tcW w:w="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269,569</w:t>
            </w:r>
          </w:p>
        </w:tc>
        <w:tc>
          <w:tcPr>
            <w:tcW w:w="2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contingent consideration</w:t>
            </w:r>
          </w:p>
        </w:tc>
        <w:tc>
          <w:tcPr>
            <w:tcW w:w="3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150,495</w:t>
            </w: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line="122" w:lineRule="exact"/>
              <w:rPr>
                <w:sz w:val="20"/>
                <w:szCs w:val="20"/>
                <w:color w:val="auto"/>
              </w:rPr>
            </w:pPr>
            <w:r>
              <w:rPr>
                <w:rFonts w:ascii="Arial" w:cs="Arial" w:eastAsia="Arial" w:hAnsi="Arial"/>
                <w:sz w:val="11"/>
                <w:szCs w:val="11"/>
                <w:color w:val="auto"/>
              </w:rPr>
              <w:t>Conversion of convertible term note payable to Thomson Reuters to Class A Shares</w:t>
            </w:r>
          </w:p>
        </w:tc>
        <w:tc>
          <w:tcPr>
            <w:tcW w:w="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29,285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Conversion of certain cash-settled PRSUs to equity-settled PRSUs</w:t>
            </w:r>
          </w:p>
        </w:tc>
        <w:tc>
          <w:tcPr>
            <w:tcW w:w="3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19,072</w:t>
            </w:r>
          </w:p>
        </w:tc>
        <w:tc>
          <w:tcPr>
            <w:tcW w:w="120" w:type="dxa"/>
            <w:vAlign w:val="bottom"/>
            <w:tcBorders>
              <w:right w:val="single" w:sz="8" w:color="auto"/>
            </w:tcBorders>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line="108" w:lineRule="exact"/>
              <w:rPr>
                <w:sz w:val="20"/>
                <w:szCs w:val="20"/>
                <w:color w:val="auto"/>
              </w:rPr>
            </w:pPr>
            <w:r>
              <w:rPr>
                <w:rFonts w:ascii="Arial" w:cs="Arial" w:eastAsia="Arial" w:hAnsi="Arial"/>
                <w:sz w:val="11"/>
                <w:szCs w:val="11"/>
                <w:b w:val="1"/>
                <w:bCs w:val="1"/>
                <w:color w:val="auto"/>
                <w:w w:val="92"/>
              </w:rPr>
              <w:t>Reconciliation of cash, cash equivalents and restricted cash as shown on the statements of financial</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ind w:right="86"/>
              <w:spacing w:after="0" w:line="108"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20" w:type="dxa"/>
            <w:vAlign w:val="bottom"/>
            <w:gridSpan w:val="2"/>
          </w:tcPr>
          <w:p>
            <w:pPr>
              <w:spacing w:after="0"/>
              <w:rPr>
                <w:sz w:val="20"/>
                <w:szCs w:val="20"/>
                <w:color w:val="auto"/>
              </w:rPr>
            </w:pPr>
            <w:r>
              <w:rPr>
                <w:rFonts w:ascii="Arial" w:cs="Arial" w:eastAsia="Arial" w:hAnsi="Arial"/>
                <w:sz w:val="11"/>
                <w:szCs w:val="11"/>
                <w:b w:val="1"/>
                <w:bCs w:val="1"/>
                <w:color w:val="auto"/>
              </w:rPr>
              <w:t>condition: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26"/>
              <w:spacing w:after="0"/>
              <w:rPr>
                <w:sz w:val="20"/>
                <w:szCs w:val="20"/>
                <w:color w:val="auto"/>
              </w:rPr>
            </w:pPr>
            <w:r>
              <w:rPr>
                <w:rFonts w:ascii="Arial" w:cs="Arial" w:eastAsia="Arial" w:hAnsi="Arial"/>
                <w:sz w:val="11"/>
                <w:szCs w:val="11"/>
                <w:b w:val="1"/>
                <w:bCs w:val="1"/>
                <w:color w:val="auto"/>
                <w:w w:val="81"/>
              </w:rPr>
              <w:t>2018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Cash and cash equivalents</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460,711</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410,104</w:t>
            </w: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Restricted cash</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1,000</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1,200</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Cash, cash equivalents and restricted cash shown in the statement of cash flows</w:t>
            </w:r>
          </w:p>
        </w:tc>
        <w:tc>
          <w:tcPr>
            <w:tcW w:w="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461,711</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411,304</w:t>
            </w: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vMerge w:val="restart"/>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Note 1</w:t>
              </w:r>
            </w:hyperlink>
          </w:p>
        </w:tc>
        <w:tc>
          <w:tcPr>
            <w:tcW w:w="3700" w:type="dxa"/>
            <w:vAlign w:val="bottom"/>
            <w:gridSpan w:val="19"/>
            <w:vMerge w:val="restart"/>
          </w:tcPr>
          <w:p>
            <w:pPr>
              <w:ind w:left="160"/>
              <w:spacing w:after="0"/>
              <w:rPr>
                <w:rFonts w:ascii="Arial" w:cs="Arial" w:eastAsia="Arial" w:hAnsi="Arial"/>
                <w:sz w:val="18"/>
                <w:szCs w:val="18"/>
                <w:color w:val="0000EE"/>
              </w:rPr>
            </w:pPr>
            <w:hyperlink w:anchor="page124">
              <w:r>
                <w:rPr>
                  <w:rFonts w:ascii="Arial" w:cs="Arial" w:eastAsia="Arial" w:hAnsi="Arial"/>
                  <w:sz w:val="18"/>
                  <w:szCs w:val="18"/>
                  <w:color w:val="0000EE"/>
                </w:rPr>
                <w:t>Organization</w:t>
              </w:r>
            </w:hyperlink>
          </w:p>
        </w:tc>
        <w:tc>
          <w:tcPr>
            <w:tcW w:w="4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gridSpan w:val="2"/>
            <w:vMerge w:val="continue"/>
          </w:tcPr>
          <w:p>
            <w:pPr>
              <w:spacing w:after="0"/>
              <w:rPr>
                <w:sz w:val="13"/>
                <w:szCs w:val="13"/>
                <w:color w:val="auto"/>
              </w:rPr>
            </w:pPr>
          </w:p>
        </w:tc>
        <w:tc>
          <w:tcPr>
            <w:tcW w:w="3700" w:type="dxa"/>
            <w:vAlign w:val="bottom"/>
            <w:gridSpan w:val="19"/>
            <w:vMerge w:val="continue"/>
          </w:tcPr>
          <w:p>
            <w:pPr>
              <w:spacing w:after="0"/>
              <w:rPr>
                <w:sz w:val="13"/>
                <w:szCs w:val="13"/>
                <w:color w:val="auto"/>
              </w:rPr>
            </w:pPr>
          </w:p>
        </w:tc>
        <w:tc>
          <w:tcPr>
            <w:tcW w:w="3940" w:type="dxa"/>
            <w:vAlign w:val="bottom"/>
          </w:tcPr>
          <w:p>
            <w:pPr>
              <w:spacing w:after="0"/>
              <w:rPr>
                <w:sz w:val="13"/>
                <w:szCs w:val="13"/>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
        </w:trPr>
        <w:tc>
          <w:tcPr>
            <w:tcW w:w="4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gridSpan w:val="2"/>
          </w:tcPr>
          <w:p>
            <w:pPr>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Note 2</w:t>
              </w:r>
            </w:hyperlink>
          </w:p>
        </w:tc>
        <w:tc>
          <w:tcPr>
            <w:tcW w:w="3700" w:type="dxa"/>
            <w:vAlign w:val="bottom"/>
            <w:gridSpan w:val="19"/>
          </w:tcPr>
          <w:p>
            <w:pPr>
              <w:ind w:left="160"/>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Significant Accounting Policies</w:t>
              </w:r>
            </w:hyperlink>
          </w:p>
        </w:tc>
        <w:tc>
          <w:tcPr>
            <w:tcW w:w="4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Note 3</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Pushdown Accounting</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Note 4</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Intangible Assets and Goodwill</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Note 5</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Leases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6</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Restricted Cash</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7</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Deferred Revenue</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8</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Software Development Costs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9</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Income Taxes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Note 10</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Tax Receivable Agreement</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Note 11</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Stockholders’ Equity</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Note 12</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Non-Controlling Interests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Note 13</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Stock-Based Compensation Plans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Note 14</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Related Party Transactions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Note 15</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Fair Value of Financial Instruments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Note 16</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Credit Risk</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Note 17</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Commitments and Contingencies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Note 18</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Earnings Per Share</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Note 19</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Regulatory Capital Requirements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Note 20</w:t>
              </w:r>
            </w:hyperlink>
          </w:p>
        </w:tc>
        <w:tc>
          <w:tcPr>
            <w:tcW w:w="3700" w:type="dxa"/>
            <w:vAlign w:val="bottom"/>
            <w:gridSpan w:val="19"/>
          </w:tcPr>
          <w:p>
            <w:pPr>
              <w:ind w:left="160"/>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Business Segment and Geographic Information</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3">
              <w:r>
                <w:rPr>
                  <w:rFonts w:ascii="Arial" w:cs="Arial" w:eastAsia="Arial" w:hAnsi="Arial"/>
                  <w:sz w:val="18"/>
                  <w:szCs w:val="18"/>
                  <w:color w:val="0000EE"/>
                  <w:w w:val="88"/>
                </w:rPr>
                <w:t>Note 21</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Quarterly Results of Operations (Unaudited)</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Note 22</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Subsequent Events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885"/>
        </w:trPr>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tcPr>
          <w:p>
            <w:pPr>
              <w:jc w:val="right"/>
              <w:ind w:right="3470"/>
              <w:spacing w:after="0"/>
              <w:rPr>
                <w:sz w:val="20"/>
                <w:szCs w:val="20"/>
                <w:color w:val="auto"/>
              </w:rPr>
            </w:pPr>
            <w:r>
              <w:rPr>
                <w:rFonts w:ascii="Arial" w:cs="Arial" w:eastAsia="Arial" w:hAnsi="Arial"/>
                <w:sz w:val="18"/>
                <w:szCs w:val="18"/>
                <w:color w:val="auto"/>
              </w:rPr>
              <w:t>123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18" w:lineRule="exact"/>
        <w:rPr>
          <w:sz w:val="20"/>
          <w:szCs w:val="20"/>
          <w:color w:val="auto"/>
        </w:rPr>
      </w:pPr>
    </w:p>
    <w:p>
      <w:pPr>
        <w:ind w:left="580" w:hanging="577"/>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Refinitiv owns a majority ownership interest in the Company (as defined below).</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2019, Tradeweb Markets Inc. owns 73.4% of TWM LLC and the non-controlling interest holders own the remaining 26.6% of TWM LLC.</w:t>
      </w:r>
    </w:p>
    <w:p>
      <w:pPr>
        <w:spacing w:after="0" w:line="16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1020" w:right="140" w:hanging="328"/>
        <w:spacing w:after="0" w:line="259"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6" w:lineRule="exact"/>
        <w:rPr>
          <w:rFonts w:ascii="Arial" w:cs="Arial" w:eastAsia="Arial" w:hAnsi="Arial"/>
          <w:sz w:val="18"/>
          <w:szCs w:val="18"/>
          <w:color w:val="auto"/>
        </w:rPr>
      </w:pPr>
    </w:p>
    <w:p>
      <w:pPr>
        <w:ind w:left="1020" w:right="180" w:hanging="328"/>
        <w:spacing w:after="0" w:line="264"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DW is a registered broker-dealer under the Securities Exchange Act of 1934 and a member of FINRA. DW is also registered as an introducing broker with the CFTC and NFA.</w:t>
      </w:r>
    </w:p>
    <w:p>
      <w:pPr>
        <w:spacing w:after="0" w:line="181" w:lineRule="exact"/>
        <w:rPr>
          <w:rFonts w:ascii="Arial" w:cs="Arial" w:eastAsia="Arial" w:hAnsi="Arial"/>
          <w:sz w:val="18"/>
          <w:szCs w:val="18"/>
          <w:color w:val="auto"/>
        </w:rPr>
      </w:pPr>
    </w:p>
    <w:p>
      <w:pPr>
        <w:ind w:left="1020" w:hanging="328"/>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1020" w:right="440" w:hanging="328"/>
        <w:spacing w:after="0" w:line="264"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81" w:lineRule="exact"/>
        <w:rPr>
          <w:rFonts w:ascii="Arial" w:cs="Arial" w:eastAsia="Arial" w:hAnsi="Arial"/>
          <w:sz w:val="18"/>
          <w:szCs w:val="18"/>
          <w:color w:val="auto"/>
        </w:rPr>
      </w:pPr>
    </w:p>
    <w:p>
      <w:pPr>
        <w:ind w:left="1020" w:hanging="328"/>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1020" w:right="700" w:hanging="328"/>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440" w:hanging="328"/>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Parent Company and Presentation of Financial Statements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majority interest of Refinitiv (formerly the Thomson Reuters Financial &amp; Risk Business) was acquired by BCP on October 1, 2018 (the “Refinitiv Transaction”) from Thomson Reuters Corporation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73" w:lineRule="exact"/>
        <w:rPr>
          <w:sz w:val="20"/>
          <w:szCs w:val="20"/>
          <w:color w:val="auto"/>
        </w:rPr>
      </w:pPr>
    </w:p>
    <w:p>
      <w:pPr>
        <w:jc w:val="both"/>
        <w:ind w:left="700" w:right="160" w:hanging="333"/>
        <w:spacing w:after="0" w:line="264"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successor period of the Company, reflecting the Refinitiv Transaction, as of and for the year ended December 31, 2019 and as of December 31, 2018 and for the period from October 1, 2018 to December 31, 2018 (the “2018 Successor Period”).</w:t>
      </w:r>
    </w:p>
    <w:p>
      <w:pPr>
        <w:spacing w:after="0" w:line="181" w:lineRule="exact"/>
        <w:rPr>
          <w:rFonts w:ascii="Arial" w:cs="Arial" w:eastAsia="Arial" w:hAnsi="Arial"/>
          <w:sz w:val="18"/>
          <w:szCs w:val="18"/>
          <w:color w:val="auto"/>
        </w:rPr>
      </w:pPr>
    </w:p>
    <w:p>
      <w:pPr>
        <w:ind w:left="700" w:right="400" w:hanging="333"/>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predecessor period of the Company for the period from January 1, 2018 to September 30, 2018 (the “2018 Predecessor Period”) and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 Pushdown Accounting.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8, 2019, the Corporation completed its IPO of 46,000,000 shares of Class A common stock, par value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$0.00001 per share, of the Corporation (the “Class A common stock”) at a public offering price of $27.00, which included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 shares of Class A common stock issued pursuant to the underwriters’ option to purchase additional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The Corporation received $1.2 billion in net proceeds, after deducting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but before deducting offering expenses, which were used to purchase membership interests of TWM LLC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existing equity holders of TWM LLC (and the corresponding shares of common stock were cancelled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below), at a purchase price per interest equal to the public offering price of $27.00, less the underwriting discounts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commissions payable thereon. See Note 11 –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investment and commercial banks (collectively, the “Bank Stockholders”);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members of management;</w:t>
      </w:r>
    </w:p>
    <w:p>
      <w:pPr>
        <w:spacing w:after="0" w:line="225" w:lineRule="exact"/>
        <w:rPr>
          <w:sz w:val="20"/>
          <w:szCs w:val="20"/>
          <w:color w:val="auto"/>
        </w:rPr>
      </w:pPr>
    </w:p>
    <w:p>
      <w:pPr>
        <w:ind w:left="980" w:right="40" w:firstLine="108"/>
        <w:spacing w:after="0" w:line="272" w:lineRule="auto"/>
        <w:rPr>
          <w:sz w:val="20"/>
          <w:szCs w:val="20"/>
          <w:color w:val="auto"/>
        </w:rPr>
      </w:pPr>
      <w:r>
        <w:rPr>
          <w:rFonts w:ascii="Arial" w:cs="Arial" w:eastAsia="Arial" w:hAnsi="Arial"/>
          <w:sz w:val="17"/>
          <w:szCs w:val="17"/>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Class B common stock, par value $0.00001 per share, of the Corporation (the “Class B common stock”) in connection with the completion of the Reorganization Transactions and (ii) on and after June 28, 2019, an indirect subsidiary of Refinitiv that owns shares of the Corporation’s Class B common stock which shares were contributed by the direct subsidiary of Refinitiv referred to in the foregoing clause (i); and</w:t>
      </w:r>
    </w:p>
    <w:p>
      <w:pPr>
        <w:spacing w:after="0" w:line="178" w:lineRule="exact"/>
        <w:rPr>
          <w:sz w:val="20"/>
          <w:szCs w:val="20"/>
          <w:color w:val="auto"/>
        </w:rPr>
      </w:pPr>
    </w:p>
    <w:p>
      <w:pPr>
        <w:ind w:left="980" w:right="700" w:firstLine="108"/>
        <w:spacing w:after="0" w:line="277" w:lineRule="auto"/>
        <w:rPr>
          <w:sz w:val="20"/>
          <w:szCs w:val="20"/>
          <w:color w:val="auto"/>
        </w:rPr>
      </w:pPr>
      <w:r>
        <w:rPr>
          <w:rFonts w:ascii="Arial" w:cs="Arial" w:eastAsia="Arial" w:hAnsi="Arial"/>
          <w:sz w:val="18"/>
          <w:szCs w:val="18"/>
          <w:color w:val="auto"/>
        </w:rPr>
        <w:t>an indirect subsidiary (the “Refinitiv LLC Owner” and, together with the Refinitiv Direct Owner, the “Refinitiv Owners”) of Refinitiv.</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used herein, references to “Continuing LLC Owners” refer collectively to (i) those Original LLC Owners, including the Refinitiv LLC Owner, certain Bank Stockholders and members of management, that continued to own LLC Interests (as defined below) after the completion of the IPO and Reorganization Transactions, that received shares of Class C common stock, par value $0.00001 per share, of the Corporation (the “Class C common stock”), shares of the Corporation’s Class D common stock or a combination of both, as the case may be, in connection with the completion of the Reorganization Transactions, and that may redeem or exchange their LLC Interests for shares of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ind w:left="980" w:right="180" w:firstLine="108"/>
        <w:spacing w:after="0" w:line="302" w:lineRule="auto"/>
        <w:rPr>
          <w:sz w:val="20"/>
          <w:szCs w:val="20"/>
          <w:color w:val="auto"/>
        </w:rPr>
      </w:pPr>
      <w:r>
        <w:rPr>
          <w:rFonts w:ascii="Arial" w:cs="Arial" w:eastAsia="Arial" w:hAnsi="Arial"/>
          <w:sz w:val="16"/>
          <w:szCs w:val="16"/>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 LLC Interests and (iii) appoint the Corporation as the sole manager of TWM LLC. See Note 11 – Stockholders’ Equity.</w:t>
      </w:r>
    </w:p>
    <w:p>
      <w:pPr>
        <w:spacing w:after="0" w:line="154" w:lineRule="exact"/>
        <w:rPr>
          <w:sz w:val="20"/>
          <w:szCs w:val="20"/>
          <w:color w:val="auto"/>
        </w:rPr>
      </w:pPr>
    </w:p>
    <w:p>
      <w:pPr>
        <w:jc w:val="both"/>
        <w:ind w:left="980" w:right="180" w:firstLine="108"/>
        <w:spacing w:after="0" w:line="264" w:lineRule="auto"/>
        <w:rPr>
          <w:sz w:val="20"/>
          <w:szCs w:val="20"/>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See Note 11 – Stockholders’ Equity.</w:t>
      </w:r>
    </w:p>
    <w:p>
      <w:pPr>
        <w:spacing w:after="0" w:line="181" w:lineRule="exact"/>
        <w:rPr>
          <w:sz w:val="20"/>
          <w:szCs w:val="20"/>
          <w:color w:val="auto"/>
        </w:rPr>
      </w:pPr>
    </w:p>
    <w:p>
      <w:pPr>
        <w:ind w:left="980" w:right="80" w:hanging="329"/>
        <w:spacing w:after="0" w:line="255"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9" w:lineRule="exact"/>
        <w:rPr>
          <w:rFonts w:ascii="Arial" w:cs="Arial" w:eastAsia="Arial" w:hAnsi="Arial"/>
          <w:sz w:val="18"/>
          <w:szCs w:val="18"/>
          <w:color w:val="auto"/>
        </w:rPr>
      </w:pPr>
    </w:p>
    <w:p>
      <w:pPr>
        <w:ind w:left="980" w:right="100" w:hanging="329"/>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a result of the Refinitiv Contribution (described above), the Corporation received 96,933,192 LLC Interests and the Refinitiv Direct Owner received 96,933,192 shares of Class B common stock. See Note 11 – Stockholders’ Equity.</w:t>
      </w:r>
    </w:p>
    <w:p>
      <w:pPr>
        <w:spacing w:after="0" w:line="181" w:lineRule="exact"/>
        <w:rPr>
          <w:sz w:val="20"/>
          <w:szCs w:val="20"/>
          <w:color w:val="auto"/>
        </w:rPr>
      </w:pPr>
    </w:p>
    <w:p>
      <w:pPr>
        <w:ind w:left="980" w:firstLine="108"/>
        <w:spacing w:after="0" w:line="312" w:lineRule="auto"/>
        <w:rPr>
          <w:sz w:val="20"/>
          <w:szCs w:val="20"/>
          <w:color w:val="auto"/>
        </w:rPr>
      </w:pPr>
      <w:r>
        <w:rPr>
          <w:rFonts w:ascii="Arial" w:cs="Arial" w:eastAsia="Arial" w:hAnsi="Arial"/>
          <w:sz w:val="16"/>
          <w:szCs w:val="16"/>
          <w:color w:val="auto"/>
        </w:rPr>
        <w:t>The Corporation’s board of directors adopted a new omnibus equity incentive plan, under which equity awards may be made in respect of shares of Class A common stock. It also assumed sponsorship of an option plan and PRSU plan formerly sponsored by TWM LLC. See Note 13 – Stock-Based Compensation Plans.</w:t>
      </w:r>
    </w:p>
    <w:p>
      <w:pPr>
        <w:spacing w:after="0" w:line="147" w:lineRule="exact"/>
        <w:rPr>
          <w:sz w:val="20"/>
          <w:szCs w:val="20"/>
          <w:color w:val="auto"/>
        </w:rPr>
      </w:pPr>
    </w:p>
    <w:p>
      <w:pPr>
        <w:ind w:left="980" w:right="140" w:firstLine="108"/>
        <w:spacing w:after="0" w:line="277" w:lineRule="auto"/>
        <w:rPr>
          <w:sz w:val="20"/>
          <w:szCs w:val="20"/>
          <w:color w:val="auto"/>
        </w:rPr>
      </w:pPr>
      <w:r>
        <w:rPr>
          <w:rFonts w:ascii="Arial" w:cs="Arial" w:eastAsia="Arial" w:hAnsi="Arial"/>
          <w:sz w:val="18"/>
          <w:szCs w:val="18"/>
          <w:color w:val="auto"/>
        </w:rPr>
        <w:t>The Corporation entered into a tax receivable agreement (the “Tax Receivable Agreement”) with TWM LLC and the Continuing LLC Owners. See Note 10 – Tax Receivable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TR to acquire the Refinitiv business in an all share transaction (the “LSEG Transaction”). The LSEG Transaction is subject to customary regulatory approvals and closing conditions, and is expected to close during the second half of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other members of TWM LLC.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times, transactions executed on the Company’s wholesale platform fail to settle due to the inability of a transaction party to deliver or receive the transacted security. Until the failed transaction settles, a receivable from (and a matching payable to) brokers and dealers and clearing organizations is recognized for the proceeds from the unsettled transaction.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(see Note 3 –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Furniture, equipment, purchased software and leasehold improvements are tested for impairment whenever events or changes in circumstances suggest that an asset’s carrying value may not be fully recoverable in accordance with Accounting Standards Codification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(see Note 3 – Pushdown Accounting)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2019, the Company changed the annual date on which goodwill is tested for impairment from July 1</w:t>
      </w:r>
      <w:r>
        <w:rPr>
          <w:rFonts w:ascii="Arial" w:cs="Arial" w:eastAsia="Arial" w:hAnsi="Arial"/>
          <w:sz w:val="8"/>
          <w:szCs w:val="8"/>
          <w:color w:val="auto"/>
        </w:rPr>
        <w:t>st</w:t>
      </w:r>
      <w:r>
        <w:rPr>
          <w:rFonts w:ascii="Arial" w:cs="Arial" w:eastAsia="Arial" w:hAnsi="Arial"/>
          <w:sz w:val="18"/>
          <w:szCs w:val="18"/>
          <w:color w:val="auto"/>
        </w:rPr>
        <w:t xml:space="preserve"> to October 1</w:t>
      </w:r>
      <w:r>
        <w:rPr>
          <w:rFonts w:ascii="Arial" w:cs="Arial" w:eastAsia="Arial" w:hAnsi="Arial"/>
          <w:sz w:val="8"/>
          <w:szCs w:val="8"/>
          <w:color w:val="auto"/>
        </w:rPr>
        <w:t>st</w:t>
      </w:r>
      <w:r>
        <w:rPr>
          <w:rFonts w:ascii="Arial" w:cs="Arial" w:eastAsia="Arial" w:hAnsi="Arial"/>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Intangible assets with a finite life are amortized over the estimated lives, ranging from seven to sixteen years, in accordance with ASC 350. Intangible assets subject to amortization are tested for impairment whenever events or changes in circumstances suggest that an asset's or asset group's carrying value may not be fully recoverable in accordance with ASC</w:t>
      </w:r>
    </w:p>
    <w:p>
      <w:pPr>
        <w:ind w:firstLine="3"/>
        <w:spacing w:after="0" w:line="255" w:lineRule="auto"/>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and Follow-On Offering Costs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began incurring costs in connection with the filing of a Registration Statement on Form S-1 for an IPO and a Registration Statement on Form S-1 for a follow-on offering in 2018 and in the third quarter of 2019, respectively. IPO and follow-on offering costs consist of legal, accounting, and other costs directly related to the Company’s efforts to raise capital. In accordance with ASC 505-10-25, </w:t>
      </w:r>
      <w:r>
        <w:rPr>
          <w:rFonts w:ascii="Arial" w:cs="Arial" w:eastAsia="Arial" w:hAnsi="Arial"/>
          <w:sz w:val="17"/>
          <w:szCs w:val="17"/>
          <w:i w:val="1"/>
          <w:iCs w:val="1"/>
          <w:color w:val="auto"/>
        </w:rPr>
        <w:t>Equity</w:t>
      </w:r>
      <w:r>
        <w:rPr>
          <w:rFonts w:ascii="Arial" w:cs="Arial" w:eastAsia="Arial" w:hAnsi="Arial"/>
          <w:sz w:val="17"/>
          <w:szCs w:val="17"/>
          <w:color w:val="auto"/>
        </w:rPr>
        <w:t>, these costs are recognized in additional paid-in capital within the consolidated statements of financial condition when the offering is effective. As of December 31, 2019, $15.9 million of deferred costs related to the IPO and $2.6 million of deferred costs related to the follow-on offering were recognized in additional paid-in capital in the consolidated statements of financial condition. See Note 11 –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on a pro rata basis.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elected to treat taxes due on future U.S. inclusions in taxable income under the global intangible low-taxed income (“GILTI”) provision of the Tax Cuts and Jobs Act as a current period expense when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 Correction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fourth quarter of 2019, the Company identified and corrected immaterial errors in the calculation of the deferred tax asset associated with the Reorganization Transactions that reduced additional paid-in-capital by $10.2 million and, reduced the deferred tax asset by $10.2 million. This correction relates to immaterial errors associated with inputs (including estimates) used in the calculation of the deferred tax balances related to the Refinitiv Contribution. This correction, if it had been recorded in the interim periods of 2019, would have reduced additional paid-in capital by $10.2 million and reduced the deferred tax asset by $10.2 million at June 30, 2019 and September 30, 2019 and would not have had a material impact on our net assets and would not have had a material impact on our consolidated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Also included in subscription fees are viewer fees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revenue for brokerage transactions are recognized and recorded on a trade-date basis. Commission revenue is collected by the Company when the trade settles or is billed monthly.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January 1, 2018,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approach. The adoption of ASU 2014-09 did not have a material impact on the measurement or recognition of revenue in any prior reporting periods. However, subsequent to the adoption, the Company was required to make significant judgements for the Refinitiv market data fees. Significant judgements used in accounting for this contract include:</w:t>
      </w:r>
    </w:p>
    <w:p>
      <w:pPr>
        <w:spacing w:after="0" w:line="154" w:lineRule="exact"/>
        <w:rPr>
          <w:sz w:val="20"/>
          <w:szCs w:val="20"/>
          <w:color w:val="auto"/>
        </w:rPr>
      </w:pPr>
    </w:p>
    <w:p>
      <w:pPr>
        <w:ind w:left="660" w:hanging="333"/>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provision of real-time market data feeds and annual historical data sets are distinct performance obligations.</w:t>
      </w:r>
    </w:p>
    <w:p>
      <w:pPr>
        <w:spacing w:after="0" w:line="248" w:lineRule="exact"/>
        <w:rPr>
          <w:rFonts w:ascii="Arial" w:cs="Arial" w:eastAsia="Arial" w:hAnsi="Arial"/>
          <w:sz w:val="16"/>
          <w:szCs w:val="16"/>
          <w:color w:val="auto"/>
        </w:rPr>
      </w:pPr>
    </w:p>
    <w:p>
      <w:pPr>
        <w:ind w:left="660" w:right="120" w:hanging="333"/>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160" w:hanging="333"/>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Some revenues earned by the Company have fixed fee components, such as monthly minimums or fixed monthly fees, and variable components, such as transaction-based fees. The breakdown of revenues between fixed and variable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in thousands, for the year ended December 31, 2019, the 2018 Successor Period and the 2018 Predecessor Period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1100" w:type="dxa"/>
            <w:vAlign w:val="bottom"/>
            <w:gridSpan w:val="3"/>
            <w:vMerge w:val="restart"/>
          </w:tcPr>
          <w:p>
            <w:pPr>
              <w:jc w:val="center"/>
              <w:ind w:left="379"/>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4"/>
            <w:vMerge w:val="restart"/>
          </w:tcPr>
          <w:p>
            <w:pPr>
              <w:jc w:val="center"/>
              <w:ind w:right="33"/>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center"/>
              <w:ind w:right="33"/>
              <w:spacing w:after="0" w:line="119"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4"/>
          </w:tcPr>
          <w:p>
            <w:pPr>
              <w:jc w:val="center"/>
              <w:ind w:right="36"/>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4"/>
          </w:tcPr>
          <w:p>
            <w:pPr>
              <w:jc w:val="center"/>
              <w:ind w:right="33"/>
              <w:spacing w:after="0" w:line="119" w:lineRule="exact"/>
              <w:rPr>
                <w:sz w:val="20"/>
                <w:szCs w:val="20"/>
                <w:color w:val="auto"/>
              </w:rPr>
            </w:pPr>
            <w:r>
              <w:rPr>
                <w:rFonts w:ascii="Arial" w:cs="Arial" w:eastAsia="Arial" w:hAnsi="Arial"/>
                <w:sz w:val="13"/>
                <w:szCs w:val="13"/>
                <w:b w:val="1"/>
                <w:bCs w:val="1"/>
                <w:color w:val="auto"/>
              </w:rPr>
              <w:t>January 1, 2018 to</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Variable</w:t>
            </w:r>
          </w:p>
        </w:tc>
        <w:tc>
          <w:tcPr>
            <w:tcW w:w="14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0"/>
                <w:szCs w:val="10"/>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9"/>
              </w:rPr>
              <w:t>Variable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6"/>
          </w:tcPr>
          <w:p>
            <w:pPr>
              <w:ind w:left="320"/>
              <w:spacing w:after="0" w:line="119"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0"/>
                <w:szCs w:val="10"/>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325,178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98,405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23,330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208,049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65,702</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Subscription Fees including Refinitiv</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data fees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192,630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46,094</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142,676</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109,995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10,232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30,463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7"/>
        </w:trPr>
        <w:tc>
          <w:tcPr>
            <w:tcW w:w="298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437,743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337,823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81,804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258,761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247,010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7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For periods following the Reorganization Transactions and the IPO, the fair value of new equity instrument grants is determined based on the price of the Company’s Class A common stock on the grant date.</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or which may be issued under the Tradeweb Markets Inc. 2019 Omnibus Equity Incentive Plan (the “Omnibus Equity Plan”) in the future, compensation expense is measured and recognized for all awards based on their estimated fair values measured as of the grant date. Costs related to these options are recognized as an expense in the consolidated statements of income over the requisite service period, with an offsetting increase to additional paid-in capital. In conjunction with the IPO, the non-cash stock-based compensation expense associated with the Special Option Award began being expensed in the second quarter of 2019 and will continue to be expensed over the following three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Class A or Class B common stock, in the post-IPO period, using the treasury stock method, as applicable.</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fair value hierarchy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ind w:left="1300" w:right="380" w:hanging="1295"/>
        <w:spacing w:after="0" w:line="277"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1300" w:right="480" w:hanging="1295"/>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considered to be active or financial instruments for which all significant inputs are observable, either directly or indirectly;</w:t>
      </w:r>
    </w:p>
    <w:p>
      <w:pPr>
        <w:spacing w:after="0" w:line="170" w:lineRule="exact"/>
        <w:rPr>
          <w:sz w:val="20"/>
          <w:szCs w:val="20"/>
          <w:color w:val="auto"/>
        </w:rPr>
      </w:pPr>
    </w:p>
    <w:p>
      <w:pPr>
        <w:ind w:left="1300" w:right="540" w:hanging="1295"/>
        <w:spacing w:after="0" w:line="277" w:lineRule="auto"/>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Prices or valuations that require inputs that are both significant to the fair value measurement and unobservable.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June 2016, the Financial Accounting Standards Board (“FASB”) issued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w:t>
      </w:r>
      <w:r>
        <w:rPr>
          <w:rFonts w:ascii="Arial" w:cs="Arial" w:eastAsia="Arial" w:hAnsi="Arial"/>
          <w:sz w:val="18"/>
          <w:szCs w:val="18"/>
          <w:color w:val="auto"/>
        </w:rPr>
        <w:t>. The ASU provides new guidance for estimating credit losses on certain types of financial instruments by introducing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an approach based on expected losses. This requires a modified retrospective method of adoption. ASU 2017-04 was adopted on January 1, 2020. The adoption of this ASU did not have a material impact on the Company’s consolidated financial statements.</w:t>
      </w:r>
    </w:p>
    <w:p>
      <w:pPr>
        <w:spacing w:after="0" w:line="206" w:lineRule="exact"/>
        <w:rPr>
          <w:sz w:val="20"/>
          <w:szCs w:val="20"/>
          <w:color w:val="auto"/>
        </w:rPr>
      </w:pPr>
    </w:p>
    <w:p>
      <w:pPr>
        <w:ind w:right="340"/>
        <w:spacing w:after="0" w:line="224" w:lineRule="exact"/>
        <w:rPr>
          <w:sz w:val="20"/>
          <w:szCs w:val="20"/>
          <w:color w:val="auto"/>
        </w:rPr>
      </w:pPr>
      <w:r>
        <w:rPr>
          <w:rFonts w:ascii="Arial" w:cs="Arial" w:eastAsia="Arial" w:hAnsi="Arial"/>
          <w:sz w:val="16"/>
          <w:szCs w:val="16"/>
          <w:color w:val="auto"/>
        </w:rPr>
        <w:t>In January 2017, the FASB issued ASU 2017</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The ASU simplifies the quantitative goodwill impairment test by eliminating the second step of the test. Under this ASU, impairment will be measured 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comparing the estimated fair value of the reporting unit with its carrying value. The new guidance does not amend the optional qualitative assessment of goodwill impairment. This new guidance was adopted on January 1, 2020 and had no impact on the Company’s financial statements.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The amendments in this ASU simplify the accounting for income taxes by removing certain exceptions for investments, intraperiod allocations and interim calculations and include additional guidance in order to reduce complexity in accounting for income taxes. ASU 2019-12 is effective for annual periods beginning after December 15, 2020, with early adoption permitted. This new guidance was early adopted on January 1, 2020 and the adoption of this ASU did not have a material impact on the Company’s consolidated financial statements.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ASU 2016-02 was adopted on January 1, 2019 using the modified retrospective method of adoption. Upon adoption, the Company:</w:t>
      </w:r>
    </w:p>
    <w:p>
      <w:pPr>
        <w:spacing w:after="0" w:line="173" w:lineRule="exact"/>
        <w:rPr>
          <w:sz w:val="20"/>
          <w:szCs w:val="20"/>
          <w:color w:val="auto"/>
        </w:rPr>
      </w:pPr>
    </w:p>
    <w:p>
      <w:pPr>
        <w:ind w:left="640" w:hanging="313"/>
        <w:spacing w:after="0"/>
        <w:tabs>
          <w:tab w:leader="none" w:pos="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Recorded right-of-use assets of $34.8 million,</w:t>
      </w:r>
    </w:p>
    <w:p>
      <w:pPr>
        <w:spacing w:after="0" w:line="23" w:lineRule="exact"/>
        <w:rPr>
          <w:rFonts w:ascii="Arial" w:cs="Arial" w:eastAsia="Arial" w:hAnsi="Arial"/>
          <w:sz w:val="18"/>
          <w:szCs w:val="18"/>
          <w:color w:val="auto"/>
        </w:rPr>
      </w:pPr>
    </w:p>
    <w:p>
      <w:pPr>
        <w:ind w:left="640" w:hanging="313"/>
        <w:spacing w:after="0"/>
        <w:tabs>
          <w:tab w:leader="none" w:pos="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Recorded a lease liability of $39.6 million,</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Eliminated deferred rent of $4.9 million,</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Eliminated leasehold interests of $2.9 million,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Elected to take the optional package of practical expedients, which allows for no reassessment of</w:t>
      </w:r>
    </w:p>
    <w:p>
      <w:pPr>
        <w:spacing w:after="0" w:line="9" w:lineRule="exact"/>
        <w:rPr>
          <w:rFonts w:ascii="Arial" w:cs="Arial" w:eastAsia="Arial" w:hAnsi="Arial"/>
          <w:sz w:val="18"/>
          <w:szCs w:val="18"/>
          <w:color w:val="auto"/>
        </w:rPr>
      </w:pPr>
    </w:p>
    <w:p>
      <w:pPr>
        <w:ind w:left="1940" w:hanging="412"/>
        <w:spacing w:after="0"/>
        <w:tabs>
          <w:tab w:leader="none" w:pos="1940" w:val="left"/>
        </w:tabs>
        <w:numPr>
          <w:ilvl w:val="3"/>
          <w:numId w:val="84"/>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940" w:hanging="462"/>
        <w:spacing w:after="0"/>
        <w:tabs>
          <w:tab w:leader="none" w:pos="1940" w:val="left"/>
        </w:tabs>
        <w:numPr>
          <w:ilvl w:val="3"/>
          <w:numId w:val="84"/>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940" w:hanging="512"/>
        <w:spacing w:after="0"/>
        <w:tabs>
          <w:tab w:leader="none" w:pos="1940" w:val="left"/>
        </w:tabs>
        <w:numPr>
          <w:ilvl w:val="3"/>
          <w:numId w:val="84"/>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20" w:lineRule="exact"/>
        <w:rPr>
          <w:rFonts w:ascii="Arial" w:cs="Arial" w:eastAsia="Arial" w:hAnsi="Arial"/>
          <w:sz w:val="18"/>
          <w:szCs w:val="18"/>
          <w:color w:val="auto"/>
        </w:rPr>
      </w:pPr>
    </w:p>
    <w:p>
      <w:pPr>
        <w:ind w:left="580" w:hanging="577"/>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Refinitiv Transaction was accounted for by Refinitiv in accordance with the acquisition method of accounting pursuant to ASC 805,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is recorded as goodwill. The fair value of assets acquired and liabilities assumed was determined based on assumptions that reasonable market participants would use in the principal (or most advantageous) market for the asset or liability.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adjusted valuations resulted in an increase in depreciation and amortization expense, due to the increased carrying value of the Company’s assets and the related increase in depreciation of tangible assets and amortization of intangible assets, and a decrease in occupancy expense as a result of the recognition of a leasehold interest liability.</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fair value of $168.5 million was also assigned to software development costs of the Company. The excess of the fair value of the Company above the fair value accounting basis of the net assets and liabilities of the Company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allocation applying pushdown accounting as of October 1, 2018 is summarized in the table below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Company's Net Assets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Carrying Value of the Company's Net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1,880,203</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December 31, 2018, goodwill amounted to $2.7 billion.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Intangible assets and goodwill relate to the allocation of purchase price associated with the Refinitiv Transaction (see Note 3 – Pushdown Accounting).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intangible assets which have an indefinite useful life at both December 31,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Tradename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Successor</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ind w:right="43"/>
              <w:spacing w:after="0" w:line="142" w:lineRule="exact"/>
              <w:rPr>
                <w:sz w:val="20"/>
                <w:szCs w:val="20"/>
                <w:color w:val="auto"/>
              </w:rPr>
            </w:pPr>
            <w:r>
              <w:rPr>
                <w:rFonts w:ascii="Arial" w:cs="Arial" w:eastAsia="Arial" w:hAnsi="Arial"/>
                <w:sz w:val="14"/>
                <w:szCs w:val="14"/>
                <w:b w:val="1"/>
                <w:bCs w:val="1"/>
                <w:color w:val="auto"/>
                <w:w w:val="95"/>
              </w:rPr>
              <w:t>December 31, 2019</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December 31, 2018</w:t>
            </w: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Customer relationships</w:t>
            </w: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12 Years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928,200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(96,687)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831,513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928,200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908,862</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Content and data</w:t>
            </w:r>
          </w:p>
        </w:tc>
        <w:tc>
          <w:tcPr>
            <w:tcW w:w="86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86"/>
              </w:rPr>
              <w:t>7 Years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154,400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(27,572)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126,828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154,400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148,886</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1,082,600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(124,259)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958,341</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1,082,600</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(24,852)</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1,057,748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Amortization expense relating to intangible assets was $99.4 million year ended December 31, 2019. Amortization expense relating to intangible assets for the 2018 Successor Period and the 2018 Predecessor Period was $24.9 million and $19.6 million, respectively.</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annual future amortization for existing intangible assets through December 31, 2024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r>
      <w:tr>
        <w:trPr>
          <w:trHeight w:val="210"/>
        </w:trPr>
        <w:tc>
          <w:tcPr>
            <w:tcW w:w="8040" w:type="dxa"/>
            <w:vAlign w:val="bottom"/>
            <w:shd w:val="clear" w:color="auto" w:fill="CCEEFF"/>
          </w:tcPr>
          <w:p>
            <w:pPr>
              <w:jc w:val="right"/>
              <w:ind w:right="7590"/>
              <w:spacing w:after="0"/>
              <w:rPr>
                <w:sz w:val="20"/>
                <w:szCs w:val="20"/>
                <w:color w:val="auto"/>
              </w:rPr>
            </w:pPr>
            <w:r>
              <w:rPr>
                <w:rFonts w:ascii="Arial" w:cs="Arial" w:eastAsia="Arial" w:hAnsi="Arial"/>
                <w:sz w:val="18"/>
                <w:szCs w:val="18"/>
                <w:color w:val="auto"/>
                <w:w w:val="84"/>
              </w:rPr>
              <w:t>2020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8040" w:type="dxa"/>
            <w:vAlign w:val="bottom"/>
          </w:tcPr>
          <w:p>
            <w:pPr>
              <w:jc w:val="right"/>
              <w:ind w:right="7590"/>
              <w:spacing w:after="0"/>
              <w:rPr>
                <w:sz w:val="20"/>
                <w:szCs w:val="20"/>
                <w:color w:val="auto"/>
              </w:rPr>
            </w:pPr>
            <w:r>
              <w:rPr>
                <w:rFonts w:ascii="Arial" w:cs="Arial" w:eastAsia="Arial" w:hAnsi="Arial"/>
                <w:sz w:val="18"/>
                <w:szCs w:val="18"/>
                <w:color w:val="auto"/>
                <w:w w:val="84"/>
              </w:rPr>
              <w:t>2021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8040" w:type="dxa"/>
            <w:vAlign w:val="bottom"/>
            <w:shd w:val="clear" w:color="auto" w:fill="CCEEFF"/>
          </w:tcPr>
          <w:p>
            <w:pPr>
              <w:jc w:val="right"/>
              <w:ind w:right="7590"/>
              <w:spacing w:after="0"/>
              <w:rPr>
                <w:sz w:val="20"/>
                <w:szCs w:val="20"/>
                <w:color w:val="auto"/>
              </w:rPr>
            </w:pPr>
            <w:r>
              <w:rPr>
                <w:rFonts w:ascii="Arial" w:cs="Arial" w:eastAsia="Arial" w:hAnsi="Arial"/>
                <w:sz w:val="18"/>
                <w:szCs w:val="18"/>
                <w:color w:val="auto"/>
                <w:w w:val="84"/>
              </w:rPr>
              <w:t>2022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8040" w:type="dxa"/>
            <w:vAlign w:val="bottom"/>
          </w:tcPr>
          <w:p>
            <w:pPr>
              <w:jc w:val="right"/>
              <w:ind w:right="7590"/>
              <w:spacing w:after="0"/>
              <w:rPr>
                <w:sz w:val="20"/>
                <w:szCs w:val="20"/>
                <w:color w:val="auto"/>
              </w:rPr>
            </w:pPr>
            <w:r>
              <w:rPr>
                <w:rFonts w:ascii="Arial" w:cs="Arial" w:eastAsia="Arial" w:hAnsi="Arial"/>
                <w:sz w:val="18"/>
                <w:szCs w:val="18"/>
                <w:color w:val="auto"/>
                <w:w w:val="84"/>
              </w:rPr>
              <w:t>2023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8040" w:type="dxa"/>
            <w:vAlign w:val="bottom"/>
            <w:shd w:val="clear" w:color="auto" w:fill="CCEEFF"/>
          </w:tcPr>
          <w:p>
            <w:pPr>
              <w:jc w:val="right"/>
              <w:ind w:right="7590"/>
              <w:spacing w:after="0"/>
              <w:rPr>
                <w:sz w:val="20"/>
                <w:szCs w:val="20"/>
                <w:color w:val="auto"/>
              </w:rPr>
            </w:pPr>
            <w:r>
              <w:rPr>
                <w:rFonts w:ascii="Arial" w:cs="Arial" w:eastAsia="Arial" w:hAnsi="Arial"/>
                <w:sz w:val="18"/>
                <w:szCs w:val="18"/>
                <w:color w:val="auto"/>
                <w:w w:val="84"/>
              </w:rPr>
              <w:t>2024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hanging="577"/>
        <w:spacing w:after="0"/>
        <w:tabs>
          <w:tab w:leader="none" w:pos="5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Effective January 1, 2019,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the Company to recognize a right-of-use asset and a lease liability for all leases with an initial term in excess of twelve months. The Company includes the term covered by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ASC 842 using a modified retrospective approach and did not restate comparative periods. The Company elected to take the package of practical expedients allowing the Company to not reassess (i) whether any expired or existing contracts are or contain leases,</w:t>
      </w:r>
    </w:p>
    <w:p>
      <w:pPr>
        <w:spacing w:after="0" w:line="3" w:lineRule="exact"/>
        <w:rPr>
          <w:sz w:val="20"/>
          <w:szCs w:val="20"/>
          <w:color w:val="auto"/>
        </w:rPr>
      </w:pPr>
    </w:p>
    <w:p>
      <w:pPr>
        <w:ind w:right="40" w:firstLine="3"/>
        <w:spacing w:after="0" w:line="323" w:lineRule="auto"/>
        <w:tabs>
          <w:tab w:leader="none" w:pos="26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lease classification for any expired or existing leases and (iii) initial direct costs for any existing leases. The Company has elected to account for nonlease components in a contract as part of the single lease component to which they are related.</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assumptions and judgements in calculating the right-of-use assets and lease liability include the determination of the applicable borrowing rate for each lease.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On January 1, 2019, upon the adoption of ASC 842, the Company recorded, for office space and data center leases in the U.S. and U.K., right-of-use assets of $31.8 million, lease liabilities of $39.6 million and eliminated deferred rent of $4.9 million and leasehold interests of $2.9 million. The leases have initial lease terms ranging from three to 11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leases for the year ended December 31, 2019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7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9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80" w:type="dxa"/>
            <w:vAlign w:val="bottom"/>
            <w:gridSpan w:val="3"/>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10,265</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Cash for amounts included in the measurement of operating liability</w:t>
            </w:r>
          </w:p>
        </w:tc>
        <w:tc>
          <w:tcPr>
            <w:tcW w:w="180" w:type="dxa"/>
            <w:vAlign w:val="bottom"/>
            <w:gridSpan w:val="3"/>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11,667</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liabilities</w:t>
            </w:r>
          </w:p>
        </w:tc>
        <w:tc>
          <w:tcPr>
            <w:tcW w:w="180" w:type="dxa"/>
            <w:vAlign w:val="bottom"/>
            <w:gridSpan w:val="3"/>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7960" w:type="dxa"/>
            <w:vAlign w:val="bottom"/>
          </w:tcPr>
          <w:p>
            <w:pPr>
              <w:spacing w:after="0"/>
              <w:rPr>
                <w:sz w:val="20"/>
                <w:szCs w:val="20"/>
                <w:color w:val="auto"/>
              </w:rPr>
            </w:pPr>
            <w:r>
              <w:rPr>
                <w:rFonts w:ascii="Arial" w:cs="Arial" w:eastAsia="Arial" w:hAnsi="Arial"/>
                <w:sz w:val="18"/>
                <w:szCs w:val="18"/>
                <w:color w:val="auto"/>
                <w:w w:val="90"/>
              </w:rPr>
              <w:t>At December 31, 2019, the weighted average borrowing rate and weighted average lease term are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borrowing rate</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r>
      <w:tr>
        <w:trPr>
          <w:trHeight w:val="418"/>
        </w:trPr>
        <w:tc>
          <w:tcPr>
            <w:tcW w:w="7960" w:type="dxa"/>
            <w:vAlign w:val="bottom"/>
          </w:tcPr>
          <w:p>
            <w:pPr>
              <w:spacing w:after="0"/>
              <w:rPr>
                <w:sz w:val="20"/>
                <w:szCs w:val="20"/>
                <w:color w:val="auto"/>
              </w:rPr>
            </w:pPr>
            <w:r>
              <w:rPr>
                <w:rFonts w:ascii="Arial" w:cs="Arial" w:eastAsia="Arial" w:hAnsi="Arial"/>
                <w:sz w:val="18"/>
                <w:szCs w:val="18"/>
                <w:color w:val="auto"/>
                <w:w w:val="99"/>
              </w:rPr>
              <w:t>The following table presents the maturity of lease liabilities as of December 31, 2019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5,946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7,633</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33,752</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30,955</w:t>
            </w:r>
          </w:p>
        </w:tc>
      </w:tr>
      <w:tr>
        <w:trPr>
          <w:trHeight w:val="419"/>
        </w:trPr>
        <w:tc>
          <w:tcPr>
            <w:tcW w:w="7960" w:type="dxa"/>
            <w:vAlign w:val="bottom"/>
          </w:tcPr>
          <w:p>
            <w:pPr>
              <w:spacing w:after="0"/>
              <w:rPr>
                <w:sz w:val="20"/>
                <w:szCs w:val="20"/>
                <w:color w:val="auto"/>
              </w:rPr>
            </w:pPr>
            <w:r>
              <w:rPr>
                <w:rFonts w:ascii="Arial" w:cs="Arial" w:eastAsia="Arial" w:hAnsi="Arial"/>
                <w:sz w:val="18"/>
                <w:szCs w:val="18"/>
                <w:color w:val="auto"/>
              </w:rPr>
              <w:t>At December 31, 2019, the future minimum lease payments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5,946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7,633</w:t>
            </w:r>
          </w:p>
        </w:tc>
      </w:tr>
      <w:tr>
        <w:trPr>
          <w:trHeight w:val="23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33,752</w:t>
            </w:r>
          </w:p>
        </w:tc>
      </w:tr>
      <w:tr>
        <w:trPr>
          <w:trHeight w:val="419"/>
        </w:trPr>
        <w:tc>
          <w:tcPr>
            <w:tcW w:w="7960" w:type="dxa"/>
            <w:vAlign w:val="bottom"/>
          </w:tcPr>
          <w:p>
            <w:pPr>
              <w:spacing w:after="0"/>
              <w:rPr>
                <w:sz w:val="20"/>
                <w:szCs w:val="20"/>
                <w:color w:val="auto"/>
              </w:rPr>
            </w:pPr>
            <w:r>
              <w:rPr>
                <w:rFonts w:ascii="Arial" w:cs="Arial" w:eastAsia="Arial" w:hAnsi="Arial"/>
                <w:sz w:val="18"/>
                <w:szCs w:val="18"/>
                <w:color w:val="auto"/>
              </w:rPr>
              <w:t>At December 31, 2018, the future minimum lease payments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7,580</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4,051</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11,156</w:t>
            </w:r>
          </w:p>
        </w:tc>
      </w:tr>
      <w:tr>
        <w:trPr>
          <w:trHeight w:val="23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43,374</w:t>
            </w:r>
          </w:p>
        </w:tc>
      </w:tr>
      <w:tr>
        <w:trPr>
          <w:trHeight w:val="851"/>
        </w:trPr>
        <w:tc>
          <w:tcPr>
            <w:tcW w:w="7960" w:type="dxa"/>
            <w:vAlign w:val="bottom"/>
          </w:tcPr>
          <w:p>
            <w:pPr>
              <w:ind w:left="440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7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Rent expense amounted to $2.7 million, $9.0 million and $11.8 million for the 2018 Successor Period, 2018 Predecessor Period and the year ended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 U.S. lease is secured by a letter of credit in the amount of $1.2 million, which is guaranteed by Refinitiv.</w:t>
      </w:r>
    </w:p>
    <w:p>
      <w:pPr>
        <w:spacing w:after="0" w:line="221" w:lineRule="exact"/>
        <w:rPr>
          <w:sz w:val="20"/>
          <w:szCs w:val="20"/>
          <w:color w:val="auto"/>
        </w:rPr>
      </w:pPr>
    </w:p>
    <w:p>
      <w:pPr>
        <w:ind w:left="580" w:hanging="577"/>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2019 and December 31, 2018, cash in the amount of $1.0 million and $1.2 million, respectively, has been segregated in the PAB reserve account exceeding the requirements pursuant to SEC Rule 15c3-3.</w:t>
      </w:r>
    </w:p>
    <w:p>
      <w:pPr>
        <w:spacing w:after="0" w:line="169" w:lineRule="exact"/>
        <w:rPr>
          <w:sz w:val="20"/>
          <w:szCs w:val="20"/>
          <w:color w:val="auto"/>
        </w:rPr>
      </w:pPr>
    </w:p>
    <w:p>
      <w:pPr>
        <w:ind w:left="580" w:hanging="577"/>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New billings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106,153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(110,046)</w:t>
            </w: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Deferred revenue balance - December 31, 2019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w:t>
            </w:r>
          </w:p>
        </w:tc>
      </w:tr>
    </w:tbl>
    <w:p>
      <w:pPr>
        <w:spacing w:after="0" w:line="211" w:lineRule="exact"/>
        <w:rPr>
          <w:sz w:val="20"/>
          <w:szCs w:val="20"/>
          <w:color w:val="auto"/>
        </w:rPr>
      </w:pPr>
    </w:p>
    <w:p>
      <w:pPr>
        <w:ind w:left="580" w:hanging="577"/>
        <w:spacing w:after="0"/>
        <w:tabs>
          <w:tab w:leader="none" w:pos="5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81"/>
              <w:spacing w:after="0"/>
              <w:rPr>
                <w:sz w:val="20"/>
                <w:szCs w:val="20"/>
                <w:color w:val="auto"/>
              </w:rPr>
            </w:pPr>
            <w:r>
              <w:rPr>
                <w:rFonts w:ascii="Arial" w:cs="Arial" w:eastAsia="Arial" w:hAnsi="Arial"/>
                <w:sz w:val="14"/>
                <w:szCs w:val="14"/>
                <w:b w:val="1"/>
                <w:bCs w:val="1"/>
                <w:color w:val="auto"/>
              </w:rPr>
              <w:t>Successor</w:t>
            </w:r>
          </w:p>
        </w:tc>
      </w:tr>
      <w:tr>
        <w:trPr>
          <w:trHeight w:val="119"/>
        </w:trPr>
        <w:tc>
          <w:tcPr>
            <w:tcW w:w="6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(31,250)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17"/>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170,582</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Capitalized software development costs and non-capitalized software costs and routine maintenance costs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w w:val="95"/>
              </w:rPr>
              <w:t>Successor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63"/>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4"/>
                <w:szCs w:val="14"/>
                <w:color w:val="auto"/>
              </w:rPr>
            </w:pPr>
          </w:p>
        </w:tc>
        <w:tc>
          <w:tcPr>
            <w:tcW w:w="960" w:type="dxa"/>
            <w:vAlign w:val="bottom"/>
          </w:tcPr>
          <w:p>
            <w:pPr>
              <w:jc w:val="right"/>
              <w:ind w:right="103"/>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October 1, 2018</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 2018</w:t>
            </w: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 capitalized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182"/>
        </w:trPr>
        <w:tc>
          <w:tcPr>
            <w:tcW w:w="3960" w:type="dxa"/>
            <w:vAlign w:val="bottom"/>
          </w:tcPr>
          <w:p>
            <w:pPr>
              <w:spacing w:after="0" w:line="182" w:lineRule="exact"/>
              <w:rPr>
                <w:sz w:val="20"/>
                <w:szCs w:val="20"/>
                <w:color w:val="auto"/>
              </w:rPr>
            </w:pPr>
            <w:r>
              <w:rPr>
                <w:rFonts w:ascii="Arial" w:cs="Arial" w:eastAsia="Arial" w:hAnsi="Arial"/>
                <w:sz w:val="18"/>
                <w:szCs w:val="18"/>
                <w:color w:val="auto"/>
                <w:w w:val="94"/>
              </w:rPr>
              <w:t>Amortization expense related to capitalized software</w:t>
            </w: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26,176</w:t>
            </w:r>
          </w:p>
        </w:tc>
        <w:tc>
          <w:tcPr>
            <w:tcW w:w="6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5,074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19,962</w:t>
            </w:r>
          </w:p>
        </w:tc>
        <w:tc>
          <w:tcPr>
            <w:tcW w:w="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25,420</w:t>
            </w: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development costs</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383" w:lineRule="exact"/>
        <w:rPr>
          <w:sz w:val="20"/>
          <w:szCs w:val="20"/>
          <w:color w:val="auto"/>
        </w:rPr>
      </w:pPr>
    </w:p>
    <w:p>
      <w:pPr>
        <w:ind w:left="580" w:hanging="577"/>
        <w:spacing w:after="0"/>
        <w:tabs>
          <w:tab w:leader="none" w:pos="5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year ended December 31, 2019, total income before the provision for income taxes amounted to $225.3 million, consisting of $207.7 million in the United States and $17.6 million in foreign locations.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 2018 to</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Current:</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Federal</w:t>
            </w:r>
          </w:p>
        </w:tc>
        <w:tc>
          <w:tcPr>
            <w:tcW w:w="10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21,373</w:t>
            </w:r>
          </w:p>
        </w:tc>
        <w:tc>
          <w:tcPr>
            <w:tcW w:w="1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State and Local</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Foreign</w:t>
            </w: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tax expense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37,278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2,447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7,079</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Deferred: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Federal</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State and local</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18,194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deferred tax expense</w:t>
            </w: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15,024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2,602</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provision for income taxes</w:t>
            </w: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52,302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3,415</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11,900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 2018 to</w:t>
            </w: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Statutory U.S. federal income tax rate</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8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3600" w:type="dxa"/>
            <w:vAlign w:val="bottom"/>
          </w:tcPr>
          <w:p>
            <w:pPr>
              <w:spacing w:after="0" w:line="130" w:lineRule="exact"/>
              <w:rPr>
                <w:sz w:val="20"/>
                <w:szCs w:val="20"/>
                <w:color w:val="auto"/>
              </w:rPr>
            </w:pPr>
            <w:r>
              <w:rPr>
                <w:rFonts w:ascii="Arial" w:cs="Arial" w:eastAsia="Arial" w:hAnsi="Arial"/>
                <w:sz w:val="14"/>
                <w:szCs w:val="14"/>
                <w:color w:val="auto"/>
              </w:rPr>
              <w:t>State and local income taxes, net of federal income tax</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tax rate differential</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Tax Cuts and Jobs Act Provisional Tax Charge</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 flow-through structure</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2"/>
                <w:szCs w:val="12"/>
                <w:color w:val="auto"/>
              </w:rPr>
            </w:pP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Receivable Agreement adjustment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Rate Change</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2" w:lineRule="exact"/>
              <w:rPr>
                <w:sz w:val="20"/>
                <w:szCs w:val="20"/>
                <w:color w:val="auto"/>
              </w:rPr>
            </w:pPr>
            <w:r>
              <w:rPr>
                <w:rFonts w:ascii="Arial" w:cs="Arial" w:eastAsia="Arial" w:hAnsi="Arial"/>
                <w:sz w:val="14"/>
                <w:szCs w:val="14"/>
                <w:color w:val="auto"/>
              </w:rPr>
              <w:t>Effective income tax rate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w:t>
            </w:r>
          </w:p>
        </w:tc>
        <w:tc>
          <w:tcPr>
            <w:tcW w:w="18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consolidated effective tax rate for the year-ended December 31, 2019 was 23.2% as compared to 10.4% in the 2018 Successor Period and 8.4% in the 2018 Predecessor period. The effective tax rate increased from prior periods due to the Reorganization Transactions.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 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increase over time as the Continuing LLC Owners redeem or exchange their LLC Interests for shares of Class A common stock or Class B common stock, as applicable, or the Corporation purchases LLC Interests from the Continuing LLC Owners. In addition to the Reorganization Transactions, the tax impact of rate changes on total tax expense was 10.2% in 2019 due to the reduction of the Company’s net deferred tax asset.</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consolidated effective tax rate will also vary from period to period depending on changes in the geographic mix of its earnings and changes in tax legislation and tax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 (liability)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5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188"/>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188"/>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r>
      <w:tr>
        <w:trPr>
          <w:trHeight w:val="149"/>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rPr>
              <w:t>Investment in partnership</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226,241</w:t>
            </w:r>
          </w:p>
        </w:tc>
        <w:tc>
          <w:tcPr>
            <w:tcW w:w="260" w:type="dxa"/>
            <w:vAlign w:val="bottom"/>
          </w:tcPr>
          <w:p>
            <w:pPr>
              <w:spacing w:after="0"/>
              <w:rPr>
                <w:sz w:val="12"/>
                <w:szCs w:val="12"/>
                <w:color w:val="auto"/>
              </w:rPr>
            </w:pP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operating losses</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6,810</w:t>
            </w:r>
          </w:p>
        </w:tc>
        <w:tc>
          <w:tcPr>
            <w:tcW w:w="20" w:type="dxa"/>
            <w:vAlign w:val="bottom"/>
          </w:tcPr>
          <w:p>
            <w:pPr>
              <w:spacing w:after="0"/>
              <w:rPr>
                <w:sz w:val="12"/>
                <w:szCs w:val="12"/>
                <w:color w:val="auto"/>
              </w:rPr>
            </w:pPr>
          </w:p>
        </w:tc>
      </w:tr>
      <w:tr>
        <w:trPr>
          <w:trHeight w:val="149"/>
        </w:trPr>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rPr>
              <w:t>Tax Receivable Agreement - Interest</w:t>
            </w: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10,395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compensation</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rPr>
              <w:t>Credits</w:t>
            </w: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8,342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2,362</w:t>
            </w:r>
          </w:p>
        </w:tc>
        <w:tc>
          <w:tcPr>
            <w:tcW w:w="20" w:type="dxa"/>
            <w:vAlign w:val="bottom"/>
          </w:tcPr>
          <w:p>
            <w:pPr>
              <w:spacing w:after="0"/>
              <w:rPr>
                <w:sz w:val="12"/>
                <w:szCs w:val="12"/>
                <w:color w:val="auto"/>
              </w:rPr>
            </w:pPr>
          </w:p>
        </w:tc>
      </w:tr>
      <w:tr>
        <w:trPr>
          <w:trHeight w:val="142"/>
        </w:trPr>
        <w:tc>
          <w:tcPr>
            <w:tcW w:w="5340" w:type="dxa"/>
            <w:vAlign w:val="bottom"/>
          </w:tcPr>
          <w:p>
            <w:pPr>
              <w:ind w:left="220"/>
              <w:spacing w:after="0" w:line="142" w:lineRule="exact"/>
              <w:rPr>
                <w:sz w:val="20"/>
                <w:szCs w:val="20"/>
                <w:color w:val="auto"/>
              </w:rPr>
            </w:pPr>
            <w:r>
              <w:rPr>
                <w:rFonts w:ascii="Arial" w:cs="Arial" w:eastAsia="Arial" w:hAnsi="Arial"/>
                <w:sz w:val="14"/>
                <w:szCs w:val="14"/>
                <w:color w:val="auto"/>
              </w:rPr>
              <w:t>Deferred tax assets, gross</w:t>
            </w:r>
          </w:p>
        </w:tc>
        <w:tc>
          <w:tcPr>
            <w:tcW w:w="26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auto"/>
              </w:rPr>
              <w:t>260,707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4"/>
                <w:szCs w:val="14"/>
                <w:color w:val="auto"/>
              </w:rPr>
              <w:t>9,172</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2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5340" w:type="dxa"/>
            <w:vAlign w:val="bottom"/>
          </w:tcPr>
          <w:p>
            <w:pPr>
              <w:ind w:left="220"/>
              <w:spacing w:after="0" w:line="142" w:lineRule="exact"/>
              <w:rPr>
                <w:sz w:val="20"/>
                <w:szCs w:val="20"/>
                <w:color w:val="auto"/>
              </w:rPr>
            </w:pPr>
            <w:r>
              <w:rPr>
                <w:rFonts w:ascii="Arial" w:cs="Arial" w:eastAsia="Arial" w:hAnsi="Arial"/>
                <w:sz w:val="14"/>
                <w:szCs w:val="14"/>
                <w:color w:val="auto"/>
              </w:rPr>
              <w:t>Total deferred tax assets, net</w:t>
            </w: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260,707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9,172</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Goodwill and Intangibles</w:t>
            </w:r>
          </w:p>
        </w:tc>
        <w:tc>
          <w:tcPr>
            <w:tcW w:w="2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(25,829)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(28,799)</w:t>
            </w:r>
          </w:p>
        </w:tc>
        <w:tc>
          <w:tcPr>
            <w:tcW w:w="20" w:type="dxa"/>
            <w:vAlign w:val="bottom"/>
          </w:tcPr>
          <w:p>
            <w:pPr>
              <w:spacing w:after="0"/>
              <w:rPr>
                <w:sz w:val="12"/>
                <w:szCs w:val="12"/>
                <w:color w:val="auto"/>
              </w:rPr>
            </w:pPr>
          </w:p>
        </w:tc>
      </w:tr>
      <w:tr>
        <w:trPr>
          <w:trHeight w:val="142"/>
        </w:trPr>
        <w:tc>
          <w:tcPr>
            <w:tcW w:w="5340" w:type="dxa"/>
            <w:vAlign w:val="bottom"/>
          </w:tcPr>
          <w:p>
            <w:pPr>
              <w:ind w:left="220"/>
              <w:spacing w:after="0" w:line="142" w:lineRule="exact"/>
              <w:rPr>
                <w:sz w:val="20"/>
                <w:szCs w:val="20"/>
                <w:color w:val="auto"/>
              </w:rPr>
            </w:pPr>
            <w:r>
              <w:rPr>
                <w:rFonts w:ascii="Arial" w:cs="Arial" w:eastAsia="Arial" w:hAnsi="Arial"/>
                <w:sz w:val="14"/>
                <w:szCs w:val="14"/>
                <w:color w:val="auto"/>
              </w:rPr>
              <w:t>Total deferred tax liabilities</w:t>
            </w: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(25,829)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(28,799)</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tcPr>
          <w:p>
            <w:pPr>
              <w:spacing w:after="0" w:line="142" w:lineRule="exact"/>
              <w:rPr>
                <w:sz w:val="20"/>
                <w:szCs w:val="20"/>
                <w:color w:val="auto"/>
              </w:rPr>
            </w:pPr>
            <w:r>
              <w:rPr>
                <w:rFonts w:ascii="Arial" w:cs="Arial" w:eastAsia="Arial" w:hAnsi="Arial"/>
                <w:sz w:val="14"/>
                <w:szCs w:val="14"/>
                <w:color w:val="auto"/>
              </w:rPr>
              <w:t>Total net deferred tax asset (liability)</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234,878</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(19,627)</w:t>
            </w:r>
          </w:p>
        </w:tc>
        <w:tc>
          <w:tcPr>
            <w:tcW w:w="20" w:type="dxa"/>
            <w:vAlign w:val="bottom"/>
            <w:tcBorders>
              <w:bottom w:val="single" w:sz="8" w:color="auto"/>
            </w:tcBorders>
          </w:tcPr>
          <w:p>
            <w:pPr>
              <w:spacing w:after="0"/>
              <w:rPr>
                <w:sz w:val="12"/>
                <w:szCs w:val="12"/>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10 – Tax Receivable Agreement. As a result of the reorganization transactions, the IPO, the October 2019 follow-on offering and LLC Interest ownership changes during the year ended December 31, 2019, the Company assumed a deferred tax benefit of $216.2 million, primarily due to an increase in amortizable tax basis that will be amortized primarily over 15 years pursuant to Section 197 of the Internal Revenue Code of 1986, as amended, offset by other factors. The tax benefit has been recognized in deferred tax asset on the December 31, 2019 consolidated statement of financial condition.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2019, the Company had New York State and New York City net operating loss carryforwards for income tax purposes of $15.7 million and $13.9 million, respectively. If not utilized, the state and local net operating loss carryforwards will begin to expire in 2035.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uncertain tax positions are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jc w:val="center"/>
              <w:ind w:right="269"/>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color w:val="auto"/>
              </w:rPr>
              <w:t>Gross unrecognized tax benefits as of January 1</w:t>
            </w:r>
          </w:p>
        </w:tc>
        <w:tc>
          <w:tcPr>
            <w:tcW w:w="1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Pr>
          <w:p>
            <w:pPr>
              <w:jc w:val="right"/>
              <w:spacing w:after="0" w:line="142" w:lineRule="exact"/>
              <w:rPr>
                <w:sz w:val="20"/>
                <w:szCs w:val="20"/>
                <w:color w:val="auto"/>
              </w:rPr>
            </w:pPr>
            <w:r>
              <w:rPr>
                <w:rFonts w:ascii="Arial" w:cs="Arial" w:eastAsia="Arial" w:hAnsi="Arial"/>
                <w:sz w:val="14"/>
                <w:szCs w:val="14"/>
                <w:color w:val="auto"/>
              </w:rPr>
              <w:t>3,348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current year tax positions</w:t>
            </w:r>
          </w:p>
        </w:tc>
        <w:tc>
          <w:tcPr>
            <w:tcW w:w="1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120"/>
              <w:spacing w:after="0" w:line="149" w:lineRule="exact"/>
              <w:rPr>
                <w:sz w:val="20"/>
                <w:szCs w:val="20"/>
                <w:color w:val="auto"/>
              </w:rPr>
            </w:pPr>
            <w:r>
              <w:rPr>
                <w:rFonts w:ascii="Arial" w:cs="Arial" w:eastAsia="Arial" w:hAnsi="Arial"/>
                <w:sz w:val="14"/>
                <w:szCs w:val="14"/>
                <w:color w:val="auto"/>
              </w:rPr>
              <w:t>Increase in prior year tax positions</w:t>
            </w: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Acquired tax positions</w:t>
            </w:r>
          </w:p>
        </w:tc>
        <w:tc>
          <w:tcPr>
            <w:tcW w:w="1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Settlements</w:t>
            </w: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49"/>
        </w:trPr>
        <w:tc>
          <w:tcPr>
            <w:tcW w:w="47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Gross unrecognized tax benefits as of December 31</w:t>
            </w: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6,512</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accrued as of December 31, 2019 are $2.3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2019, TWM LLC settled its audits with the City of New York related to New York City Unincorporated Business Tax for years 2009 – 2011. Through the settlement, the Company reduced its uncertain tax positions by $1.3 million. TWM LLC is still under audit by the City of New York for the tax years 2012 – 2014.</w:t>
      </w:r>
    </w:p>
    <w:p>
      <w:pPr>
        <w:spacing w:after="0" w:line="174"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At December 31, 2019 the tax liability, interest and penalties related to the Refinitiv Contribution is $2.7 million and is included within accounts payable, accrued expenses and other liabilities on the consolidated statement of financial condition. The Company is indemnified by Refinitiv for tax liabilities that were assumed by the Company as a result of the Refinitiv Contribution. An indemnification asset has been recorded for this item. See Note 14 – Related Party Transactions.</w:t>
      </w:r>
    </w:p>
    <w:p>
      <w:pPr>
        <w:spacing w:after="0" w:line="19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w:t>
      </w:r>
    </w:p>
    <w:p>
      <w:pPr>
        <w:spacing w:after="0" w:line="181" w:lineRule="exact"/>
        <w:rPr>
          <w:sz w:val="20"/>
          <w:szCs w:val="20"/>
          <w:color w:val="auto"/>
        </w:rPr>
      </w:pPr>
    </w:p>
    <w:p>
      <w:pPr>
        <w:ind w:left="680" w:hanging="677"/>
        <w:spacing w:after="0"/>
        <w:tabs>
          <w:tab w:leader="none" w:pos="6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IPO, the Company recorded an initial liability of $171.4 million related to its projected obligations under the Tax Receivable Agreement with respect to LLC Interests that were purchased by the Corporation using the net proceeds of the IPO. During 2019, the liability increased to $240.8 million primarily due to the purchase of LLC Interests by the Corporation using the net proceeds of the October 2019 follow-on offering as well as additional exchanges of LLC Interests by Continuing LLC Owners during the year ended December 31, 2019 partially offset by changes in tax rates.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impact of any changes in the projected obligations under the Tax Receivable Agreement as a result of changes in the mix of the Company’s earnings, tax legislation and tax rates in various jurisdictions, or other factors that may impact the Corporation’s tax savings, are reflected in income before taxes on the consolidated statement of income in the period in which the change occurs. During the year ended December 31, 2019, the Company recognized a Tax Receivable Agreement liability adjustment of $33.1 million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7"/>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described in Note 1 – Organization, 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ind w:left="1680"/>
              <w:spacing w:after="0"/>
              <w:rPr>
                <w:sz w:val="20"/>
                <w:szCs w:val="20"/>
                <w:color w:val="auto"/>
              </w:rPr>
            </w:pPr>
            <w:r>
              <w:rPr>
                <w:rFonts w:ascii="Arial" w:cs="Arial" w:eastAsia="Arial" w:hAnsi="Arial"/>
                <w:sz w:val="14"/>
                <w:szCs w:val="14"/>
                <w:b w:val="1"/>
                <w:bCs w:val="1"/>
                <w:color w:val="auto"/>
              </w:rPr>
              <w:t>Class of</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7"/>
              </w:rPr>
              <w:t>Par</w:t>
            </w:r>
          </w:p>
        </w:tc>
        <w:tc>
          <w:tcPr>
            <w:tcW w:w="14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Votes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71"/>
        </w:trPr>
        <w:tc>
          <w:tcPr>
            <w:tcW w:w="3860" w:type="dxa"/>
            <w:vAlign w:val="bottom"/>
          </w:tcPr>
          <w:p>
            <w:pPr>
              <w:ind w:left="146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Value</w:t>
            </w:r>
          </w:p>
        </w:tc>
        <w:tc>
          <w:tcPr>
            <w:tcW w:w="146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Class B common stock</w:t>
            </w:r>
          </w:p>
        </w:tc>
        <w:tc>
          <w:tcPr>
            <w:tcW w:w="7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7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Class D common stock</w:t>
            </w:r>
          </w:p>
        </w:tc>
        <w:tc>
          <w:tcPr>
            <w:tcW w:w="7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The Continuing LLC Owners that hold shares of Class D common stock may also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of Tradeweb Markets LLC</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Shares</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146,333</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Class C</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P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Class P (C)</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P-1(A)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Class P-1 (C)</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Cancellation of Common Stock</w:t>
      </w:r>
    </w:p>
    <w:p>
      <w:pPr>
        <w:spacing w:after="0" w:line="225" w:lineRule="exact"/>
        <w:rPr>
          <w:sz w:val="20"/>
          <w:szCs w:val="20"/>
          <w:color w:val="auto"/>
        </w:rPr>
      </w:pPr>
    </w:p>
    <w:p>
      <w:pPr>
        <w:ind w:left="660" w:hanging="333"/>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hanging="333"/>
        <w:spacing w:after="0" w:line="273"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Following the completion of the Reorganization Transactions, including the IPO and the application of the proceeds therefrom as described above, (i) the investors in the IPO collectively owned 46,000,000 shares of Class A common,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2019 Follow-On Offering</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fourth quarter of 2019, Tradeweb Markets Inc. completed an underwritten follow-on offering of 19,881,059 shares of Class A Common stock at a public offering price of $42.00 per share, which included 2,593,181 shares of Class A common stock issued 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of our executive officers (and the corresponding shares of Class C common stock and/or Class D common stock held by such holders were cancelled) and (ii) 45,393 issued and outstanding shares of Class A common stock from certain of our executive officers (which shares of) and (ii) 45,393 issued and outstanding shares of Class A common stock from certain of our executive officers (which shares of Class A common stock were cancelled), at a purchase price per interest and share equal to the public offering price of $42.00, less the underwriting discounts and commissions payable thereon.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IPO and the October 2019 follow-on offering transactions described above, during the year ended December 31, 2019, certain Continuing LLC Owners exercised their redemption rights under the TWM LLC Agreement, pursuant to which 271,184 LLC Interests were exchanged for 271,184 newly-issued shares of Class A common stock. Simultaneously, and in connection with these exchanges, 271,184 shares of Class D common stock were surrendered by these Continuing LLC Owners and cancelled. Additionally, in connection with these exchanges, Tradeweb Markets Inc. received 271,184 LLC Interests, increasing its total ownership interest in TWM LLC.</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Reorganization Transactions, the IPO, the October 2019 follow-on offering and other exchanges and equity activity, as of December 31, 2019:</w:t>
      </w:r>
    </w:p>
    <w:p>
      <w:pPr>
        <w:spacing w:after="0" w:line="170" w:lineRule="exact"/>
        <w:rPr>
          <w:sz w:val="20"/>
          <w:szCs w:val="20"/>
          <w:color w:val="auto"/>
        </w:rPr>
      </w:pPr>
    </w:p>
    <w:p>
      <w:pPr>
        <w:ind w:left="660" w:right="140" w:hanging="333"/>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public investors collectively owned 66,408,328 shares of our Class A common stock, representing 4.3% of the combined voting power of Tradeweb Markets Inc.’s issued and outstanding common stock and indirectly, through Tradeweb Markets Inc., owned 29.8% of the economic interest in TWM LLC;</w:t>
      </w:r>
    </w:p>
    <w:p>
      <w:pPr>
        <w:spacing w:after="0" w:line="181" w:lineRule="exact"/>
        <w:rPr>
          <w:rFonts w:ascii="Arial" w:cs="Arial" w:eastAsia="Arial" w:hAnsi="Arial"/>
          <w:sz w:val="18"/>
          <w:szCs w:val="18"/>
          <w:color w:val="auto"/>
        </w:rPr>
      </w:pPr>
    </w:p>
    <w:p>
      <w:pPr>
        <w:ind w:left="660" w:right="80" w:hanging="333"/>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Refinitiv collectively owned 96,933,192 shares of our Class B common stock and 22,988,329 shares of our Class D common stock, representing 77.2% of the combined voting power of Tradeweb Markets Inc.’s issued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and outstanding common stock and directly and indirectly, through Tradeweb Markets Inc., owned 53.9% of the economic interest in TWM LLC;</w:t>
      </w:r>
    </w:p>
    <w:p>
      <w:pPr>
        <w:spacing w:after="0" w:line="170" w:lineRule="exact"/>
        <w:rPr>
          <w:sz w:val="20"/>
          <w:szCs w:val="20"/>
          <w:color w:val="auto"/>
        </w:rPr>
      </w:pPr>
    </w:p>
    <w:p>
      <w:pPr>
        <w:ind w:left="660" w:right="300" w:hanging="333"/>
        <w:spacing w:after="0" w:line="279" w:lineRule="auto"/>
        <w:tabs>
          <w:tab w:leader="none" w:pos="66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Bank Stockholders that continue to own LLC Interests collectively owned 8,328,983 shares of our Class C common stock and 27,662,354 shares of our Class D common stock, representing 18.4% of the combined voting power of Tradeweb Markets Inc.’s issued and outstanding common stock and directly and indirectly, through Tradeweb Markets Inc., owned 16.2% of the economic interest in TWM LLC.</w:t>
      </w:r>
    </w:p>
    <w:p>
      <w:pPr>
        <w:spacing w:after="0" w:line="397" w:lineRule="exact"/>
        <w:rPr>
          <w:rFonts w:ascii="Arial" w:cs="Arial" w:eastAsia="Arial" w:hAnsi="Arial"/>
          <w:sz w:val="17"/>
          <w:szCs w:val="17"/>
          <w:color w:val="auto"/>
        </w:rPr>
      </w:pPr>
    </w:p>
    <w:p>
      <w:pPr>
        <w:ind w:left="680" w:hanging="677"/>
        <w:spacing w:after="0"/>
        <w:tabs>
          <w:tab w:leader="none" w:pos="6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6980" w:type="dxa"/>
            <w:vAlign w:val="bottom"/>
          </w:tcPr>
          <w:p>
            <w:pPr>
              <w:spacing w:after="0"/>
              <w:rPr>
                <w:sz w:val="10"/>
                <w:szCs w:val="10"/>
                <w:color w:val="auto"/>
              </w:rPr>
            </w:pPr>
          </w:p>
        </w:tc>
        <w:tc>
          <w:tcPr>
            <w:tcW w:w="12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LLC</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Ownership</w:t>
            </w:r>
          </w:p>
        </w:tc>
      </w:tr>
      <w:tr>
        <w:trPr>
          <w:trHeight w:val="171"/>
        </w:trPr>
        <w:tc>
          <w:tcPr>
            <w:tcW w:w="69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LLC Interests held by Tradeweb Markets Inc.</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163,341,520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Number of LLC Interests held by non-controlling interests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59,182,155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7"/>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LLC Interests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222,523,675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11 – Stockholders’ Equity.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impact on equity due to changes in the Corporation’s ownership interest in TWM LLC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69"/>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2"/>
        </w:trPr>
        <w:tc>
          <w:tcPr>
            <w:tcW w:w="7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attributable to Tradeweb Markets Inc.</w:t>
            </w: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83,769</w:t>
            </w: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Transfers (to) from non-controlling 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Allocation of equity to non-controlling interests arising from the reorganization transactions and IPO</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(1,607,529)</w:t>
            </w:r>
          </w:p>
        </w:tc>
        <w:tc>
          <w:tcPr>
            <w:tcW w:w="0" w:type="dxa"/>
            <w:vAlign w:val="bottom"/>
          </w:tcPr>
          <w:p>
            <w:pPr>
              <w:spacing w:after="0"/>
              <w:rPr>
                <w:sz w:val="1"/>
                <w:szCs w:val="1"/>
                <w:color w:val="auto"/>
              </w:rPr>
            </w:pPr>
          </w:p>
        </w:tc>
      </w:tr>
      <w:tr>
        <w:trPr>
          <w:trHeight w:val="149"/>
        </w:trPr>
        <w:tc>
          <w:tcPr>
            <w:tcW w:w="7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Change in non-controlling interests as a result of the October 2019 follow-on offering and other ownership 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402,227</w:t>
            </w: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Net transfers (to) from non-controlling interests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(1,205,302)</w:t>
            </w: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line="142" w:lineRule="exact"/>
              <w:rPr>
                <w:sz w:val="20"/>
                <w:szCs w:val="20"/>
                <w:color w:val="auto"/>
              </w:rPr>
            </w:pPr>
            <w:r>
              <w:rPr>
                <w:rFonts w:ascii="Arial" w:cs="Arial" w:eastAsia="Arial" w:hAnsi="Arial"/>
                <w:sz w:val="14"/>
                <w:szCs w:val="14"/>
                <w:color w:val="auto"/>
              </w:rPr>
              <w:t>Change from net income attributable to Tradeweb Markets Inc. and transfers (to) from non-controlling interests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(1,121,533)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80" w:hanging="677"/>
        <w:spacing w:after="0"/>
        <w:tabs>
          <w:tab w:leader="none" w:pos="6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Omnibus Equity Plan, the Company is authorized to issue up to 8,841,864 new shares of the Company’s common stock to employees, officers and non-employee directors. Under this plan, the Company may grant awards based on shares of its common stock, including performance-based restricted share units (“PRSUs”), stock options, restricted stock units (“RSUs”) and dividend equivalent rights. The awards may have performance-based and time-based vesting conditions. Stock options have a maximum contractual term of 10 years.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PRSUs (Equity-Settled)</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PRSUs are promises to issue actual shares of Class A common stock at the end of a three-year cliff vesting period. The fair value of the equity-settled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On December 31, 2018, certain PRSUs, which were previously cash-settled, were converted to equity-settled PRSUs. No equity-settled PRSUs were granted by the Company prior to December 31, 2018. The conversion was at fair value, using a unit price consistent with the share price of the Company, and as a result of the impact of the performance modifier on PRSUs value. 1,033.2 cash-settled PRSUs were converted into the equivalent value of 2,000,384 equity-settled PRSUs, adjusted retroactively for the Recapitalization of TWM LLC described in Note 11 – Stockholders’ Equity, having vesting terms similar to the cash-settled PRSUs. As a result of the modification, which impacted 54 employees, the Company reclassified $19.1 million from employee equity compensation payable to members’ capital in the December 31, 2018 statement of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equity-settled PRSUs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5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5100" w:type="dxa"/>
            <w:vAlign w:val="bottom"/>
          </w:tcPr>
          <w:p>
            <w:pPr>
              <w:spacing w:after="0"/>
              <w:rPr>
                <w:sz w:val="18"/>
                <w:szCs w:val="18"/>
                <w:color w:val="auto"/>
              </w:rPr>
            </w:pPr>
          </w:p>
        </w:tc>
        <w:tc>
          <w:tcPr>
            <w:tcW w:w="26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Equity-Settled</w:t>
            </w:r>
          </w:p>
        </w:tc>
        <w:tc>
          <w:tcPr>
            <w:tcW w:w="200" w:type="dxa"/>
            <w:vAlign w:val="bottom"/>
          </w:tcPr>
          <w:p>
            <w:pPr>
              <w:spacing w:after="0"/>
              <w:rPr>
                <w:sz w:val="18"/>
                <w:szCs w:val="18"/>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Grant-Date</w:t>
            </w:r>
          </w:p>
        </w:tc>
      </w:tr>
      <w:tr>
        <w:trPr>
          <w:trHeight w:val="201"/>
        </w:trPr>
        <w:tc>
          <w:tcPr>
            <w:tcW w:w="5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PRSUs</w:t>
            </w:r>
          </w:p>
        </w:tc>
        <w:tc>
          <w:tcPr>
            <w:tcW w:w="20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Equity-settled PRSUs outstanding at December 31, 2018</w:t>
            </w:r>
          </w:p>
        </w:tc>
        <w:tc>
          <w:tcPr>
            <w:tcW w:w="10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2,000,384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Grants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781,026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Vests</w:t>
            </w:r>
          </w:p>
        </w:tc>
        <w:tc>
          <w:tcPr>
            <w:tcW w:w="10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Performance adjustment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762,326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Equity-settled PRSUs outstanding at December 31, 2019</w:t>
            </w:r>
          </w:p>
        </w:tc>
        <w:tc>
          <w:tcPr>
            <w:tcW w:w="10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3,490,666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14.59</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shows a summary of equity-settled PRSU activity during the year ended December 31, 2019 (in thousands):</w:t>
      </w:r>
    </w:p>
    <w:p>
      <w:pPr>
        <w:spacing w:after="0" w:line="17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6350</wp:posOffset>
            </wp:positionV>
            <wp:extent cx="875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4"/>
          <w:szCs w:val="14"/>
          <w:b w:val="1"/>
          <w:bCs w:val="1"/>
          <w:color w:val="auto"/>
        </w:rPr>
        <w:t>Year Ended</w:t>
      </w:r>
    </w:p>
    <w:p>
      <w:pPr>
        <w:ind w:left="7940"/>
        <w:spacing w:after="0" w:line="221" w:lineRule="auto"/>
        <w:rPr>
          <w:sz w:val="20"/>
          <w:szCs w:val="20"/>
          <w:color w:val="auto"/>
        </w:rPr>
      </w:pPr>
      <w:r>
        <w:rPr>
          <w:rFonts w:ascii="Arial" w:cs="Arial" w:eastAsia="Arial" w:hAnsi="Arial"/>
          <w:sz w:val="14"/>
          <w:szCs w:val="14"/>
          <w:b w:val="1"/>
          <w:bCs w:val="1"/>
          <w:color w:val="auto"/>
        </w:rPr>
        <w:t>December 31,</w:t>
      </w:r>
    </w:p>
    <w:p>
      <w:pPr>
        <w:ind w:left="8240"/>
        <w:spacing w:after="0" w:line="231" w:lineRule="auto"/>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Equity-settled PRSU compensation expense</w:t>
            </w:r>
          </w:p>
        </w:tc>
        <w:tc>
          <w:tcPr>
            <w:tcW w:w="2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tax benefit</w:t>
            </w:r>
          </w:p>
        </w:tc>
        <w:tc>
          <w:tcPr>
            <w:tcW w:w="2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PRSUs (Cash-Settled)</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are recognized as compensation cost over that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cash-settled PRSUs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Cash-Settled</w:t>
            </w:r>
          </w:p>
        </w:tc>
        <w:tc>
          <w:tcPr>
            <w:tcW w:w="200" w:type="dxa"/>
            <w:vAlign w:val="bottom"/>
          </w:tcPr>
          <w:p>
            <w:pPr>
              <w:spacing w:after="0"/>
              <w:rPr>
                <w:sz w:val="14"/>
                <w:szCs w:val="14"/>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PRSUs</w:t>
            </w:r>
          </w:p>
        </w:tc>
        <w:tc>
          <w:tcPr>
            <w:tcW w:w="20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6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Cash-settled PRSUs outstanding at December 31, 2018</w:t>
            </w: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34,221</w:t>
            </w:r>
          </w:p>
        </w:tc>
        <w:tc>
          <w:tcPr>
            <w:tcW w:w="0" w:type="dxa"/>
            <w:vAlign w:val="bottom"/>
          </w:tcPr>
          <w:p>
            <w:pPr>
              <w:spacing w:after="0"/>
              <w:rPr>
                <w:sz w:val="1"/>
                <w:szCs w:val="1"/>
                <w:color w:val="auto"/>
              </w:rPr>
            </w:pPr>
          </w:p>
        </w:tc>
      </w:tr>
      <w:tr>
        <w:trPr>
          <w:trHeight w:val="149"/>
        </w:trPr>
        <w:tc>
          <w:tcPr>
            <w:tcW w:w="6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Grants</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 xml:space="preserve">Vests </w:t>
            </w:r>
            <w:r>
              <w:rPr>
                <w:rFonts w:ascii="Arial" w:cs="Arial" w:eastAsia="Arial" w:hAnsi="Arial"/>
                <w:sz w:val="14"/>
                <w:szCs w:val="14"/>
                <w:color w:val="auto"/>
                <w:vertAlign w:val="superscript"/>
              </w:rPr>
              <w:t>(1)</w:t>
            </w: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(507)</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33,842</w:t>
            </w:r>
          </w:p>
        </w:tc>
        <w:tc>
          <w:tcPr>
            <w:tcW w:w="0" w:type="dxa"/>
            <w:vAlign w:val="bottom"/>
          </w:tcPr>
          <w:p>
            <w:pPr>
              <w:spacing w:after="0"/>
              <w:rPr>
                <w:sz w:val="1"/>
                <w:szCs w:val="1"/>
                <w:color w:val="auto"/>
              </w:rPr>
            </w:pPr>
          </w:p>
        </w:tc>
      </w:tr>
      <w:tr>
        <w:trPr>
          <w:trHeight w:val="149"/>
        </w:trPr>
        <w:tc>
          <w:tcPr>
            <w:tcW w:w="6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Forfeitures</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Cash-settled PRSUs outstanding at December 31, 2019</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94,997</w:t>
            </w:r>
          </w:p>
        </w:tc>
        <w:tc>
          <w:tcPr>
            <w:tcW w:w="0" w:type="dxa"/>
            <w:vAlign w:val="bottom"/>
          </w:tcPr>
          <w:p>
            <w:pPr>
              <w:spacing w:after="0"/>
              <w:rPr>
                <w:sz w:val="1"/>
                <w:szCs w:val="1"/>
                <w:color w:val="auto"/>
              </w:rPr>
            </w:pPr>
          </w:p>
        </w:tc>
      </w:tr>
      <w:tr>
        <w:trPr>
          <w:trHeight w:val="169"/>
        </w:trPr>
        <w:tc>
          <w:tcPr>
            <w:tcW w:w="6120" w:type="dxa"/>
            <w:vAlign w:val="bottom"/>
          </w:tcPr>
          <w:p>
            <w:pPr>
              <w:spacing w:after="0"/>
              <w:rPr>
                <w:sz w:val="20"/>
                <w:szCs w:val="20"/>
                <w:color w:val="auto"/>
              </w:rPr>
            </w:pPr>
            <w:r>
              <w:rPr>
                <w:rFonts w:ascii="Arial" w:cs="Arial" w:eastAsia="Arial" w:hAnsi="Arial"/>
                <w:sz w:val="14"/>
                <w:szCs w:val="14"/>
                <w:color w:val="auto"/>
                <w:w w:val="94"/>
              </w:rPr>
              <w:t>(1) The total fair value of cash-settled PRSUs vested was $17.2 million for the year ended December 31,</w:t>
            </w:r>
          </w:p>
        </w:tc>
        <w:tc>
          <w:tcPr>
            <w:tcW w:w="280" w:type="dxa"/>
            <w:vAlign w:val="bottom"/>
          </w:tcPr>
          <w:p>
            <w:pPr>
              <w:jc w:val="right"/>
              <w:spacing w:after="0"/>
              <w:rPr>
                <w:sz w:val="20"/>
                <w:szCs w:val="20"/>
                <w:color w:val="auto"/>
              </w:rPr>
            </w:pPr>
            <w:r>
              <w:rPr>
                <w:rFonts w:ascii="Arial" w:cs="Arial" w:eastAsia="Arial" w:hAnsi="Arial"/>
                <w:sz w:val="13"/>
                <w:szCs w:val="13"/>
                <w:color w:val="auto"/>
                <w:w w:val="73"/>
              </w:rPr>
              <w:t>2019.</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the IPO, the Company awarded options to management and other employees under the Option Plan. Each option award vests one half based solely on the passage of time and one half only if the Company achieves certain performance targets. The time vesting portion of the options has a four-year graded vesting schedule, with accelerated vesting for time-based options with vesting dates of January 1, 2021 and 2022 upon the completion of an initial public offering. The Company can elect to net-settle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can also elect, upon exercise, to reduce the shares to be issued by the number of shares having a fair market value on the date of exercise equal to employee payroll taxes. The Company may then pay these employee payroll taxes from the Company’s cash.</w:t>
      </w:r>
    </w:p>
    <w:p>
      <w:pPr>
        <w:spacing w:after="0" w:line="167"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accounting for options issued under the Option Plan, or which may be issued under the Omnibus Equity Plan in the future, the Company measures and recognizes compensation expense for all awards based on their estimated fair values measured as of the grant date. Options issued under the Option Plan are exercisable following the closing of an initial public offering or during a 15</w:t>
      </w:r>
      <w:r>
        <w:rPr>
          <w:rFonts w:ascii="MS PGothic" w:cs="MS PGothic" w:eastAsia="MS PGothic" w:hAnsi="MS PGothic"/>
          <w:sz w:val="16"/>
          <w:szCs w:val="16"/>
          <w:color w:val="auto"/>
        </w:rPr>
        <w:t>‑</w:t>
      </w:r>
      <w:r>
        <w:rPr>
          <w:rFonts w:ascii="Arial" w:cs="Arial" w:eastAsia="Arial" w:hAnsi="Arial"/>
          <w:sz w:val="16"/>
          <w:szCs w:val="16"/>
          <w:color w:val="auto"/>
        </w:rPr>
        <w:t>day period following a change in control of the Company (and certain other sales of equity by the Company’s shareholders). Costs related to these options are recognized as an expense in the consolidated statements of income over the requisite service period, when exercisability is considered probable, with an offsetting increase to additional paid-in capital. As a result, expense recognition commenced upon the completion of the IPO, with $18.9 million recognized as compensation expense related to options issued under the Option Plan immediately upon the completion of the IPO.</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options is calculated on the grant date using the Black-Scholes model. The significant assumptions used to estimate the fair value as of grant date of the options awarded prior to the IPO did not reflect changes that would have occurred to these assumptions as a result of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options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6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6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Grant-Date</w:t>
            </w:r>
          </w:p>
        </w:tc>
      </w:tr>
      <w:tr>
        <w:trPr>
          <w:trHeight w:val="201"/>
        </w:trPr>
        <w:tc>
          <w:tcPr>
            <w:tcW w:w="6120" w:type="dxa"/>
            <w:vAlign w:val="bottom"/>
          </w:tcPr>
          <w:p>
            <w:pPr>
              <w:spacing w:after="0"/>
              <w:rPr>
                <w:sz w:val="17"/>
                <w:szCs w:val="17"/>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18,091,793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Grants</w:t>
            </w:r>
          </w:p>
        </w:tc>
        <w:tc>
          <w:tcPr>
            <w:tcW w:w="1360" w:type="dxa"/>
            <w:vAlign w:val="bottom"/>
          </w:tcPr>
          <w:p>
            <w:pPr>
              <w:jc w:val="right"/>
              <w:spacing w:after="0"/>
              <w:rPr>
                <w:sz w:val="20"/>
                <w:szCs w:val="20"/>
                <w:color w:val="auto"/>
              </w:rPr>
            </w:pPr>
            <w:r>
              <w:rPr>
                <w:rFonts w:ascii="Arial" w:cs="Arial" w:eastAsia="Arial" w:hAnsi="Arial"/>
                <w:sz w:val="18"/>
                <w:szCs w:val="18"/>
                <w:color w:val="auto"/>
              </w:rPr>
              <w:t>886,115</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(984,585)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Forfeitures and adjustments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(253,579)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17,739,744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Vested options outstanding at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8,061,312</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intrinsic value of options exercised in 2019 was $21.3 million. At December 31, 2018, no options were vested or exercisable.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options activity during the year ended December 31, 2019 (in thousands):</w:t>
      </w:r>
    </w:p>
    <w:p>
      <w:pPr>
        <w:spacing w:after="0" w:line="23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6350</wp:posOffset>
            </wp:positionV>
            <wp:extent cx="875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4"/>
          <w:szCs w:val="14"/>
          <w:b w:val="1"/>
          <w:bCs w:val="1"/>
          <w:color w:val="auto"/>
        </w:rPr>
        <w:t>Year Ended</w:t>
      </w:r>
    </w:p>
    <w:p>
      <w:pPr>
        <w:ind w:left="7940"/>
        <w:spacing w:after="0" w:line="221" w:lineRule="auto"/>
        <w:rPr>
          <w:sz w:val="20"/>
          <w:szCs w:val="20"/>
          <w:color w:val="auto"/>
        </w:rPr>
      </w:pPr>
      <w:r>
        <w:rPr>
          <w:rFonts w:ascii="Arial" w:cs="Arial" w:eastAsia="Arial" w:hAnsi="Arial"/>
          <w:sz w:val="14"/>
          <w:szCs w:val="14"/>
          <w:b w:val="1"/>
          <w:bCs w:val="1"/>
          <w:color w:val="auto"/>
        </w:rPr>
        <w:t>December 31,</w:t>
      </w:r>
    </w:p>
    <w:p>
      <w:pPr>
        <w:ind w:left="8240"/>
        <w:spacing w:after="0" w:line="231" w:lineRule="auto"/>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compensation expense</w:t>
            </w:r>
          </w:p>
        </w:tc>
        <w:tc>
          <w:tcPr>
            <w:tcW w:w="2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Income tax benefit</w:t>
            </w:r>
          </w:p>
        </w:tc>
        <w:tc>
          <w:tcPr>
            <w:tcW w:w="31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(8,556)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to estimate the fair value of the options as of the grant date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Expected Life (years)</w:t>
            </w:r>
          </w:p>
        </w:tc>
        <w:tc>
          <w:tcPr>
            <w:tcW w:w="3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4"/>
                <w:szCs w:val="14"/>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Weighted Average Risk-Free Interest Rate</w:t>
            </w:r>
          </w:p>
        </w:tc>
        <w:tc>
          <w:tcPr>
            <w:tcW w:w="3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Expected Volatility</w:t>
            </w:r>
          </w:p>
        </w:tc>
        <w:tc>
          <w:tcPr>
            <w:tcW w:w="30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Weighted Average Expected Dividend Yield</w:t>
            </w:r>
          </w:p>
        </w:tc>
        <w:tc>
          <w:tcPr>
            <w:tcW w:w="3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 Price</w:t>
            </w:r>
          </w:p>
        </w:tc>
        <w:tc>
          <w:tcPr>
            <w:tcW w:w="30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220" w:type="dxa"/>
            <w:vAlign w:val="bottom"/>
            <w:shd w:val="clear" w:color="auto" w:fill="CCEEFF"/>
          </w:tcPr>
          <w:p>
            <w:pPr>
              <w:spacing w:after="0"/>
              <w:rPr>
                <w:sz w:val="12"/>
                <w:szCs w:val="12"/>
                <w:color w:val="auto"/>
              </w:rPr>
            </w:pPr>
          </w:p>
        </w:tc>
      </w:tr>
      <w:tr>
        <w:trPr>
          <w:trHeight w:val="182"/>
        </w:trPr>
        <w:tc>
          <w:tcPr>
            <w:tcW w:w="5160" w:type="dxa"/>
            <w:vAlign w:val="bottom"/>
          </w:tcPr>
          <w:p>
            <w:pPr>
              <w:spacing w:after="0"/>
              <w:rPr>
                <w:sz w:val="20"/>
                <w:szCs w:val="20"/>
                <w:color w:val="auto"/>
              </w:rPr>
            </w:pPr>
            <w:r>
              <w:rPr>
                <w:rFonts w:ascii="Arial" w:cs="Arial" w:eastAsia="Arial" w:hAnsi="Arial"/>
                <w:sz w:val="14"/>
                <w:szCs w:val="14"/>
                <w:color w:val="auto"/>
              </w:rPr>
              <w:t>Weighted Average Exercise Price</w:t>
            </w:r>
          </w:p>
        </w:tc>
        <w:tc>
          <w:tcPr>
            <w:tcW w:w="30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21.62</w:t>
            </w:r>
          </w:p>
        </w:tc>
        <w:tc>
          <w:tcPr>
            <w:tcW w:w="220" w:type="dxa"/>
            <w:vAlign w:val="bottom"/>
          </w:tcPr>
          <w:p>
            <w:pPr>
              <w:spacing w:after="0"/>
              <w:rPr>
                <w:sz w:val="15"/>
                <w:szCs w:val="15"/>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Expense</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Company records stock-based compensation expense for employees and directors in the consolidated statements of income.</w:t>
      </w:r>
    </w:p>
    <w:p>
      <w:pPr>
        <w:spacing w:after="0" w:line="18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total stock-based compensation expense for the year ended December 31, 2019, the 2018 Successor Period, the 2018 Predecessor Period and the year ended December 31, 2017 is $50.7 million, $9.4 million, $15.9 million and $26.1 million, respectively.</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2019, total unrecognized compensation expense related to unvested stock-based compensation arrangements and the expected recognition period are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Cash-Settled</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Equity-Settled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PRSUs</w:t>
            </w:r>
          </w:p>
        </w:tc>
        <w:tc>
          <w:tcPr>
            <w:tcW w:w="18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PRSUs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unrecognized compensation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31,283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4,068</w:t>
            </w: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Weighted-average recognition period</w:t>
            </w: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1.0 years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 years</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80" w:hanging="677"/>
        <w:spacing w:after="0"/>
        <w:tabs>
          <w:tab w:leader="none" w:pos="6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parties. As a result, the related party transactions listed below include transactions with the Bank Stockholders or their respective affiliates for pre-IPO periods only.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2019 and 2018, the following balances with such affiliates were included in the consolidated statements of financial condition in the following line items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5"/>
              </w:rPr>
              <w:t>Successor</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Successor</w:t>
            </w:r>
          </w:p>
        </w:tc>
      </w:tr>
      <w:tr>
        <w:trPr>
          <w:trHeight w:val="142"/>
        </w:trPr>
        <w:tc>
          <w:tcPr>
            <w:tcW w:w="470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31, 2018</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283,790</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Receivables from brokers and dealers and clearing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organizations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40,730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balances with such affiliates were included in the consolidated statements of income in the following line items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14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October 1, 2018</w:t>
            </w:r>
          </w:p>
        </w:tc>
        <w:tc>
          <w:tcPr>
            <w:tcW w:w="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January 1, 2018</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4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to</w:t>
            </w:r>
          </w:p>
        </w:tc>
        <w:tc>
          <w:tcPr>
            <w:tcW w:w="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CCEEFF"/>
              <w:left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5"/>
          </w:tcPr>
          <w:p>
            <w:pPr>
              <w:ind w:left="1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59,643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59,259</w:t>
            </w:r>
          </w:p>
        </w:tc>
        <w:tc>
          <w:tcPr>
            <w:tcW w:w="180" w:type="dxa"/>
            <w:vAlign w:val="bottom"/>
            <w:tcBorders>
              <w:lef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159,663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5,718</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tcPr>
          <w:p>
            <w:pPr>
              <w:ind w:left="120"/>
              <w:spacing w:after="0"/>
              <w:rPr>
                <w:sz w:val="20"/>
                <w:szCs w:val="20"/>
                <w:color w:val="auto"/>
              </w:rPr>
            </w:pPr>
            <w:r>
              <w:rPr>
                <w:rFonts w:ascii="Arial" w:cs="Arial" w:eastAsia="Arial" w:hAnsi="Arial"/>
                <w:sz w:val="18"/>
                <w:szCs w:val="18"/>
                <w:color w:val="auto"/>
              </w:rPr>
              <w:t xml:space="preserve">Commissions </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12,401</w:t>
            </w: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13,467</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tcPr>
          <w:p>
            <w:pPr>
              <w:spacing w:after="0" w:line="176" w:lineRule="exact"/>
              <w:rPr>
                <w:sz w:val="20"/>
                <w:szCs w:val="20"/>
                <w:color w:val="auto"/>
              </w:rPr>
            </w:pPr>
            <w:r>
              <w:rPr>
                <w:rFonts w:ascii="Arial" w:cs="Arial" w:eastAsia="Arial" w:hAnsi="Arial"/>
                <w:sz w:val="18"/>
                <w:szCs w:val="18"/>
                <w:color w:val="auto"/>
              </w:rPr>
              <w:t>Operating Income:</w:t>
            </w:r>
            <w:r>
              <w:rPr>
                <w:rFonts w:ascii="Arial" w:cs="Arial" w:eastAsia="Arial" w:hAnsi="Arial"/>
                <w:sz w:val="8"/>
                <w:szCs w:val="8"/>
                <w:color w:val="auto"/>
              </w:rPr>
              <w:t>(3)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auto"/>
              </w:rPr>
              <w:t xml:space="preserve">Shared Services Fees </w:t>
            </w:r>
            <w:r>
              <w:rPr>
                <w:rFonts w:ascii="Arial" w:cs="Arial" w:eastAsia="Arial" w:hAnsi="Arial"/>
                <w:sz w:val="8"/>
                <w:szCs w:val="8"/>
                <w:color w:val="auto"/>
              </w:rPr>
              <w:t>(4)</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19"/>
                <w:szCs w:val="19"/>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color w:val="auto"/>
              </w:rPr>
              <w:t>Technology and communications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740</w:t>
            </w:r>
          </w:p>
        </w:tc>
        <w:tc>
          <w:tcPr>
            <w:tcW w:w="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333"/>
        <w:spacing w:after="0"/>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203" w:lineRule="exact"/>
        <w:rPr>
          <w:rFonts w:ascii="Arial" w:cs="Arial" w:eastAsia="Arial" w:hAnsi="Arial"/>
          <w:sz w:val="14"/>
          <w:szCs w:val="14"/>
          <w:color w:val="auto"/>
        </w:rPr>
      </w:pPr>
    </w:p>
    <w:p>
      <w:pPr>
        <w:ind w:left="660" w:right="240" w:hanging="333"/>
        <w:spacing w:after="0" w:line="238"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(TR in the predecessor period). Under the agreement, the Company delivers to Refinitiv certain market data feeds which Refinitiv redistributes to its customers. The Company earns license fees and royalties for these feeds.</w:t>
      </w:r>
    </w:p>
    <w:p>
      <w:pPr>
        <w:spacing w:after="0" w:line="182" w:lineRule="exact"/>
        <w:rPr>
          <w:rFonts w:ascii="Arial" w:cs="Arial" w:eastAsia="Arial" w:hAnsi="Arial"/>
          <w:sz w:val="14"/>
          <w:szCs w:val="14"/>
          <w:color w:val="auto"/>
        </w:rPr>
      </w:pPr>
    </w:p>
    <w:p>
      <w:pPr>
        <w:ind w:left="660" w:right="300" w:hanging="333"/>
        <w:spacing w:after="0" w:line="253"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73" w:lineRule="exact"/>
        <w:rPr>
          <w:rFonts w:ascii="Arial" w:cs="Arial" w:eastAsia="Arial" w:hAnsi="Arial"/>
          <w:sz w:val="14"/>
          <w:szCs w:val="14"/>
          <w:color w:val="auto"/>
        </w:rPr>
      </w:pPr>
    </w:p>
    <w:p>
      <w:pPr>
        <w:ind w:left="660" w:right="120" w:hanging="333"/>
        <w:spacing w:after="0" w:line="291" w:lineRule="auto"/>
        <w:tabs>
          <w:tab w:leader="none" w:pos="6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Company maintains a shared services agreement with Refinitiv (TR in the predecessor period). Under the terms of the agreement, Refinitiv provides the Company with certain real estate, payroll, benefits administration, insurance, content, financial reporting and tax support.</w:t>
      </w:r>
    </w:p>
    <w:p>
      <w:pPr>
        <w:spacing w:after="0" w:line="15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reimburses affiliates of Refinitiv (TR in the predecessor period) for expenses paid on behalf of the Company for various services including salaries and bonuses, marketing, professional fees, communications, data costs and certain other administrative services. For the year ended December 31, 2019, the 2018 Successor Period, the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Predecessor Period and the year ended December 31, 2017, the Company reimbursed such affiliates approximately $6.7 million, $3.8 million, $28.7 million, and $38.4 million, respectively, for these expenses.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is indemnified by Refinitiv for any tax liabilities that existed in the entity contributed by Refinitiv as a result of the Refinitiv Contribution. $2.7 million is included in other assets on the December 31, 2019 consolidated statement of financial condition related to this indemnification.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and the October 2019 follow-on offering for a fee of $1.0 million and $0.5 million, respectively, which fee, with respect to the October 2019 follow-on offering, was reimbursed by the underwriters of the October 2019 follow-on offering. $1.5 million is included in additional paid-in capital on the December 31, 2019 consolidated statement of financial condition related to these offering costs.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2014, the Company issued Class A Shares and unvested Class P-1(A) Shares to some of the Bank Stockholders as a result of a $120.0 million capital contribution. In connection with this investment, employees invested $5.3 million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and as a result no contingent consideration has been recognized related to these shares subsequent to that date. The Company recognized contingent consideration for the 2018 Predecessor Period and for the year ended December 31, 2017 of $26.8 million and $58.5 million, respectively, relating to these shares, which is included in net revenue on the consolidated statements of income.</w:t>
      </w:r>
    </w:p>
    <w:p>
      <w:pPr>
        <w:spacing w:after="0" w:line="162" w:lineRule="exact"/>
        <w:rPr>
          <w:sz w:val="20"/>
          <w:szCs w:val="20"/>
          <w:color w:val="auto"/>
        </w:rPr>
      </w:pPr>
    </w:p>
    <w:p>
      <w:pPr>
        <w:ind w:left="680" w:hanging="677"/>
        <w:spacing w:after="0"/>
        <w:tabs>
          <w:tab w:leader="none" w:pos="6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Certain financial instruments that are carried on the consolidated statements of financial condition are carried at amounts that approximate fair value. These instruments include receivable from/payable to brokers and dealers and clearing organizations, deposits with clearing organizations and accounts receivable.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As of December 31, 2019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$ 219,158</w:t>
            </w:r>
          </w:p>
        </w:tc>
        <w:tc>
          <w:tcPr>
            <w:tcW w:w="0" w:type="dxa"/>
            <w:vAlign w:val="bottom"/>
          </w:tcPr>
          <w:p>
            <w:pPr>
              <w:spacing w:after="0"/>
              <w:rPr>
                <w:sz w:val="1"/>
                <w:szCs w:val="1"/>
                <w:color w:val="auto"/>
              </w:rPr>
            </w:pPr>
          </w:p>
        </w:tc>
      </w:tr>
      <w:tr>
        <w:trPr>
          <w:trHeight w:val="230"/>
        </w:trPr>
        <w:tc>
          <w:tcPr>
            <w:tcW w:w="4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$ 219,158</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3" w:lineRule="exact"/>
              <w:rPr>
                <w:sz w:val="20"/>
                <w:szCs w:val="20"/>
                <w:color w:val="auto"/>
              </w:rPr>
            </w:pPr>
            <w:r>
              <w:rPr>
                <w:rFonts w:ascii="Arial" w:cs="Arial" w:eastAsia="Arial" w:hAnsi="Arial"/>
                <w:sz w:val="18"/>
                <w:szCs w:val="18"/>
                <w:color w:val="auto"/>
              </w:rPr>
              <w:t>As of December 31, 2018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$ 127,927</w:t>
            </w:r>
          </w:p>
        </w:tc>
        <w:tc>
          <w:tcPr>
            <w:tcW w:w="0" w:type="dxa"/>
            <w:vAlign w:val="bottom"/>
          </w:tcPr>
          <w:p>
            <w:pPr>
              <w:spacing w:after="0"/>
              <w:rPr>
                <w:sz w:val="1"/>
                <w:szCs w:val="1"/>
                <w:color w:val="auto"/>
              </w:rPr>
            </w:pPr>
          </w:p>
        </w:tc>
      </w:tr>
      <w:tr>
        <w:trPr>
          <w:trHeight w:val="217"/>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$ 127,927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80" w:hanging="677"/>
        <w:spacing w:after="0"/>
        <w:tabs>
          <w:tab w:leader="none" w:pos="6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At December 31, 2019 and December 31, 2018,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established an allowance for doubtful accounts of $0.2 million and $1.2 million, respectively, with regard to these receivables.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the Company, as agent, executes transactions with, and on behalf of, other broker-dealers.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91" w:lineRule="exact"/>
        <w:rPr>
          <w:sz w:val="20"/>
          <w:szCs w:val="20"/>
          <w:color w:val="auto"/>
        </w:rPr>
      </w:pPr>
    </w:p>
    <w:p>
      <w:pPr>
        <w:ind w:left="680" w:hanging="677"/>
        <w:spacing w:after="0"/>
        <w:tabs>
          <w:tab w:leader="none" w:pos="6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 million in damages and also seeks punitive damages, attorneys' fees and costs. In September 2019, the Court dismissed some, but not all, of plaintiff’s claims, and rejected plaintiff’s damages theory on which it relied to support its claims for approximately $80 million in damages for its breach of contract claim. The defendants are still challenging with pre-trial motions whether the plaintiff’s $80 million damage theory is viable with respect to its tort claims, and the plaintiff has in parallel offered an alternative theory quantifying its damages at $4 million to $8 million, which it will pursue if the $80 million theory is disallowed. The matter is now scheduled for trial in October 2020 with respect to the tort claims that survived. The Company intends to continue to vigorously defend what the Company believes to be meritless claims.</w:t>
      </w:r>
    </w:p>
    <w:p>
      <w:pPr>
        <w:spacing w:after="0" w:line="1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terms of the credit agreement that governs the Credit Facility, borrowings under the Credit Facility bear interest at a rate equal to, at the Company’s option, either (a) a base rate equal to the greatest of (i) the administrative agent’s prime rate,</w:t>
      </w:r>
    </w:p>
    <w:p>
      <w:pPr>
        <w:ind w:right="140" w:firstLine="3"/>
        <w:spacing w:after="0" w:line="253" w:lineRule="auto"/>
        <w:tabs>
          <w:tab w:leader="none" w:pos="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amounts outstanding under the Credit Facility.</w:t>
      </w:r>
    </w:p>
    <w:p>
      <w:pPr>
        <w:spacing w:after="0" w:line="221" w:lineRule="exact"/>
        <w:rPr>
          <w:sz w:val="20"/>
          <w:szCs w:val="20"/>
          <w:color w:val="auto"/>
        </w:rPr>
      </w:pPr>
    </w:p>
    <w:p>
      <w:pPr>
        <w:ind w:left="680" w:hanging="677"/>
        <w:spacing w:after="0"/>
        <w:tabs>
          <w:tab w:leader="none" w:pos="6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LLC (pre-IPO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4"/>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4"/>
              <w:spacing w:after="0"/>
              <w:rPr>
                <w:sz w:val="20"/>
                <w:szCs w:val="20"/>
                <w:color w:val="auto"/>
              </w:rPr>
            </w:pPr>
            <w:r>
              <w:rPr>
                <w:rFonts w:ascii="Arial" w:cs="Arial" w:eastAsia="Arial" w:hAnsi="Arial"/>
                <w:sz w:val="11"/>
                <w:szCs w:val="11"/>
                <w:b w:val="1"/>
                <w:bCs w:val="1"/>
                <w:color w:val="auto"/>
                <w:w w:val="82"/>
              </w:rPr>
              <w:t>Successor</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w w:val="88"/>
              </w:rPr>
              <w:t>Three Months Ended</w:t>
            </w:r>
          </w:p>
        </w:tc>
        <w:tc>
          <w:tcPr>
            <w:tcW w:w="100" w:type="dxa"/>
            <w:vAlign w:val="bottom"/>
          </w:tcPr>
          <w:p>
            <w:pPr>
              <w:spacing w:after="0"/>
              <w:rPr>
                <w:sz w:val="8"/>
                <w:szCs w:val="8"/>
                <w:color w:val="auto"/>
              </w:rPr>
            </w:pPr>
          </w:p>
        </w:tc>
        <w:tc>
          <w:tcPr>
            <w:tcW w:w="98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90"/>
              </w:rPr>
              <w:t>October 1, 2018 to</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35"/>
              <w:spacing w:after="0" w:line="102" w:lineRule="exact"/>
              <w:rPr>
                <w:sz w:val="20"/>
                <w:szCs w:val="20"/>
                <w:color w:val="auto"/>
              </w:rPr>
            </w:pPr>
            <w:r>
              <w:rPr>
                <w:rFonts w:ascii="Arial" w:cs="Arial" w:eastAsia="Arial" w:hAnsi="Arial"/>
                <w:sz w:val="11"/>
                <w:szCs w:val="11"/>
                <w:b w:val="1"/>
                <w:bCs w:val="1"/>
                <w:color w:val="auto"/>
                <w:w w:val="92"/>
              </w:rPr>
              <w:t>Year Ended</w:t>
            </w:r>
          </w:p>
        </w:tc>
        <w:tc>
          <w:tcPr>
            <w:tcW w:w="0" w:type="dxa"/>
            <w:vAlign w:val="bottom"/>
          </w:tcPr>
          <w:p>
            <w:pPr>
              <w:spacing w:after="0"/>
              <w:rPr>
                <w:sz w:val="1"/>
                <w:szCs w:val="1"/>
                <w:color w:val="auto"/>
              </w:rPr>
            </w:pPr>
          </w:p>
        </w:tc>
      </w:tr>
      <w:tr>
        <w:trPr>
          <w:trHeight w:val="122"/>
        </w:trPr>
        <w:tc>
          <w:tcPr>
            <w:tcW w:w="472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EPS: Pre-IPO net income attributable to Tradeweb Markets LLC</w:t>
            </w:r>
            <w:r>
              <w:rPr>
                <w:rFonts w:ascii="Arial" w:cs="Arial" w:eastAsia="Arial" w:hAnsi="Arial"/>
                <w:sz w:val="11"/>
                <w:szCs w:val="11"/>
                <w:b w:val="1"/>
                <w:bCs w:val="1"/>
                <w:color w:val="auto"/>
                <w:vertAlign w:val="superscript"/>
              </w:rPr>
              <w:t>(1)</w:t>
            </w:r>
          </w:p>
        </w:tc>
        <w:tc>
          <w:tcPr>
            <w:tcW w:w="100" w:type="dxa"/>
            <w:vAlign w:val="bottom"/>
          </w:tcPr>
          <w:p>
            <w:pPr>
              <w:spacing w:after="0"/>
              <w:rPr>
                <w:sz w:val="10"/>
                <w:szCs w:val="10"/>
                <w:color w:val="auto"/>
              </w:rPr>
            </w:pPr>
          </w:p>
        </w:tc>
        <w:tc>
          <w:tcPr>
            <w:tcW w:w="900" w:type="dxa"/>
            <w:vAlign w:val="bottom"/>
          </w:tcPr>
          <w:p>
            <w:pPr>
              <w:jc w:val="center"/>
              <w:ind w:right="34"/>
              <w:spacing w:after="0" w:line="122"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54"/>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55"/>
              <w:spacing w:after="0" w:line="12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35"/>
        </w:trPr>
        <w:tc>
          <w:tcPr>
            <w:tcW w:w="47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4"/>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rPr>
                <w:sz w:val="20"/>
                <w:szCs w:val="20"/>
                <w:color w:val="auto"/>
              </w:rPr>
            </w:pPr>
            <w:r>
              <w:rPr>
                <w:rFonts w:ascii="Arial" w:cs="Arial" w:eastAsia="Arial" w:hAnsi="Arial"/>
                <w:sz w:val="11"/>
                <w:szCs w:val="11"/>
                <w:b w:val="1"/>
                <w:bCs w:val="1"/>
                <w:color w:val="auto"/>
                <w:w w:val="81"/>
              </w:rPr>
              <w:t>2018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w w:val="81"/>
              </w:rPr>
              <w:t>2017</w:t>
            </w:r>
          </w:p>
        </w:tc>
        <w:tc>
          <w:tcPr>
            <w:tcW w:w="0" w:type="dxa"/>
            <w:vAlign w:val="bottom"/>
          </w:tcPr>
          <w:p>
            <w:pPr>
              <w:spacing w:after="0"/>
              <w:rPr>
                <w:sz w:val="1"/>
                <w:szCs w:val="1"/>
                <w:color w:val="auto"/>
              </w:rPr>
            </w:pPr>
          </w:p>
        </w:tc>
      </w:tr>
      <w:tr>
        <w:trPr>
          <w:trHeight w:val="115"/>
        </w:trPr>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10"/>
          </w:tcPr>
          <w:p>
            <w:pPr>
              <w:jc w:val="right"/>
              <w:ind w:right="54"/>
              <w:spacing w:after="0" w:line="115" w:lineRule="exact"/>
              <w:rPr>
                <w:sz w:val="20"/>
                <w:szCs w:val="20"/>
                <w:color w:val="auto"/>
              </w:rPr>
            </w:pPr>
            <w:r>
              <w:rPr>
                <w:rFonts w:ascii="Arial" w:cs="Arial" w:eastAsia="Arial" w:hAnsi="Arial"/>
                <w:sz w:val="11"/>
                <w:szCs w:val="11"/>
                <w:b w:val="1"/>
                <w:bCs w:val="1"/>
                <w:color w:val="auto"/>
                <w:w w:val="87"/>
              </w:rPr>
              <w:t>(in thousands, except share and per share amounts)</w:t>
            </w: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Numerator:</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5"/>
          </w:tcPr>
          <w:p>
            <w:pPr>
              <w:spacing w:after="0" w:line="142" w:lineRule="exact"/>
              <w:rPr>
                <w:sz w:val="20"/>
                <w:szCs w:val="20"/>
                <w:color w:val="auto"/>
              </w:rPr>
            </w:pPr>
            <w:r>
              <w:rPr>
                <w:rFonts w:ascii="Arial" w:cs="Arial" w:eastAsia="Arial" w:hAnsi="Arial"/>
                <w:sz w:val="14"/>
                <w:szCs w:val="14"/>
                <w:color w:val="auto"/>
              </w:rPr>
              <w:t>Pre-IPO net income attributable to Tradeweb Markets LLC</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42,352</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29,307</w:t>
            </w:r>
          </w:p>
        </w:tc>
        <w:tc>
          <w:tcPr>
            <w:tcW w:w="120" w:type="dxa"/>
            <w:vAlign w:val="bottom"/>
            <w:tcBorders>
              <w:right w:val="single" w:sz="8" w:color="auto"/>
            </w:tcBorders>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130,160</w:t>
            </w:r>
          </w:p>
        </w:tc>
        <w:tc>
          <w:tcPr>
            <w:tcW w:w="120" w:type="dxa"/>
            <w:vAlign w:val="bottom"/>
          </w:tcPr>
          <w:p>
            <w:pPr>
              <w:spacing w:after="0"/>
              <w:rPr>
                <w:sz w:val="12"/>
                <w:szCs w:val="12"/>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20" w:type="dxa"/>
            <w:vAlign w:val="bottom"/>
            <w:gridSpan w:val="5"/>
          </w:tcPr>
          <w:p>
            <w:pPr>
              <w:spacing w:after="0" w:line="135" w:lineRule="exact"/>
              <w:rPr>
                <w:sz w:val="20"/>
                <w:szCs w:val="20"/>
                <w:color w:val="auto"/>
              </w:rPr>
            </w:pPr>
            <w:r>
              <w:rPr>
                <w:rFonts w:ascii="Arial" w:cs="Arial" w:eastAsia="Arial" w:hAnsi="Arial"/>
                <w:sz w:val="14"/>
                <w:szCs w:val="14"/>
                <w:color w:val="auto"/>
              </w:rPr>
              <w:t>Denominator:</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Weighted average LLC Interests outstanding - Basic</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222,222,197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222,221,628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215,365,920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212,568,635</w:t>
            </w:r>
          </w:p>
        </w:tc>
        <w:tc>
          <w:tcPr>
            <w:tcW w:w="0" w:type="dxa"/>
            <w:vAlign w:val="bottom"/>
          </w:tcPr>
          <w:p>
            <w:pPr>
              <w:spacing w:after="0"/>
              <w:rPr>
                <w:sz w:val="1"/>
                <w:szCs w:val="1"/>
                <w:color w:val="auto"/>
              </w:rPr>
            </w:pPr>
          </w:p>
        </w:tc>
      </w:tr>
      <w:tr>
        <w:trPr>
          <w:trHeight w:val="149"/>
        </w:trPr>
        <w:tc>
          <w:tcPr>
            <w:tcW w:w="472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Dilutive effect of equity-settled PRSUs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1,098,260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22,223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tcBorders>
              <w:top w:val="single" w:sz="8" w:color="CCEEFF"/>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color w:val="auto"/>
              </w:rPr>
              <w:t>Weighted average LLC Interests outstanding - Diluted</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223,320,457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222,243,851</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215,365,920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212,568,635</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Basic</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0.13</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3"/>
        </w:trPr>
        <w:tc>
          <w:tcPr>
            <w:tcW w:w="4720" w:type="dxa"/>
            <w:vAlign w:val="bottom"/>
            <w:tcBorders>
              <w:top w:val="single" w:sz="8" w:color="CCEEFF"/>
            </w:tcBorders>
            <w:gridSpan w:val="5"/>
          </w:tcPr>
          <w:p>
            <w:pPr>
              <w:spacing w:after="0" w:line="136" w:lineRule="exact"/>
              <w:rPr>
                <w:sz w:val="20"/>
                <w:szCs w:val="20"/>
                <w:color w:val="auto"/>
              </w:rPr>
            </w:pPr>
            <w:r>
              <w:rPr>
                <w:rFonts w:ascii="Arial" w:cs="Arial" w:eastAsia="Arial" w:hAnsi="Arial"/>
                <w:sz w:val="14"/>
                <w:szCs w:val="14"/>
                <w:color w:val="auto"/>
              </w:rPr>
              <w:t>Earnings per share - Diluted</w:t>
            </w:r>
          </w:p>
        </w:tc>
        <w:tc>
          <w:tcPr>
            <w:tcW w:w="1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0.19</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0.60</w:t>
            </w:r>
          </w:p>
        </w:tc>
        <w:tc>
          <w:tcPr>
            <w:tcW w:w="12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160" w:hanging="333"/>
        <w:spacing w:after="0" w:line="238"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periods have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Inc. (post-IPO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2"/>
              </w:rPr>
              <w:t>Successor</w:t>
            </w:r>
          </w:p>
        </w:tc>
      </w:tr>
      <w:tr>
        <w:trPr>
          <w:trHeight w:val="101"/>
        </w:trPr>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jc w:val="center"/>
              <w:ind w:right="115"/>
              <w:spacing w:after="0" w:line="102" w:lineRule="exact"/>
              <w:rPr>
                <w:sz w:val="20"/>
                <w:szCs w:val="20"/>
                <w:color w:val="auto"/>
              </w:rPr>
            </w:pPr>
            <w:r>
              <w:rPr>
                <w:rFonts w:ascii="Arial" w:cs="Arial" w:eastAsia="Arial" w:hAnsi="Arial"/>
                <w:sz w:val="11"/>
                <w:szCs w:val="11"/>
                <w:b w:val="1"/>
                <w:bCs w:val="1"/>
                <w:color w:val="auto"/>
                <w:w w:val="89"/>
              </w:rPr>
              <w:t>Nine Months Ended</w:t>
            </w:r>
          </w:p>
        </w:tc>
        <w:tc>
          <w:tcPr>
            <w:tcW w:w="160" w:type="dxa"/>
            <w:vAlign w:val="bottom"/>
          </w:tcPr>
          <w:p>
            <w:pPr>
              <w:spacing w:after="0"/>
              <w:rPr>
                <w:sz w:val="8"/>
                <w:szCs w:val="8"/>
                <w:color w:val="auto"/>
              </w:rPr>
            </w:pPr>
          </w:p>
        </w:tc>
      </w:tr>
      <w:tr>
        <w:trPr>
          <w:trHeight w:val="122"/>
        </w:trPr>
        <w:tc>
          <w:tcPr>
            <w:tcW w:w="73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EPS: Post-IPO net income attributable to Tradeweb Markets Inc.</w:t>
            </w:r>
          </w:p>
        </w:tc>
        <w:tc>
          <w:tcPr>
            <w:tcW w:w="200" w:type="dxa"/>
            <w:vAlign w:val="bottom"/>
          </w:tcPr>
          <w:p>
            <w:pPr>
              <w:spacing w:after="0"/>
              <w:rPr>
                <w:sz w:val="10"/>
                <w:szCs w:val="10"/>
                <w:color w:val="auto"/>
              </w:rPr>
            </w:pPr>
          </w:p>
        </w:tc>
        <w:tc>
          <w:tcPr>
            <w:tcW w:w="15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7360" w:type="dxa"/>
            <w:vAlign w:val="bottom"/>
            <w:gridSpan w:val="4"/>
          </w:tcPr>
          <w:p>
            <w:pPr>
              <w:spacing w:after="0"/>
              <w:rPr>
                <w:sz w:val="20"/>
                <w:szCs w:val="20"/>
                <w:color w:val="auto"/>
              </w:rPr>
            </w:pPr>
            <w:r>
              <w:rPr>
                <w:rFonts w:ascii="Arial" w:cs="Arial" w:eastAsia="Arial" w:hAnsi="Arial"/>
                <w:sz w:val="11"/>
                <w:szCs w:val="11"/>
                <w:b w:val="1"/>
                <w:bCs w:val="1"/>
                <w:color w:val="auto"/>
              </w:rPr>
              <w:t>(in thousands, except share and per share amounts)</w:t>
            </w:r>
          </w:p>
        </w:tc>
        <w:tc>
          <w:tcPr>
            <w:tcW w:w="200" w:type="dxa"/>
            <w:vAlign w:val="bottom"/>
          </w:tcPr>
          <w:p>
            <w:pPr>
              <w:spacing w:after="0"/>
              <w:rPr>
                <w:sz w:val="11"/>
                <w:szCs w:val="11"/>
                <w:color w:val="auto"/>
              </w:rPr>
            </w:pPr>
          </w:p>
        </w:tc>
        <w:tc>
          <w:tcPr>
            <w:tcW w:w="1340" w:type="dxa"/>
            <w:vAlign w:val="bottom"/>
          </w:tcPr>
          <w:p>
            <w:pPr>
              <w:jc w:val="center"/>
              <w:ind w:right="135"/>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1"/>
                <w:szCs w:val="11"/>
                <w:color w:val="auto"/>
              </w:rPr>
            </w:pPr>
          </w:p>
        </w:tc>
      </w:tr>
      <w:tr>
        <w:trPr>
          <w:trHeight w:val="129"/>
        </w:trPr>
        <w:tc>
          <w:tcPr>
            <w:tcW w:w="70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Numerator:</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42"/>
        </w:trPr>
        <w:tc>
          <w:tcPr>
            <w:tcW w:w="7360" w:type="dxa"/>
            <w:vAlign w:val="bottom"/>
            <w:gridSpan w:val="4"/>
          </w:tcPr>
          <w:p>
            <w:pPr>
              <w:spacing w:after="0" w:line="142" w:lineRule="exact"/>
              <w:rPr>
                <w:sz w:val="20"/>
                <w:szCs w:val="20"/>
                <w:color w:val="auto"/>
              </w:rPr>
            </w:pPr>
            <w:r>
              <w:rPr>
                <w:rFonts w:ascii="Arial" w:cs="Arial" w:eastAsia="Arial" w:hAnsi="Arial"/>
                <w:sz w:val="14"/>
                <w:szCs w:val="14"/>
                <w:color w:val="auto"/>
              </w:rPr>
              <w:t>Post-IPO net income attributable to Tradeweb Markets Inc.</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42" w:lineRule="exact"/>
              <w:rPr>
                <w:sz w:val="20"/>
                <w:szCs w:val="20"/>
                <w:color w:val="auto"/>
              </w:rPr>
            </w:pPr>
            <w:r>
              <w:rPr>
                <w:rFonts w:ascii="Arial" w:cs="Arial" w:eastAsia="Arial" w:hAnsi="Arial"/>
                <w:sz w:val="14"/>
                <w:szCs w:val="14"/>
                <w:color w:val="auto"/>
              </w:rPr>
              <w:t>83,769</w:t>
            </w:r>
          </w:p>
        </w:tc>
        <w:tc>
          <w:tcPr>
            <w:tcW w:w="16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7360" w:type="dxa"/>
            <w:vAlign w:val="bottom"/>
            <w:gridSpan w:val="4"/>
          </w:tcPr>
          <w:p>
            <w:pPr>
              <w:spacing w:after="0" w:line="135"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73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Weighted average shares of Class A and Class B common stock outstanding - Basic</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148,013,274</w:t>
            </w:r>
          </w:p>
        </w:tc>
        <w:tc>
          <w:tcPr>
            <w:tcW w:w="160" w:type="dxa"/>
            <w:vAlign w:val="bottom"/>
            <w:shd w:val="clear" w:color="auto" w:fill="CCEEFF"/>
          </w:tcPr>
          <w:p>
            <w:pPr>
              <w:spacing w:after="0"/>
              <w:rPr>
                <w:sz w:val="12"/>
                <w:szCs w:val="12"/>
                <w:color w:val="auto"/>
              </w:rPr>
            </w:pPr>
          </w:p>
        </w:tc>
      </w:tr>
      <w:tr>
        <w:trPr>
          <w:trHeight w:val="149"/>
        </w:trPr>
        <w:tc>
          <w:tcPr>
            <w:tcW w:w="73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Dilutive effect of equity-settled PRSUs</w:t>
            </w:r>
          </w:p>
        </w:tc>
        <w:tc>
          <w:tcPr>
            <w:tcW w:w="2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2,464,137</w:t>
            </w:r>
          </w:p>
        </w:tc>
        <w:tc>
          <w:tcPr>
            <w:tcW w:w="160" w:type="dxa"/>
            <w:vAlign w:val="bottom"/>
          </w:tcPr>
          <w:p>
            <w:pPr>
              <w:spacing w:after="0"/>
              <w:rPr>
                <w:sz w:val="12"/>
                <w:szCs w:val="12"/>
                <w:color w:val="auto"/>
              </w:rPr>
            </w:pPr>
          </w:p>
        </w:tc>
      </w:tr>
      <w:tr>
        <w:trPr>
          <w:trHeight w:val="149"/>
        </w:trPr>
        <w:tc>
          <w:tcPr>
            <w:tcW w:w="736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Dilutive effect of options</w:t>
            </w:r>
          </w:p>
        </w:tc>
        <w:tc>
          <w:tcPr>
            <w:tcW w:w="2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6,062,835</w:t>
            </w:r>
          </w:p>
        </w:tc>
        <w:tc>
          <w:tcPr>
            <w:tcW w:w="160" w:type="dxa"/>
            <w:vAlign w:val="bottom"/>
            <w:shd w:val="clear" w:color="auto" w:fill="CCEEFF"/>
          </w:tcPr>
          <w:p>
            <w:pPr>
              <w:spacing w:after="0"/>
              <w:rPr>
                <w:sz w:val="12"/>
                <w:szCs w:val="12"/>
                <w:color w:val="auto"/>
              </w:rPr>
            </w:pPr>
          </w:p>
        </w:tc>
      </w:tr>
      <w:tr>
        <w:trPr>
          <w:trHeight w:val="149"/>
        </w:trPr>
        <w:tc>
          <w:tcPr>
            <w:tcW w:w="736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Weighted average shares of Class A and Class B common stock outstanding - Diluted</w:t>
            </w: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156,540,246</w:t>
            </w:r>
          </w:p>
        </w:tc>
        <w:tc>
          <w:tcPr>
            <w:tcW w:w="160" w:type="dxa"/>
            <w:vAlign w:val="bottom"/>
            <w:tcBorders>
              <w:bottom w:val="single" w:sz="8" w:color="CCEEFF"/>
            </w:tcBorders>
          </w:tcPr>
          <w:p>
            <w:pPr>
              <w:spacing w:after="0"/>
              <w:rPr>
                <w:sz w:val="12"/>
                <w:szCs w:val="12"/>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6"/>
        </w:trPr>
        <w:tc>
          <w:tcPr>
            <w:tcW w:w="7360" w:type="dxa"/>
            <w:vAlign w:val="bottom"/>
            <w:tcBorders>
              <w:bottom w:val="single" w:sz="8" w:color="CCEEFF"/>
            </w:tcBorders>
            <w:gridSpan w:val="4"/>
          </w:tcPr>
          <w:p>
            <w:pPr>
              <w:spacing w:after="0" w:line="149" w:lineRule="exact"/>
              <w:rPr>
                <w:sz w:val="20"/>
                <w:szCs w:val="20"/>
                <w:color w:val="auto"/>
              </w:rPr>
            </w:pPr>
            <w:r>
              <w:rPr>
                <w:rFonts w:ascii="Arial" w:cs="Arial" w:eastAsia="Arial" w:hAnsi="Arial"/>
                <w:sz w:val="14"/>
                <w:szCs w:val="14"/>
                <w:color w:val="auto"/>
              </w:rPr>
              <w:t>Earnings per share - Basic</w:t>
            </w:r>
          </w:p>
        </w:tc>
        <w:tc>
          <w:tcPr>
            <w:tcW w:w="2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tcBorders>
              <w:bottom w:val="single" w:sz="8" w:color="CCEEFF"/>
            </w:tcBorders>
          </w:tcPr>
          <w:p>
            <w:pPr>
              <w:spacing w:after="0"/>
              <w:rPr>
                <w:sz w:val="13"/>
                <w:szCs w:val="13"/>
                <w:color w:val="auto"/>
              </w:rPr>
            </w:pPr>
          </w:p>
        </w:tc>
      </w:tr>
      <w:tr>
        <w:trPr>
          <w:trHeight w:val="156"/>
        </w:trPr>
        <w:tc>
          <w:tcPr>
            <w:tcW w:w="736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Diluted</w:t>
            </w: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0.54</w:t>
            </w:r>
          </w:p>
        </w:tc>
        <w:tc>
          <w:tcPr>
            <w:tcW w:w="160" w:type="dxa"/>
            <w:vAlign w:val="bottom"/>
            <w:tcBorders>
              <w:bottom w:val="single" w:sz="8" w:color="CCEEFF"/>
            </w:tcBorders>
            <w:shd w:val="clear" w:color="auto" w:fill="CCEEFF"/>
          </w:tcPr>
          <w:p>
            <w:pPr>
              <w:spacing w:after="0"/>
              <w:rPr>
                <w:sz w:val="13"/>
                <w:szCs w:val="13"/>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2019, there were approximately 128,125 average shares underlying equity-settled PRSUs and options that were anti-dilutive. As a result, these shares, which are still outstanding, were excluded from the computation of diluted earnings per share. For the 2018 Predecessor Period, there were approximately 5,444,566 average shares related to the contingent consideration payable that were anti-dilutive and thus excluded from the computation of diluted earnings per share.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59,182,155 LLC Interests for the assumed exchange of non-controlling interests were determined to be anti-dilutive and thus were excluded from the computation of diluted earnings per share for the post-IPO periods.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77" w:lineRule="exact"/>
        <w:rPr>
          <w:sz w:val="20"/>
          <w:szCs w:val="20"/>
          <w:color w:val="auto"/>
        </w:rPr>
      </w:pPr>
    </w:p>
    <w:p>
      <w:pPr>
        <w:ind w:left="680" w:hanging="677"/>
        <w:spacing w:after="0"/>
        <w:tabs>
          <w:tab w:leader="none" w:pos="6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 Requirements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TWL, DW and TWD are subject to the Uniform Net Capital Rule 15c3</w:t>
      </w:r>
      <w:r>
        <w:rPr>
          <w:rFonts w:ascii="MS PGothic" w:cs="MS PGothic" w:eastAsia="MS PGothic" w:hAnsi="MS PGothic"/>
          <w:sz w:val="18"/>
          <w:szCs w:val="18"/>
          <w:color w:val="auto"/>
        </w:rPr>
        <w:t>‑</w:t>
      </w:r>
      <w:r>
        <w:rPr>
          <w:rFonts w:ascii="Arial" w:cs="Arial" w:eastAsia="Arial" w:hAnsi="Arial"/>
          <w:sz w:val="18"/>
          <w:szCs w:val="18"/>
          <w:color w:val="auto"/>
        </w:rPr>
        <w:t>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2019 and 2018, the regulatory capital requirements and regulatory capital for TWL, DW, TWD, TEL, TWJ and TWEU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4"/>
                <w:szCs w:val="14"/>
                <w:b w:val="1"/>
                <w:bCs w:val="1"/>
                <w:color w:val="auto"/>
              </w:rPr>
              <w:t>TWL</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DW</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TEL</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TWJ</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TWEU</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42,317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52,016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33,807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49,611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2,396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2,026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664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21,856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39,921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49,990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33,143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27,755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378"/>
        </w:trPr>
        <w:tc>
          <w:tcPr>
            <w:tcW w:w="324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DW</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TWD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TEL</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TWJ</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18,986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41,164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46,157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2,698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17,493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16,288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39,361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28,664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r>
      <w:tr>
        <w:trPr>
          <w:trHeight w:val="86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1"/>
        </w:trPr>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2019 and 2018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3"/>
              </w:rPr>
              <w:t>As of December 31, 2018</w:t>
            </w:r>
          </w:p>
        </w:tc>
      </w:tr>
      <w:tr>
        <w:trPr>
          <w:trHeight w:val="142"/>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DW SEF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20" w:type="dxa"/>
            <w:vAlign w:val="bottom"/>
          </w:tcPr>
          <w:p>
            <w:pPr>
              <w:spacing w:after="0"/>
              <w:rPr>
                <w:sz w:val="12"/>
                <w:szCs w:val="12"/>
                <w:color w:val="auto"/>
              </w:rPr>
            </w:pPr>
          </w:p>
        </w:tc>
        <w:tc>
          <w:tcPr>
            <w:tcW w:w="7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9"/>
              </w:rPr>
              <w:t>DW SEF</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Financial Resources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Liquid Financial Assets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r>
    </w:tbl>
    <w:p>
      <w:pPr>
        <w:spacing w:after="0" w:line="211" w:lineRule="exact"/>
        <w:rPr>
          <w:sz w:val="20"/>
          <w:szCs w:val="20"/>
          <w:color w:val="auto"/>
        </w:rPr>
      </w:pPr>
    </w:p>
    <w:p>
      <w:pPr>
        <w:ind w:left="680" w:hanging="677"/>
        <w:spacing w:after="0"/>
        <w:tabs>
          <w:tab w:leader="none" w:pos="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 Information regarding revenue by client sector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1, 2018 to</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2018 to</w:t>
            </w: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Institutional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453,379</w:t>
            </w:r>
          </w:p>
        </w:tc>
        <w:tc>
          <w:tcPr>
            <w:tcW w:w="14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301,918</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318,038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Wholesale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171,096</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118,451</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80,368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(26,830)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504,448</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585,747</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415,356</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189,819</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revenue by geographic area for the year ended December 31, 2019, the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Period, the 2018 Predecessor Period and the year ended December 31,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shd w:val="clear" w:color="auto" w:fill="000000"/>
          </w:tcPr>
          <w:p>
            <w:pPr>
              <w:spacing w:after="0"/>
              <w:rPr>
                <w:sz w:val="23"/>
                <w:szCs w:val="23"/>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October 1, 2018 to</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2018 to</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497,316</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324,304</w:t>
            </w:r>
          </w:p>
        </w:tc>
        <w:tc>
          <w:tcPr>
            <w:tcW w:w="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385,176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278,250</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0" w:type="dxa"/>
            <w:vAlign w:val="bottom"/>
          </w:tcPr>
          <w:p>
            <w:pPr>
              <w:spacing w:after="0"/>
              <w:rPr>
                <w:sz w:val="1"/>
                <w:szCs w:val="1"/>
                <w:color w:val="auto"/>
              </w:rPr>
            </w:pPr>
          </w:p>
        </w:tc>
      </w:tr>
      <w:tr>
        <w:trPr>
          <w:trHeight w:val="210"/>
        </w:trPr>
        <w:tc>
          <w:tcPr>
            <w:tcW w:w="4460" w:type="dxa"/>
            <w:vAlign w:val="bottom"/>
          </w:tcPr>
          <w:p>
            <w:pPr>
              <w:ind w:left="220"/>
              <w:spacing w:after="0"/>
              <w:rPr>
                <w:sz w:val="20"/>
                <w:szCs w:val="20"/>
                <w:color w:val="auto"/>
              </w:rPr>
            </w:pPr>
            <w:r>
              <w:rPr>
                <w:rFonts w:ascii="Arial" w:cs="Arial" w:eastAsia="Arial" w:hAnsi="Arial"/>
                <w:sz w:val="18"/>
                <w:szCs w:val="18"/>
                <w:color w:val="auto"/>
              </w:rPr>
              <w:t>Gross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505,771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562,968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178,637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478,941</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504,448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4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71"/>
        </w:trPr>
        <w:tc>
          <w:tcPr>
            <w:tcW w:w="41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4,200,133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4,276,568</w:t>
            </w: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4,214,233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4,284,355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Results of Operations (Unaudited)</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following tables set forth certain unaudited financial data for the Company’s quarterly operations in 2019 and 2018. The following information has been prepared on the same basis as the annual information presented elsewhere in this report and, in the opinion of management, includes all adjustments, consisting only of normal recurring adjustments,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necessary for a fair presentation of the information for the quarterly periods presented. The operating results for any quarter are not necessarily indicative of results for any future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9"/>
          </w:tcPr>
          <w:p>
            <w:pPr>
              <w:jc w:val="center"/>
              <w:ind w:right="180"/>
              <w:spacing w:after="0"/>
              <w:rPr>
                <w:sz w:val="20"/>
                <w:szCs w:val="20"/>
                <w:color w:val="auto"/>
              </w:rPr>
            </w:pPr>
            <w:r>
              <w:rPr>
                <w:rFonts w:ascii="Arial" w:cs="Arial" w:eastAsia="Arial" w:hAnsi="Arial"/>
                <w:sz w:val="11"/>
                <w:szCs w:val="11"/>
                <w:b w:val="1"/>
                <w:bCs w:val="1"/>
                <w:color w:val="auto"/>
                <w:w w:val="91"/>
              </w:rPr>
              <w:t>Tradeweb Markets Inc. (post-IPO)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8"/>
          </w:tcPr>
          <w:p>
            <w:pPr>
              <w:jc w:val="right"/>
              <w:ind w:right="460"/>
              <w:spacing w:after="0"/>
              <w:rPr>
                <w:sz w:val="20"/>
                <w:szCs w:val="20"/>
                <w:color w:val="auto"/>
              </w:rPr>
            </w:pPr>
            <w:r>
              <w:rPr>
                <w:rFonts w:ascii="Arial" w:cs="Arial" w:eastAsia="Arial" w:hAnsi="Arial"/>
                <w:sz w:val="11"/>
                <w:szCs w:val="11"/>
                <w:b w:val="1"/>
                <w:bCs w:val="1"/>
                <w:color w:val="auto"/>
              </w:rPr>
              <w:t>Tradeweb Markets LLC (pre-IPO)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78"/>
              </w:rPr>
              <w:t>Successor</w:t>
            </w:r>
          </w:p>
        </w:tc>
        <w:tc>
          <w:tcPr>
            <w:tcW w:w="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78"/>
              </w:rPr>
              <w:t>Successor</w:t>
            </w: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ind w:right="46"/>
              <w:spacing w:after="0" w:line="115" w:lineRule="exact"/>
              <w:rPr>
                <w:sz w:val="20"/>
                <w:szCs w:val="20"/>
                <w:color w:val="auto"/>
              </w:rPr>
            </w:pPr>
            <w:r>
              <w:rPr>
                <w:rFonts w:ascii="Arial" w:cs="Arial" w:eastAsia="Arial" w:hAnsi="Arial"/>
                <w:sz w:val="11"/>
                <w:szCs w:val="11"/>
                <w:b w:val="1"/>
                <w:bCs w:val="1"/>
                <w:color w:val="auto"/>
                <w:w w:val="82"/>
              </w:rPr>
              <w:t>Successor</w:t>
            </w: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2"/>
              </w:rPr>
              <w:t>Successor</w:t>
            </w: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78"/>
              </w:rPr>
              <w:t>Successor</w:t>
            </w:r>
          </w:p>
        </w:tc>
        <w:tc>
          <w:tcPr>
            <w:tcW w:w="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1"/>
              </w:rPr>
              <w:t>Predecessor</w:t>
            </w: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1"/>
              </w:rPr>
              <w:t>Predecessor</w:t>
            </w: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jc w:val="center"/>
              <w:ind w:right="220"/>
              <w:spacing w:after="0" w:line="115" w:lineRule="exact"/>
              <w:rPr>
                <w:sz w:val="20"/>
                <w:szCs w:val="20"/>
                <w:color w:val="auto"/>
              </w:rPr>
            </w:pPr>
            <w:r>
              <w:rPr>
                <w:rFonts w:ascii="Arial" w:cs="Arial" w:eastAsia="Arial" w:hAnsi="Arial"/>
                <w:sz w:val="11"/>
                <w:szCs w:val="11"/>
                <w:b w:val="1"/>
                <w:bCs w:val="1"/>
                <w:color w:val="auto"/>
                <w:w w:val="90"/>
              </w:rPr>
              <w:t>Three Months Ended</w:t>
            </w: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w w:val="89"/>
              </w:rPr>
              <w:t>December 31,</w:t>
            </w:r>
          </w:p>
        </w:tc>
        <w:tc>
          <w:tcPr>
            <w:tcW w:w="60" w:type="dxa"/>
            <w:vAlign w:val="bottom"/>
          </w:tcPr>
          <w:p>
            <w:pPr>
              <w:spacing w:after="0"/>
              <w:rPr>
                <w:sz w:val="8"/>
                <w:szCs w:val="8"/>
                <w:color w:val="auto"/>
              </w:rPr>
            </w:pPr>
          </w:p>
        </w:tc>
        <w:tc>
          <w:tcPr>
            <w:tcW w:w="7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September 30,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86"/>
              </w:rPr>
              <w:t>June 30,</w:t>
            </w: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March 31,</w:t>
            </w:r>
          </w:p>
        </w:tc>
        <w:tc>
          <w:tcPr>
            <w:tcW w:w="60" w:type="dxa"/>
            <w:vAlign w:val="bottom"/>
          </w:tcPr>
          <w:p>
            <w:pPr>
              <w:spacing w:after="0"/>
              <w:rPr>
                <w:sz w:val="8"/>
                <w:szCs w:val="8"/>
                <w:color w:val="auto"/>
              </w:rPr>
            </w:pPr>
          </w:p>
        </w:tc>
        <w:tc>
          <w:tcPr>
            <w:tcW w:w="78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9"/>
              </w:rPr>
              <w:t>December 31,</w:t>
            </w:r>
          </w:p>
        </w:tc>
        <w:tc>
          <w:tcPr>
            <w:tcW w:w="82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8"/>
                <w:szCs w:val="8"/>
                <w:color w:val="auto"/>
              </w:rPr>
            </w:pPr>
          </w:p>
        </w:tc>
        <w:tc>
          <w:tcPr>
            <w:tcW w:w="74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35"/>
        </w:trPr>
        <w:tc>
          <w:tcPr>
            <w:tcW w:w="23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2019</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2018</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0" w:type="dxa"/>
            <w:vAlign w:val="bottom"/>
          </w:tcPr>
          <w:p>
            <w:pPr>
              <w:spacing w:after="0"/>
              <w:rPr>
                <w:sz w:val="1"/>
                <w:szCs w:val="1"/>
                <w:color w:val="auto"/>
              </w:rPr>
            </w:pPr>
          </w:p>
        </w:tc>
      </w:tr>
      <w:tr>
        <w:trPr>
          <w:trHeight w:val="115"/>
        </w:trPr>
        <w:tc>
          <w:tcPr>
            <w:tcW w:w="23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Revenues</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80" w:type="dxa"/>
            <w:vAlign w:val="bottom"/>
            <w:gridSpan w:val="11"/>
            <w:shd w:val="clear" w:color="auto" w:fill="CCEEFF"/>
          </w:tcPr>
          <w:p>
            <w:pPr>
              <w:jc w:val="center"/>
              <w:ind w:right="180"/>
              <w:spacing w:after="0" w:line="115" w:lineRule="exact"/>
              <w:rPr>
                <w:sz w:val="20"/>
                <w:szCs w:val="20"/>
                <w:color w:val="auto"/>
              </w:rPr>
            </w:pPr>
            <w:r>
              <w:rPr>
                <w:rFonts w:ascii="Arial" w:cs="Arial" w:eastAsia="Arial" w:hAnsi="Arial"/>
                <w:sz w:val="11"/>
                <w:szCs w:val="11"/>
                <w:b w:val="1"/>
                <w:bCs w:val="1"/>
                <w:color w:val="auto"/>
                <w:w w:val="87"/>
              </w:rPr>
              <w:t>(in thousands, except share and per share data)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120"/>
              <w:spacing w:after="0" w:line="122" w:lineRule="exact"/>
              <w:rPr>
                <w:sz w:val="20"/>
                <w:szCs w:val="20"/>
                <w:color w:val="auto"/>
              </w:rPr>
            </w:pPr>
            <w:r>
              <w:rPr>
                <w:rFonts w:ascii="Arial" w:cs="Arial" w:eastAsia="Arial" w:hAnsi="Arial"/>
                <w:sz w:val="11"/>
                <w:szCs w:val="11"/>
                <w:color w:val="auto"/>
              </w:rPr>
              <w:t>Transaction fees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104,245</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112,746</w:t>
            </w:r>
          </w:p>
        </w:tc>
        <w:tc>
          <w:tcPr>
            <w:tcW w:w="6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103,952</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102,640</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97,130</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92,582</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91,030</w:t>
            </w:r>
          </w:p>
        </w:tc>
        <w:tc>
          <w:tcPr>
            <w:tcW w:w="8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90,139</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Subscription fees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34,333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35,387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34,566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34,445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33,052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37,647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36,326</w:t>
            </w:r>
          </w:p>
        </w:tc>
        <w:tc>
          <w:tcPr>
            <w:tcW w:w="0" w:type="dxa"/>
            <w:vAlign w:val="bottom"/>
          </w:tcPr>
          <w:p>
            <w:pPr>
              <w:spacing w:after="0"/>
              <w:rPr>
                <w:sz w:val="1"/>
                <w:szCs w:val="1"/>
                <w:color w:val="auto"/>
              </w:rPr>
            </w:pPr>
          </w:p>
        </w:tc>
      </w:tr>
      <w:tr>
        <w:trPr>
          <w:trHeight w:val="122"/>
        </w:trPr>
        <w:tc>
          <w:tcPr>
            <w:tcW w:w="2320" w:type="dxa"/>
            <w:vAlign w:val="bottom"/>
          </w:tcPr>
          <w:p>
            <w:pPr>
              <w:ind w:left="120"/>
              <w:spacing w:after="0" w:line="122" w:lineRule="exact"/>
              <w:rPr>
                <w:sz w:val="20"/>
                <w:szCs w:val="20"/>
                <w:color w:val="auto"/>
              </w:rPr>
            </w:pPr>
            <w:r>
              <w:rPr>
                <w:rFonts w:ascii="Arial" w:cs="Arial" w:eastAsia="Arial" w:hAnsi="Arial"/>
                <w:sz w:val="11"/>
                <w:szCs w:val="11"/>
                <w:color w:val="auto"/>
              </w:rPr>
              <w:t>Commissions</w:t>
            </w:r>
          </w:p>
        </w:tc>
        <w:tc>
          <w:tcPr>
            <w:tcW w:w="6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41,165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37,590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36,413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34,197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32,840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24,394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27,553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27,883</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Refinitiv market data fees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15,383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13,251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13,385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13,616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13,467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12,533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12,081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12,237</w:t>
            </w:r>
          </w:p>
        </w:tc>
        <w:tc>
          <w:tcPr>
            <w:tcW w:w="0" w:type="dxa"/>
            <w:vAlign w:val="bottom"/>
          </w:tcPr>
          <w:p>
            <w:pPr>
              <w:spacing w:after="0"/>
              <w:rPr>
                <w:sz w:val="1"/>
                <w:szCs w:val="1"/>
                <w:color w:val="auto"/>
              </w:rPr>
            </w:pPr>
          </w:p>
        </w:tc>
      </w:tr>
      <w:tr>
        <w:trPr>
          <w:trHeight w:val="122"/>
        </w:trPr>
        <w:tc>
          <w:tcPr>
            <w:tcW w:w="23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Other</w:t>
            </w: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2,182</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2,007</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2,169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1,894</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2,148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2,587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2,704</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2,918</w:t>
            </w:r>
          </w:p>
        </w:tc>
        <w:tc>
          <w:tcPr>
            <w:tcW w:w="0" w:type="dxa"/>
            <w:vAlign w:val="bottom"/>
          </w:tcPr>
          <w:p>
            <w:pPr>
              <w:spacing w:after="0"/>
              <w:rPr>
                <w:sz w:val="1"/>
                <w:szCs w:val="1"/>
                <w:color w:val="auto"/>
              </w:rPr>
            </w:pPr>
          </w:p>
        </w:tc>
      </w:tr>
      <w:tr>
        <w:trPr>
          <w:trHeight w:val="115"/>
        </w:trPr>
        <w:tc>
          <w:tcPr>
            <w:tcW w:w="23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b w:val="1"/>
                <w:bCs w:val="1"/>
                <w:color w:val="auto"/>
              </w:rPr>
              <w:t>Gross revenue</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197,308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200,981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190,485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186,792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178,637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165,253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171,015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169,503</w:t>
            </w:r>
          </w:p>
        </w:tc>
        <w:tc>
          <w:tcPr>
            <w:tcW w:w="0" w:type="dxa"/>
            <w:vAlign w:val="bottom"/>
          </w:tcPr>
          <w:p>
            <w:pPr>
              <w:spacing w:after="0"/>
              <w:rPr>
                <w:sz w:val="1"/>
                <w:szCs w:val="1"/>
                <w:color w:val="auto"/>
              </w:rPr>
            </w:pPr>
          </w:p>
        </w:tc>
      </w:tr>
      <w:tr>
        <w:trPr>
          <w:trHeight w:val="122"/>
        </w:trPr>
        <w:tc>
          <w:tcPr>
            <w:tcW w:w="2320" w:type="dxa"/>
            <w:vAlign w:val="bottom"/>
          </w:tcPr>
          <w:p>
            <w:pPr>
              <w:ind w:left="120"/>
              <w:spacing w:after="0" w:line="122" w:lineRule="exact"/>
              <w:rPr>
                <w:sz w:val="20"/>
                <w:szCs w:val="20"/>
                <w:color w:val="auto"/>
              </w:rPr>
            </w:pPr>
            <w:r>
              <w:rPr>
                <w:rFonts w:ascii="Arial" w:cs="Arial" w:eastAsia="Arial" w:hAnsi="Arial"/>
                <w:sz w:val="11"/>
                <w:szCs w:val="11"/>
                <w:color w:val="auto"/>
              </w:rPr>
              <w:t>Contingent consideration</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2,537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(19,297)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(10,070)</w:t>
            </w:r>
          </w:p>
        </w:tc>
        <w:tc>
          <w:tcPr>
            <w:tcW w:w="0" w:type="dxa"/>
            <w:vAlign w:val="bottom"/>
          </w:tcPr>
          <w:p>
            <w:pPr>
              <w:spacing w:after="0"/>
              <w:rPr>
                <w:sz w:val="1"/>
                <w:szCs w:val="1"/>
                <w:color w:val="auto"/>
              </w:rPr>
            </w:pPr>
          </w:p>
        </w:tc>
      </w:tr>
      <w:tr>
        <w:trPr>
          <w:trHeight w:val="115"/>
        </w:trPr>
        <w:tc>
          <w:tcPr>
            <w:tcW w:w="23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revenue</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197,308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200,981</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190,485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186,792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178,637</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167,790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151,718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159,433</w:t>
            </w:r>
          </w:p>
        </w:tc>
        <w:tc>
          <w:tcPr>
            <w:tcW w:w="0" w:type="dxa"/>
            <w:vAlign w:val="bottom"/>
          </w:tcPr>
          <w:p>
            <w:pPr>
              <w:spacing w:after="0"/>
              <w:rPr>
                <w:sz w:val="1"/>
                <w:szCs w:val="1"/>
                <w:color w:val="auto"/>
              </w:rPr>
            </w:pPr>
          </w:p>
        </w:tc>
      </w:tr>
      <w:tr>
        <w:trPr>
          <w:trHeight w:val="115"/>
        </w:trPr>
        <w:tc>
          <w:tcPr>
            <w:tcW w:w="2320" w:type="dxa"/>
            <w:vAlign w:val="bottom"/>
          </w:tcPr>
          <w:p>
            <w:pPr>
              <w:spacing w:after="0" w:line="115" w:lineRule="exact"/>
              <w:rPr>
                <w:sz w:val="20"/>
                <w:szCs w:val="20"/>
                <w:color w:val="auto"/>
              </w:rPr>
            </w:pPr>
            <w:r>
              <w:rPr>
                <w:rFonts w:ascii="Arial" w:cs="Arial" w:eastAsia="Arial" w:hAnsi="Arial"/>
                <w:sz w:val="11"/>
                <w:szCs w:val="11"/>
                <w:b w:val="1"/>
                <w:bCs w:val="1"/>
                <w:color w:val="auto"/>
              </w:rPr>
              <w:t>Expenses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Employee compensation and benefits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76,545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79,644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95,995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77,273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80,436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69,076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68,407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71,570</w:t>
            </w:r>
          </w:p>
        </w:tc>
        <w:tc>
          <w:tcPr>
            <w:tcW w:w="0" w:type="dxa"/>
            <w:vAlign w:val="bottom"/>
          </w:tcPr>
          <w:p>
            <w:pPr>
              <w:spacing w:after="0"/>
              <w:rPr>
                <w:sz w:val="1"/>
                <w:szCs w:val="1"/>
                <w:color w:val="auto"/>
              </w:rPr>
            </w:pPr>
          </w:p>
        </w:tc>
      </w:tr>
      <w:tr>
        <w:trPr>
          <w:trHeight w:val="122"/>
        </w:trPr>
        <w:tc>
          <w:tcPr>
            <w:tcW w:w="2320" w:type="dxa"/>
            <w:vAlign w:val="bottom"/>
          </w:tcPr>
          <w:p>
            <w:pPr>
              <w:ind w:left="120"/>
              <w:spacing w:after="0" w:line="122" w:lineRule="exact"/>
              <w:rPr>
                <w:sz w:val="20"/>
                <w:szCs w:val="20"/>
                <w:color w:val="auto"/>
              </w:rPr>
            </w:pPr>
            <w:r>
              <w:rPr>
                <w:rFonts w:ascii="Arial" w:cs="Arial" w:eastAsia="Arial" w:hAnsi="Arial"/>
                <w:sz w:val="11"/>
                <w:szCs w:val="11"/>
                <w:color w:val="auto"/>
              </w:rPr>
              <w:t>Depreciation and amortization</w:t>
            </w:r>
          </w:p>
        </w:tc>
        <w:tc>
          <w:tcPr>
            <w:tcW w:w="6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36,402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35,133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34,292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33,503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33,020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16,362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16,178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16,268</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Technology and communications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10,199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9,527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10,040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9,023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8,463</w:t>
            </w:r>
          </w:p>
        </w:tc>
        <w:tc>
          <w:tcPr>
            <w:tcW w:w="0" w:type="dxa"/>
            <w:vAlign w:val="bottom"/>
          </w:tcPr>
          <w:p>
            <w:pPr>
              <w:spacing w:after="0"/>
              <w:rPr>
                <w:sz w:val="1"/>
                <w:szCs w:val="1"/>
                <w:color w:val="auto"/>
              </w:rPr>
            </w:pPr>
          </w:p>
        </w:tc>
      </w:tr>
      <w:tr>
        <w:trPr>
          <w:trHeight w:val="122"/>
        </w:trPr>
        <w:tc>
          <w:tcPr>
            <w:tcW w:w="2320" w:type="dxa"/>
            <w:vAlign w:val="bottom"/>
          </w:tcPr>
          <w:p>
            <w:pPr>
              <w:ind w:left="120"/>
              <w:spacing w:after="0" w:line="122" w:lineRule="exact"/>
              <w:rPr>
                <w:sz w:val="20"/>
                <w:szCs w:val="20"/>
                <w:color w:val="auto"/>
              </w:rPr>
            </w:pPr>
            <w:r>
              <w:rPr>
                <w:rFonts w:ascii="Arial" w:cs="Arial" w:eastAsia="Arial" w:hAnsi="Arial"/>
                <w:sz w:val="11"/>
                <w:szCs w:val="11"/>
                <w:color w:val="auto"/>
              </w:rPr>
              <w:t>General and administrative</w:t>
            </w:r>
          </w:p>
        </w:tc>
        <w:tc>
          <w:tcPr>
            <w:tcW w:w="6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8,999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7,507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9,365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9,089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11,837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9,386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7,153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6,517</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Professional fees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7,048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7,272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6,971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8,194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7,276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5,538</w:t>
            </w:r>
          </w:p>
        </w:tc>
        <w:tc>
          <w:tcPr>
            <w:tcW w:w="0" w:type="dxa"/>
            <w:vAlign w:val="bottom"/>
          </w:tcPr>
          <w:p>
            <w:pPr>
              <w:spacing w:after="0"/>
              <w:rPr>
                <w:sz w:val="1"/>
                <w:szCs w:val="1"/>
                <w:color w:val="auto"/>
              </w:rPr>
            </w:pPr>
          </w:p>
        </w:tc>
      </w:tr>
      <w:tr>
        <w:trPr>
          <w:trHeight w:val="122"/>
        </w:trPr>
        <w:tc>
          <w:tcPr>
            <w:tcW w:w="23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Occupancy</w:t>
            </w: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3,786</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3,640</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3,621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3,639</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3,308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3,491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3,519</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3,722</w:t>
            </w:r>
          </w:p>
        </w:tc>
        <w:tc>
          <w:tcPr>
            <w:tcW w:w="0" w:type="dxa"/>
            <w:vAlign w:val="bottom"/>
          </w:tcPr>
          <w:p>
            <w:pPr>
              <w:spacing w:after="0"/>
              <w:rPr>
                <w:sz w:val="1"/>
                <w:szCs w:val="1"/>
                <w:color w:val="auto"/>
              </w:rPr>
            </w:pPr>
          </w:p>
        </w:tc>
      </w:tr>
      <w:tr>
        <w:trPr>
          <w:trHeight w:val="115"/>
        </w:trPr>
        <w:tc>
          <w:tcPr>
            <w:tcW w:w="23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b w:val="1"/>
                <w:bCs w:val="1"/>
                <w:color w:val="auto"/>
              </w:rPr>
              <w:t>Total expenses</w:t>
            </w: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142,979</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142,723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159,530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140,515</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146,702</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114,973</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111,556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112,078</w:t>
            </w:r>
          </w:p>
        </w:tc>
        <w:tc>
          <w:tcPr>
            <w:tcW w:w="0" w:type="dxa"/>
            <w:vAlign w:val="bottom"/>
          </w:tcPr>
          <w:p>
            <w:pPr>
              <w:spacing w:after="0"/>
              <w:rPr>
                <w:sz w:val="1"/>
                <w:szCs w:val="1"/>
                <w:color w:val="auto"/>
              </w:rPr>
            </w:pPr>
          </w:p>
        </w:tc>
      </w:tr>
      <w:tr>
        <w:trPr>
          <w:trHeight w:val="115"/>
        </w:trPr>
        <w:tc>
          <w:tcPr>
            <w:tcW w:w="2320" w:type="dxa"/>
            <w:vAlign w:val="bottom"/>
          </w:tcPr>
          <w:p>
            <w:pPr>
              <w:spacing w:after="0" w:line="115" w:lineRule="exact"/>
              <w:rPr>
                <w:sz w:val="20"/>
                <w:szCs w:val="20"/>
                <w:color w:val="auto"/>
              </w:rPr>
            </w:pPr>
            <w:r>
              <w:rPr>
                <w:rFonts w:ascii="Arial" w:cs="Arial" w:eastAsia="Arial" w:hAnsi="Arial"/>
                <w:sz w:val="11"/>
                <w:szCs w:val="11"/>
                <w:b w:val="1"/>
                <w:bCs w:val="1"/>
                <w:color w:val="auto"/>
              </w:rPr>
              <w:t>Operating income</w:t>
            </w:r>
          </w:p>
        </w:tc>
        <w:tc>
          <w:tcPr>
            <w:tcW w:w="6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54,329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58,258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30,955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46,277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31,935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52,817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40,162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47,355</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9"/>
              </w:rPr>
              <w:t>Tax receivable agreement liability adjustment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33,134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3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Net interest income</w:t>
            </w: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704</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636</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175</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858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787</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673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582</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15"/>
        </w:trPr>
        <w:tc>
          <w:tcPr>
            <w:tcW w:w="23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Income before taxes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88,167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58,894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31,130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47,135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32,722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53,490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40,744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47,826</w:t>
            </w:r>
          </w:p>
        </w:tc>
        <w:tc>
          <w:tcPr>
            <w:tcW w:w="0" w:type="dxa"/>
            <w:vAlign w:val="bottom"/>
          </w:tcPr>
          <w:p>
            <w:pPr>
              <w:spacing w:after="0"/>
              <w:rPr>
                <w:sz w:val="1"/>
                <w:szCs w:val="1"/>
                <w:color w:val="auto"/>
              </w:rPr>
            </w:pPr>
          </w:p>
        </w:tc>
      </w:tr>
      <w:tr>
        <w:trPr>
          <w:trHeight w:val="122"/>
        </w:trPr>
        <w:tc>
          <w:tcPr>
            <w:tcW w:w="2320" w:type="dxa"/>
            <w:vAlign w:val="bottom"/>
          </w:tcPr>
          <w:p>
            <w:pPr>
              <w:spacing w:after="0" w:line="122" w:lineRule="exact"/>
              <w:rPr>
                <w:sz w:val="20"/>
                <w:szCs w:val="20"/>
                <w:color w:val="auto"/>
              </w:rPr>
            </w:pPr>
            <w:r>
              <w:rPr>
                <w:rFonts w:ascii="Arial" w:cs="Arial" w:eastAsia="Arial" w:hAnsi="Arial"/>
                <w:sz w:val="11"/>
                <w:szCs w:val="11"/>
                <w:color w:val="auto"/>
              </w:rPr>
              <w:t>Provision for income taxes</w:t>
            </w:r>
          </w:p>
        </w:tc>
        <w:tc>
          <w:tcPr>
            <w:tcW w:w="60" w:type="dxa"/>
            <w:vAlign w:val="bottom"/>
          </w:tcPr>
          <w:p>
            <w:pPr>
              <w:spacing w:after="0"/>
              <w:rPr>
                <w:sz w:val="10"/>
                <w:szCs w:val="10"/>
                <w:color w:val="auto"/>
              </w:rPr>
            </w:pPr>
          </w:p>
        </w:tc>
        <w:tc>
          <w:tcPr>
            <w:tcW w:w="80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(30,889)</w:t>
            </w:r>
          </w:p>
        </w:tc>
        <w:tc>
          <w:tcPr>
            <w:tcW w:w="6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(10,316)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(6,314)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(4,783)</w:t>
            </w:r>
          </w:p>
        </w:tc>
        <w:tc>
          <w:tcPr>
            <w:tcW w:w="6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(3,415)</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(7,535)</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(2,518)</w:t>
            </w:r>
          </w:p>
        </w:tc>
        <w:tc>
          <w:tcPr>
            <w:tcW w:w="0" w:type="dxa"/>
            <w:vAlign w:val="bottom"/>
          </w:tcPr>
          <w:p>
            <w:pPr>
              <w:spacing w:after="0"/>
              <w:rPr>
                <w:sz w:val="1"/>
                <w:szCs w:val="1"/>
                <w:color w:val="auto"/>
              </w:rPr>
            </w:pPr>
          </w:p>
        </w:tc>
      </w:tr>
      <w:tr>
        <w:trPr>
          <w:trHeight w:val="135"/>
        </w:trPr>
        <w:tc>
          <w:tcPr>
            <w:tcW w:w="23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income</w:t>
            </w: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57,278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48,578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24,816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42,352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29,307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45,955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38,897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45,308</w:t>
            </w:r>
          </w:p>
        </w:tc>
        <w:tc>
          <w:tcPr>
            <w:tcW w:w="0" w:type="dxa"/>
            <w:vAlign w:val="bottom"/>
          </w:tcPr>
          <w:p>
            <w:pPr>
              <w:spacing w:after="0"/>
              <w:rPr>
                <w:sz w:val="1"/>
                <w:szCs w:val="1"/>
                <w:color w:val="auto"/>
              </w:rPr>
            </w:pPr>
          </w:p>
        </w:tc>
      </w:tr>
      <w:tr>
        <w:trPr>
          <w:trHeight w:val="85"/>
        </w:trPr>
        <w:tc>
          <w:tcPr>
            <w:tcW w:w="2320" w:type="dxa"/>
            <w:vAlign w:val="bottom"/>
          </w:tcPr>
          <w:p>
            <w:pPr>
              <w:spacing w:after="0" w:line="85" w:lineRule="exact"/>
              <w:rPr>
                <w:sz w:val="20"/>
                <w:szCs w:val="20"/>
                <w:color w:val="auto"/>
              </w:rPr>
            </w:pPr>
            <w:r>
              <w:rPr>
                <w:rFonts w:ascii="Arial" w:cs="Arial" w:eastAsia="Arial" w:hAnsi="Arial"/>
                <w:sz w:val="9"/>
                <w:szCs w:val="9"/>
                <w:color w:val="auto"/>
              </w:rPr>
              <w:t>Net income attributable to non-controlling</w:t>
            </w:r>
          </w:p>
        </w:tc>
        <w:tc>
          <w:tcPr>
            <w:tcW w:w="60" w:type="dxa"/>
            <w:vAlign w:val="bottom"/>
            <w:vMerge w:val="restart"/>
          </w:tcPr>
          <w:p>
            <w:pPr>
              <w:jc w:val="right"/>
              <w:spacing w:after="0"/>
              <w:rPr>
                <w:sz w:val="20"/>
                <w:szCs w:val="20"/>
                <w:color w:val="auto"/>
              </w:rPr>
            </w:pPr>
            <w:r>
              <w:rPr>
                <w:rFonts w:ascii="Arial" w:cs="Arial" w:eastAsia="Arial" w:hAnsi="Arial"/>
                <w:sz w:val="5"/>
                <w:szCs w:val="5"/>
                <w:b w:val="1"/>
                <w:bCs w:val="1"/>
                <w:color w:val="auto"/>
                <w:w w:val="70"/>
              </w:rPr>
              <w:t>$</w:t>
            </w:r>
          </w:p>
        </w:tc>
        <w:tc>
          <w:tcPr>
            <w:tcW w:w="20" w:type="dxa"/>
            <w:vAlign w:val="bottom"/>
            <w:vMerge w:val="restart"/>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15,949</w:t>
            </w:r>
          </w:p>
        </w:tc>
        <w:tc>
          <w:tcPr>
            <w:tcW w:w="100" w:type="dxa"/>
            <w:vAlign w:val="bottom"/>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18,966</w:t>
            </w: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11,988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320" w:type="dxa"/>
            <w:vAlign w:val="bottom"/>
          </w:tcPr>
          <w:p>
            <w:pPr>
              <w:spacing w:after="0" w:line="118" w:lineRule="exact"/>
              <w:rPr>
                <w:sz w:val="20"/>
                <w:szCs w:val="20"/>
                <w:color w:val="auto"/>
              </w:rPr>
            </w:pPr>
            <w:r>
              <w:rPr>
                <w:rFonts w:ascii="Arial" w:cs="Arial" w:eastAsia="Arial" w:hAnsi="Arial"/>
                <w:sz w:val="11"/>
                <w:szCs w:val="11"/>
                <w:color w:val="auto"/>
              </w:rPr>
              <w:t>interests</w:t>
            </w:r>
          </w:p>
        </w:tc>
        <w:tc>
          <w:tcPr>
            <w:tcW w:w="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20" w:type="dxa"/>
            <w:vAlign w:val="bottom"/>
          </w:tcPr>
          <w:p>
            <w:pPr>
              <w:spacing w:after="0" w:line="94" w:lineRule="exact"/>
              <w:rPr>
                <w:sz w:val="20"/>
                <w:szCs w:val="20"/>
                <w:color w:val="auto"/>
              </w:rPr>
            </w:pPr>
            <w:r>
              <w:rPr>
                <w:rFonts w:ascii="Arial" w:cs="Arial" w:eastAsia="Arial" w:hAnsi="Arial"/>
                <w:sz w:val="10"/>
                <w:szCs w:val="10"/>
                <w:b w:val="1"/>
                <w:bCs w:val="1"/>
                <w:color w:val="auto"/>
              </w:rPr>
              <w:t>Net income attributable to Tradeweb Markets</w:t>
            </w:r>
          </w:p>
        </w:tc>
        <w:tc>
          <w:tcPr>
            <w:tcW w:w="60" w:type="dxa"/>
            <w:vAlign w:val="bottom"/>
            <w:vMerge w:val="restart"/>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41,329</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29,612</w:t>
            </w:r>
          </w:p>
        </w:tc>
        <w:tc>
          <w:tcPr>
            <w:tcW w:w="60" w:type="dxa"/>
            <w:vAlign w:val="bottom"/>
          </w:tcPr>
          <w:p>
            <w:pPr>
              <w:spacing w:after="0"/>
              <w:rPr>
                <w:sz w:val="8"/>
                <w:szCs w:val="8"/>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12,828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line="111" w:lineRule="exact"/>
              <w:rPr>
                <w:sz w:val="20"/>
                <w:szCs w:val="20"/>
                <w:color w:val="auto"/>
              </w:rPr>
            </w:pPr>
            <w:r>
              <w:rPr>
                <w:rFonts w:ascii="Arial" w:cs="Arial" w:eastAsia="Arial" w:hAnsi="Arial"/>
                <w:sz w:val="11"/>
                <w:szCs w:val="11"/>
                <w:b w:val="1"/>
                <w:bCs w:val="1"/>
                <w:color w:val="auto"/>
              </w:rPr>
              <w:t>Inc.</w:t>
            </w:r>
          </w:p>
        </w:tc>
        <w:tc>
          <w:tcPr>
            <w:tcW w:w="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line="113" w:lineRule="exact"/>
              <w:rPr>
                <w:sz w:val="20"/>
                <w:szCs w:val="20"/>
                <w:color w:val="auto"/>
              </w:rPr>
            </w:pPr>
            <w:r>
              <w:rPr>
                <w:rFonts w:ascii="Arial" w:cs="Arial" w:eastAsia="Arial" w:hAnsi="Arial"/>
                <w:sz w:val="11"/>
                <w:szCs w:val="11"/>
                <w:color w:val="auto"/>
              </w:rPr>
              <w:t xml:space="preserve">Earnings per share </w:t>
            </w:r>
            <w:r>
              <w:rPr>
                <w:rFonts w:ascii="Arial" w:cs="Arial" w:eastAsia="Arial" w:hAnsi="Arial"/>
                <w:sz w:val="11"/>
                <w:szCs w:val="11"/>
                <w:color w:val="auto"/>
                <w:vertAlign w:val="superscript"/>
              </w:rPr>
              <w:t>(1)</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Basic</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16"/>
        </w:trPr>
        <w:tc>
          <w:tcPr>
            <w:tcW w:w="2320" w:type="dxa"/>
            <w:vAlign w:val="bottom"/>
            <w:tcBorders>
              <w:top w:val="single" w:sz="8" w:color="CCEEFF"/>
              <w:bottom w:val="single" w:sz="8" w:color="CCEEFF"/>
            </w:tcBorders>
          </w:tcPr>
          <w:p>
            <w:pPr>
              <w:ind w:left="120"/>
              <w:spacing w:after="0" w:line="109" w:lineRule="exact"/>
              <w:rPr>
                <w:sz w:val="20"/>
                <w:szCs w:val="20"/>
                <w:color w:val="auto"/>
              </w:rPr>
            </w:pPr>
            <w:r>
              <w:rPr>
                <w:rFonts w:ascii="Arial" w:cs="Arial" w:eastAsia="Arial" w:hAnsi="Arial"/>
                <w:sz w:val="11"/>
                <w:szCs w:val="11"/>
                <w:color w:val="auto"/>
              </w:rPr>
              <w:t>Diluted</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Arial" w:cs="Arial" w:eastAsia="Arial" w:hAnsi="Arial"/>
                <w:sz w:val="11"/>
                <w:szCs w:val="11"/>
                <w:color w:val="auto"/>
              </w:rPr>
              <w:t>0.25</w:t>
            </w:r>
          </w:p>
        </w:tc>
        <w:tc>
          <w:tcPr>
            <w:tcW w:w="10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0.20</w:t>
            </w:r>
          </w:p>
        </w:tc>
        <w:tc>
          <w:tcPr>
            <w:tcW w:w="6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0.09</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0.19</w:t>
            </w:r>
          </w:p>
        </w:tc>
        <w:tc>
          <w:tcPr>
            <w:tcW w:w="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0.13</w:t>
            </w:r>
          </w:p>
        </w:tc>
        <w:tc>
          <w:tcPr>
            <w:tcW w:w="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0.21</w:t>
            </w:r>
          </w:p>
        </w:tc>
        <w:tc>
          <w:tcPr>
            <w:tcW w:w="8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0.18</w:t>
            </w:r>
          </w:p>
        </w:tc>
        <w:tc>
          <w:tcPr>
            <w:tcW w:w="8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Weighted average shares outstanding</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320" w:type="dxa"/>
            <w:vAlign w:val="bottom"/>
          </w:tcPr>
          <w:p>
            <w:pPr>
              <w:ind w:left="120"/>
              <w:spacing w:after="0" w:line="112" w:lineRule="exact"/>
              <w:rPr>
                <w:sz w:val="20"/>
                <w:szCs w:val="20"/>
                <w:color w:val="auto"/>
              </w:rPr>
            </w:pPr>
            <w:r>
              <w:rPr>
                <w:rFonts w:ascii="Arial" w:cs="Arial" w:eastAsia="Arial" w:hAnsi="Arial"/>
                <w:sz w:val="11"/>
                <w:szCs w:val="11"/>
                <w:color w:val="auto"/>
              </w:rPr>
              <w:t>Basic</w:t>
            </w:r>
          </w:p>
        </w:tc>
        <w:tc>
          <w:tcPr>
            <w:tcW w:w="60" w:type="dxa"/>
            <w:vAlign w:val="bottom"/>
          </w:tcPr>
          <w:p>
            <w:pPr>
              <w:spacing w:after="0"/>
              <w:rPr>
                <w:sz w:val="9"/>
                <w:szCs w:val="9"/>
                <w:color w:val="auto"/>
              </w:rPr>
            </w:pPr>
          </w:p>
        </w:tc>
        <w:tc>
          <w:tcPr>
            <w:tcW w:w="70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157,950,550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142,935,206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142,933,192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222,222,197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222,221,628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219,165,997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w w:val="98"/>
              </w:rPr>
              <w:t>213,435,314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w w:val="98"/>
              </w:rPr>
              <w:t>213,435,321</w:t>
            </w:r>
          </w:p>
        </w:tc>
        <w:tc>
          <w:tcPr>
            <w:tcW w:w="0" w:type="dxa"/>
            <w:vAlign w:val="bottom"/>
          </w:tcPr>
          <w:p>
            <w:pPr>
              <w:spacing w:after="0"/>
              <w:rPr>
                <w:sz w:val="1"/>
                <w:szCs w:val="1"/>
                <w:color w:val="auto"/>
              </w:rPr>
            </w:pPr>
          </w:p>
        </w:tc>
      </w:tr>
      <w:tr>
        <w:trPr>
          <w:trHeight w:val="125"/>
        </w:trPr>
        <w:tc>
          <w:tcPr>
            <w:tcW w:w="2320" w:type="dxa"/>
            <w:vAlign w:val="bottom"/>
          </w:tcPr>
          <w:p>
            <w:pPr>
              <w:ind w:left="120"/>
              <w:spacing w:after="0" w:line="125" w:lineRule="exact"/>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0"/>
                <w:szCs w:val="10"/>
                <w:color w:val="auto"/>
              </w:rPr>
            </w:pPr>
          </w:p>
        </w:tc>
        <w:tc>
          <w:tcPr>
            <w:tcW w:w="7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167,323,520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151,362,643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150,847,183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223,320,457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222,243,851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219,165,997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w w:val="98"/>
              </w:rPr>
              <w:t>213,435,314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w w:val="98"/>
              </w:rPr>
              <w:t>213,435,321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-655320</wp:posOffset>
            </wp:positionV>
            <wp:extent cx="575437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774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ind w:left="660" w:right="140" w:hanging="333"/>
        <w:spacing w:after="0" w:line="229"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See Note 18 — Earnings Per Share for additional information.</w:t>
      </w:r>
    </w:p>
    <w:p>
      <w:pPr>
        <w:spacing w:after="0" w:line="18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Earnings per share for quarterly periods are based on the weighted average common shares outstanding in individual quarters; thus, the sum of earnings per share of the quarters may not equal the amounts reported for the full year.</w:t>
      </w:r>
    </w:p>
    <w:p>
      <w:pPr>
        <w:spacing w:after="0" w:line="120" w:lineRule="exact"/>
        <w:rPr>
          <w:sz w:val="20"/>
          <w:szCs w:val="20"/>
          <w:color w:val="auto"/>
        </w:rPr>
      </w:pPr>
    </w:p>
    <w:p>
      <w:pPr>
        <w:ind w:left="680" w:hanging="677"/>
        <w:spacing w:after="0"/>
        <w:tabs>
          <w:tab w:leader="none" w:pos="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February 11, 2020, the board of directors of Tradeweb Markets Inc. declared a cash dividend of $0.08 per share of Class A common stock and Class B common stock for the first quarter of 2020. This dividend will be payable on March 16, 2020 to stockholders of record as of March 2,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Based on that evaluation, our Chief Executive Officer and Chief Financial Officer have concluded that our disclosure controls and procedures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due to a transition period established by the rules of the SEC for newly public companies. In addition, because we are an “emerging growth company” under the JOBS Act, our independent registered public accounting firm will not be required to attest to the effectiveness of our internal control over financial reporting for so long as we are an emerging growth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There were no changes to our internal control over financial reporting during the quarter ended December 31, 2019 that have materially affected, or that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providing the following disclosure in lieu of filing a Current Report on Form 8-K relating to Item 5.02— Departure of Directors or Certain Officers; Election of Directors; Appointment of Certain Officers; Compensatory Arrangements of Certain Officers of Form 8-K.</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14, 2020, James Spencer notified the board of directors of his intent to retire from the Company. Mr. Spencer will continue to serve as our Chief Technology Officer until a later date in April 2020, at which time the new Chief Technology Officer, Justin Peterson, will assume the role. Mr. Spencer will continue to serve as an employee of the Company until October 1, 2020 and will assist with the transition of his responsibilities and duties to Mr. Peterson. Mr. Spencer’s retirement will be effective as of October 1, 2020.</w:t>
      </w:r>
    </w:p>
    <w:p>
      <w:pPr>
        <w:spacing w:after="0" w:line="188"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The Company intends to provide Mr. Spencer with a discretionary cash payment at the time of his retirement in recognition of his service to the Company, the amount of which will be determined at a later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 EXECUTIVE COMPENSATION.</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91" w:lineRule="exact"/>
        <w:rPr>
          <w:sz w:val="20"/>
          <w:szCs w:val="20"/>
          <w:color w:val="auto"/>
        </w:rPr>
      </w:pPr>
    </w:p>
    <w:p>
      <w:pPr>
        <w:ind w:right="579"/>
        <w:spacing w:after="0" w:line="282" w:lineRule="auto"/>
        <w:rPr>
          <w:sz w:val="20"/>
          <w:szCs w:val="20"/>
          <w:color w:val="auto"/>
        </w:rPr>
      </w:pPr>
      <w:r>
        <w:rPr>
          <w:rFonts w:ascii="Arial" w:cs="Arial" w:eastAsia="Arial" w:hAnsi="Arial"/>
          <w:sz w:val="18"/>
          <w:szCs w:val="18"/>
          <w:b w:val="1"/>
          <w:bCs w:val="1"/>
          <w:color w:val="231F20"/>
        </w:rPr>
        <w:t>ITEM 12. – SECURITY OWNERSHIP OF CERTAIN BENEFICIAL OWNERS AND MANAGEMENT AND RELATED STOCKHOLDER MATTERS.</w:t>
      </w:r>
    </w:p>
    <w:p>
      <w:pPr>
        <w:spacing w:after="0" w:line="166"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91" w:lineRule="exact"/>
        <w:rPr>
          <w:sz w:val="20"/>
          <w:szCs w:val="20"/>
          <w:color w:val="auto"/>
        </w:rPr>
      </w:pPr>
    </w:p>
    <w:p>
      <w:pPr>
        <w:ind w:right="1479"/>
        <w:spacing w:after="0" w:line="282" w:lineRule="auto"/>
        <w:rPr>
          <w:sz w:val="20"/>
          <w:szCs w:val="20"/>
          <w:color w:val="auto"/>
        </w:rPr>
      </w:pPr>
      <w:r>
        <w:rPr>
          <w:rFonts w:ascii="Arial" w:cs="Arial" w:eastAsia="Arial" w:hAnsi="Arial"/>
          <w:sz w:val="18"/>
          <w:szCs w:val="18"/>
          <w:b w:val="1"/>
          <w:bCs w:val="1"/>
          <w:color w:val="231F20"/>
        </w:rPr>
        <w:t>ITEM 13. – CERTAIN RELATIONSHIPS AND RELATED TRANSACTIONS, AND DIRECTOR INDEPENDENCE.</w:t>
      </w:r>
    </w:p>
    <w:p>
      <w:pPr>
        <w:spacing w:after="0" w:line="166"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 PRINCIPAL ACCOUNTING FEES AND SERVICES.</w:t>
      </w:r>
    </w:p>
    <w:p>
      <w:pPr>
        <w:spacing w:after="0" w:line="229" w:lineRule="exact"/>
        <w:rPr>
          <w:sz w:val="20"/>
          <w:szCs w:val="20"/>
          <w:color w:val="auto"/>
        </w:rPr>
      </w:pPr>
    </w:p>
    <w:p>
      <w:pPr>
        <w:ind w:right="139"/>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 EXHIBITS, FINANCIAL STATEMENT SCHEDULES.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  1. Financial Statements.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231F20"/>
        </w:rPr>
        <w:t>The financial statements are set forth under Part II, Item 8. – “Financial Statements and Supplementary Data” of this Annual Report.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2. Financial Statement Schedules.</w:t>
      </w:r>
    </w:p>
    <w:p>
      <w:pPr>
        <w:spacing w:after="0" w:line="225"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3. Exhibits.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exhibits are filed or furnished as a part of this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80" w:type="dxa"/>
            <w:vAlign w:val="bottom"/>
            <w:gridSpan w:val="18"/>
          </w:tcPr>
          <w:p>
            <w:pPr>
              <w:jc w:val="right"/>
              <w:ind w:right="32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4"/>
                <w:szCs w:val="14"/>
                <w:color w:val="auto"/>
              </w:rPr>
            </w:pPr>
          </w:p>
        </w:tc>
        <w:tc>
          <w:tcPr>
            <w:tcW w:w="7720" w:type="dxa"/>
            <w:vAlign w:val="bottom"/>
            <w:gridSpan w:val="20"/>
          </w:tcPr>
          <w:p>
            <w:pPr>
              <w:spacing w:after="0" w:line="170"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Amended and Restated Certificate of Incorporation of Tradeweb Markets Inc. (incorporated by reference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to Exhibit 3.1 to the Company’s Current Report on Form 8-K filed on April 9, 2019 (File No. 001-38860))</w:t>
              </w:r>
            </w:hyperlink>
          </w:p>
        </w:tc>
        <w:tc>
          <w:tcPr>
            <w:tcW w:w="180" w:type="dxa"/>
            <w:vAlign w:val="bottom"/>
            <w:tcBorders>
              <w:bottom w:val="single" w:sz="8" w:color="0000EE"/>
            </w:tcBorders>
            <w:gridSpan w:val="4"/>
          </w:tcPr>
          <w:p>
            <w:pPr>
              <w:jc w:val="right"/>
              <w:ind w:right="20"/>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Amended and Restated Bylaws of Tradeweb Markets Inc. (incorporated by reference to Exhibit 3.2 to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Company’s Current Report on Form 8-K filed on April 9, 2019 (File No. 001-38860)).</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3"/>
              </w:rPr>
            </w:pPr>
            <w:hyperlink r:id="rId209">
              <w:r>
                <w:rPr>
                  <w:rFonts w:ascii="Arial" w:cs="Arial" w:eastAsia="Arial" w:hAnsi="Arial"/>
                  <w:sz w:val="18"/>
                  <w:szCs w:val="18"/>
                  <w:color w:val="0000EE"/>
                  <w:w w:val="93"/>
                </w:rPr>
                <w:t>Specimen Common Stock Certificate of Tradeweb Markets Inc. (incorporated by reference to Exhibit 4.1</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to the Company’s Registration Statement on Form S-1 (File No. 333-230115)).</w:t>
              </w:r>
            </w:hyperlink>
          </w:p>
        </w:tc>
        <w:tc>
          <w:tcPr>
            <w:tcW w:w="1880" w:type="dxa"/>
            <w:vAlign w:val="bottom"/>
            <w:tcBorders>
              <w:top w:val="single" w:sz="8" w:color="0000EE"/>
            </w:tcBorders>
            <w:gridSpan w:val="13"/>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Description of Securities Registered Pursuant to Section 12 of the Securities Exchange Act of 1934.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Stockholders Agreement, dated as of April 8, 2019, by and among Tradeweb Markets Inc., Refinitiv US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80" w:type="dxa"/>
            <w:vAlign w:val="bottom"/>
            <w:tcBorders>
              <w:top w:val="single" w:sz="8" w:color="0000EE"/>
            </w:tcBorders>
            <w:gridSpan w:val="14"/>
          </w:tcPr>
          <w:p>
            <w:pPr>
              <w:spacing w:after="0" w:line="182" w:lineRule="exact"/>
              <w:rPr>
                <w:rFonts w:ascii="Arial" w:cs="Arial" w:eastAsia="Arial" w:hAnsi="Arial"/>
                <w:sz w:val="18"/>
                <w:szCs w:val="18"/>
                <w:color w:val="0000EE"/>
                <w:w w:val="95"/>
              </w:rPr>
            </w:pPr>
            <w:hyperlink r:id="rId210">
              <w:r>
                <w:rPr>
                  <w:rFonts w:ascii="Arial" w:cs="Arial" w:eastAsia="Arial" w:hAnsi="Arial"/>
                  <w:sz w:val="18"/>
                  <w:szCs w:val="18"/>
                  <w:color w:val="0000EE"/>
                  <w:w w:val="95"/>
                </w:rPr>
                <w:t>PME LLC and Refinitiv Parent Limited (incorporated by reference to Exhibit 10.1 to the Company’s</w:t>
              </w:r>
            </w:hyperlink>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10">
              <w:r>
                <w:rPr>
                  <w:rFonts w:ascii="Arial" w:cs="Arial" w:eastAsia="Arial" w:hAnsi="Arial"/>
                  <w:sz w:val="18"/>
                  <w:szCs w:val="18"/>
                  <w:color w:val="0000EE"/>
                </w:rPr>
                <w:t>Quarterly Report on Form 10-Q filed on May 20, 2019 (File No. 001-38860)).</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6"/>
              </w:rPr>
            </w:pPr>
            <w:hyperlink r:id="rId211">
              <w:r>
                <w:rPr>
                  <w:rFonts w:ascii="Arial" w:cs="Arial" w:eastAsia="Arial" w:hAnsi="Arial"/>
                  <w:sz w:val="18"/>
                  <w:szCs w:val="18"/>
                  <w:color w:val="0000EE"/>
                  <w:w w:val="96"/>
                </w:rPr>
                <w:t>Registration Rights Agreement, dated as of April 8, 2019, by and among Tradeweb Markets Inc.,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tcBorders>
              <w:top w:val="single" w:sz="8" w:color="0000EE"/>
            </w:tcBorders>
            <w:gridSpan w:val="8"/>
          </w:tcPr>
          <w:p>
            <w:pPr>
              <w:spacing w:after="0" w:line="182"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Refinitiv Holders (as defined therein), the Bank Holders (as defined therein) and the other holders of</w:t>
              </w:r>
            </w:hyperlink>
          </w:p>
        </w:tc>
        <w:tc>
          <w:tcPr>
            <w:tcW w:w="40" w:type="dxa"/>
            <w:vAlign w:val="bottom"/>
            <w:gridSpan w:val="2"/>
          </w:tcPr>
          <w:p>
            <w:pPr>
              <w:spacing w:after="0"/>
              <w:rPr>
                <w:sz w:val="15"/>
                <w:szCs w:val="15"/>
                <w:color w:val="auto"/>
              </w:rPr>
            </w:pPr>
          </w:p>
        </w:tc>
        <w:tc>
          <w:tcPr>
            <w:tcW w:w="420" w:type="dxa"/>
            <w:vAlign w:val="bottom"/>
            <w:gridSpan w:val="10"/>
            <w:vMerge w:val="restart"/>
          </w:tcPr>
          <w:p>
            <w:pPr>
              <w:jc w:val="right"/>
              <w:ind w:right="300"/>
              <w:spacing w:after="0"/>
              <w:rPr>
                <w:rFonts w:ascii="Arial" w:cs="Arial" w:eastAsia="Arial" w:hAnsi="Arial"/>
                <w:sz w:val="17"/>
                <w:szCs w:val="17"/>
                <w:color w:val="0000EE"/>
                <w:w w:val="70"/>
              </w:rPr>
            </w:pPr>
            <w:hyperlink r:id="rId211">
              <w:r>
                <w:rPr>
                  <w:rFonts w:ascii="Arial" w:cs="Arial" w:eastAsia="Arial" w:hAnsi="Arial"/>
                  <w:sz w:val="17"/>
                  <w:szCs w:val="17"/>
                  <w:color w:val="0000EE"/>
                  <w:w w:val="70"/>
                </w:rPr>
                <w:t>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40" w:type="dxa"/>
            <w:vAlign w:val="bottom"/>
            <w:tcBorders>
              <w:top w:val="single" w:sz="8" w:color="0000EE"/>
            </w:tcBorders>
            <w:gridSpan w:val="7"/>
          </w:tcPr>
          <w:p>
            <w:pPr>
              <w:spacing w:after="0" w:line="182"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Registrable Securities (as defined therein) party thereto from time to time (incorporated by reference</w:t>
              </w:r>
            </w:hyperlink>
          </w:p>
        </w:tc>
        <w:tc>
          <w:tcPr>
            <w:tcW w:w="60" w:type="dxa"/>
            <w:vAlign w:val="bottom"/>
            <w:gridSpan w:val="3"/>
          </w:tcPr>
          <w:p>
            <w:pPr>
              <w:spacing w:after="0"/>
              <w:rPr>
                <w:sz w:val="15"/>
                <w:szCs w:val="15"/>
                <w:color w:val="auto"/>
              </w:rPr>
            </w:pPr>
          </w:p>
        </w:tc>
        <w:tc>
          <w:tcPr>
            <w:tcW w:w="4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20" w:type="dxa"/>
            <w:vAlign w:val="bottom"/>
            <w:tcBorders>
              <w:top w:val="single" w:sz="8" w:color="0000EE"/>
            </w:tcBorders>
            <w:gridSpan w:val="12"/>
          </w:tcPr>
          <w:p>
            <w:pPr>
              <w:spacing w:after="0" w:line="182" w:lineRule="exact"/>
              <w:rPr>
                <w:rFonts w:ascii="Arial" w:cs="Arial" w:eastAsia="Arial" w:hAnsi="Arial"/>
                <w:sz w:val="18"/>
                <w:szCs w:val="18"/>
                <w:color w:val="0000EE"/>
                <w:w w:val="94"/>
              </w:rPr>
            </w:pPr>
            <w:hyperlink r:id="rId211">
              <w:r>
                <w:rPr>
                  <w:rFonts w:ascii="Arial" w:cs="Arial" w:eastAsia="Arial" w:hAnsi="Arial"/>
                  <w:sz w:val="18"/>
                  <w:szCs w:val="18"/>
                  <w:color w:val="0000EE"/>
                  <w:w w:val="94"/>
                </w:rPr>
                <w:t>Exhibit 10.2 to the Company’s Quarterly Report on Form 10-Q filed on May 20, 2019 (File No. 001-</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211">
              <w:r>
                <w:rPr>
                  <w:rFonts w:ascii="Arial" w:cs="Arial" w:eastAsia="Arial" w:hAnsi="Arial"/>
                  <w:sz w:val="18"/>
                  <w:szCs w:val="18"/>
                  <w:color w:val="0000EE"/>
                  <w:w w:val="86"/>
                </w:rPr>
                <w:t>38860)</w:t>
              </w:r>
              <w:r>
                <w:rPr>
                  <w:rFonts w:ascii="Arial" w:cs="Arial" w:eastAsia="Arial" w:hAnsi="Arial"/>
                  <w:sz w:val="18"/>
                  <w:szCs w:val="18"/>
                  <w:u w:val="single" w:color="auto"/>
                  <w:color w:val="0000EE"/>
                  <w:w w:val="86"/>
                </w:rPr>
                <w:t>)</w:t>
              </w:r>
              <w:r>
                <w:rPr>
                  <w:rFonts w:ascii="Arial" w:cs="Arial" w:eastAsia="Arial" w:hAnsi="Arial"/>
                  <w:sz w:val="18"/>
                  <w:szCs w:val="18"/>
                  <w:color w:val="0000EE"/>
                  <w:w w:val="86"/>
                </w:rPr>
                <w:t>.</w:t>
              </w:r>
            </w:hyperlink>
          </w:p>
        </w:tc>
        <w:tc>
          <w:tcPr>
            <w:tcW w:w="640" w:type="dxa"/>
            <w:vAlign w:val="bottom"/>
            <w:tcBorders>
              <w:top w:val="single" w:sz="8" w:color="0000EE"/>
            </w:tcBorders>
          </w:tcPr>
          <w:p>
            <w:pPr>
              <w:spacing w:after="0"/>
              <w:rPr>
                <w:sz w:val="15"/>
                <w:szCs w:val="15"/>
                <w:color w:val="auto"/>
              </w:rPr>
            </w:pPr>
          </w:p>
        </w:tc>
        <w:tc>
          <w:tcPr>
            <w:tcW w:w="4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5"/>
              </w:rPr>
            </w:pPr>
            <w:hyperlink r:id="rId212">
              <w:r>
                <w:rPr>
                  <w:rFonts w:ascii="Arial" w:cs="Arial" w:eastAsia="Arial" w:hAnsi="Arial"/>
                  <w:sz w:val="18"/>
                  <w:szCs w:val="18"/>
                  <w:color w:val="0000EE"/>
                  <w:w w:val="95"/>
                </w:rPr>
                <w:t>Fifth Amended and Restated LLC Agreement of Tradeweb Markets LLC (incorporated by reference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tcBorders>
              <w:top w:val="single" w:sz="8" w:color="0000EE"/>
            </w:tcBorders>
            <w:gridSpan w:val="11"/>
          </w:tcPr>
          <w:p>
            <w:pPr>
              <w:spacing w:after="0" w:line="182" w:lineRule="exact"/>
              <w:rPr>
                <w:rFonts w:ascii="Arial" w:cs="Arial" w:eastAsia="Arial" w:hAnsi="Arial"/>
                <w:sz w:val="18"/>
                <w:szCs w:val="18"/>
                <w:color w:val="0000EE"/>
                <w:w w:val="93"/>
              </w:rPr>
            </w:pPr>
            <w:hyperlink r:id="rId212">
              <w:r>
                <w:rPr>
                  <w:rFonts w:ascii="Arial" w:cs="Arial" w:eastAsia="Arial" w:hAnsi="Arial"/>
                  <w:sz w:val="18"/>
                  <w:szCs w:val="18"/>
                  <w:color w:val="0000EE"/>
                  <w:w w:val="93"/>
                </w:rPr>
                <w:t>Exhibit 10.3 to the Company’s Quarterly Report on Form 10-Q filed on May 20, 2019 (File No. 001-</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212">
              <w:r>
                <w:rPr>
                  <w:rFonts w:ascii="Arial" w:cs="Arial" w:eastAsia="Arial" w:hAnsi="Arial"/>
                  <w:sz w:val="18"/>
                  <w:szCs w:val="18"/>
                  <w:color w:val="0000EE"/>
                  <w:w w:val="86"/>
                </w:rPr>
                <w:t>38860)</w:t>
              </w:r>
              <w:r>
                <w:rPr>
                  <w:rFonts w:ascii="Arial" w:cs="Arial" w:eastAsia="Arial" w:hAnsi="Arial"/>
                  <w:sz w:val="18"/>
                  <w:szCs w:val="18"/>
                  <w:u w:val="single" w:color="auto"/>
                  <w:color w:val="0000EE"/>
                  <w:w w:val="86"/>
                </w:rPr>
                <w:t>)</w:t>
              </w:r>
              <w:r>
                <w:rPr>
                  <w:rFonts w:ascii="Arial" w:cs="Arial" w:eastAsia="Arial" w:hAnsi="Arial"/>
                  <w:sz w:val="18"/>
                  <w:szCs w:val="18"/>
                  <w:color w:val="0000EE"/>
                  <w:w w:val="86"/>
                </w:rPr>
                <w:t>.</w:t>
              </w:r>
            </w:hyperlink>
          </w:p>
        </w:tc>
        <w:tc>
          <w:tcPr>
            <w:tcW w:w="640" w:type="dxa"/>
            <w:vAlign w:val="bottom"/>
            <w:tcBorders>
              <w:top w:val="single" w:sz="8" w:color="0000EE"/>
            </w:tcBorders>
          </w:tcPr>
          <w:p>
            <w:pPr>
              <w:spacing w:after="0"/>
              <w:rPr>
                <w:sz w:val="15"/>
                <w:szCs w:val="15"/>
                <w:color w:val="auto"/>
              </w:rPr>
            </w:pPr>
          </w:p>
        </w:tc>
        <w:tc>
          <w:tcPr>
            <w:tcW w:w="4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3"/>
              </w:rPr>
            </w:pPr>
            <w:hyperlink r:id="rId213">
              <w:r>
                <w:rPr>
                  <w:rFonts w:ascii="Arial" w:cs="Arial" w:eastAsia="Arial" w:hAnsi="Arial"/>
                  <w:sz w:val="18"/>
                  <w:szCs w:val="18"/>
                  <w:color w:val="0000EE"/>
                  <w:w w:val="93"/>
                </w:rPr>
                <w:t>Tax Receivable Agreement, dated as of April 8, 2019, by and among Tradeweb Markets Inc., Tradeweb</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Markets LLC and the members of Tradeweb Markets LLC from time to time party thereto (incorporated</w:t>
              </w:r>
            </w:hyperlink>
          </w:p>
        </w:tc>
        <w:tc>
          <w:tcPr>
            <w:tcW w:w="40" w:type="dxa"/>
            <w:vAlign w:val="bottom"/>
            <w:tcBorders>
              <w:bottom w:val="single" w:sz="8" w:color="0000EE"/>
            </w:tcBorders>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by reference to Exhibit 10.4 to the Company’s Quarterly Report on Form 10-Q filed on May 20, 2019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No. 001-38860)).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0000EE"/>
            </w:tcBorders>
            <w:gridSpan w:val="2"/>
          </w:tcPr>
          <w:p>
            <w:pPr>
              <w:spacing w:after="0"/>
              <w:rPr>
                <w:sz w:val="24"/>
                <w:szCs w:val="24"/>
                <w:color w:val="auto"/>
              </w:rPr>
            </w:pPr>
          </w:p>
        </w:tc>
        <w:tc>
          <w:tcPr>
            <w:tcW w:w="4380" w:type="dxa"/>
            <w:vAlign w:val="bottom"/>
          </w:tcPr>
          <w:p>
            <w:pPr>
              <w:jc w:val="right"/>
              <w:ind w:right="2239"/>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40" w:type="dxa"/>
            <w:vAlign w:val="bottom"/>
            <w:gridSpan w:val="28"/>
          </w:tcPr>
          <w:p>
            <w:pPr>
              <w:ind w:left="14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10.5</w:t>
            </w:r>
          </w:p>
        </w:tc>
        <w:tc>
          <w:tcPr>
            <w:tcW w:w="220" w:type="dxa"/>
            <w:vAlign w:val="bottom"/>
            <w:vMerge w:val="continue"/>
          </w:tcPr>
          <w:p>
            <w:pPr>
              <w:spacing w:after="0"/>
              <w:rPr>
                <w:sz w:val="14"/>
                <w:szCs w:val="14"/>
                <w:color w:val="auto"/>
              </w:rPr>
            </w:pPr>
          </w:p>
        </w:tc>
        <w:tc>
          <w:tcPr>
            <w:tcW w:w="7760" w:type="dxa"/>
            <w:vAlign w:val="bottom"/>
            <w:gridSpan w:val="31"/>
          </w:tcPr>
          <w:p>
            <w:pPr>
              <w:spacing w:after="0" w:line="170"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Restrictive Covenant Agreement, dated as of April 8, 2019, by and among the Refinitiv Entities (as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60" w:type="dxa"/>
            <w:vAlign w:val="bottom"/>
            <w:tcBorders>
              <w:top w:val="single" w:sz="8" w:color="0000EE"/>
            </w:tcBorders>
            <w:gridSpan w:val="11"/>
          </w:tcPr>
          <w:p>
            <w:pPr>
              <w:spacing w:after="0" w:line="182"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defined therein), Tradeweb Markets LLC and Tradeweb Markets Inc. (incorporated by reference to</w:t>
              </w:r>
            </w:hyperlink>
          </w:p>
        </w:tc>
        <w:tc>
          <w:tcPr>
            <w:tcW w:w="600" w:type="dxa"/>
            <w:vAlign w:val="bottom"/>
            <w:gridSpan w:val="20"/>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Exhibit</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40" w:type="dxa"/>
            <w:vAlign w:val="bottom"/>
            <w:tcBorders>
              <w:top w:val="single" w:sz="8" w:color="0000EE"/>
            </w:tcBorders>
            <w:gridSpan w:val="30"/>
          </w:tcPr>
          <w:p>
            <w:pPr>
              <w:spacing w:after="0" w:line="182" w:lineRule="exact"/>
              <w:rPr>
                <w:rFonts w:ascii="Arial" w:cs="Arial" w:eastAsia="Arial" w:hAnsi="Arial"/>
                <w:sz w:val="18"/>
                <w:szCs w:val="18"/>
                <w:color w:val="0000EE"/>
                <w:w w:val="97"/>
              </w:rPr>
            </w:pPr>
            <w:hyperlink r:id="rId214">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r>
                <w:rPr>
                  <w:rFonts w:ascii="Arial" w:cs="Arial" w:eastAsia="Arial" w:hAnsi="Arial"/>
                  <w:sz w:val="18"/>
                  <w:szCs w:val="18"/>
                  <w:color w:val="0000EE"/>
                  <w:w w:val="97"/>
                </w:rPr>
                <w:t xml:space="preserve"> to the Company’s Quarterly Report on Form 10-Q filed on May 20, 2019 (File No. 001-38860)).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6"/>
              </w:rPr>
            </w:pPr>
            <w:hyperlink r:id="rId215">
              <w:r>
                <w:rPr>
                  <w:rFonts w:ascii="Arial" w:cs="Arial" w:eastAsia="Arial" w:hAnsi="Arial"/>
                  <w:sz w:val="18"/>
                  <w:szCs w:val="18"/>
                  <w:color w:val="0000EE"/>
                  <w:w w:val="96"/>
                </w:rPr>
                <w:t>Credit Agreement, dated as of April 8, 2019, by and among Tradeweb Markets LLC, as borrower,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60" w:type="dxa"/>
            <w:vAlign w:val="bottom"/>
            <w:gridSpan w:val="31"/>
          </w:tcPr>
          <w:p>
            <w:pPr>
              <w:spacing w:after="0" w:line="182"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lenders party thereto and Citibank, N.A., as administrative agent, collateral agent, issuing bank and swing</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line lender, Citigroup Global Markets Inc., JPMorgan Chase Bank, N.A., Morgan Stanley Senior Funding,</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2"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Inc. and Goldman Sachs Bank USA, as joint lead arrangers and joint bookrunners, JPMorgan Chase Bank,</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9"/>
          </w:tcPr>
          <w:p>
            <w:pPr>
              <w:spacing w:after="0" w:line="182"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N.A., as syndication agent, and Morgan Stanley Senior Funding, Inc. and Goldman Sachs Bank USA, as</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top w:val="single" w:sz="8" w:color="0000EE"/>
            </w:tcBorders>
            <w:gridSpan w:val="20"/>
          </w:tcPr>
          <w:p>
            <w:pPr>
              <w:spacing w:after="0" w:line="182"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documentation agents (incorporated by reference to Exhibit 10.6 to the Company’s Quarterly Report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Form 10-Q filed on May 20, 2019 (File No. 001-38860)).</w:t>
              </w:r>
            </w:hyperlink>
          </w:p>
        </w:tc>
        <w:tc>
          <w:tcPr>
            <w:tcW w:w="332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Amendment No.1, dated as of November 7, 2019, among Tradeweb Markets LLC and each lender party</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top w:val="single" w:sz="8" w:color="0000EE"/>
            </w:tcBorders>
            <w:gridSpan w:val="18"/>
          </w:tcPr>
          <w:p>
            <w:pPr>
              <w:spacing w:after="0" w:line="182" w:lineRule="exact"/>
              <w:rPr>
                <w:rFonts w:ascii="Arial" w:cs="Arial" w:eastAsia="Arial" w:hAnsi="Arial"/>
                <w:sz w:val="18"/>
                <w:szCs w:val="18"/>
                <w:color w:val="0000EE"/>
                <w:w w:val="94"/>
              </w:rPr>
            </w:pPr>
            <w:hyperlink r:id="rId216">
              <w:r>
                <w:rPr>
                  <w:rFonts w:ascii="Arial" w:cs="Arial" w:eastAsia="Arial" w:hAnsi="Arial"/>
                  <w:sz w:val="18"/>
                  <w:szCs w:val="18"/>
                  <w:color w:val="0000EE"/>
                  <w:w w:val="94"/>
                </w:rPr>
                <w:t>thereto, relating to Credit Agreement, dated as of April 8, 2019, among Tradeweb Markets LLC, the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0" w:type="dxa"/>
            <w:vAlign w:val="bottom"/>
            <w:tcBorders>
              <w:top w:val="single" w:sz="8" w:color="0000EE"/>
            </w:tcBorders>
            <w:gridSpan w:val="12"/>
          </w:tcPr>
          <w:p>
            <w:pPr>
              <w:spacing w:after="0" w:line="182"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lenders party thereto and Citibank, N.A., as administrative agent, collateral agent, issuing bank and</w:t>
              </w:r>
            </w:hyperlink>
          </w:p>
        </w:tc>
        <w:tc>
          <w:tcPr>
            <w:tcW w:w="560" w:type="dxa"/>
            <w:vAlign w:val="bottom"/>
            <w:gridSpan w:val="19"/>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swing</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20" w:type="dxa"/>
            <w:vAlign w:val="bottom"/>
            <w:tcBorders>
              <w:top w:val="single" w:sz="8" w:color="0000EE"/>
            </w:tcBorders>
            <w:gridSpan w:val="24"/>
          </w:tcPr>
          <w:p>
            <w:pPr>
              <w:spacing w:after="0" w:line="182"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line lender (incorporated by reference to Exhibit 10.1 to the Company’s Quarterly Report on Form 10-Q</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filed on November 8, 2019 (File No. 001-38860)).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4"/>
              </w:rPr>
            </w:pPr>
            <w:hyperlink r:id="rId217">
              <w:r>
                <w:rPr>
                  <w:rFonts w:ascii="Arial" w:cs="Arial" w:eastAsia="Arial" w:hAnsi="Arial"/>
                  <w:sz w:val="18"/>
                  <w:szCs w:val="18"/>
                  <w:color w:val="0000EE"/>
                  <w:w w:val="94"/>
                </w:rPr>
                <w:t>Security Agreement, dated as of April 8, 2019, among the grantors identified therein and Citibank, N.A.,</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as collateral agent (incorporated by reference to Exhibit 10.7 to the Company’s Quarterly Report on Form</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Borders>
              <w:bottom w:val="single" w:sz="8" w:color="0000EE"/>
            </w:tcBorders>
            <w:gridSpan w:val="5"/>
          </w:tcPr>
          <w:p>
            <w:pPr>
              <w:spacing w:after="0" w:line="182"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10-Q filed on May 20, 2019 (File No. 001-38860)).</w:t>
              </w:r>
            </w:hyperlink>
          </w:p>
        </w:tc>
        <w:tc>
          <w:tcPr>
            <w:tcW w:w="396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10.8†</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Employment Agreement by and between Lee Olesky and Tradeweb Markets LLC (incorporated by</w:t>
              </w:r>
            </w:hyperlink>
          </w:p>
        </w:tc>
        <w:tc>
          <w:tcPr>
            <w:tcW w:w="6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bottom w:val="single" w:sz="8" w:color="0000EE"/>
            </w:tcBorders>
            <w:gridSpan w:val="21"/>
          </w:tcPr>
          <w:p>
            <w:pPr>
              <w:spacing w:after="0" w:line="182"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reference to Exhibit 10.8 to the Company’s Registration Statement on Form S-1 (File No. 333-230115)).</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10.9†</w:t>
            </w:r>
          </w:p>
        </w:tc>
        <w:tc>
          <w:tcPr>
            <w:tcW w:w="7260" w:type="dxa"/>
            <w:vAlign w:val="bottom"/>
            <w:tcBorders>
              <w:bottom w:val="single" w:sz="8" w:color="0000EE"/>
            </w:tcBorders>
            <w:gridSpan w:val="13"/>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Employment Agreement by and between William Hult and Tradeweb Markets LLC (incorporated by</w:t>
              </w:r>
            </w:hyperlink>
          </w:p>
        </w:tc>
        <w:tc>
          <w:tcPr>
            <w:tcW w:w="50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bottom w:val="single" w:sz="8" w:color="0000EE"/>
            </w:tcBorders>
            <w:gridSpan w:val="21"/>
          </w:tcPr>
          <w:p>
            <w:pPr>
              <w:spacing w:after="0" w:line="182"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reference to Exhibit 10.9 to the Company’s Registration Statement on Form S-1 (File No. 333-230115)).</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10.10†</w:t>
            </w:r>
          </w:p>
        </w:tc>
        <w:tc>
          <w:tcPr>
            <w:tcW w:w="7760" w:type="dxa"/>
            <w:vAlign w:val="bottom"/>
            <w:gridSpan w:val="31"/>
          </w:tcPr>
          <w:p>
            <w:pPr>
              <w:spacing w:after="0"/>
              <w:rPr>
                <w:rFonts w:ascii="Arial" w:cs="Arial" w:eastAsia="Arial" w:hAnsi="Arial"/>
                <w:sz w:val="18"/>
                <w:szCs w:val="18"/>
                <w:color w:val="0000EE"/>
                <w:w w:val="95"/>
              </w:rPr>
            </w:pPr>
            <w:hyperlink r:id="rId220">
              <w:r>
                <w:rPr>
                  <w:rFonts w:ascii="Arial" w:cs="Arial" w:eastAsia="Arial" w:hAnsi="Arial"/>
                  <w:sz w:val="18"/>
                  <w:szCs w:val="18"/>
                  <w:color w:val="0000EE"/>
                  <w:w w:val="95"/>
                </w:rPr>
                <w:t>Amended and Restated Tradeweb Markets Inc. 2018 Share Option Plan (incorporated by reference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Borders>
              <w:top w:val="single" w:sz="8" w:color="0000EE"/>
            </w:tcBorders>
            <w:gridSpan w:val="14"/>
          </w:tcPr>
          <w:p>
            <w:pPr>
              <w:spacing w:after="0" w:line="182"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Exhibit 10.8 to the Company’s Quarterly Report on Form 10-Q filed on May 20, 2019 (File No. 001-</w:t>
              </w:r>
            </w:hyperlink>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220">
              <w:r>
                <w:rPr>
                  <w:rFonts w:ascii="Arial" w:cs="Arial" w:eastAsia="Arial" w:hAnsi="Arial"/>
                  <w:sz w:val="18"/>
                  <w:szCs w:val="18"/>
                  <w:color w:val="0000EE"/>
                </w:rPr>
                <w:t>38860)</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38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10.11†</w:t>
            </w:r>
          </w:p>
        </w:tc>
        <w:tc>
          <w:tcPr>
            <w:tcW w:w="7760" w:type="dxa"/>
            <w:vAlign w:val="bottom"/>
            <w:gridSpan w:val="31"/>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Form of Option Agreement under the Amended and Restated Tradeweb Markets Inc. 2018 Share Option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top w:val="single" w:sz="8" w:color="0000EE"/>
            </w:tcBorders>
            <w:gridSpan w:val="21"/>
          </w:tcPr>
          <w:p>
            <w:pPr>
              <w:spacing w:after="0" w:line="182"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Plan (incorporated by reference to Exhibit 10.11 to the Company’s Registration Statement on Form S-1</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(File No. 333-230115)).</w:t>
              </w:r>
            </w:hyperlink>
          </w:p>
        </w:tc>
        <w:tc>
          <w:tcPr>
            <w:tcW w:w="572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10.12†</w:t>
            </w:r>
          </w:p>
        </w:tc>
        <w:tc>
          <w:tcPr>
            <w:tcW w:w="7760" w:type="dxa"/>
            <w:vAlign w:val="bottom"/>
            <w:gridSpan w:val="31"/>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Amended &amp; Restated Tradeweb Markets Inc. PRSU Plan (incorporated by reference to Exhibit 10.9 to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Company’s Quarterly Report on Form 10-Q filed on May 20, 2019 (File No. 001-38860)).</w:t>
              </w:r>
            </w:hyperlink>
          </w:p>
        </w:tc>
        <w:tc>
          <w:tcPr>
            <w:tcW w:w="1180" w:type="dxa"/>
            <w:vAlign w:val="bottom"/>
            <w:tcBorders>
              <w:top w:val="single" w:sz="8" w:color="0000EE"/>
            </w:tcBorders>
            <w:gridSpan w:val="20"/>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10.13†</w:t>
            </w:r>
          </w:p>
        </w:tc>
        <w:tc>
          <w:tcPr>
            <w:tcW w:w="7760" w:type="dxa"/>
            <w:vAlign w:val="bottom"/>
            <w:gridSpan w:val="31"/>
          </w:tcPr>
          <w:p>
            <w:pPr>
              <w:spacing w:after="0"/>
              <w:rPr>
                <w:rFonts w:ascii="Arial" w:cs="Arial" w:eastAsia="Arial" w:hAnsi="Arial"/>
                <w:sz w:val="18"/>
                <w:szCs w:val="18"/>
                <w:color w:val="0000EE"/>
              </w:rPr>
            </w:pPr>
            <w:hyperlink r:id="rId223">
              <w:r>
                <w:rPr>
                  <w:rFonts w:ascii="Arial" w:cs="Arial" w:eastAsia="Arial" w:hAnsi="Arial"/>
                  <w:sz w:val="18"/>
                  <w:szCs w:val="18"/>
                  <w:color w:val="0000EE"/>
                </w:rPr>
                <w:t>Form of PRSU Agreement under the Amended &amp; Restated Tradeweb Markets Inc. PRSU Plan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0" w:type="dxa"/>
            <w:vAlign w:val="bottom"/>
            <w:tcBorders>
              <w:top w:val="single" w:sz="8" w:color="0000EE"/>
            </w:tcBorders>
            <w:gridSpan w:val="8"/>
          </w:tcPr>
          <w:p>
            <w:pPr>
              <w:spacing w:after="0" w:line="182"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(incorporated by reference to Exhibit 10.13 to the Company’s Registration Statement on Form</w:t>
              </w:r>
            </w:hyperlink>
          </w:p>
        </w:tc>
        <w:tc>
          <w:tcPr>
            <w:tcW w:w="960" w:type="dxa"/>
            <w:vAlign w:val="bottom"/>
            <w:gridSpan w:val="23"/>
          </w:tcPr>
          <w:p>
            <w:pPr>
              <w:ind w:left="20"/>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S-1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No. 333-230115)).</w:t>
              </w:r>
            </w:hyperlink>
          </w:p>
        </w:tc>
        <w:tc>
          <w:tcPr>
            <w:tcW w:w="6140" w:type="dxa"/>
            <w:vAlign w:val="bottom"/>
            <w:tcBorders>
              <w:top w:val="single" w:sz="8" w:color="0000EE"/>
            </w:tcBorders>
            <w:gridSpan w:val="15"/>
          </w:tcPr>
          <w:p>
            <w:pPr>
              <w:spacing w:after="0"/>
              <w:rPr>
                <w:sz w:val="15"/>
                <w:szCs w:val="15"/>
                <w:color w:val="auto"/>
              </w:rPr>
            </w:pPr>
          </w:p>
        </w:tc>
        <w:tc>
          <w:tcPr>
            <w:tcW w:w="120" w:type="dxa"/>
            <w:vAlign w:val="bottom"/>
            <w:gridSpan w:val="6"/>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10.14†</w:t>
            </w:r>
          </w:p>
        </w:tc>
        <w:tc>
          <w:tcPr>
            <w:tcW w:w="7760" w:type="dxa"/>
            <w:vAlign w:val="bottom"/>
            <w:gridSpan w:val="31"/>
          </w:tcPr>
          <w:p>
            <w:pPr>
              <w:spacing w:after="0"/>
              <w:rPr>
                <w:rFonts w:ascii="Arial" w:cs="Arial" w:eastAsia="Arial" w:hAnsi="Arial"/>
                <w:sz w:val="18"/>
                <w:szCs w:val="18"/>
                <w:color w:val="0000EE"/>
                <w:w w:val="93"/>
              </w:rPr>
            </w:pPr>
            <w:hyperlink r:id="rId224">
              <w:r>
                <w:rPr>
                  <w:rFonts w:ascii="Arial" w:cs="Arial" w:eastAsia="Arial" w:hAnsi="Arial"/>
                  <w:sz w:val="18"/>
                  <w:szCs w:val="18"/>
                  <w:color w:val="0000EE"/>
                  <w:w w:val="93"/>
                </w:rPr>
                <w:t>Tradeweb Markets Inc. 2019 Omnibus Equity Incentive Plan (incorporated by reference to Exhibit 10.10</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4">
              <w:r>
                <w:rPr>
                  <w:rFonts w:ascii="Arial" w:cs="Arial" w:eastAsia="Arial" w:hAnsi="Arial"/>
                  <w:sz w:val="18"/>
                  <w:szCs w:val="18"/>
                  <w:color w:val="0000EE"/>
                </w:rPr>
                <w:t>to the Company’s Quarterly Report on Form 10-Q filed on May 20, 2019 (File No. 001-38860)).</w:t>
              </w:r>
            </w:hyperlink>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70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Borders>
              <w:top w:val="single" w:sz="8" w:color="0000EE"/>
            </w:tcBorders>
            <w:gridSpan w:val="4"/>
          </w:tcPr>
          <w:p>
            <w:pPr>
              <w:ind w:left="3040"/>
              <w:spacing w:after="0"/>
              <w:rPr>
                <w:sz w:val="20"/>
                <w:szCs w:val="20"/>
                <w:color w:val="auto"/>
              </w:rPr>
            </w:pPr>
            <w:r>
              <w:rPr>
                <w:rFonts w:ascii="Arial" w:cs="Arial" w:eastAsia="Arial" w:hAnsi="Arial"/>
                <w:sz w:val="18"/>
                <w:szCs w:val="18"/>
                <w:color w:val="auto"/>
              </w:rPr>
              <w:t>158</w:t>
            </w: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14"/>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10.15†</w:t>
            </w:r>
          </w:p>
        </w:tc>
        <w:tc>
          <w:tcPr>
            <w:tcW w:w="220" w:type="dxa"/>
            <w:vAlign w:val="bottom"/>
            <w:vMerge w:val="continue"/>
          </w:tcPr>
          <w:p>
            <w:pPr>
              <w:spacing w:after="0"/>
              <w:rPr>
                <w:sz w:val="14"/>
                <w:szCs w:val="14"/>
                <w:color w:val="auto"/>
              </w:rPr>
            </w:pPr>
          </w:p>
        </w:tc>
        <w:tc>
          <w:tcPr>
            <w:tcW w:w="7720" w:type="dxa"/>
            <w:vAlign w:val="bottom"/>
            <w:gridSpan w:val="21"/>
          </w:tcPr>
          <w:p>
            <w:pPr>
              <w:spacing w:after="0" w:line="170"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Form of Director RSU Agreement under the Tradeweb Markets Inc. 2019 Omnibus Equity Incentive Plan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20" w:type="dxa"/>
            <w:vAlign w:val="bottom"/>
            <w:tcBorders>
              <w:top w:val="single" w:sz="8" w:color="0000EE"/>
            </w:tcBorders>
            <w:gridSpan w:val="19"/>
          </w:tcPr>
          <w:p>
            <w:pPr>
              <w:spacing w:after="0" w:line="182" w:lineRule="exact"/>
              <w:rPr>
                <w:rFonts w:ascii="Arial" w:cs="Arial" w:eastAsia="Arial" w:hAnsi="Arial"/>
                <w:sz w:val="18"/>
                <w:szCs w:val="18"/>
                <w:color w:val="0000EE"/>
                <w:w w:val="94"/>
              </w:rPr>
            </w:pPr>
            <w:hyperlink r:id="rId225">
              <w:r>
                <w:rPr>
                  <w:rFonts w:ascii="Arial" w:cs="Arial" w:eastAsia="Arial" w:hAnsi="Arial"/>
                  <w:sz w:val="18"/>
                  <w:szCs w:val="18"/>
                  <w:color w:val="0000EE"/>
                  <w:w w:val="94"/>
                </w:rPr>
                <w:t>(incorporated by reference to Exhibit 10.11 to the Company’s Quarterly Report on Form 10-Q filed 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May 20, 2019 (File No. 001-38860)).</w:t>
              </w:r>
            </w:hyperlink>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10.16†</w:t>
            </w:r>
          </w:p>
        </w:tc>
        <w:tc>
          <w:tcPr>
            <w:tcW w:w="7720" w:type="dxa"/>
            <w:vAlign w:val="bottom"/>
            <w:gridSpan w:val="21"/>
          </w:tcPr>
          <w:p>
            <w:pPr>
              <w:spacing w:after="0"/>
              <w:rPr>
                <w:rFonts w:ascii="Arial" w:cs="Arial" w:eastAsia="Arial" w:hAnsi="Arial"/>
                <w:sz w:val="18"/>
                <w:szCs w:val="18"/>
                <w:color w:val="0000EE"/>
                <w:w w:val="99"/>
              </w:rPr>
            </w:pPr>
            <w:hyperlink r:id="rId226">
              <w:r>
                <w:rPr>
                  <w:rFonts w:ascii="Arial" w:cs="Arial" w:eastAsia="Arial" w:hAnsi="Arial"/>
                  <w:sz w:val="18"/>
                  <w:szCs w:val="18"/>
                  <w:color w:val="0000EE"/>
                  <w:w w:val="99"/>
                </w:rPr>
                <w:t>Form of Indemnification Agreement (incorporated by reference to Exhibit 10.16 to the Company’s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Registration Statement on Form S-1 (File No. 333-230115)).</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8"/>
                <w:szCs w:val="18"/>
                <w:color w:val="231F20"/>
              </w:rPr>
              <w:t>+</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w w:val="98"/>
              </w:rPr>
            </w:pPr>
            <w:hyperlink r:id="rId227">
              <w:r>
                <w:rPr>
                  <w:rFonts w:ascii="Arial" w:cs="Arial" w:eastAsia="Arial" w:hAnsi="Arial"/>
                  <w:sz w:val="18"/>
                  <w:szCs w:val="18"/>
                  <w:color w:val="0000EE"/>
                  <w:w w:val="98"/>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0" w:type="dxa"/>
            <w:vAlign w:val="bottom"/>
            <w:tcBorders>
              <w:top w:val="single" w:sz="8" w:color="0000EE"/>
            </w:tcBorders>
            <w:gridSpan w:val="13"/>
          </w:tcPr>
          <w:p>
            <w:pPr>
              <w:spacing w:after="0" w:line="182" w:lineRule="exact"/>
              <w:rPr>
                <w:rFonts w:ascii="Arial" w:cs="Arial" w:eastAsia="Arial" w:hAnsi="Arial"/>
                <w:sz w:val="18"/>
                <w:szCs w:val="18"/>
                <w:color w:val="0000EE"/>
                <w:w w:val="95"/>
              </w:rPr>
            </w:pPr>
            <w:hyperlink r:id="rId227">
              <w:r>
                <w:rPr>
                  <w:rFonts w:ascii="Arial" w:cs="Arial" w:eastAsia="Arial" w:hAnsi="Arial"/>
                  <w:sz w:val="18"/>
                  <w:szCs w:val="18"/>
                  <w:color w:val="0000EE"/>
                  <w:w w:val="95"/>
                </w:rPr>
                <w:t>Tradeweb Markets LLC, Thomson Reuters (Markets) LLC and Thomson Reuters (GRC) Inc.</w:t>
              </w:r>
            </w:hyperlink>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20" w:type="dxa"/>
            <w:vAlign w:val="bottom"/>
            <w:tcBorders>
              <w:top w:val="single" w:sz="8" w:color="0000EE"/>
            </w:tcBorders>
            <w:gridSpan w:val="11"/>
          </w:tcPr>
          <w:p>
            <w:pPr>
              <w:spacing w:after="0" w:line="182" w:lineRule="exact"/>
              <w:rPr>
                <w:rFonts w:ascii="Arial" w:cs="Arial" w:eastAsia="Arial" w:hAnsi="Arial"/>
                <w:sz w:val="18"/>
                <w:szCs w:val="18"/>
                <w:color w:val="0000EE"/>
                <w:w w:val="89"/>
              </w:rPr>
            </w:pPr>
            <w:hyperlink r:id="rId227">
              <w:r>
                <w:rPr>
                  <w:rFonts w:ascii="Arial" w:cs="Arial" w:eastAsia="Arial" w:hAnsi="Arial"/>
                  <w:sz w:val="18"/>
                  <w:szCs w:val="18"/>
                  <w:color w:val="0000EE"/>
                  <w:w w:val="89"/>
                </w:rPr>
                <w:t>(incorporated by reference to Exhibit 10.14 to the Company’s Registration Statement on Form</w:t>
              </w:r>
            </w:hyperlink>
          </w:p>
        </w:tc>
        <w:tc>
          <w:tcPr>
            <w:tcW w:w="1000" w:type="dxa"/>
            <w:vAlign w:val="bottom"/>
            <w:gridSpan w:val="10"/>
          </w:tcPr>
          <w:p>
            <w:pPr>
              <w:ind w:left="100"/>
              <w:spacing w:after="0" w:line="182" w:lineRule="exact"/>
              <w:rPr>
                <w:rFonts w:ascii="Arial" w:cs="Arial" w:eastAsia="Arial" w:hAnsi="Arial"/>
                <w:sz w:val="18"/>
                <w:szCs w:val="18"/>
                <w:color w:val="0000EE"/>
              </w:rPr>
            </w:pPr>
            <w:hyperlink r:id="rId227">
              <w:r>
                <w:rPr>
                  <w:rFonts w:ascii="Arial" w:cs="Arial" w:eastAsia="Arial" w:hAnsi="Arial"/>
                  <w:sz w:val="18"/>
                  <w:szCs w:val="18"/>
                  <w:color w:val="0000EE"/>
                </w:rPr>
                <w:t>S-1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No. 333-230115)).</w:t>
              </w:r>
            </w:hyperlink>
          </w:p>
        </w:tc>
        <w:tc>
          <w:tcPr>
            <w:tcW w:w="6120" w:type="dxa"/>
            <w:vAlign w:val="bottom"/>
            <w:tcBorders>
              <w:top w:val="single" w:sz="8" w:color="0000EE"/>
            </w:tcBorders>
            <w:gridSpan w:val="15"/>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List of Subsidiaries of Tradeweb Markets Inc</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3260" w:type="dxa"/>
            <w:vAlign w:val="bottom"/>
            <w:tcBorders>
              <w:top w:val="single" w:sz="8" w:color="0000EE"/>
            </w:tcBorders>
            <w:gridSpan w:val="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Consent of Deloitte &amp; Touche LLP</w:t>
              </w:r>
            </w:hyperlink>
            <w:r>
              <w:rPr>
                <w:rFonts w:ascii="Arial" w:cs="Arial" w:eastAsia="Arial" w:hAnsi="Arial"/>
                <w:sz w:val="18"/>
                <w:szCs w:val="18"/>
                <w:color w:val="000000"/>
              </w:rPr>
              <w:t>.</w:t>
            </w:r>
          </w:p>
        </w:tc>
        <w:tc>
          <w:tcPr>
            <w:tcW w:w="44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Certification of Chief Executive Officer pursuant to Rule 13a 14(a) or 15d 14(a) of the Securities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1"/>
          </w:tcPr>
          <w:p>
            <w:pPr>
              <w:spacing w:after="0" w:line="182" w:lineRule="exact"/>
              <w:rPr>
                <w:rFonts w:ascii="Arial" w:cs="Arial" w:eastAsia="Arial" w:hAnsi="Arial"/>
                <w:sz w:val="18"/>
                <w:szCs w:val="18"/>
                <w:color w:val="0000EE"/>
                <w:w w:val="94"/>
              </w:rPr>
            </w:pPr>
            <w:hyperlink w:anchor="page174">
              <w:r>
                <w:rPr>
                  <w:rFonts w:ascii="Arial" w:cs="Arial" w:eastAsia="Arial" w:hAnsi="Arial"/>
                  <w:sz w:val="18"/>
                  <w:szCs w:val="18"/>
                  <w:color w:val="0000EE"/>
                  <w:w w:val="94"/>
                </w:rPr>
                <w:t>Exchange Act of 1934, as amended, as adopted pursuant to Section 302 of the Sarbanes-Oxley Act of</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tcBorders>
            <w:gridSpan w:val="2"/>
          </w:tcPr>
          <w:p>
            <w:pPr>
              <w:spacing w:after="0" w:line="182" w:lineRule="exact"/>
              <w:rPr>
                <w:rFonts w:ascii="Arial" w:cs="Arial" w:eastAsia="Arial" w:hAnsi="Arial"/>
                <w:sz w:val="18"/>
                <w:szCs w:val="18"/>
                <w:color w:val="0000EE"/>
                <w:w w:val="84"/>
              </w:rPr>
            </w:pPr>
            <w:hyperlink w:anchor="page174">
              <w:r>
                <w:rPr>
                  <w:rFonts w:ascii="Arial" w:cs="Arial" w:eastAsia="Arial" w:hAnsi="Arial"/>
                  <w:sz w:val="18"/>
                  <w:szCs w:val="18"/>
                  <w:color w:val="0000EE"/>
                  <w:w w:val="84"/>
                </w:rPr>
                <w:t>2002</w:t>
              </w:r>
              <w:r>
                <w:rPr>
                  <w:rFonts w:ascii="Arial" w:cs="Arial" w:eastAsia="Arial" w:hAnsi="Arial"/>
                  <w:sz w:val="18"/>
                  <w:szCs w:val="18"/>
                  <w:color w:val="000000"/>
                  <w:w w:val="84"/>
                </w:rPr>
                <w:t>.</w:t>
              </w:r>
            </w:hyperlink>
          </w:p>
        </w:tc>
        <w:tc>
          <w:tcPr>
            <w:tcW w:w="94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7720" w:type="dxa"/>
            <w:vAlign w:val="bottom"/>
            <w:gridSpan w:val="21"/>
          </w:tcPr>
          <w:p>
            <w:pPr>
              <w:spacing w:after="0" w:line="207" w:lineRule="exact"/>
              <w:rPr>
                <w:rFonts w:ascii="Arial" w:cs="Arial" w:eastAsia="Arial" w:hAnsi="Arial"/>
                <w:sz w:val="18"/>
                <w:szCs w:val="18"/>
                <w:color w:val="0000EE"/>
              </w:rPr>
            </w:pPr>
            <w:hyperlink w:anchor="page175">
              <w:r>
                <w:rPr>
                  <w:rFonts w:ascii="Arial" w:cs="Arial" w:eastAsia="Arial" w:hAnsi="Arial"/>
                  <w:sz w:val="18"/>
                  <w:szCs w:val="18"/>
                  <w:color w:val="0000EE"/>
                </w:rPr>
                <w:t>Certification of Chief Financial Officer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or 15d</w:t>
              </w:r>
              <w:r>
                <w:rPr>
                  <w:rFonts w:ascii="MS PGothic" w:cs="MS PGothic" w:eastAsia="MS PGothic" w:hAnsi="MS PGothic"/>
                  <w:sz w:val="18"/>
                  <w:szCs w:val="18"/>
                  <w:color w:val="0000EE"/>
                </w:rPr>
                <w:t>‑</w:t>
              </w:r>
              <w:r>
                <w:rPr>
                  <w:rFonts w:ascii="Arial" w:cs="Arial" w:eastAsia="Arial" w:hAnsi="Arial"/>
                  <w:sz w:val="18"/>
                  <w:szCs w:val="18"/>
                  <w:color w:val="0000EE"/>
                </w:rPr>
                <w:t>14(a) of the Securities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1"/>
          </w:tcPr>
          <w:p>
            <w:pPr>
              <w:spacing w:after="0" w:line="182" w:lineRule="exact"/>
              <w:rPr>
                <w:rFonts w:ascii="Arial" w:cs="Arial" w:eastAsia="Arial" w:hAnsi="Arial"/>
                <w:sz w:val="18"/>
                <w:szCs w:val="18"/>
                <w:color w:val="0000EE"/>
                <w:w w:val="94"/>
              </w:rPr>
            </w:pPr>
            <w:hyperlink w:anchor="page175">
              <w:r>
                <w:rPr>
                  <w:rFonts w:ascii="Arial" w:cs="Arial" w:eastAsia="Arial" w:hAnsi="Arial"/>
                  <w:sz w:val="18"/>
                  <w:szCs w:val="18"/>
                  <w:color w:val="0000EE"/>
                  <w:w w:val="94"/>
                </w:rPr>
                <w:t>Exchange Act of 1934, as amended, as adopted pursuant to Section 302 of the Sarbanes-Oxley Act of</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4"/>
              </w:rPr>
            </w:pPr>
            <w:hyperlink w:anchor="page175">
              <w:r>
                <w:rPr>
                  <w:rFonts w:ascii="Arial" w:cs="Arial" w:eastAsia="Arial" w:hAnsi="Arial"/>
                  <w:sz w:val="18"/>
                  <w:szCs w:val="18"/>
                  <w:color w:val="0000EE"/>
                  <w:w w:val="84"/>
                </w:rPr>
                <w:t>2002.</w:t>
              </w:r>
            </w:hyperlink>
          </w:p>
        </w:tc>
        <w:tc>
          <w:tcPr>
            <w:tcW w:w="94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w w:val="98"/>
              </w:rPr>
            </w:pPr>
            <w:hyperlink w:anchor="page176">
              <w:r>
                <w:rPr>
                  <w:rFonts w:ascii="Arial" w:cs="Arial" w:eastAsia="Arial" w:hAnsi="Arial"/>
                  <w:sz w:val="18"/>
                  <w:szCs w:val="18"/>
                  <w:color w:val="0000EE"/>
                  <w:w w:val="98"/>
                </w:rPr>
                <w:t>Certification of Chief Executive Officer pursuant to 18 U.S.C. Section 1350, as adopted pursuant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76">
              <w:r>
                <w:rPr>
                  <w:rFonts w:ascii="Arial" w:cs="Arial" w:eastAsia="Arial" w:hAnsi="Arial"/>
                  <w:sz w:val="18"/>
                  <w:szCs w:val="18"/>
                  <w:color w:val="0000EE"/>
                </w:rPr>
                <w:t>Section 906 of the Sarbanes-Oxley Act of 2002</w:t>
              </w:r>
              <w:r>
                <w:rPr>
                  <w:rFonts w:ascii="Arial" w:cs="Arial" w:eastAsia="Arial" w:hAnsi="Arial"/>
                  <w:sz w:val="18"/>
                  <w:szCs w:val="18"/>
                  <w:color w:val="000000"/>
                </w:rPr>
                <w:t>.</w:t>
              </w:r>
            </w:hyperlink>
          </w:p>
        </w:tc>
        <w:tc>
          <w:tcPr>
            <w:tcW w:w="5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7720" w:type="dxa"/>
            <w:vAlign w:val="bottom"/>
            <w:gridSpan w:val="21"/>
          </w:tcPr>
          <w:p>
            <w:pPr>
              <w:spacing w:after="0"/>
              <w:rPr>
                <w:rFonts w:ascii="Arial" w:cs="Arial" w:eastAsia="Arial" w:hAnsi="Arial"/>
                <w:sz w:val="18"/>
                <w:szCs w:val="18"/>
                <w:color w:val="0000EE"/>
                <w:w w:val="91"/>
              </w:rPr>
            </w:pPr>
            <w:hyperlink w:anchor="page177">
              <w:r>
                <w:rPr>
                  <w:rFonts w:ascii="Arial" w:cs="Arial" w:eastAsia="Arial" w:hAnsi="Arial"/>
                  <w:sz w:val="18"/>
                  <w:szCs w:val="18"/>
                  <w:color w:val="0000EE"/>
                  <w:w w:val="91"/>
                </w:rPr>
                <w:t>Certification of Chief Financial Officer pursuant to 18 U.S.C. Section 1350, as adopted pursuant to Section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906 of the Sarbanes-Oxley Act of 2002.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 Document.</w:t>
            </w:r>
          </w:p>
        </w:tc>
        <w:tc>
          <w:tcPr>
            <w:tcW w:w="48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2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2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231F20"/>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TRADEWEB MARKETS INC.</w:t>
            </w:r>
          </w:p>
        </w:tc>
      </w:tr>
      <w:tr>
        <w:trPr>
          <w:trHeight w:val="648"/>
        </w:trPr>
        <w:tc>
          <w:tcPr>
            <w:tcW w:w="4540" w:type="dxa"/>
            <w:vAlign w:val="bottom"/>
          </w:tcPr>
          <w:p>
            <w:pPr>
              <w:spacing w:after="0"/>
              <w:rPr>
                <w:sz w:val="20"/>
                <w:szCs w:val="20"/>
                <w:color w:val="auto"/>
              </w:rPr>
            </w:pPr>
            <w:r>
              <w:rPr>
                <w:rFonts w:ascii="Arial" w:cs="Arial" w:eastAsia="Arial" w:hAnsi="Arial"/>
                <w:sz w:val="18"/>
                <w:szCs w:val="18"/>
                <w:color w:val="auto"/>
              </w:rPr>
              <w:t>February 21,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By:  Lee Olesky</w:t>
            </w:r>
          </w:p>
        </w:tc>
      </w:tr>
      <w:tr>
        <w:trPr>
          <w:trHeight w:val="230"/>
        </w:trPr>
        <w:tc>
          <w:tcPr>
            <w:tcW w:w="454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Pr>
          <w:p>
            <w:pPr>
              <w:ind w:left="102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Pr>
          <w:p>
            <w:pPr>
              <w:ind w:left="1960"/>
              <w:spacing w:after="0"/>
              <w:rPr>
                <w:sz w:val="20"/>
                <w:szCs w:val="20"/>
                <w:color w:val="auto"/>
              </w:rPr>
            </w:pPr>
            <w:r>
              <w:rPr>
                <w:rFonts w:ascii="Arial" w:cs="Arial" w:eastAsia="Arial" w:hAnsi="Arial"/>
                <w:sz w:val="18"/>
                <w:szCs w:val="18"/>
                <w:b w:val="1"/>
                <w:bCs w:val="1"/>
                <w:color w:val="auto"/>
              </w:rPr>
              <w:t>Title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/s/Lee Olesky</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Chief Executive Officer (Principal Executive</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Lee Olesky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Officer) and Director</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/s/Robert Warshaw</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Chief Financial Officer (Principal Financial Officer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Robert Warshaw</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and Principal Accounting Officer)</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Brand</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Martin Brand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 Finley</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John G. Finley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C. Ganeles</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Scott C. Ganeles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Hult</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William Hult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B. Madoff</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Paula B. Madoff</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Pluta</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Thomas Pluta</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Debra Walton</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Debra Walton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West</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142"/>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Brian West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5"/>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40" w:type="dxa"/>
            <w:vAlign w:val="bottom"/>
            <w:gridSpan w:val="4"/>
          </w:tcPr>
          <w:p>
            <w:pPr>
              <w:jc w:val="right"/>
              <w:ind w:right="2450"/>
              <w:spacing w:after="0"/>
              <w:rPr>
                <w:sz w:val="20"/>
                <w:szCs w:val="20"/>
                <w:color w:val="auto"/>
              </w:rPr>
            </w:pPr>
            <w:r>
              <w:rPr>
                <w:rFonts w:ascii="Arial" w:cs="Arial" w:eastAsia="Arial" w:hAnsi="Arial"/>
                <w:sz w:val="18"/>
                <w:szCs w:val="18"/>
                <w:color w:val="auto"/>
              </w:rPr>
              <w:t>160</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4.2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the Annual Report on Form 10-K, of which this Exhibit 4.2 is a part, Tradeweb Markets Inc. has one class of securities registered under Section 12 of the Securities Exchange Act of 1934, as amended (the “Exchange Act”): its Class A common stock, par value $0.00001 per share. As used in this Exhibit 4.2, unless the context otherwise requires, references to “w</w:t>
      </w:r>
      <w:r>
        <w:rPr>
          <w:rFonts w:ascii="Arial" w:cs="Arial" w:eastAsia="Arial" w:hAnsi="Arial"/>
          <w:sz w:val="18"/>
          <w:szCs w:val="18"/>
          <w:i w:val="1"/>
          <w:iCs w:val="1"/>
          <w:color w:val="auto"/>
        </w:rPr>
        <w:t>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Tradeweb</w:t>
      </w:r>
      <w:r>
        <w:rPr>
          <w:rFonts w:ascii="Arial" w:cs="Arial" w:eastAsia="Arial" w:hAnsi="Arial"/>
          <w:sz w:val="18"/>
          <w:szCs w:val="18"/>
          <w:color w:val="auto"/>
        </w:rPr>
        <w:t>” and similar references refer to Tradeweb Markets Inc., and not to any of its subsidiaries. See “Certain Defined Terms” below for a summary of certain defined terms used in this Exhibit 4.2.</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our amended and restated certificate of incorporation and amended and restated bylaws, each of which is incorporated by reference as an exhibit to the Annual Report on Form 10-K, of which this Exhibit 4.2 is a part. We encourage you to read the amended and restated certificate of incorporation, amended and restated bylaws and the applicable provisions of the Delaware General Corporation Law (the “DCGL”), as well as the Stockholders Agreement (as defined below) and registration rights agreement entered into in connection with our IPO, both of which are incorporated by reference as exhibits to the Annual Report on Form 10-K, of which this Exhibit 4.2 is a part, for additional information.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authorized capital stock consists of 1,000,000,000 shares of Class A common stock, par value $0.00001 per share, 450,000,000 shares of Class B common stock, par value $0.00001 per share, 350,000,000 shares of Class C common stock, par value $0.00001 per share, 300,000,000 shares of Class D common stock, par value $0.00001 per share, and 250,000,000 shares of preferred stock, par value $0.00001 per share. Unless our board of directors determines otherwise, we have issued and we will continue to issue all shares of our capital stock in uncertificated 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A common stock are fully paid and non-assessable. The Class A common stock will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1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B common stock are fully paid and non-assessable. The Class B common stock will not be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the Annual Report on Form 10-K, of which this Exhibit 4.2 is a part, the Refinitiv Direct Owner owns 100% of our outstanding Class B common stock.</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share of Class B common stock will automatically convert into one share of Class A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1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C common stock are fully paid and non-assessable. The Class C common stock will not be subject to further calls or assessments by us. Holders of shares of our Class C common stock do not have preemptive, subscription, redemption or conversion rights. There are no mandatory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2" w:name="page163"/>
    <w:bookmarkEnd w:id="162"/>
    <w:p>
      <w:pPr>
        <w:jc w:val="both"/>
        <w:spacing w:after="0" w:line="254" w:lineRule="auto"/>
        <w:rPr>
          <w:sz w:val="20"/>
          <w:szCs w:val="20"/>
          <w:color w:val="auto"/>
        </w:rPr>
      </w:pPr>
      <w:r>
        <w:rPr>
          <w:rFonts w:ascii="Arial" w:cs="Arial" w:eastAsia="Arial" w:hAnsi="Arial"/>
          <w:sz w:val="18"/>
          <w:szCs w:val="18"/>
          <w:color w:val="auto"/>
        </w:rPr>
        <w:t>cancelled on a one-for-one basis upon such issuance), or (iii) necessary to maintain a one-to-one ratio between the number of shares of Class C common stock issued to Continuing LLC Owners and the number of related LLC interests held by Continuing LLC Owners. Shares of Class C common stock will be cancelled on a one-for-one basis if we, at the election of a Continuing LLC Owner, redeem or exchange the related LLC Interests held by such Continuing LLC Owner and issue Class A common stock to the Continuing LLC Owner in connection therewith pursuant to the terms of the fifth amended and restated limited liability company agreement of TWM LLC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1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outstanding shares of our Class D common stock are fully paid and non-assessable. The Class D common stock will not be subject to further calls or assessments by us. Holders of shares of our Class D common stock do not have preemptive, subscription, redemption or conversion rights. There are no mandatory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1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Shares of Class D common stock will only be issued in the future to the extent necessary to maintain a one-to-one ratio between the number of shares of Class D common stock issued to Continuing LLC Owners and the number of related LLC Interests held by Continuing LLC Owners. Shares of Class D common stock will be cancelled on a one-for-one basis if we, at the election of a Continuing LLC Owner, redeem or exchange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Each share of Class D common stock will automatically convert into one share of Class C common stock (i) immediately prior to any sale or other transfer of such share by a Continuing LLC Owner or any of its affiliates or permitted transferees to a non-permitted transferee, or (ii) once the Refinitiv Owners and 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the Annual Report on Form 10-K, of which this Exhibit 4.2 is a part, Continuing LLC Owners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the date of the Annual Report on Form 10-K, of which this Exhibit 4.2 is a part, no shares of preferred stock are issued or outstanding.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designation of the series;</w:t>
      </w:r>
    </w:p>
    <w:p>
      <w:pPr>
        <w:spacing w:after="0" w:line="185" w:lineRule="exact"/>
        <w:rPr>
          <w:sz w:val="20"/>
          <w:szCs w:val="20"/>
          <w:color w:val="auto"/>
        </w:rPr>
      </w:pPr>
    </w:p>
    <w:p>
      <w:pPr>
        <w:jc w:val="both"/>
        <w:ind w:left="980" w:firstLine="73"/>
        <w:spacing w:after="0" w:line="264" w:lineRule="auto"/>
        <w:rPr>
          <w:sz w:val="20"/>
          <w:szCs w:val="20"/>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whether dividends, if any, will be cumulative or non-cumulative and the dividend rate of the series;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dates at which dividends, if any, will be payable;</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redemption or repurchase rights and price or prices, if any, for shares of the series;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98" w:lineRule="exact"/>
        <w:rPr>
          <w:sz w:val="20"/>
          <w:szCs w:val="20"/>
          <w:color w:val="auto"/>
        </w:rPr>
      </w:pPr>
    </w:p>
    <w:p>
      <w:pPr>
        <w:jc w:val="both"/>
        <w:ind w:left="980" w:firstLine="86"/>
        <w:spacing w:after="0" w:line="277" w:lineRule="auto"/>
        <w:rPr>
          <w:sz w:val="20"/>
          <w:szCs w:val="20"/>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30" w:lineRule="exact"/>
        <w:rPr>
          <w:sz w:val="20"/>
          <w:szCs w:val="20"/>
          <w:color w:val="auto"/>
        </w:rPr>
      </w:pPr>
    </w:p>
    <w:p>
      <w:pPr>
        <w:jc w:val="both"/>
        <w:ind w:left="980" w:firstLine="73"/>
        <w:spacing w:after="0" w:line="259" w:lineRule="auto"/>
        <w:rPr>
          <w:sz w:val="20"/>
          <w:szCs w:val="20"/>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restrictions on the issuance of shares of the same series or of any other class or series; and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voting rights, if any, of the holders of the series.</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6388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4" w:name="page165"/>
    <w:bookmarkEnd w:id="164"/>
    <w:p>
      <w:pPr>
        <w:jc w:val="both"/>
        <w:ind w:firstLine="324"/>
        <w:spacing w:after="0" w:line="291" w:lineRule="auto"/>
        <w:rPr>
          <w:sz w:val="20"/>
          <w:szCs w:val="20"/>
          <w:color w:val="auto"/>
        </w:rPr>
      </w:pPr>
      <w:r>
        <w:rPr>
          <w:rFonts w:ascii="Arial" w:cs="Arial" w:eastAsia="Arial" w:hAnsi="Arial"/>
          <w:sz w:val="16"/>
          <w:szCs w:val="16"/>
          <w:color w:val="auto"/>
        </w:rPr>
        <w:t>As of the date of the Annual Report on Form 10-K, of which this Exhibit 4.2 is a part, we have paid, and intend to continue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credit agreement that governs our revolving credit facility or any future credit agreement or any future debt or preferred equity securities of Tradeweb or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37" w:lineRule="exact"/>
        <w:rPr>
          <w:sz w:val="20"/>
          <w:szCs w:val="20"/>
          <w:color w:val="auto"/>
        </w:rPr>
      </w:pPr>
    </w:p>
    <w:p>
      <w:pPr>
        <w:ind w:right="1620"/>
        <w:spacing w:after="0" w:line="464" w:lineRule="auto"/>
        <w:rPr>
          <w:sz w:val="20"/>
          <w:szCs w:val="20"/>
          <w:color w:val="auto"/>
        </w:rPr>
      </w:pPr>
      <w:r>
        <w:rPr>
          <w:rFonts w:ascii="Arial" w:cs="Arial" w:eastAsia="Arial" w:hAnsi="Arial"/>
          <w:sz w:val="18"/>
          <w:szCs w:val="18"/>
          <w:b w:val="1"/>
          <w:bCs w:val="1"/>
          <w:color w:val="auto"/>
        </w:rPr>
        <w:t xml:space="preserve">Anti-Takeover Effects of Our Amended and Restated Certificate of Incorporation and Amended and Restated </w:t>
      </w:r>
      <w:r>
        <w:rPr>
          <w:rFonts w:ascii="Arial" w:cs="Arial" w:eastAsia="Arial" w:hAnsi="Arial"/>
          <w:sz w:val="18"/>
          <w:szCs w:val="18"/>
          <w:b w:val="1"/>
          <w:bCs w:val="1"/>
          <w:i w:val="1"/>
          <w:iCs w:val="1"/>
          <w:color w:val="auto"/>
        </w:rPr>
        <w:t>Bylaws and Certain Provisions of Delaware Law</w:t>
      </w: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16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5" w:name="page166"/>
    <w:bookmarkEnd w:id="165"/>
    <w:p>
      <w:pPr>
        <w:jc w:val="both"/>
        <w:spacing w:after="0" w:line="277" w:lineRule="auto"/>
        <w:rPr>
          <w:sz w:val="20"/>
          <w:szCs w:val="20"/>
          <w:color w:val="auto"/>
        </w:rPr>
      </w:pPr>
      <w:r>
        <w:rPr>
          <w:rFonts w:ascii="Arial" w:cs="Arial" w:eastAsia="Arial" w:hAnsi="Arial"/>
          <w:sz w:val="18"/>
          <w:szCs w:val="18"/>
          <w:color w:val="auto"/>
        </w:rPr>
        <w:t>holders of preferred stock to elect additional directors under specified circumstances, the number of directors will be fixed from time to time exclusively pursuant to a resolution adopted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41" w:lineRule="exact"/>
        <w:rPr>
          <w:sz w:val="20"/>
          <w:szCs w:val="20"/>
          <w:color w:val="auto"/>
        </w:rPr>
      </w:pPr>
    </w:p>
    <w:p>
      <w:pPr>
        <w:jc w:val="both"/>
        <w:ind w:left="980" w:firstLine="109"/>
        <w:spacing w:after="0" w:line="277" w:lineRule="auto"/>
        <w:rPr>
          <w:sz w:val="20"/>
          <w:szCs w:val="20"/>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30" w:lineRule="exact"/>
        <w:rPr>
          <w:sz w:val="20"/>
          <w:szCs w:val="20"/>
          <w:color w:val="auto"/>
        </w:rPr>
      </w:pPr>
    </w:p>
    <w:p>
      <w:pPr>
        <w:jc w:val="both"/>
        <w:ind w:left="980" w:firstLine="158"/>
        <w:spacing w:after="0" w:line="264"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54" w:lineRule="exact"/>
        <w:rPr>
          <w:sz w:val="20"/>
          <w:szCs w:val="20"/>
          <w:color w:val="auto"/>
        </w:rPr>
      </w:pPr>
    </w:p>
    <w:p>
      <w:pPr>
        <w:jc w:val="both"/>
        <w:ind w:left="980" w:firstLine="96"/>
        <w:spacing w:after="0" w:line="332" w:lineRule="auto"/>
        <w:rPr>
          <w:sz w:val="20"/>
          <w:szCs w:val="20"/>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the Refinitiv Owners and their affiliates beneficially own in the aggregate, less than 50% of the voting power of all outstanding shares of stock entitled to vote generally in the election of directors, directors may only be removed for cause, and only upon the affirmative vote of holders of at least 66⅔% of the voting power of all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Tradeweb entered into in connection with the IPO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all outstanding shares of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outstanding shares of stock entitled to vote thereon were present and voted, unless our amended and restated certificate of incorporation provides otherwise. Our amended and restated certificate of incorporation precludes stockholder action by written consent at any time when the Refinitiv Owners and their affiliates own, in the aggregate, less than 50% in voting power of all outstanding shares of stock entitled to vote generally in the election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all outstanding shares of stock entitled to vote generally in the election of directors, any amendment, alteration, change, addition, rescission or repeal of our bylaws by our stockholders requires the affirmative vote of a majority in voting power of all outstanding shares of stock present in person or represented by proxy at the meeting and entitled to vote on such amendment, alteration, change, addition, rescission or repeal. At any time when the Refinitiv Owners and their affiliates beneficially own, in the aggregate, less than 50% in voting power of all outstanding shares of stock entitled to vote generally in the election of directors, any amendment, alteration, change, addition, rescission or repeal of our bylaws by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63887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7" w:name="page168"/>
    <w:bookmarkEnd w:id="167"/>
    <w:p>
      <w:pPr>
        <w:jc w:val="both"/>
        <w:spacing w:after="0" w:line="316" w:lineRule="auto"/>
        <w:rPr>
          <w:sz w:val="20"/>
          <w:szCs w:val="20"/>
          <w:color w:val="auto"/>
        </w:rPr>
      </w:pPr>
      <w:r>
        <w:rPr>
          <w:rFonts w:ascii="Arial" w:cs="Arial" w:eastAsia="Arial" w:hAnsi="Arial"/>
          <w:sz w:val="18"/>
          <w:szCs w:val="18"/>
          <w:color w:val="auto"/>
        </w:rPr>
        <w:t>stockholders requires the affirmative vote of the holders of at least 66⅔% in voting power of all outstanding shares of stock entitled to vote thereon, voting together as a single class.</w:t>
      </w:r>
    </w:p>
    <w:p>
      <w:pPr>
        <w:spacing w:after="0" w:line="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DGCL provides generally that the affirmative vote of a majority of all outstanding shares entitled to vote thereon, voting together as a single class, is required to amend a corporation’s certificate of incorporation, unless the certificate of incorporation requires a greater percentage.</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outstanding shares of stock entitled to vote thereon, voting together as a single class:</w:t>
      </w:r>
    </w:p>
    <w:p>
      <w:pPr>
        <w:spacing w:after="0" w:line="115" w:lineRule="exact"/>
        <w:rPr>
          <w:sz w:val="20"/>
          <w:szCs w:val="20"/>
          <w:color w:val="auto"/>
        </w:rPr>
      </w:pPr>
    </w:p>
    <w:p>
      <w:pPr>
        <w:ind w:left="700" w:right="1220"/>
        <w:spacing w:after="0" w:line="509" w:lineRule="auto"/>
        <w:rPr>
          <w:sz w:val="20"/>
          <w:szCs w:val="20"/>
          <w:color w:val="auto"/>
        </w:rPr>
      </w:pPr>
      <w:r>
        <w:rPr>
          <w:rFonts w:ascii="Arial" w:cs="Arial" w:eastAsia="Arial" w:hAnsi="Arial"/>
          <w:sz w:val="17"/>
          <w:szCs w:val="17"/>
          <w:color w:val="auto"/>
        </w:rPr>
        <w:t>the provision requiring a 66⅔% supermajority vote for stockholders to amend our amended and restated bylaws; the provisions providing for a classified board of directors (the election and term of our directors);</w:t>
      </w:r>
    </w:p>
    <w:p>
      <w:pPr>
        <w:ind w:left="700"/>
        <w:spacing w:after="0"/>
        <w:rPr>
          <w:sz w:val="20"/>
          <w:szCs w:val="20"/>
          <w:color w:val="auto"/>
        </w:rPr>
      </w:pPr>
      <w:r>
        <w:rPr>
          <w:rFonts w:ascii="Arial" w:cs="Arial" w:eastAsia="Arial" w:hAnsi="Arial"/>
          <w:sz w:val="18"/>
          <w:szCs w:val="18"/>
          <w:color w:val="auto"/>
        </w:rPr>
        <w:t>the provisions regarding resignation and removal of directors;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competition and corporate opportunities;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entering into business combinations with interested stockholders;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stockholder action by written consent;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calling special meetings of stockholders;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filling vacancies on our board of directors and newly-created directorships;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eliminating monetary damages for breaches of fiduciary duty by a director; and</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amendment provision requiring that the above provisions be amended only with a 66⅔% supermajority vote.</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8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63887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92" w:right="9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of 1933, as amended,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0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himself or herself or its, his or her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and registrar for shares of our Class A common stock, Class B common stock, Class C common stock and Class D common stock is American Stock Transfer &amp; Trust Company, LLC.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Certain Definitions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used in this Exhibit 4.2, unless the context otherwise requires, references to:</w:t>
      </w:r>
    </w:p>
    <w:p>
      <w:pPr>
        <w:spacing w:after="0" w:line="198" w:lineRule="exact"/>
        <w:rPr>
          <w:sz w:val="20"/>
          <w:szCs w:val="20"/>
          <w:color w:val="auto"/>
        </w:rPr>
      </w:pPr>
    </w:p>
    <w:p>
      <w:pPr>
        <w:jc w:val="both"/>
        <w:ind w:left="640" w:hanging="5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Stockholders</w:t>
      </w:r>
      <w:r>
        <w:rPr>
          <w:rFonts w:ascii="Arial" w:cs="Arial" w:eastAsia="Arial" w:hAnsi="Arial"/>
          <w:sz w:val="18"/>
          <w:szCs w:val="18"/>
          <w:color w:val="auto"/>
        </w:rPr>
        <w:t>”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w:t>
      </w:r>
    </w:p>
    <w:p>
      <w:pPr>
        <w:spacing w:after="0" w:line="146" w:lineRule="exact"/>
        <w:rPr>
          <w:sz w:val="20"/>
          <w:szCs w:val="20"/>
          <w:color w:val="auto"/>
        </w:rPr>
      </w:pPr>
    </w:p>
    <w:p>
      <w:pPr>
        <w:jc w:val="both"/>
        <w:ind w:left="640" w:hanging="67"/>
        <w:spacing w:after="0" w:line="271" w:lineRule="auto"/>
        <w:rPr>
          <w:sz w:val="20"/>
          <w:szCs w:val="20"/>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(i) those Original LLC Owners, including the Refinitiv LLC Owner, certain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Stockholders and members of management, that continued to own LLC Interests after the completion of our initial public offering (the “IPO”) and the series of reorganization transactions that were completed in connection with the IPO (the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entered into in connection with the IPO, also includes those Original LLC Owners, including certain Bank Stockholders, that disposed of all of their LLC Interests for cash in connection with the IPO.</w:t>
      </w:r>
    </w:p>
    <w:p>
      <w:pPr>
        <w:spacing w:after="0" w:line="138" w:lineRule="exact"/>
        <w:rPr>
          <w:sz w:val="20"/>
          <w:szCs w:val="20"/>
          <w:color w:val="auto"/>
        </w:rPr>
      </w:pPr>
    </w:p>
    <w:p>
      <w:pPr>
        <w:ind w:left="640" w:firstLine="54"/>
        <w:spacing w:after="0" w:line="277" w:lineRule="auto"/>
        <w:rPr>
          <w:sz w:val="20"/>
          <w:szCs w:val="20"/>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single class of common membership interests of TWM LLC issued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Transactions.</w:t>
      </w:r>
    </w:p>
    <w:p>
      <w:pPr>
        <w:spacing w:after="0" w:line="143"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i w:val="1"/>
          <w:iCs w:val="1"/>
          <w:color w:val="auto"/>
        </w:rPr>
        <w:t xml:space="preserve">“Original LLC Owners” </w:t>
      </w:r>
      <w:r>
        <w:rPr>
          <w:rFonts w:ascii="Arial" w:cs="Arial" w:eastAsia="Arial" w:hAnsi="Arial"/>
          <w:sz w:val="18"/>
          <w:szCs w:val="18"/>
          <w:color w:val="auto"/>
        </w:rPr>
        <w:t>refer to the owners of TWM LLC prior to the Reorganization Transactions (including the Refinitiv</w:t>
      </w:r>
      <w:r>
        <w:rPr>
          <w:rFonts w:ascii="Arial" w:cs="Arial" w:eastAsia="Arial" w:hAnsi="Arial"/>
          <w:sz w:val="18"/>
          <w:szCs w:val="18"/>
          <w:i w:val="1"/>
          <w:iCs w:val="1"/>
          <w:color w:val="auto"/>
        </w:rPr>
        <w:t xml:space="preserve"> </w:t>
      </w:r>
      <w:r>
        <w:rPr>
          <w:rFonts w:ascii="Arial" w:cs="Arial" w:eastAsia="Arial" w:hAnsi="Arial"/>
          <w:sz w:val="18"/>
          <w:szCs w:val="18"/>
          <w:color w:val="auto"/>
        </w:rPr>
        <w:t>Owners, the Bank Stockholders and members of management).</w:t>
      </w:r>
    </w:p>
    <w:p>
      <w:pPr>
        <w:spacing w:after="0" w:line="130" w:lineRule="exact"/>
        <w:rPr>
          <w:sz w:val="20"/>
          <w:szCs w:val="20"/>
          <w:color w:val="auto"/>
        </w:rPr>
      </w:pPr>
    </w:p>
    <w:p>
      <w:pPr>
        <w:jc w:val="both"/>
        <w:ind w:left="640" w:hanging="80"/>
        <w:spacing w:after="0" w:line="297" w:lineRule="auto"/>
        <w:rPr>
          <w:sz w:val="20"/>
          <w:szCs w:val="20"/>
          <w:color w:val="auto"/>
        </w:rPr>
      </w:pPr>
      <w:r>
        <w:rPr>
          <w:rFonts w:ascii="Arial" w:cs="Arial" w:eastAsia="Arial" w:hAnsi="Arial"/>
          <w:sz w:val="16"/>
          <w:szCs w:val="16"/>
          <w:i w:val="1"/>
          <w:iCs w:val="1"/>
          <w:color w:val="auto"/>
        </w:rPr>
        <w:t xml:space="preserve">“Refinitiv” </w:t>
      </w:r>
      <w:r>
        <w:rPr>
          <w:rFonts w:ascii="Arial" w:cs="Arial" w:eastAsia="Arial" w:hAnsi="Arial"/>
          <w:sz w:val="16"/>
          <w:szCs w:val="16"/>
          <w:color w:val="auto"/>
        </w:rPr>
        <w:t>refer to Refinitiv Holdings Limited, and unless otherwise stated or the context otherwise requires, all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owns substantially all of the former financial and risk business of Thomson Reuters Corporation, including, prior to and following the completion of the Reorganization Transactions, an indirect majority ownership interest in Tradeweb, and is controlled by certain investment funds affiliated with The Blackstone Group Inc. (f/k/a The Blackstone Group L.P.), affiliates of Canada Pension Plan Investment Boards and GIC Special Investments Pte. Ltd. and certain other co-investors.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“Refinitiv Direct Owner” </w:t>
      </w:r>
      <w:r>
        <w:rPr>
          <w:rFonts w:ascii="Arial" w:cs="Arial" w:eastAsia="Arial" w:hAnsi="Arial"/>
          <w:sz w:val="18"/>
          <w:szCs w:val="18"/>
          <w:color w:val="auto"/>
        </w:rPr>
        <w:t>refer to an indirect subsidiary of Refinitiv that owns shares of our Class B common stock.</w:t>
      </w:r>
    </w:p>
    <w:p>
      <w:pPr>
        <w:spacing w:after="0" w:line="198" w:lineRule="exact"/>
        <w:rPr>
          <w:sz w:val="20"/>
          <w:szCs w:val="20"/>
          <w:color w:val="auto"/>
        </w:rPr>
      </w:pPr>
    </w:p>
    <w:p>
      <w:pPr>
        <w:jc w:val="both"/>
        <w:ind w:left="640" w:hanging="26"/>
        <w:spacing w:after="0" w:line="264" w:lineRule="auto"/>
        <w:rPr>
          <w:sz w:val="20"/>
          <w:szCs w:val="20"/>
          <w:color w:val="auto"/>
        </w:rPr>
      </w:pPr>
      <w:r>
        <w:rPr>
          <w:rFonts w:ascii="Arial" w:cs="Arial" w:eastAsia="Arial" w:hAnsi="Arial"/>
          <w:sz w:val="18"/>
          <w:szCs w:val="18"/>
          <w:i w:val="1"/>
          <w:iCs w:val="1"/>
          <w:color w:val="auto"/>
        </w:rPr>
        <w:t xml:space="preserve">“Refinitiv LLC Owner” </w:t>
      </w:r>
      <w:r>
        <w:rPr>
          <w:rFonts w:ascii="Arial" w:cs="Arial" w:eastAsia="Arial" w:hAnsi="Arial"/>
          <w:sz w:val="18"/>
          <w:szCs w:val="18"/>
          <w:color w:val="auto"/>
        </w:rPr>
        <w:t>refer to an indirect subsidiary of Refinitiv that owns LLC Interests and received shares of our Class 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connection with the completion of the Reorganization Transactions, and that may redeem or exchange its LLC Interests for shares of our Class A common stock or Class B common stock.</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“TWM LLC” </w:t>
      </w:r>
      <w:r>
        <w:rPr>
          <w:rFonts w:ascii="Arial" w:cs="Arial" w:eastAsia="Arial" w:hAnsi="Arial"/>
          <w:sz w:val="18"/>
          <w:szCs w:val="18"/>
          <w:color w:val="auto"/>
        </w:rPr>
        <w:t>refer to Tradeweb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0" w:name="page171"/>
    <w:bookmarkEnd w:id="170"/>
    <w:tbl>
      <w:tblPr>
        <w:tblLayout w:type="fixed"/>
        <w:tblInd w:w="1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ind w:left="2160"/>
              <w:spacing w:after="0"/>
              <w:rPr>
                <w:sz w:val="20"/>
                <w:szCs w:val="20"/>
                <w:color w:val="auto"/>
              </w:rPr>
            </w:pPr>
            <w:r>
              <w:rPr>
                <w:rFonts w:ascii="Arial" w:cs="Arial" w:eastAsia="Arial" w:hAnsi="Arial"/>
                <w:sz w:val="18"/>
                <w:szCs w:val="18"/>
                <w:b w:val="1"/>
                <w:bCs w:val="1"/>
                <w:color w:val="auto"/>
                <w:w w:val="93"/>
              </w:rPr>
              <w:t>Exhibit 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480" w:type="dxa"/>
            <w:vAlign w:val="bottom"/>
            <w:gridSpan w:val="3"/>
          </w:tcPr>
          <w:p>
            <w:pPr>
              <w:ind w:left="2640"/>
              <w:spacing w:after="0"/>
              <w:rPr>
                <w:sz w:val="20"/>
                <w:szCs w:val="20"/>
                <w:color w:val="auto"/>
              </w:rPr>
            </w:pPr>
            <w:r>
              <w:rPr>
                <w:rFonts w:ascii="Arial" w:cs="Arial" w:eastAsia="Arial" w:hAnsi="Arial"/>
                <w:sz w:val="18"/>
                <w:szCs w:val="18"/>
                <w:b w:val="1"/>
                <w:bCs w:val="1"/>
                <w:color w:val="auto"/>
              </w:rPr>
              <w:t>Subsidiaries of Tradeweb Markets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1.</w:t>
            </w:r>
          </w:p>
        </w:tc>
        <w:tc>
          <w:tcPr>
            <w:tcW w:w="5360" w:type="dxa"/>
            <w:vAlign w:val="bottom"/>
            <w:gridSpan w:val="2"/>
          </w:tcPr>
          <w:p>
            <w:pPr>
              <w:ind w:left="2200"/>
              <w:spacing w:after="0"/>
              <w:rPr>
                <w:sz w:val="20"/>
                <w:szCs w:val="20"/>
                <w:color w:val="auto"/>
              </w:rPr>
            </w:pPr>
            <w:r>
              <w:rPr>
                <w:rFonts w:ascii="Arial" w:cs="Arial" w:eastAsia="Arial" w:hAnsi="Arial"/>
                <w:sz w:val="18"/>
                <w:szCs w:val="18"/>
                <w:color w:val="auto"/>
              </w:rPr>
              <w:t>Subsidiary</w:t>
            </w:r>
          </w:p>
        </w:tc>
        <w:tc>
          <w:tcPr>
            <w:tcW w:w="3120" w:type="dxa"/>
            <w:vAlign w:val="bottom"/>
          </w:tcPr>
          <w:p>
            <w:pPr>
              <w:ind w:left="20"/>
              <w:spacing w:after="0"/>
              <w:rPr>
                <w:sz w:val="20"/>
                <w:szCs w:val="20"/>
                <w:color w:val="auto"/>
              </w:rPr>
            </w:pPr>
            <w:r>
              <w:rPr>
                <w:rFonts w:ascii="Arial" w:cs="Arial" w:eastAsia="Arial" w:hAnsi="Arial"/>
                <w:sz w:val="18"/>
                <w:szCs w:val="18"/>
                <w:color w:val="auto"/>
                <w:w w:val="97"/>
              </w:rPr>
              <w:t>Jurisdiction of Incorporation / 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0" w:type="dxa"/>
            <w:vAlign w:val="bottom"/>
            <w:vMerge w:val="continue"/>
          </w:tcPr>
          <w:p>
            <w:pPr>
              <w:spacing w:after="0"/>
              <w:rPr>
                <w:sz w:val="12"/>
                <w:szCs w:val="12"/>
                <w:color w:val="auto"/>
              </w:rPr>
            </w:pPr>
          </w:p>
        </w:tc>
        <w:tc>
          <w:tcPr>
            <w:tcW w:w="51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Tradeweb Markets LLC</w:t>
            </w:r>
          </w:p>
        </w:tc>
        <w:tc>
          <w:tcPr>
            <w:tcW w:w="200" w:type="dxa"/>
            <w:vAlign w:val="bottom"/>
          </w:tcPr>
          <w:p>
            <w:pPr>
              <w:spacing w:after="0"/>
              <w:rPr>
                <w:sz w:val="12"/>
                <w:szCs w:val="12"/>
                <w:color w:val="auto"/>
              </w:rPr>
            </w:pPr>
          </w:p>
        </w:tc>
        <w:tc>
          <w:tcPr>
            <w:tcW w:w="31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BNX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3.</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BondDesk Group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4.</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Dealerweb Inc.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5.</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DW SEF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6.</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Munigroup.com,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7.</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Tech Hackers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8.</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TIPS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Wyoming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9.</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Tradeweb Commercial Information Consulting (Shanghai) Co., Ltd.</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People’s Republic of 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10.Tradeweb Direct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11.Tradeweb EU B.V.</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12.Tradeweb Europe Limited</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England and Wales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13.Tradeweb Global Holding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14.Tradeweb Global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15.Tradeweb IDB Markets, Inc.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16.Tradeweb Japan K.K.</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17.Tradeweb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18.Tradeweb Markets International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19.TW SEF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20.TWEL Holding LLC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1"/>
        </w:trPr>
        <w:tc>
          <w:tcPr>
            <w:tcW w:w="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 w:right="1440" w:bottom="1440" w:gutter="0" w:footer="0" w:header="0"/>
        </w:sectPr>
      </w:pPr>
    </w:p>
    <w:bookmarkStart w:id="171" w:name="page172"/>
    <w:bookmarkEnd w:id="171"/>
    <w:p>
      <w:pPr>
        <w:jc w:val="right"/>
        <w:ind w:right="139"/>
        <w:spacing w:after="0"/>
        <w:rPr>
          <w:sz w:val="20"/>
          <w:szCs w:val="20"/>
          <w:color w:val="auto"/>
        </w:rPr>
      </w:pPr>
      <w:r>
        <w:rPr>
          <w:rFonts w:ascii="Arial" w:cs="Arial" w:eastAsia="Arial" w:hAnsi="Arial"/>
          <w:sz w:val="16"/>
          <w:szCs w:val="16"/>
          <w:b w:val="1"/>
          <w:bCs w:val="1"/>
          <w:color w:val="auto"/>
        </w:rPr>
        <w:t>Exhibit 23.1</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9" w:lineRule="exact"/>
        <w:rPr>
          <w:sz w:val="20"/>
          <w:szCs w:val="20"/>
          <w:color w:val="auto"/>
        </w:rPr>
      </w:pPr>
    </w:p>
    <w:p>
      <w:pPr>
        <w:jc w:val="both"/>
        <w:ind w:left="160" w:right="139"/>
        <w:spacing w:after="0" w:line="270" w:lineRule="auto"/>
        <w:rPr>
          <w:sz w:val="20"/>
          <w:szCs w:val="20"/>
          <w:color w:val="auto"/>
        </w:rPr>
      </w:pPr>
      <w:r>
        <w:rPr>
          <w:rFonts w:ascii="Arial" w:cs="Arial" w:eastAsia="Arial" w:hAnsi="Arial"/>
          <w:sz w:val="16"/>
          <w:szCs w:val="16"/>
          <w:color w:val="auto"/>
        </w:rPr>
        <w:t>We consent to the incorporation by reference in Registration Statement No. 333- 232186 on Form S-8 of our report dated February 21, 2020, relating to the financial statements of Tradeweb Markets Inc. (which report expresses an unqualified opinion and includes an emphasis of a matter paragraph relating to the Successor Period financial statements not being comparable to the Predecessor Period financial statements as a result of pushdown accounting, and an emphasis of matter paragraph relating to the Company’s reorganization transactions and initial public offering on April 4, 2019) appearing in this Annual Report on Form 10-K for the year ended December 31, 2019.</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Deloitte &amp; Touche LLP</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New York, New York</w:t>
      </w:r>
    </w:p>
    <w:p>
      <w:pPr>
        <w:ind w:left="160"/>
        <w:spacing w:after="0"/>
        <w:rPr>
          <w:sz w:val="20"/>
          <w:szCs w:val="20"/>
          <w:color w:val="auto"/>
        </w:rPr>
      </w:pPr>
      <w:r>
        <w:rPr>
          <w:rFonts w:ascii="Arial" w:cs="Arial" w:eastAsia="Arial" w:hAnsi="Arial"/>
          <w:sz w:val="16"/>
          <w:szCs w:val="16"/>
          <w:color w:val="auto"/>
        </w:rPr>
        <w:t>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857885</wp:posOffset>
            </wp:positionV>
            <wp:extent cx="554863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r>
        <w:rPr>
          <w:rFonts w:ascii="Arial" w:cs="Arial" w:eastAsia="Arial" w:hAnsi="Arial"/>
          <w:sz w:val="8"/>
          <w:szCs w:val="8"/>
          <w:color w:val="auto"/>
        </w:rPr>
        <w:t>1</w:t>
      </w:r>
    </w:p>
    <w:p>
      <w:pPr>
        <w:spacing w:after="0" w:line="200" w:lineRule="exact"/>
        <w:rPr>
          <w:sz w:val="20"/>
          <w:szCs w:val="20"/>
          <w:color w:val="auto"/>
        </w:rPr>
      </w:pPr>
    </w:p>
    <w:p>
      <w:pPr>
        <w:spacing w:after="0" w:line="24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333-232186) of Tradeweb Markets Inc. of our report dated December 17, 2018, except for the impact of the amendment to the LLC agreement discussed in Note 2 to the consolidated financial statements, as to which the date is May 20, 2019 relating to the financial statements which appear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5082540</wp:posOffset>
            </wp:positionV>
            <wp:extent cx="15608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260" w:hanging="246"/>
        <w:spacing w:after="0" w:line="253"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4"/>
          <w:szCs w:val="14"/>
          <w:color w:val="auto"/>
        </w:rPr>
        <w:t>The title of the consent should match that of the audit report (independent registered public accounting firm or independent accountants). See section 1.3 of the Reporting Guide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8" w:right="919" w:bottom="1440" w:gutter="0" w:footer="0" w:header="0"/>
        </w:sectPr>
      </w:pPr>
    </w:p>
    <w:bookmarkStart w:id="173" w:name="page174"/>
    <w:bookmarkEnd w:id="173"/>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Lee Olesky, certify that:</w:t>
      </w:r>
    </w:p>
    <w:p>
      <w:pPr>
        <w:spacing w:after="0" w:line="171" w:lineRule="exact"/>
        <w:rPr>
          <w:sz w:val="20"/>
          <w:szCs w:val="20"/>
          <w:color w:val="auto"/>
        </w:rPr>
      </w:pPr>
    </w:p>
    <w:p>
      <w:pPr>
        <w:ind w:left="480" w:right="159" w:hanging="329"/>
        <w:spacing w:after="0" w:line="277" w:lineRule="auto"/>
        <w:tabs>
          <w:tab w:leader="none" w:pos="4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Tradeweb Markets Inc.;</w:t>
      </w:r>
    </w:p>
    <w:p>
      <w:pPr>
        <w:spacing w:after="0" w:line="116" w:lineRule="exact"/>
        <w:rPr>
          <w:rFonts w:ascii="Arial" w:cs="Arial" w:eastAsia="Arial" w:hAnsi="Arial"/>
          <w:sz w:val="18"/>
          <w:szCs w:val="18"/>
          <w:color w:val="auto"/>
        </w:rPr>
      </w:pPr>
    </w:p>
    <w:p>
      <w:pPr>
        <w:ind w:left="480" w:right="519" w:hanging="329"/>
        <w:spacing w:after="0" w:line="264" w:lineRule="auto"/>
        <w:tabs>
          <w:tab w:leader="none" w:pos="4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399" w:hanging="329"/>
        <w:spacing w:after="0" w:line="264" w:lineRule="auto"/>
        <w:tabs>
          <w:tab w:leader="none" w:pos="4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480" w:right="419" w:hanging="329"/>
        <w:spacing w:after="0" w:line="334" w:lineRule="auto"/>
        <w:tabs>
          <w:tab w:leader="none" w:pos="49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820" w:right="239" w:hanging="333"/>
        <w:spacing w:after="0" w:line="259" w:lineRule="auto"/>
        <w:tabs>
          <w:tab w:leader="none" w:pos="82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20" w:hanging="333"/>
        <w:spacing w:after="0"/>
        <w:tabs>
          <w:tab w:leader="none" w:pos="8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jc w:val="both"/>
        <w:ind w:left="820" w:right="379" w:hanging="333"/>
        <w:spacing w:after="0" w:line="264" w:lineRule="auto"/>
        <w:tabs>
          <w:tab w:leader="none" w:pos="82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820" w:right="319" w:hanging="333"/>
        <w:spacing w:after="0" w:line="254" w:lineRule="auto"/>
        <w:tabs>
          <w:tab w:leader="none" w:pos="83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spacing w:after="0" w:line="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reporting; and</w:t>
      </w:r>
    </w:p>
    <w:p>
      <w:pPr>
        <w:spacing w:after="0" w:line="156" w:lineRule="exact"/>
        <w:rPr>
          <w:rFonts w:ascii="Arial" w:cs="Arial" w:eastAsia="Arial" w:hAnsi="Arial"/>
          <w:sz w:val="18"/>
          <w:szCs w:val="18"/>
          <w:color w:val="auto"/>
        </w:rPr>
      </w:pPr>
    </w:p>
    <w:p>
      <w:pPr>
        <w:jc w:val="both"/>
        <w:ind w:left="480" w:right="179" w:hanging="329"/>
        <w:spacing w:after="0" w:line="264" w:lineRule="auto"/>
        <w:tabs>
          <w:tab w:leader="none" w:pos="4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820" w:right="159" w:hanging="333"/>
        <w:spacing w:after="0" w:line="264" w:lineRule="auto"/>
        <w:tabs>
          <w:tab w:leader="none" w:pos="82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8"/>
          <w:szCs w:val="18"/>
          <w:color w:val="auto"/>
        </w:rPr>
      </w:pPr>
    </w:p>
    <w:p>
      <w:pPr>
        <w:ind w:left="820" w:right="279" w:hanging="333"/>
        <w:spacing w:after="0" w:line="277" w:lineRule="auto"/>
        <w:tabs>
          <w:tab w:leader="none" w:pos="83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February 21, 2020</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20" w:type="dxa"/>
            <w:vAlign w:val="bottom"/>
          </w:tcPr>
          <w:p>
            <w:pPr>
              <w:spacing w:after="0"/>
              <w:rPr>
                <w:sz w:val="20"/>
                <w:szCs w:val="20"/>
                <w:color w:val="auto"/>
              </w:rPr>
            </w:pPr>
          </w:p>
        </w:tc>
      </w:tr>
      <w:tr>
        <w:trPr>
          <w:trHeight w:val="195"/>
        </w:trPr>
        <w:tc>
          <w:tcPr>
            <w:tcW w:w="49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20" w:type="dxa"/>
            <w:vAlign w:val="bottom"/>
          </w:tcPr>
          <w:p>
            <w:pPr>
              <w:spacing w:after="0"/>
              <w:rPr>
                <w:sz w:val="16"/>
                <w:szCs w:val="16"/>
                <w:color w:val="auto"/>
              </w:rPr>
            </w:pPr>
          </w:p>
        </w:tc>
      </w:tr>
      <w:tr>
        <w:trPr>
          <w:trHeight w:val="230"/>
        </w:trPr>
        <w:tc>
          <w:tcPr>
            <w:tcW w:w="49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1033"/>
        </w:trPr>
        <w:tc>
          <w:tcPr>
            <w:tcW w:w="4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74" w:name="page175"/>
    <w:bookmarkEnd w:id="174"/>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13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Robert Warshaw, certify that:</w:t>
      </w:r>
    </w:p>
    <w:p>
      <w:pPr>
        <w:spacing w:after="0" w:line="131" w:lineRule="exact"/>
        <w:rPr>
          <w:sz w:val="20"/>
          <w:szCs w:val="20"/>
          <w:color w:val="auto"/>
        </w:rPr>
      </w:pPr>
    </w:p>
    <w:p>
      <w:pPr>
        <w:ind w:left="480" w:right="159" w:hanging="329"/>
        <w:spacing w:after="0" w:line="235" w:lineRule="auto"/>
        <w:tabs>
          <w:tab w:leader="none" w:pos="4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Tradeweb Markets Inc.;</w:t>
      </w:r>
    </w:p>
    <w:p>
      <w:pPr>
        <w:spacing w:after="0" w:line="107" w:lineRule="exact"/>
        <w:rPr>
          <w:rFonts w:ascii="Arial" w:cs="Arial" w:eastAsia="Arial" w:hAnsi="Arial"/>
          <w:sz w:val="18"/>
          <w:szCs w:val="18"/>
          <w:color w:val="auto"/>
        </w:rPr>
      </w:pPr>
    </w:p>
    <w:p>
      <w:pPr>
        <w:ind w:left="480" w:right="519" w:hanging="329"/>
        <w:spacing w:after="0" w:line="224" w:lineRule="auto"/>
        <w:tabs>
          <w:tab w:leader="none" w:pos="4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480" w:right="399" w:hanging="329"/>
        <w:spacing w:after="0" w:line="224" w:lineRule="auto"/>
        <w:tabs>
          <w:tab w:leader="none" w:pos="4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8"/>
          <w:szCs w:val="18"/>
          <w:color w:val="auto"/>
        </w:rPr>
      </w:pPr>
    </w:p>
    <w:p>
      <w:pPr>
        <w:ind w:left="480" w:right="419" w:hanging="329"/>
        <w:spacing w:after="0" w:line="281" w:lineRule="auto"/>
        <w:tabs>
          <w:tab w:leader="none" w:pos="49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820" w:right="239" w:hanging="333"/>
        <w:spacing w:after="0" w:line="219" w:lineRule="auto"/>
        <w:tabs>
          <w:tab w:leader="none" w:pos="8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820" w:hanging="333"/>
        <w:spacing w:after="0"/>
        <w:tabs>
          <w:tab w:leader="none" w:pos="8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49" w:lineRule="exact"/>
        <w:rPr>
          <w:rFonts w:ascii="Arial" w:cs="Arial" w:eastAsia="Arial" w:hAnsi="Arial"/>
          <w:sz w:val="18"/>
          <w:szCs w:val="18"/>
          <w:color w:val="auto"/>
        </w:rPr>
      </w:pPr>
    </w:p>
    <w:p>
      <w:pPr>
        <w:jc w:val="both"/>
        <w:ind w:left="820" w:right="379" w:hanging="333"/>
        <w:spacing w:after="0" w:line="224" w:lineRule="auto"/>
        <w:tabs>
          <w:tab w:leader="none" w:pos="8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820" w:right="319" w:hanging="333"/>
        <w:spacing w:after="0" w:line="219" w:lineRule="auto"/>
        <w:tabs>
          <w:tab w:leader="none" w:pos="83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jc w:val="both"/>
        <w:ind w:left="480" w:right="179" w:hanging="329"/>
        <w:spacing w:after="0" w:line="224" w:lineRule="auto"/>
        <w:tabs>
          <w:tab w:leader="none" w:pos="4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left="820" w:right="159" w:hanging="333"/>
        <w:spacing w:after="0" w:line="224" w:lineRule="auto"/>
        <w:tabs>
          <w:tab w:leader="none" w:pos="8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820" w:right="279" w:hanging="333"/>
        <w:spacing w:after="0" w:line="235" w:lineRule="auto"/>
        <w:tabs>
          <w:tab w:leader="none" w:pos="83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February 21,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Robert Warshaw</w:t>
      </w: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605155</wp:posOffset>
            </wp:positionV>
            <wp:extent cx="554863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5" w:name="page176"/>
    <w:bookmarkEnd w:id="175"/>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5" w:lineRule="exact"/>
        <w:rPr>
          <w:sz w:val="20"/>
          <w:szCs w:val="20"/>
          <w:color w:val="auto"/>
        </w:rPr>
      </w:pPr>
    </w:p>
    <w:p>
      <w:pPr>
        <w:ind w:left="160" w:right="179"/>
        <w:spacing w:after="0" w:line="232"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2019,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27" w:lineRule="exact"/>
        <w:rPr>
          <w:sz w:val="20"/>
          <w:szCs w:val="20"/>
          <w:color w:val="auto"/>
        </w:rPr>
      </w:pPr>
    </w:p>
    <w:p>
      <w:pPr>
        <w:ind w:left="960" w:right="399" w:hanging="440"/>
        <w:spacing w:after="0" w:line="235" w:lineRule="auto"/>
        <w:tabs>
          <w:tab w:leader="none" w:pos="9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6" w:lineRule="exact"/>
        <w:rPr>
          <w:rFonts w:ascii="Arial" w:cs="Arial" w:eastAsia="Arial" w:hAnsi="Arial"/>
          <w:sz w:val="18"/>
          <w:szCs w:val="18"/>
          <w:color w:val="auto"/>
        </w:rPr>
      </w:pPr>
    </w:p>
    <w:p>
      <w:pPr>
        <w:ind w:left="960" w:right="319" w:hanging="440"/>
        <w:spacing w:after="0" w:line="235" w:lineRule="auto"/>
        <w:tabs>
          <w:tab w:leader="none" w:pos="9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6"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February 21,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Lee Olesky</w:t>
      </w:r>
    </w:p>
    <w:p>
      <w:pPr>
        <w:ind w:left="50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467995</wp:posOffset>
            </wp:positionV>
            <wp:extent cx="554863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6" w:name="page177"/>
    <w:bookmarkEnd w:id="176"/>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5" w:lineRule="exact"/>
        <w:rPr>
          <w:sz w:val="20"/>
          <w:szCs w:val="20"/>
          <w:color w:val="auto"/>
        </w:rPr>
      </w:pPr>
    </w:p>
    <w:p>
      <w:pPr>
        <w:ind w:left="160" w:right="499"/>
        <w:spacing w:after="0" w:line="232"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2019,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27" w:lineRule="exact"/>
        <w:rPr>
          <w:sz w:val="20"/>
          <w:szCs w:val="20"/>
          <w:color w:val="auto"/>
        </w:rPr>
      </w:pPr>
    </w:p>
    <w:p>
      <w:pPr>
        <w:ind w:left="960" w:right="399" w:hanging="440"/>
        <w:spacing w:after="0" w:line="235" w:lineRule="auto"/>
        <w:tabs>
          <w:tab w:leader="none" w:pos="9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6" w:lineRule="exact"/>
        <w:rPr>
          <w:rFonts w:ascii="Arial" w:cs="Arial" w:eastAsia="Arial" w:hAnsi="Arial"/>
          <w:sz w:val="18"/>
          <w:szCs w:val="18"/>
          <w:color w:val="auto"/>
        </w:rPr>
      </w:pPr>
    </w:p>
    <w:p>
      <w:pPr>
        <w:ind w:left="960" w:right="319" w:hanging="440"/>
        <w:spacing w:after="0" w:line="235" w:lineRule="auto"/>
        <w:tabs>
          <w:tab w:leader="none" w:pos="9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9"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February 21,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Robert Warshaw</w:t>
      </w: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742315</wp:posOffset>
            </wp:positionV>
            <wp:extent cx="554863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quot;"/>
      <w:numFmt w:val="bullet"/>
      <w:start w:val="1"/>
    </w:lvl>
  </w:abstractNum>
  <w:abstractNum w:abstractNumId="3">
    <w:nsid w:val="15B5AF5C"/>
    <w:multiLevelType w:val="hybridMultilevel"/>
    <w:lvl w:ilvl="0">
      <w:lvlJc w:val="left"/>
      <w:lvlText w:val="&quot;"/>
      <w:numFmt w:val="bullet"/>
      <w:start w:val="1"/>
    </w:lvl>
  </w:abstractNum>
  <w:abstractNum w:abstractNumId="4">
    <w:nsid w:val="741226BB"/>
    <w:multiLevelType w:val="hybridMultilevel"/>
    <w:lvl w:ilvl="0">
      <w:lvlJc w:val="left"/>
      <w:lvlText w:val="&quot;"/>
      <w:numFmt w:val="bullet"/>
      <w:start w:val="1"/>
    </w:lvl>
  </w:abstractNum>
  <w:abstractNum w:abstractNumId="5">
    <w:nsid w:val="D34B6A8"/>
    <w:multiLevelType w:val="hybridMultilevel"/>
    <w:lvl w:ilvl="0">
      <w:lvlJc w:val="left"/>
      <w:lvlText w:val="&quot;"/>
      <w:numFmt w:val="bullet"/>
      <w:start w:val="1"/>
    </w:lvl>
  </w:abstractNum>
  <w:abstractNum w:abstractNumId="6">
    <w:nsid w:val="10233C99"/>
    <w:multiLevelType w:val="hybridMultilevel"/>
    <w:lvl w:ilvl="0">
      <w:lvlJc w:val="left"/>
      <w:lvlText w:val="\endash "/>
      <w:numFmt w:val="bullet"/>
      <w:start w:val="1"/>
    </w:lvl>
  </w:abstractNum>
  <w:abstractNum w:abstractNumId="7">
    <w:nsid w:val="3F6AB60F"/>
    <w:multiLevelType w:val="hybridMultilevel"/>
    <w:lvl w:ilvl="0">
      <w:lvlJc w:val="left"/>
      <w:lvlText w:val="&quot;"/>
      <w:numFmt w:val="bullet"/>
      <w:start w:val="1"/>
    </w:lvl>
  </w:abstractNum>
  <w:abstractNum w:abstractNumId="8">
    <w:nsid w:val="61574095"/>
    <w:multiLevelType w:val="hybridMultilevel"/>
    <w:lvl w:ilvl="0">
      <w:lvlJc w:val="left"/>
      <w:lvlText w:val="&quot;"/>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lvl w:ilvl="1">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emdash "/>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lowerRoman"/>
      <w:start w:val="7"/>
    </w:lvl>
  </w:abstractNum>
  <w:abstractNum w:abstractNumId="23">
    <w:nsid w:val="15014ACB"/>
    <w:multiLevelType w:val="hybridMultilevel"/>
    <w:lvl w:ilvl="0">
      <w:lvlJc w:val="left"/>
      <w:lvlText w:val="(%1)"/>
      <w:numFmt w:val="lowerRoman"/>
      <w:start w:val="4"/>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lowerRoman"/>
      <w:start w:val="4"/>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1"/>
    </w:lvl>
    <w:lvl w:ilvl="1">
      <w:lvlJc w:val="left"/>
      <w:lvlText w:val="(%2)"/>
      <w:numFmt w:val="lowerLetter"/>
      <w:start w:val="1"/>
    </w:lvl>
  </w:abstractNum>
  <w:abstractNum w:abstractNumId="39">
    <w:nsid w:val="42963E5A"/>
    <w:multiLevelType w:val="hybridMultilevel"/>
    <w:lvl w:ilvl="0">
      <w:lvlJc w:val="left"/>
      <w:lvlText w:val="(%1)"/>
      <w:numFmt w:val="decimal"/>
      <w:start w:val="5"/>
    </w:lvl>
  </w:abstractNum>
  <w:abstractNum w:abstractNumId="40">
    <w:nsid w:val="A0382C5"/>
    <w:multiLevelType w:val="hybridMultilevel"/>
    <w:lvl w:ilvl="0">
      <w:lvlJc w:val="left"/>
      <w:lvlText w:val="(%1)"/>
      <w:numFmt w:val="decimal"/>
      <w:start w:val="1"/>
    </w:lvl>
    <w:lvl w:ilvl="1">
      <w:lvlJc w:val="left"/>
      <w:lvlText w:val="%2."/>
      <w:numFmt w:val="lowerRoman"/>
      <w:start w:val="1"/>
    </w:lvl>
  </w:abstractNum>
  <w:abstractNum w:abstractNumId="41">
    <w:nsid w:val="8F2B15E"/>
    <w:multiLevelType w:val="hybridMultilevel"/>
    <w:lvl w:ilvl="0">
      <w:lvlJc w:val="left"/>
      <w:lvlText w:val="(%1)"/>
      <w:numFmt w:val="decimal"/>
      <w:start w:val="2"/>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amp;"/>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emdash "/>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4"/>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1)"/>
      <w:numFmt w:val="decimal"/>
      <w:start w:val="1"/>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
    </w:lvl>
    <w:lvl w:ilvl="1">
      <w:lvlJc w:val="left"/>
      <w:lvlText w:val="%2)"/>
      <w:numFmt w:val="lowerLetter"/>
      <w:start w:val="1"/>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decimal"/>
      <w:start w:val="2"/>
    </w:lvl>
  </w:abstractNum>
  <w:abstractNum w:abstractNumId="81">
    <w:nsid w:val="6AA78F7F"/>
    <w:multiLevelType w:val="hybridMultilevel"/>
    <w:lvl w:ilvl="0">
      <w:lvlJc w:val="left"/>
      <w:lvlText w:val="%1."/>
      <w:numFmt w:val="decimal"/>
      <w:start w:val="360"/>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4."/>
      <w:numFmt w:val="lowerRoman"/>
      <w:start w:val="1"/>
    </w:lvl>
  </w:abstractNum>
  <w:abstractNum w:abstractNumId="84">
    <w:nsid w:val="6A5F7029"/>
    <w:multiLevelType w:val="hybridMultilevel"/>
    <w:lvl w:ilvl="0">
      <w:lvlJc w:val="left"/>
      <w:lvlText w:val="%1."/>
      <w:numFmt w:val="decimal"/>
      <w:start w:val="3"/>
    </w:lvl>
    <w:lvl w:ilvl="1">
      <w:lvlJc w:val="left"/>
      <w:lvlText w:val="·"/>
      <w:numFmt w:val="bullet"/>
      <w:start w:val="1"/>
    </w:lvl>
    <w:lvl w:ilvl="2">
      <w:lvlJc w:val="left"/>
      <w:lvlText w:val="·"/>
      <w:numFmt w:val="bullet"/>
      <w:start w:val="1"/>
    </w:lvl>
    <w:lvl w:ilvl="3">
      <w:lvlJc w:val="left"/>
      <w:lvlText w:val="%4"/>
      <w:numFmt w:val="lowerRoman"/>
      <w:start w:val="1"/>
    </w:lvl>
  </w:abstractNum>
  <w:abstractNum w:abstractNumId="85">
    <w:nsid w:val="7D5E18F8"/>
    <w:multiLevelType w:val="hybridMultilevel"/>
    <w:lvl w:ilvl="0">
      <w:lvlJc w:val="left"/>
      <w:lvlText w:val="%1."/>
      <w:numFmt w:val="decimal"/>
      <w:start w:val="4"/>
    </w:lvl>
  </w:abstractNum>
  <w:abstractNum w:abstractNumId="86">
    <w:nsid w:val="5F3534A4"/>
    <w:multiLevelType w:val="hybridMultilevel"/>
    <w:lvl w:ilvl="0">
      <w:lvlJc w:val="left"/>
      <w:lvlText w:val="%1."/>
      <w:numFmt w:val="decimal"/>
      <w:start w:val="5"/>
    </w:lvl>
  </w:abstractNum>
  <w:abstractNum w:abstractNumId="87">
    <w:nsid w:val="73A1821B"/>
    <w:multiLevelType w:val="hybridMultilevel"/>
    <w:lvl w:ilvl="0">
      <w:lvlJc w:val="left"/>
      <w:lvlText w:val="(%1)"/>
      <w:numFmt w:val="lowerRoman"/>
      <w:start w:val="2"/>
    </w:lvl>
  </w:abstractNum>
  <w:abstractNum w:abstractNumId="88">
    <w:nsid w:val="7DE67713"/>
    <w:multiLevelType w:val="hybridMultilevel"/>
    <w:lvl w:ilvl="0">
      <w:lvlJc w:val="left"/>
      <w:lvlText w:val="%1."/>
      <w:numFmt w:val="decimal"/>
      <w:start w:val="6"/>
    </w:lvl>
  </w:abstractNum>
  <w:abstractNum w:abstractNumId="89">
    <w:nsid w:val="555C55B5"/>
    <w:multiLevelType w:val="hybridMultilevel"/>
    <w:lvl w:ilvl="0">
      <w:lvlJc w:val="left"/>
      <w:lvlText w:val="%1."/>
      <w:numFmt w:val="decimal"/>
      <w:start w:val="7"/>
    </w:lvl>
  </w:abstractNum>
  <w:abstractNum w:abstractNumId="90">
    <w:nsid w:val="3FA62ACA"/>
    <w:multiLevelType w:val="hybridMultilevel"/>
    <w:lvl w:ilvl="0">
      <w:lvlJc w:val="left"/>
      <w:lvlText w:val="%1."/>
      <w:numFmt w:val="decimal"/>
      <w:start w:val="8"/>
    </w:lvl>
  </w:abstractNum>
  <w:abstractNum w:abstractNumId="91">
    <w:nsid w:val="14FCE74E"/>
    <w:multiLevelType w:val="hybridMultilevel"/>
    <w:lvl w:ilvl="0">
      <w:lvlJc w:val="left"/>
      <w:lvlText w:val="%1."/>
      <w:numFmt w:val="decimal"/>
      <w:start w:val="9"/>
    </w:lvl>
  </w:abstractNum>
  <w:abstractNum w:abstractNumId="92">
    <w:nsid w:val="6A3DD3E8"/>
    <w:multiLevelType w:val="hybridMultilevel"/>
    <w:lvl w:ilvl="0">
      <w:lvlJc w:val="left"/>
      <w:lvlText w:val="%1."/>
      <w:numFmt w:val="decimal"/>
      <w:start w:val="10"/>
    </w:lvl>
  </w:abstractNum>
  <w:abstractNum w:abstractNumId="93">
    <w:nsid w:val="71C91298"/>
    <w:multiLevelType w:val="hybridMultilevel"/>
    <w:lvl w:ilvl="0">
      <w:lvlJc w:val="left"/>
      <w:lvlText w:val="%1."/>
      <w:numFmt w:val="decimal"/>
      <w:start w:val="1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quot;"/>
      <w:numFmt w:val="bullet"/>
      <w:start w:val="1"/>
    </w:lvl>
  </w:abstractNum>
  <w:abstractNum w:abstractNumId="97">
    <w:nsid w:val="5092CA79"/>
    <w:multiLevelType w:val="hybridMultilevel"/>
    <w:lvl w:ilvl="0">
      <w:lvlJc w:val="left"/>
      <w:lvlText w:val="%1."/>
      <w:numFmt w:val="decimal"/>
      <w:start w:val="11"/>
    </w:lvl>
    <w:lvl w:ilvl="1">
      <w:lvlJc w:val="left"/>
      <w:lvlText w:val="&quot;"/>
      <w:numFmt w:val="bullet"/>
      <w:start w:val="1"/>
    </w:lvl>
  </w:abstractNum>
  <w:abstractNum w:abstractNumId="98">
    <w:nsid w:val="1D545C4D"/>
    <w:multiLevelType w:val="hybridMultilevel"/>
    <w:lvl w:ilvl="0">
      <w:lvlJc w:val="left"/>
      <w:lvlText w:val="%1."/>
      <w:numFmt w:val="decimal"/>
      <w:start w:val="13"/>
    </w:lvl>
  </w:abstractNum>
  <w:abstractNum w:abstractNumId="99">
    <w:nsid w:val="59ADEA3D"/>
    <w:multiLevelType w:val="hybridMultilevel"/>
    <w:lvl w:ilvl="0">
      <w:lvlJc w:val="left"/>
      <w:lvlText w:val="%1."/>
      <w:numFmt w:val="decimal"/>
      <w:start w:val="14"/>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15"/>
    </w:lvl>
  </w:abstractNum>
  <w:abstractNum w:abstractNumId="102">
    <w:nsid w:val="1D9F6E5F"/>
    <w:multiLevelType w:val="hybridMultilevel"/>
    <w:lvl w:ilvl="0">
      <w:lvlJc w:val="left"/>
      <w:lvlText w:val="%1."/>
      <w:numFmt w:val="decimal"/>
      <w:start w:val="16"/>
    </w:lvl>
  </w:abstractNum>
  <w:abstractNum w:abstractNumId="103">
    <w:nsid w:val="97E1B4E"/>
    <w:multiLevelType w:val="hybridMultilevel"/>
    <w:lvl w:ilvl="0">
      <w:lvlJc w:val="left"/>
      <w:lvlText w:val="%1."/>
      <w:numFmt w:val="decimal"/>
      <w:start w:val="17"/>
    </w:lvl>
  </w:abstractNum>
  <w:abstractNum w:abstractNumId="104">
    <w:nsid w:val="51088277"/>
    <w:multiLevelType w:val="hybridMultilevel"/>
    <w:lvl w:ilvl="0">
      <w:lvlJc w:val="left"/>
      <w:lvlText w:val="(%1)"/>
      <w:numFmt w:val="lowerRoman"/>
      <w:start w:val="2"/>
    </w:lvl>
  </w:abstractNum>
  <w:abstractNum w:abstractNumId="105">
    <w:nsid w:val="1CA0C5FA"/>
    <w:multiLevelType w:val="hybridMultilevel"/>
    <w:lvl w:ilvl="0">
      <w:lvlJc w:val="left"/>
      <w:lvlText w:val="%1."/>
      <w:numFmt w:val="decimal"/>
      <w:start w:val="18"/>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decimal"/>
      <w:start w:val="19"/>
    </w:lvl>
  </w:abstractNum>
  <w:abstractNum w:abstractNumId="108">
    <w:nsid w:val="7C58FD05"/>
    <w:multiLevelType w:val="hybridMultilevel"/>
    <w:lvl w:ilvl="0">
      <w:lvlJc w:val="left"/>
      <w:lvlText w:val="%1."/>
      <w:numFmt w:val="decimal"/>
      <w:start w:val="20"/>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22"/>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07" Type="http://schemas.openxmlformats.org/officeDocument/2006/relationships/hyperlink" Target="http://www.sec.gov/Archives/edgar/data/1758730/000114420419018920/tv518458_ex3-1.htm" TargetMode="External"/><Relationship Id="rId208" Type="http://schemas.openxmlformats.org/officeDocument/2006/relationships/hyperlink" Target="http://www.sec.gov/Archives/edgar/data/1758730/000114420419018920/tv518458_ex3-2.htm" TargetMode="External"/><Relationship Id="rId209" Type="http://schemas.openxmlformats.org/officeDocument/2006/relationships/hyperlink" Target="http://www.sec.gov/Archives/edgar/data/1758730/000114420419015220/tv516514_ex4-1.htm" TargetMode="External"/><Relationship Id="rId210" Type="http://schemas.openxmlformats.org/officeDocument/2006/relationships/hyperlink" Target="http://www.sec.gov/Archives/edgar/data/1758730/000110465919030556/a19-9947_1ex10d1.htm" TargetMode="External"/><Relationship Id="rId211" Type="http://schemas.openxmlformats.org/officeDocument/2006/relationships/hyperlink" Target="http://www.sec.gov/Archives/edgar/data/1758730/000110465919030556/a19-9947_1ex10d2.htm" TargetMode="External"/><Relationship Id="rId212" Type="http://schemas.openxmlformats.org/officeDocument/2006/relationships/hyperlink" Target="http://www.sec.gov/Archives/edgar/data/1758730/000110465919030556/a19-9947_1ex10d3.htm" TargetMode="External"/><Relationship Id="rId213" Type="http://schemas.openxmlformats.org/officeDocument/2006/relationships/hyperlink" Target="http://www.sec.gov/Archives/edgar/data/1758730/000110465919030556/a19-9947_1ex10d4.htm" TargetMode="External"/><Relationship Id="rId214" Type="http://schemas.openxmlformats.org/officeDocument/2006/relationships/hyperlink" Target="http://www.sec.gov/Archives/edgar/data/1758730/000110465919030556/a19-9947_1ex10d5.htm" TargetMode="External"/><Relationship Id="rId215" Type="http://schemas.openxmlformats.org/officeDocument/2006/relationships/hyperlink" Target="http://www.sec.gov/Archives/edgar/data/1758730/000110465919030556/a19-9947_1ex10d6.htm" TargetMode="External"/><Relationship Id="rId216" Type="http://schemas.openxmlformats.org/officeDocument/2006/relationships/hyperlink" Target="http://www.sec.gov/Archives/edgar/data/1758730/000155837019010595/tw-20190930ex1011b90d3.htm" TargetMode="External"/><Relationship Id="rId217" Type="http://schemas.openxmlformats.org/officeDocument/2006/relationships/hyperlink" Target="http://www.sec.gov/Archives/edgar/data/1758730/000110465919030556/a19-9947_1ex10d7.htm" TargetMode="External"/><Relationship Id="rId218" Type="http://schemas.openxmlformats.org/officeDocument/2006/relationships/hyperlink" Target="http://www.sec.gov/Archives/edgar/data/1758730/000114420419015220/tv516514_ex10-8.htm" TargetMode="External"/><Relationship Id="rId219" Type="http://schemas.openxmlformats.org/officeDocument/2006/relationships/hyperlink" Target="http://www.sec.gov/Archives/edgar/data/1758730/000114420419015220/tv516514_ex10-9.htm" TargetMode="External"/><Relationship Id="rId220" Type="http://schemas.openxmlformats.org/officeDocument/2006/relationships/hyperlink" Target="http://www.sec.gov/Archives/edgar/data/1758730/000110465919030556/a19-9947_1ex10d8.htm" TargetMode="External"/><Relationship Id="rId221" Type="http://schemas.openxmlformats.org/officeDocument/2006/relationships/hyperlink" Target="http://www.sec.gov/Archives/edgar/data/1758730/000114420419015220/tv516514_ex10-11.htm" TargetMode="External"/><Relationship Id="rId222" Type="http://schemas.openxmlformats.org/officeDocument/2006/relationships/hyperlink" Target="http://www.sec.gov/Archives/edgar/data/1758730/000110465919030556/a19-9947_1ex10d9.htm" TargetMode="External"/><Relationship Id="rId223" Type="http://schemas.openxmlformats.org/officeDocument/2006/relationships/hyperlink" Target="http://www.sec.gov/Archives/edgar/data/1758730/000114420419015220/tv516514_ex10-13.htm" TargetMode="External"/><Relationship Id="rId224" Type="http://schemas.openxmlformats.org/officeDocument/2006/relationships/hyperlink" Target="http://www.sec.gov/Archives/edgar/data/1758730/000110465919030556/a19-9947_1ex10d10.htm" TargetMode="External"/><Relationship Id="rId225" Type="http://schemas.openxmlformats.org/officeDocument/2006/relationships/hyperlink" Target="http://www.sec.gov/Archives/edgar/data/1758730/000110465919030556/a19-9947_1ex10d11.htm" TargetMode="External"/><Relationship Id="rId226" Type="http://schemas.openxmlformats.org/officeDocument/2006/relationships/hyperlink" Target="http://www.sec.gov/Archives/edgar/data/1758730/000114420419015706/tv515721_ex10-16.htm" TargetMode="External"/><Relationship Id="rId227" Type="http://schemas.openxmlformats.org/officeDocument/2006/relationships/hyperlink" Target="http://www.sec.gov/Archives/edgar/data/1758730/000114420419012677/tv513417_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2020-02-21T16:27:52Z</dcterms:created>
  <dcterms:modified xsi:type="dcterms:W3CDTF">2020-02-21T16:27:52Z</dcterms:modified>
</cp:coreProperties>
</file>