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474980</wp:posOffset>
            </wp:positionH>
            <wp:positionV relativeFrom="page">
              <wp:posOffset>157480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200660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210820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229870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223520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Tradeweb Markets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210820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ectPr>
          <w:pgSz w:w="11900" w:h="16838" w:orient="portrait"/>
          <w:cols w:equalWidth="0" w:num="1">
            <w:col w:w="10420"/>
          </w:cols>
          <w:pgMar w:left="740" w:top="436"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001-38860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83-2456358</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2560" w:space="720"/>
            <w:col w:w="2400"/>
          </w:cols>
          <w:pgMar w:left="740" w:top="436" w:right="739" w:bottom="1440" w:gutter="0" w:footer="0" w:header="0"/>
          <w:type w:val="continuous"/>
        </w:sectPr>
      </w:pPr>
    </w:p>
    <w:p>
      <w:pPr>
        <w:spacing w:after="0" w:line="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1177 Avenue of the Americas</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00" w:space="720"/>
            <w:col w:w="3000"/>
          </w:cols>
          <w:pgMar w:left="740" w:top="436" w:right="7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180340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20"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89"/>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89"/>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89"/>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89"/>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20"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20" w:right="3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82"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Trading Symbol(s)</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gridSpan w:val="2"/>
            <w:vMerge w:val="continue"/>
          </w:tcPr>
          <w:p>
            <w:pPr>
              <w:spacing w:after="0"/>
              <w:rPr>
                <w:sz w:val="14"/>
                <w:szCs w:val="14"/>
                <w:color w:val="auto"/>
              </w:rPr>
            </w:pPr>
          </w:p>
        </w:tc>
        <w:tc>
          <w:tcPr>
            <w:tcW w:w="2960" w:type="dxa"/>
            <w:vAlign w:val="bottom"/>
            <w:gridSpan w:val="2"/>
            <w:vMerge w:val="continue"/>
          </w:tcPr>
          <w:p>
            <w:pPr>
              <w:spacing w:after="0"/>
              <w:rPr>
                <w:sz w:val="14"/>
                <w:szCs w:val="1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20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20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90"/>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436"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On August 8, 2019, Tradeweb Markets Inc. (the “Company”) issued a press release, a copy of which is furnished as Exhibit 99.1 hereto and incorporated herein by reference, announcing financial results for the quarter ended June 30, 2019.</w:t>
      </w:r>
    </w:p>
    <w:p>
      <w:pPr>
        <w:spacing w:after="0" w:line="12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7860" w:type="dxa"/>
            <w:vAlign w:val="bottom"/>
            <w:gridSpan w:val="2"/>
            <w:vMerge w:val="restart"/>
          </w:tcPr>
          <w:p>
            <w:pPr>
              <w:ind w:left="33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7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8140" w:type="dxa"/>
            <w:vAlign w:val="bottom"/>
            <w:gridSpan w:val="3"/>
          </w:tcPr>
          <w:p>
            <w:pPr>
              <w:ind w:left="28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of Tradeweb Markets Inc., dated August 8, 2019.</w:t>
              </w:r>
            </w:hyperlink>
          </w:p>
        </w:tc>
        <w:tc>
          <w:tcPr>
            <w:tcW w:w="0" w:type="dxa"/>
            <w:vAlign w:val="bottom"/>
          </w:tcPr>
          <w:p>
            <w:pPr>
              <w:spacing w:after="0"/>
              <w:rPr>
                <w:sz w:val="1"/>
                <w:szCs w:val="1"/>
                <w:color w:val="auto"/>
              </w:rPr>
            </w:pPr>
          </w:p>
        </w:tc>
      </w:tr>
      <w:tr>
        <w:trPr>
          <w:trHeight w:val="885"/>
        </w:trPr>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60" w:type="dxa"/>
            <w:vAlign w:val="bottom"/>
            <w:tcBorders>
              <w:top w:val="single" w:sz="8" w:color="0000EE"/>
            </w:tcBorders>
          </w:tcPr>
          <w:p>
            <w:pPr>
              <w:jc w:val="right"/>
              <w:ind w:right="1099"/>
              <w:spacing w:after="0"/>
              <w:rPr>
                <w:sz w:val="20"/>
                <w:szCs w:val="20"/>
                <w:color w:val="auto"/>
              </w:rPr>
            </w:pPr>
            <w:r>
              <w:rPr>
                <w:rFonts w:ascii="Arial" w:cs="Arial" w:eastAsia="Arial" w:hAnsi="Arial"/>
                <w:sz w:val="18"/>
                <w:szCs w:val="18"/>
                <w:color w:val="auto"/>
              </w:rPr>
              <w:t>2</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6060" w:type="dxa"/>
            <w:vAlign w:val="bottom"/>
            <w:gridSpan w:val="2"/>
          </w:tcPr>
          <w:p>
            <w:pPr>
              <w:ind w:left="1460"/>
              <w:spacing w:after="0"/>
              <w:rPr>
                <w:sz w:val="20"/>
                <w:szCs w:val="20"/>
                <w:color w:val="auto"/>
              </w:rPr>
            </w:pPr>
            <w:r>
              <w:rPr>
                <w:rFonts w:ascii="Arial" w:cs="Arial" w:eastAsia="Arial" w:hAnsi="Arial"/>
                <w:sz w:val="18"/>
                <w:szCs w:val="18"/>
                <w:color w:val="auto"/>
              </w:rPr>
              <w:t>TRADEWEB MARKETS INC.</w:t>
            </w:r>
          </w:p>
        </w:tc>
      </w:tr>
      <w:tr>
        <w:trPr>
          <w:trHeight w:val="648"/>
        </w:trPr>
        <w:tc>
          <w:tcPr>
            <w:tcW w:w="3000" w:type="dxa"/>
            <w:vAlign w:val="bottom"/>
          </w:tcPr>
          <w:p>
            <w:pPr>
              <w:spacing w:after="0"/>
              <w:rPr>
                <w:sz w:val="20"/>
                <w:szCs w:val="20"/>
                <w:color w:val="auto"/>
              </w:rPr>
            </w:pPr>
            <w:r>
              <w:rPr>
                <w:rFonts w:ascii="Arial" w:cs="Arial" w:eastAsia="Arial" w:hAnsi="Arial"/>
                <w:sz w:val="18"/>
                <w:szCs w:val="18"/>
                <w:color w:val="auto"/>
              </w:rPr>
              <w:t>Date: August 8, 2019</w:t>
            </w:r>
          </w:p>
        </w:tc>
        <w:tc>
          <w:tcPr>
            <w:tcW w:w="6060" w:type="dxa"/>
            <w:vAlign w:val="bottom"/>
            <w:gridSpan w:val="2"/>
          </w:tcPr>
          <w:p>
            <w:pPr>
              <w:ind w:left="1460"/>
              <w:spacing w:after="0"/>
              <w:rPr>
                <w:sz w:val="20"/>
                <w:szCs w:val="20"/>
                <w:color w:val="auto"/>
              </w:rPr>
            </w:pPr>
            <w:r>
              <w:rPr>
                <w:rFonts w:ascii="Arial" w:cs="Arial" w:eastAsia="Arial" w:hAnsi="Arial"/>
                <w:sz w:val="18"/>
                <w:szCs w:val="18"/>
                <w:color w:val="auto"/>
              </w:rPr>
              <w:t>By:  /s/ Douglas Friedman</w:t>
            </w:r>
          </w:p>
        </w:tc>
      </w:tr>
      <w:tr>
        <w:trPr>
          <w:trHeight w:val="195"/>
        </w:trPr>
        <w:tc>
          <w:tcPr>
            <w:tcW w:w="30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Friedman</w:t>
            </w:r>
          </w:p>
        </w:tc>
      </w:tr>
      <w:tr>
        <w:trPr>
          <w:trHeight w:val="230"/>
        </w:trPr>
        <w:tc>
          <w:tcPr>
            <w:tcW w:w="3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Title: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NEWS RELEASE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REPORTS SECOND QUARTER 2019 FINANCIAL RESULTS</w:t>
      </w:r>
    </w:p>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b w:val="1"/>
          <w:bCs w:val="1"/>
          <w:i w:val="1"/>
          <w:iCs w:val="1"/>
          <w:color w:val="auto"/>
        </w:rPr>
        <w:t>A new quarterly record for average daily volume of $753.8 billion</w:t>
      </w:r>
    </w:p>
    <w:p>
      <w:pPr>
        <w:spacing w:after="0" w:line="198" w:lineRule="exact"/>
        <w:rPr>
          <w:sz w:val="20"/>
          <w:szCs w:val="20"/>
          <w:color w:val="auto"/>
        </w:rPr>
      </w:pPr>
    </w:p>
    <w:p>
      <w:pPr>
        <w:ind w:left="1940"/>
        <w:spacing w:after="0"/>
        <w:rPr>
          <w:sz w:val="20"/>
          <w:szCs w:val="20"/>
          <w:color w:val="auto"/>
        </w:rPr>
      </w:pPr>
      <w:r>
        <w:rPr>
          <w:rFonts w:ascii="Arial" w:cs="Arial" w:eastAsia="Arial" w:hAnsi="Arial"/>
          <w:sz w:val="18"/>
          <w:szCs w:val="18"/>
          <w:b w:val="1"/>
          <w:bCs w:val="1"/>
          <w:i w:val="1"/>
          <w:iCs w:val="1"/>
          <w:color w:val="auto"/>
        </w:rPr>
        <w:t>Record quarterly revenues of $190.5 million increased 11.4%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(13.2% on a constant currency basis)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Net income of $24.8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EBITDA margin of 45.6%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Declared quarterly cash dividend of $0.08 per share</w:t>
      </w:r>
    </w:p>
    <w:p>
      <w:pPr>
        <w:spacing w:after="0" w:line="22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NEW YORK – August 8, 2019 – Tradeweb Markets Inc. (Nasdaq: TW), a leading, global operator of electronic marketplaces for rates, credit, equities and money markets, today reported financial results for the quarter ended June 30, 2019.</w:t>
      </w:r>
    </w:p>
    <w:p>
      <w:pPr>
        <w:spacing w:after="0" w:line="1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Lee Olesky, Chief Executive Officer of Tradeweb Markets, said, “Tradeweb’s strong, across-the-board performance during the second quarter reflects our continuous efforts to cultivate new markets and develop trading protocols that give clients greater choice in how they search and access liquidity. While we’ve made tremendous strides to date, significant opportunity remains to deliver products and services that enhance and streamline client trading strategies and workflows. Our constant experimentation and collaboration with clients to deliver new trading technologies is the engine that drives our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8" w:lineRule="exact"/>
        <w:rPr>
          <w:sz w:val="20"/>
          <w:szCs w:val="20"/>
          <w:color w:val="auto"/>
        </w:rPr>
      </w:pPr>
    </w:p>
    <w:p>
      <w:pPr>
        <w:ind w:left="660" w:right="420" w:hanging="333"/>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new quarterly record for average daily volume (“ADV”) of $753.8 billion represented an increase of 39.6%</w:t>
      </w:r>
    </w:p>
    <w:p>
      <w:pPr>
        <w:spacing w:after="0" w:line="1" w:lineRule="exact"/>
        <w:rPr>
          <w:rFonts w:ascii="Arial" w:cs="Arial" w:eastAsia="Arial" w:hAnsi="Arial"/>
          <w:sz w:val="18"/>
          <w:szCs w:val="18"/>
          <w:color w:val="auto"/>
        </w:rPr>
      </w:pPr>
    </w:p>
    <w:p>
      <w:pPr>
        <w:ind w:left="6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quarterly records for ADV in interest rate swaps and mortgages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new quarterly record for U.S. high-grade credit which accounted for 12.4% of TRACE volume</w:t>
      </w:r>
    </w:p>
    <w:p>
      <w:pPr>
        <w:spacing w:after="0" w:line="9" w:lineRule="exact"/>
        <w:rPr>
          <w:rFonts w:ascii="Arial" w:cs="Arial" w:eastAsia="Arial" w:hAnsi="Arial"/>
          <w:sz w:val="18"/>
          <w:szCs w:val="18"/>
          <w:color w:val="auto"/>
        </w:rPr>
      </w:pPr>
    </w:p>
    <w:p>
      <w:pPr>
        <w:ind w:left="660" w:right="480" w:hanging="333"/>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Double-digit, year-over-year increases in revenues from all four asset classes covering rates, credit, equities and money markets plus market data</w:t>
      </w:r>
    </w:p>
    <w:p>
      <w:pPr>
        <w:spacing w:after="0" w:line="1" w:lineRule="exact"/>
        <w:rPr>
          <w:rFonts w:ascii="Arial" w:cs="Arial" w:eastAsia="Arial" w:hAnsi="Arial"/>
          <w:sz w:val="18"/>
          <w:szCs w:val="18"/>
          <w:color w:val="auto"/>
        </w:rPr>
      </w:pPr>
    </w:p>
    <w:p>
      <w:pPr>
        <w:ind w:left="660" w:right="180" w:hanging="333"/>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$24.8 million, including net income attributable to Tradeweb Markets Inc. of $12.8 million and GAAP earnings per diluted share (“Diluted EPS”) of $0.09 for the quarter</w:t>
      </w:r>
    </w:p>
    <w:p>
      <w:pPr>
        <w:spacing w:after="0" w:line="1" w:lineRule="exact"/>
        <w:rPr>
          <w:rFonts w:ascii="Arial" w:cs="Arial" w:eastAsia="Arial" w:hAnsi="Arial"/>
          <w:sz w:val="18"/>
          <w:szCs w:val="18"/>
          <w:color w:val="auto"/>
        </w:rPr>
      </w:pPr>
    </w:p>
    <w:p>
      <w:pPr>
        <w:ind w:left="660" w:right="240" w:hanging="333"/>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margin of 45.6%, Adjusted Net Income of $56.6 million and Adjusted Net Income per diluted share (“Adjusted Diluted EPS”) of $0.25 for the quarter</w:t>
      </w:r>
    </w:p>
    <w:p>
      <w:pPr>
        <w:spacing w:after="0" w:line="18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Gross revenue increased 11.4% (13.2% on a constant currency basis) to a record $190.5 million for the second quarter of 2019 from $171.0 million for the second quarter of 2018. Net income decreased to $24.8 million for the second quarter of 2019 from $38.9 million for the second quarter of 2018. The decrease was driven by a non-cash, stock-based compensation expense of $ 20.4 million related to the special award of options made to management and other employees in October 2018 (the “Special Option Award”), which, as a result of our initial public offering (“IPO”), we began to expense in the second quarter of 2019, as well as a net impact on depreciation and amortization (“D&amp;A”) expense of $17.6 million as a result of the Refinitiv Transaction (as defined below) and the resulting revaluation of our balance sheet. Diluted EPS for Tradeweb</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796" w:right="1419" w:bottom="1440" w:gutter="0" w:footer="0" w:header="0"/>
        </w:sectPr>
      </w:pPr>
    </w:p>
    <w:bookmarkStart w:id="4" w:name="page5"/>
    <w:bookmarkEnd w:id="4"/>
    <w:p>
      <w:pPr>
        <w:ind w:right="6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Markets Inc. was $0.09 for the second quarter of 2019. Diluted EPS for Tradeweb Markets LLC was $0.18 for the second quarter of 2018.</w:t>
      </w:r>
    </w:p>
    <w:p>
      <w:pPr>
        <w:spacing w:after="0" w:line="1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Adjusted EBITDA increased 16.2% to $86.9 million with an Adjusted EBITDA margin of 45.6% for the second quarter of 2019 compared to an Adjusted EBITDA and Adjusted EBITDA margin of $74.8 million and 43.8%, respectively, for the second quarter of 2018 (on a constant currency basis, Adjusted EBITDA margin increased 217 basis points compared to the second quarter of 2018). Adjusted Net Income increased 17.0% to $56.6 million for the second quarter of 2019 from $48.4 million for the second quarter of 2018. Adjusted Diluted EPS was $0.25 for the second quarter of 2019 compared to $0.23 for the second quarter of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Constant</w:t>
            </w:r>
          </w:p>
        </w:tc>
        <w:tc>
          <w:tcPr>
            <w:tcW w:w="0" w:type="dxa"/>
            <w:vAlign w:val="bottom"/>
          </w:tcPr>
          <w:p>
            <w:pPr>
              <w:spacing w:after="0"/>
              <w:rPr>
                <w:sz w:val="1"/>
                <w:szCs w:val="1"/>
                <w:color w:val="auto"/>
              </w:rPr>
            </w:pPr>
          </w:p>
        </w:tc>
      </w:tr>
      <w:tr>
        <w:trPr>
          <w:trHeight w:val="23"/>
        </w:trPr>
        <w:tc>
          <w:tcPr>
            <w:tcW w:w="422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Select Financial Results ($ in</w:t>
            </w:r>
          </w:p>
        </w:tc>
        <w:tc>
          <w:tcPr>
            <w:tcW w:w="1180" w:type="dxa"/>
            <w:vAlign w:val="bottom"/>
            <w:gridSpan w:val="3"/>
            <w:vMerge w:val="restart"/>
          </w:tcPr>
          <w:p>
            <w:pPr>
              <w:ind w:left="180"/>
              <w:spacing w:after="0" w:line="202" w:lineRule="exact"/>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line="20" w:lineRule="exact"/>
              <w:rPr>
                <w:sz w:val="1"/>
                <w:szCs w:val="1"/>
                <w:color w:val="auto"/>
              </w:rPr>
            </w:pPr>
          </w:p>
        </w:tc>
        <w:tc>
          <w:tcPr>
            <w:tcW w:w="1380" w:type="dxa"/>
            <w:vAlign w:val="bottom"/>
            <w:gridSpan w:val="4"/>
            <w:vMerge w:val="restart"/>
          </w:tcPr>
          <w:p>
            <w:pPr>
              <w:ind w:left="100"/>
              <w:spacing w:after="0" w:line="202" w:lineRule="exact"/>
              <w:rPr>
                <w:sz w:val="20"/>
                <w:szCs w:val="20"/>
                <w:color w:val="auto"/>
              </w:rPr>
            </w:pPr>
            <w:r>
              <w:rPr>
                <w:rFonts w:ascii="Arial" w:cs="Arial" w:eastAsia="Arial" w:hAnsi="Arial"/>
                <w:sz w:val="18"/>
                <w:szCs w:val="18"/>
                <w:b w:val="1"/>
                <w:bCs w:val="1"/>
                <w:color w:val="auto"/>
              </w:rPr>
              <w:t>Predecessor</w:t>
            </w: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2"/>
            <w:vMerge w:val="restart"/>
          </w:tcPr>
          <w:p>
            <w:pPr>
              <w:jc w:val="right"/>
              <w:ind w:right="300"/>
              <w:spacing w:after="0" w:line="202" w:lineRule="exact"/>
              <w:rPr>
                <w:sz w:val="20"/>
                <w:szCs w:val="20"/>
                <w:color w:val="auto"/>
              </w:rPr>
            </w:pPr>
            <w:r>
              <w:rPr>
                <w:rFonts w:ascii="Arial" w:cs="Arial" w:eastAsia="Arial" w:hAnsi="Arial"/>
                <w:sz w:val="18"/>
                <w:szCs w:val="18"/>
                <w:b w:val="1"/>
                <w:bCs w:val="1"/>
                <w:color w:val="auto"/>
                <w:w w:val="96"/>
              </w:rPr>
              <w:t>Currency</w:t>
            </w:r>
          </w:p>
        </w:tc>
        <w:tc>
          <w:tcPr>
            <w:tcW w:w="0" w:type="dxa"/>
            <w:vAlign w:val="bottom"/>
          </w:tcPr>
          <w:p>
            <w:pPr>
              <w:spacing w:after="0" w:line="20" w:lineRule="exact"/>
              <w:rPr>
                <w:sz w:val="1"/>
                <w:szCs w:val="1"/>
                <w:color w:val="auto"/>
              </w:rPr>
            </w:pPr>
          </w:p>
        </w:tc>
      </w:tr>
      <w:tr>
        <w:trPr>
          <w:trHeight w:val="180"/>
        </w:trPr>
        <w:tc>
          <w:tcPr>
            <w:tcW w:w="4220" w:type="dxa"/>
            <w:vAlign w:val="bottom"/>
            <w:gridSpan w:val="2"/>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millions except per share amounts)</w:t>
            </w:r>
          </w:p>
        </w:tc>
        <w:tc>
          <w:tcPr>
            <w:tcW w:w="400" w:type="dxa"/>
            <w:vAlign w:val="bottom"/>
          </w:tcPr>
          <w:p>
            <w:pPr>
              <w:spacing w:after="0"/>
              <w:rPr>
                <w:sz w:val="21"/>
                <w:szCs w:val="21"/>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5"/>
              </w:rPr>
              <w:t>2Q19</w:t>
            </w:r>
          </w:p>
        </w:tc>
        <w:tc>
          <w:tcPr>
            <w:tcW w:w="20" w:type="dxa"/>
            <w:vAlign w:val="bottom"/>
            <w:shd w:val="clear" w:color="auto" w:fill="000000"/>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vMerge w:val="restart"/>
          </w:tcPr>
          <w:p>
            <w:pPr>
              <w:jc w:val="right"/>
              <w:ind w:right="430"/>
              <w:spacing w:after="0"/>
              <w:rPr>
                <w:sz w:val="20"/>
                <w:szCs w:val="20"/>
                <w:color w:val="auto"/>
              </w:rPr>
            </w:pPr>
            <w:r>
              <w:rPr>
                <w:rFonts w:ascii="Arial" w:cs="Arial" w:eastAsia="Arial" w:hAnsi="Arial"/>
                <w:sz w:val="18"/>
                <w:szCs w:val="18"/>
                <w:b w:val="1"/>
                <w:bCs w:val="1"/>
                <w:color w:val="auto"/>
              </w:rPr>
              <w:t>2Q18</w:t>
            </w: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6"/>
              </w:rPr>
              <w:t>% Change</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2"/>
              </w:rPr>
              <w:t>Growth</w:t>
            </w:r>
            <w:r>
              <w:rPr>
                <w:rFonts w:ascii="Arial" w:cs="Arial" w:eastAsia="Arial" w:hAnsi="Arial"/>
                <w:sz w:val="18"/>
                <w:szCs w:val="18"/>
                <w:b w:val="1"/>
                <w:bCs w:val="1"/>
                <w:color w:val="auto"/>
                <w:w w:val="82"/>
                <w:vertAlign w:val="subscript"/>
              </w:rPr>
              <w:t>(</w:t>
            </w:r>
            <w:r>
              <w:rPr>
                <w:rFonts w:ascii="Arial" w:cs="Arial" w:eastAsia="Arial" w:hAnsi="Arial"/>
                <w:sz w:val="18"/>
                <w:szCs w:val="18"/>
                <w:color w:val="auto"/>
                <w:w w:val="82"/>
                <w:vertAlign w:val="subscript"/>
              </w:rPr>
              <w:t>1)</w:t>
            </w:r>
          </w:p>
        </w:tc>
        <w:tc>
          <w:tcPr>
            <w:tcW w:w="0" w:type="dxa"/>
            <w:vAlign w:val="bottom"/>
          </w:tcPr>
          <w:p>
            <w:pPr>
              <w:spacing w:after="0"/>
              <w:rPr>
                <w:sz w:val="1"/>
                <w:szCs w:val="1"/>
                <w:color w:val="auto"/>
              </w:rPr>
            </w:pPr>
          </w:p>
        </w:tc>
      </w:tr>
      <w:tr>
        <w:trPr>
          <w:trHeight w:val="42"/>
        </w:trPr>
        <w:tc>
          <w:tcPr>
            <w:tcW w:w="422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revenue</w:t>
            </w: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190.5</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171.0</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11.4 %</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100"/>
              <w:spacing w:after="0" w:line="202" w:lineRule="exact"/>
              <w:rPr>
                <w:sz w:val="20"/>
                <w:szCs w:val="20"/>
                <w:color w:val="auto"/>
              </w:rPr>
            </w:pPr>
            <w:r>
              <w:rPr>
                <w:rFonts w:ascii="Arial" w:cs="Arial" w:eastAsia="Arial" w:hAnsi="Arial"/>
                <w:sz w:val="18"/>
                <w:szCs w:val="18"/>
                <w:color w:val="auto"/>
              </w:rPr>
              <w:t>Rates</w:t>
            </w:r>
          </w:p>
        </w:tc>
        <w:tc>
          <w:tcPr>
            <w:tcW w:w="4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107.1</w:t>
            </w:r>
          </w:p>
        </w:tc>
        <w:tc>
          <w:tcPr>
            <w:tcW w:w="20" w:type="dxa"/>
            <w:vAlign w:val="bottom"/>
            <w:shd w:val="clear" w:color="auto" w:fill="000000"/>
          </w:tcPr>
          <w:p>
            <w:pPr>
              <w:spacing w:after="0"/>
              <w:rPr>
                <w:sz w:val="17"/>
                <w:szCs w:val="17"/>
                <w:color w:val="auto"/>
              </w:rPr>
            </w:pP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95.1</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12.5 %</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Credit</w:t>
            </w: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39.6</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34.1</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16.2 %</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100"/>
              <w:spacing w:after="0" w:line="202" w:lineRule="exact"/>
              <w:rPr>
                <w:sz w:val="20"/>
                <w:szCs w:val="20"/>
                <w:color w:val="auto"/>
              </w:rPr>
            </w:pPr>
            <w:r>
              <w:rPr>
                <w:rFonts w:ascii="Arial" w:cs="Arial" w:eastAsia="Arial" w:hAnsi="Arial"/>
                <w:sz w:val="18"/>
                <w:szCs w:val="18"/>
                <w:color w:val="auto"/>
              </w:rPr>
              <w:t>Equities</w:t>
            </w:r>
          </w:p>
        </w:tc>
        <w:tc>
          <w:tcPr>
            <w:tcW w:w="4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w:t>
            </w:r>
          </w:p>
        </w:tc>
        <w:tc>
          <w:tcPr>
            <w:tcW w:w="20" w:type="dxa"/>
            <w:vAlign w:val="bottom"/>
            <w:shd w:val="clear" w:color="auto" w:fill="000000"/>
          </w:tcPr>
          <w:p>
            <w:pPr>
              <w:spacing w:after="0"/>
              <w:rPr>
                <w:sz w:val="17"/>
                <w:szCs w:val="17"/>
                <w:color w:val="auto"/>
              </w:rPr>
            </w:pP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9.7</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14.9 %</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Money Markets</w:t>
            </w: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10.3</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8.5</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21.9 %</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100"/>
              <w:spacing w:after="0" w:line="202" w:lineRule="exact"/>
              <w:rPr>
                <w:sz w:val="20"/>
                <w:szCs w:val="20"/>
                <w:color w:val="auto"/>
              </w:rPr>
            </w:pPr>
            <w:r>
              <w:rPr>
                <w:rFonts w:ascii="Arial" w:cs="Arial" w:eastAsia="Arial" w:hAnsi="Arial"/>
                <w:sz w:val="18"/>
                <w:szCs w:val="18"/>
                <w:color w:val="auto"/>
              </w:rPr>
              <w:t>Market Data</w:t>
            </w:r>
          </w:p>
        </w:tc>
        <w:tc>
          <w:tcPr>
            <w:tcW w:w="4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17.5</w:t>
            </w:r>
          </w:p>
        </w:tc>
        <w:tc>
          <w:tcPr>
            <w:tcW w:w="20" w:type="dxa"/>
            <w:vAlign w:val="bottom"/>
            <w:shd w:val="clear" w:color="auto" w:fill="000000"/>
          </w:tcPr>
          <w:p>
            <w:pPr>
              <w:spacing w:after="0"/>
              <w:rPr>
                <w:sz w:val="17"/>
                <w:szCs w:val="17"/>
                <w:color w:val="auto"/>
              </w:rPr>
            </w:pP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15.7</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11.5 %</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4.8</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7.9</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(38.9)%</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8"/>
                <w:szCs w:val="8"/>
                <w:color w:val="auto"/>
              </w:rPr>
              <w:t>(2)</w:t>
            </w:r>
          </w:p>
        </w:tc>
        <w:tc>
          <w:tcPr>
            <w:tcW w:w="4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24.8</w:t>
            </w:r>
          </w:p>
        </w:tc>
        <w:tc>
          <w:tcPr>
            <w:tcW w:w="20" w:type="dxa"/>
            <w:vAlign w:val="bottom"/>
            <w:shd w:val="clear" w:color="auto" w:fill="000000"/>
          </w:tcPr>
          <w:p>
            <w:pPr>
              <w:spacing w:after="0"/>
              <w:rPr>
                <w:sz w:val="17"/>
                <w:szCs w:val="17"/>
                <w:color w:val="auto"/>
              </w:rPr>
            </w:pP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38.9</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(36.2)%</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Tradeweb Markets Inc.</w:t>
            </w:r>
            <w:r>
              <w:rPr>
                <w:rFonts w:ascii="Arial" w:cs="Arial" w:eastAsia="Arial" w:hAnsi="Arial"/>
                <w:sz w:val="8"/>
                <w:szCs w:val="8"/>
                <w:color w:val="auto"/>
              </w:rPr>
              <w:t>(3)</w:t>
            </w: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12.8</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 xml:space="preserve">Diluted EPS </w:t>
            </w:r>
            <w:r>
              <w:rPr>
                <w:rFonts w:ascii="Arial" w:cs="Arial" w:eastAsia="Arial" w:hAnsi="Arial"/>
                <w:sz w:val="8"/>
                <w:szCs w:val="8"/>
                <w:color w:val="auto"/>
              </w:rPr>
              <w:t>(4)</w:t>
            </w:r>
          </w:p>
        </w:tc>
        <w:tc>
          <w:tcPr>
            <w:tcW w:w="4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0.09</w:t>
            </w:r>
          </w:p>
        </w:tc>
        <w:tc>
          <w:tcPr>
            <w:tcW w:w="20" w:type="dxa"/>
            <w:vAlign w:val="bottom"/>
            <w:shd w:val="clear" w:color="auto" w:fill="000000"/>
          </w:tcPr>
          <w:p>
            <w:pPr>
              <w:spacing w:after="0"/>
              <w:rPr>
                <w:sz w:val="17"/>
                <w:szCs w:val="17"/>
                <w:color w:val="auto"/>
              </w:rPr>
            </w:pP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0.18</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8"/>
                <w:szCs w:val="8"/>
                <w:color w:val="auto"/>
              </w:rPr>
              <w:t>(5)</w:t>
            </w: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86.9</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74.8</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16.2 %</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8"/>
                <w:szCs w:val="8"/>
                <w:color w:val="auto"/>
              </w:rPr>
              <w:t>(5)</w:t>
            </w:r>
          </w:p>
        </w:tc>
        <w:tc>
          <w:tcPr>
            <w:tcW w:w="40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45.6%</w:t>
            </w: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43.8%</w:t>
            </w: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+188 bps</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+217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8"/>
                <w:szCs w:val="8"/>
                <w:color w:val="auto"/>
              </w:rPr>
              <w:t>(5)</w:t>
            </w: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56.6</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48.4</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17.0 %</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8"/>
                <w:szCs w:val="8"/>
                <w:color w:val="auto"/>
              </w:rPr>
              <w:t>(5)(6)</w:t>
            </w:r>
          </w:p>
        </w:tc>
        <w:tc>
          <w:tcPr>
            <w:tcW w:w="4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0.25</w:t>
            </w:r>
          </w:p>
        </w:tc>
        <w:tc>
          <w:tcPr>
            <w:tcW w:w="20" w:type="dxa"/>
            <w:vAlign w:val="bottom"/>
            <w:shd w:val="clear" w:color="auto" w:fill="000000"/>
          </w:tcPr>
          <w:p>
            <w:pPr>
              <w:spacing w:after="0"/>
              <w:rPr>
                <w:sz w:val="17"/>
                <w:szCs w:val="17"/>
                <w:color w:val="auto"/>
              </w:rPr>
            </w:pP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0.23</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8.5 %</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right="480" w:hanging="333"/>
        <w:spacing w:after="0" w:line="258"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that reflects growth for the period excluding the impact of foreign currency fluctuations. See "Non-GAAP Financial Measures" below for additional information.</w:t>
      </w:r>
    </w:p>
    <w:p>
      <w:pPr>
        <w:spacing w:after="0" w:line="194" w:lineRule="exact"/>
        <w:rPr>
          <w:rFonts w:ascii="Arial" w:cs="Arial" w:eastAsia="Arial" w:hAnsi="Arial"/>
          <w:sz w:val="14"/>
          <w:szCs w:val="14"/>
          <w:color w:val="auto"/>
        </w:rPr>
      </w:pPr>
    </w:p>
    <w:p>
      <w:pPr>
        <w:ind w:left="660" w:right="120" w:hanging="333"/>
        <w:spacing w:after="0" w:line="247"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income for the second quarter of 2019 included a non-cash, stock-based compensation expense of $20.4 million related to the Special Option Award as well as a net impact on depreciation and amortization expense of $17.6 million as a result of the Refinitiv Transaction and the resulting revaluation of our balance sheet. See "Presentation" below for additional information regarding the Refinitiv Transaction.</w:t>
      </w:r>
    </w:p>
    <w:p>
      <w:pPr>
        <w:spacing w:after="0" w:line="201" w:lineRule="exact"/>
        <w:rPr>
          <w:rFonts w:ascii="Arial" w:cs="Arial" w:eastAsia="Arial" w:hAnsi="Arial"/>
          <w:sz w:val="14"/>
          <w:szCs w:val="14"/>
          <w:color w:val="auto"/>
        </w:rPr>
      </w:pPr>
    </w:p>
    <w:p>
      <w:pPr>
        <w:ind w:left="660" w:hanging="333"/>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net income less net income attributable to non-controlling interests.</w:t>
      </w:r>
    </w:p>
    <w:p>
      <w:pPr>
        <w:spacing w:after="0" w:line="217" w:lineRule="exact"/>
        <w:rPr>
          <w:rFonts w:ascii="Arial" w:cs="Arial" w:eastAsia="Arial" w:hAnsi="Arial"/>
          <w:sz w:val="14"/>
          <w:szCs w:val="14"/>
          <w:color w:val="auto"/>
        </w:rPr>
      </w:pPr>
    </w:p>
    <w:p>
      <w:pPr>
        <w:ind w:left="660" w:right="220" w:hanging="333"/>
        <w:spacing w:after="0" w:line="247"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present Diluted EPS for Tradeweb Markets Inc. for the second quarter of 2019 and for Tradeweb Markets LLC for the second quarter of 2018, as the Reorganization Transactions (as defined below) and the IPO were completed in April 2019. As a consequence, the Diluted EPS information for Tradeweb Markets Inc. and Tradeweb Markets LLC is not comparable. See “Presentation” and “Basic and Diluted EPS Calculations” below for additional information.</w:t>
      </w:r>
    </w:p>
    <w:p>
      <w:pPr>
        <w:spacing w:after="0" w:line="201" w:lineRule="exact"/>
        <w:rPr>
          <w:rFonts w:ascii="Arial" w:cs="Arial" w:eastAsia="Arial" w:hAnsi="Arial"/>
          <w:sz w:val="14"/>
          <w:szCs w:val="14"/>
          <w:color w:val="auto"/>
        </w:rPr>
      </w:pPr>
    </w:p>
    <w:p>
      <w:pPr>
        <w:ind w:left="660" w:right="120" w:hanging="333"/>
        <w:spacing w:after="0" w:line="250"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EBITDA, Adjusted EBITDA margin, Adjusted Net Income and Adjusted Diluted EPS are non-GAAP financial measures. See "Non-GAAP Financial Measures" below and the attached schedules for additional information and reconciliations of such non-GAAP financial measures.</w:t>
      </w:r>
    </w:p>
    <w:p>
      <w:pPr>
        <w:spacing w:after="0" w:line="199" w:lineRule="exact"/>
        <w:rPr>
          <w:rFonts w:ascii="Arial" w:cs="Arial" w:eastAsia="Arial" w:hAnsi="Arial"/>
          <w:sz w:val="14"/>
          <w:szCs w:val="14"/>
          <w:color w:val="auto"/>
        </w:rPr>
      </w:pPr>
    </w:p>
    <w:p>
      <w:pPr>
        <w:ind w:left="660" w:right="120" w:hanging="333"/>
        <w:spacing w:after="0" w:line="245"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present Adjusted Diluted EPS for Tradeweb Markets Inc. for the second quarter of 2019 and for Tradeweb Markets LLC for the second quarter of 2018. Because Adjusted Diluted EPS gives effect to certain tax related adjustments to reflect an assumed effective tax rate for all periods presented and, for the second quarter of 2019, assumes all equity interests of Tradeweb Markets LLC are exchanged for shares of Class A or Class B common stock, we believe that Adjusted Diluted EPS for Tradeweb Markets Inc. and Tradeweb Markets LLC are comparable.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Results</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27" w:right="1419" w:bottom="1440" w:gutter="0" w:footer="0" w:header="0"/>
        </w:sectPr>
      </w:pPr>
    </w:p>
    <w:bookmarkStart w:id="5" w:name="page6"/>
    <w:bookmarkEnd w:id="5"/>
    <w:p>
      <w:pPr>
        <w:ind w:right="20"/>
        <w:spacing w:after="0" w:line="2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 xml:space="preserve">Rates </w:t>
      </w:r>
      <w:r>
        <w:rPr>
          <w:rFonts w:ascii="Arial" w:cs="Arial" w:eastAsia="Arial" w:hAnsi="Arial"/>
          <w:sz w:val="18"/>
          <w:szCs w:val="18"/>
          <w:color w:val="auto"/>
        </w:rPr>
        <w:t>– Revenues from rates of $107.1 million in the second quarter of 2019 increased 12.5%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2018. ADV in rates of $511.9 billion for the second quarter of 2019 increased 45.5% due mainly to higher trading activity in interest rate swaps and swaptions – in particular, short-tenor swaps – as well as mortgages and U.S. Treasuries.</w:t>
      </w:r>
    </w:p>
    <w:p>
      <w:pPr>
        <w:spacing w:after="0" w:line="161"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color w:val="auto"/>
        </w:rPr>
        <w:t xml:space="preserve">Credit – </w:t>
      </w:r>
      <w:r>
        <w:rPr>
          <w:rFonts w:ascii="Arial" w:cs="Arial" w:eastAsia="Arial" w:hAnsi="Arial"/>
          <w:sz w:val="18"/>
          <w:szCs w:val="18"/>
          <w:color w:val="auto"/>
        </w:rPr>
        <w:t>Revenues from credit of $39.6 million in the second quarter of 2019 increased 16.2%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2018. ADV in credit of $12.2 billion for the second quarter of 2019 increased 3.6% due mainly to higher trading activity in U.S. high-grade and high-yield credit as well as Chinese bonds.</w:t>
      </w:r>
    </w:p>
    <w:p>
      <w:pPr>
        <w:spacing w:after="0" w:line="15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color w:val="auto"/>
        </w:rPr>
        <w:t xml:space="preserve">Equities </w:t>
      </w:r>
      <w:r>
        <w:rPr>
          <w:rFonts w:ascii="Arial" w:cs="Arial" w:eastAsia="Arial" w:hAnsi="Arial"/>
          <w:sz w:val="18"/>
          <w:szCs w:val="18"/>
          <w:color w:val="auto"/>
        </w:rPr>
        <w:t>– Revenues from equities of $11.1 million in the second quarter of 2019 increased 14.9%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2018. ADV in equities of $7.1 billion for the second quarter of 2019 increased 2.9% due mainly to higher trading activity in institutional European ETFs and equity options, convertibles and swaps.</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Money Markets </w:t>
      </w:r>
      <w:r>
        <w:rPr>
          <w:rFonts w:ascii="Arial" w:cs="Arial" w:eastAsia="Arial" w:hAnsi="Arial"/>
          <w:sz w:val="18"/>
          <w:szCs w:val="18"/>
          <w:color w:val="auto"/>
        </w:rPr>
        <w:t>– Revenues from money markets of $10.3 million in the second quarter of 2019 increased 21.9%</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second quarter of 2018. ADV in money markets of $222.6 billion during the quarter rose 31.3% due to the continued growth of bilateral electronic trading in repurchase agreements.</w:t>
      </w:r>
    </w:p>
    <w:p>
      <w:pPr>
        <w:spacing w:after="0" w:line="15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color w:val="auto"/>
        </w:rPr>
        <w:t xml:space="preserve">Market Data </w:t>
      </w:r>
      <w:r>
        <w:rPr>
          <w:rFonts w:ascii="Arial" w:cs="Arial" w:eastAsia="Arial" w:hAnsi="Arial"/>
          <w:sz w:val="18"/>
          <w:szCs w:val="18"/>
          <w:color w:val="auto"/>
        </w:rPr>
        <w:t>– Revenues from market data of $17.5 million in the second quarter of 2019 increased 11.5%</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second quarter of 2018 from the expansion of our market data license agreement with Refinitiv in November 2018.</w:t>
      </w:r>
    </w:p>
    <w:p>
      <w:pPr>
        <w:spacing w:after="0" w:line="156"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b w:val="1"/>
          <w:bCs w:val="1"/>
          <w:color w:val="auto"/>
        </w:rPr>
        <w:t xml:space="preserve">Other – </w:t>
      </w:r>
      <w:r>
        <w:rPr>
          <w:rFonts w:ascii="Arial" w:cs="Arial" w:eastAsia="Arial" w:hAnsi="Arial"/>
          <w:sz w:val="18"/>
          <w:szCs w:val="18"/>
          <w:color w:val="auto"/>
        </w:rPr>
        <w:t>Revenues from other of $ 4.8 million in the second quarter of 2019 decreased 38.9%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2018 due to the timing of fees for software development and implementation and lower fees from a third party for certain licensing and development.</w:t>
      </w:r>
    </w:p>
    <w:p>
      <w:pPr>
        <w:spacing w:after="0" w:line="17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Mr. Olesky added, “Growth in the second quarter was diversified across products, protocols, client sectors and regions. In absolute numbers, trading activity in interest rate swaps and repurchase agreements were the leading drivers of our overall volume growth year over year. At the same time, as a direct result of new initiatives, we are witnessing upticks in client interest in U.S. Treasuries, mortgages, U.S. credit, European ETFs and Chinese bonds. Furthermore, new trading technologies like our Automated Intelligent Execution (AiEX) tool are taking hold, to speed execution, lessen market risk, reduce human errors and create scale on the trading desk.”</w:t>
      </w:r>
    </w:p>
    <w:p>
      <w:pPr>
        <w:spacing w:after="0" w:line="17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 Operating expenses of $159.5 million in the second quarter of 2019 included the non-cash, stock-based compensation expense of $20.4 million related to the Special Option Award and a net impact on depreciation and amortization expense of $ 17.6 million as a result of the Refinitiv Transaction and the resulting revaluation of our balance sheet. Excluding all non-operating items, Adjusted Expenses were $113.7 million in the second quarter of 2019. Adjusted Expenses increased 7.5% year over year due primarily to a rise in headcount and related increase in employee compensation and benefits expense. Please see "Non-GAAP Financial Measures" below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Assets as of June 30, 2019 included $313.6 million in unrestricted cash and cash equivalents. During the first half of 2019, Tradeweb generated $77.0 million of cash flow from operating activities and $ 59.3 million of Free Cash Flow representing year-over-year increases of 18.4% and 20.6%, respectively. Please see "Non-GAAP Financial Measures" below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Full-Year 2019 Guidance*</w:t>
      </w:r>
    </w:p>
    <w:p>
      <w:pPr>
        <w:spacing w:after="0" w:line="18" w:lineRule="exact"/>
        <w:rPr>
          <w:sz w:val="20"/>
          <w:szCs w:val="20"/>
          <w:color w:val="auto"/>
        </w:rPr>
      </w:pPr>
    </w:p>
    <w:p>
      <w:pPr>
        <w:ind w:left="660" w:right="160" w:hanging="333"/>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expenses of $460 - $475 million are expected to trend to the lower half of the range versus the midpoint</w:t>
      </w:r>
    </w:p>
    <w:p>
      <w:pPr>
        <w:spacing w:after="0" w:line="1"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Assumed non-GAAP tax rate of 26.4%</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6" w:name="page7"/>
    <w:bookmarkEnd w:id="6"/>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Capital expenditures and capitalization of software of $42 - $48 million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and Refinitiv Transaction related depreciation and amortization expense of $98 million</w:t>
      </w:r>
    </w:p>
    <w:p>
      <w:pPr>
        <w:spacing w:after="0" w:line="9" w:lineRule="exact"/>
        <w:rPr>
          <w:rFonts w:ascii="Arial" w:cs="Arial" w:eastAsia="Arial" w:hAnsi="Arial"/>
          <w:sz w:val="18"/>
          <w:szCs w:val="18"/>
          <w:color w:val="auto"/>
        </w:rPr>
      </w:pPr>
    </w:p>
    <w:p>
      <w:pPr>
        <w:ind w:left="660" w:right="200" w:hanging="333"/>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stock-based compensation expense associated with the Special Option Award of $1.6 - $1.7 million per quarter in the third and fourth quarters of 2019</w:t>
      </w:r>
    </w:p>
    <w:p>
      <w:pPr>
        <w:spacing w:after="0" w:line="1" w:lineRule="exact"/>
        <w:rPr>
          <w:rFonts w:ascii="Arial" w:cs="Arial" w:eastAsia="Arial" w:hAnsi="Arial"/>
          <w:sz w:val="18"/>
          <w:szCs w:val="18"/>
          <w:color w:val="auto"/>
        </w:rPr>
      </w:pPr>
    </w:p>
    <w:p>
      <w:pPr>
        <w:ind w:left="660" w:right="80" w:hanging="333"/>
        <w:spacing w:after="0" w:line="24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Eliminated guidance on full year net interest income of $0.5 - $1.0 million; future levels of interest income will fluctuate according to cash levels and reinvestment rates</w:t>
      </w:r>
    </w:p>
    <w:p>
      <w:pPr>
        <w:spacing w:after="0" w:line="175" w:lineRule="exact"/>
        <w:rPr>
          <w:sz w:val="20"/>
          <w:szCs w:val="20"/>
          <w:color w:val="auto"/>
        </w:rPr>
      </w:pPr>
    </w:p>
    <w:p>
      <w:pPr>
        <w:ind w:left="320" w:right="16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Tradeweb Markets Inc. declared a cash dividend of $0.08 per share of Class A common stock and Class B common stock for the third quarter of 2019. The dividend will be payable on September 16, 2019 to stockholders of record as of September 3,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Tradeweb Markets will hold a conference call to discuss second quarter 2019 results starting at 8:30 a.m. Eastern Time today, August 8, 2019. A live, audio webcast of the conference call along with related materials will be available at </w:t>
      </w:r>
      <w:r>
        <w:rPr>
          <w:rFonts w:ascii="Arial" w:cs="Arial" w:eastAsia="Arial" w:hAnsi="Arial"/>
          <w:sz w:val="18"/>
          <w:szCs w:val="18"/>
          <w:u w:val="single" w:color="auto"/>
          <w:color w:val="0000EE"/>
        </w:rPr>
        <w:t>http://investors.tradeweb.com</w:t>
      </w:r>
      <w:r>
        <w:rPr>
          <w:rFonts w:ascii="Arial" w:cs="Arial" w:eastAsia="Arial" w:hAnsi="Arial"/>
          <w:sz w:val="18"/>
          <w:szCs w:val="18"/>
          <w:color w:val="auto"/>
        </w:rPr>
        <w:t xml:space="preserve">. Alternatively, interested parties can access the call by dialing 866-221-1629 (U.S.) or +1 470-495-9175 (international) and entering passcode 5842289. After the conference call, an archived recording will be available at </w:t>
      </w:r>
      <w:r>
        <w:rPr>
          <w:rFonts w:ascii="Arial" w:cs="Arial" w:eastAsia="Arial" w:hAnsi="Arial"/>
          <w:sz w:val="18"/>
          <w:szCs w:val="18"/>
          <w:u w:val="single" w:color="auto"/>
          <w:color w:val="0000EE"/>
        </w:rPr>
        <w:t>http://investors.tradeweb.com</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This release contains forward-looking statements within the meaning of the federal securities laws. Statements related to, among other things, our guidance, including 2019 guidance, and future performance, the markets in which we operate, our expectations, beliefs, plans, strategies, objectives, prospects and assumptions and future events are forward-looking statements.</w:t>
      </w:r>
    </w:p>
    <w:p>
      <w:pPr>
        <w:spacing w:after="0" w:line="18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our prospectus filed with the SEC on April 5, 2019 and other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w:t>
      </w:r>
    </w:p>
    <w:p>
      <w:pPr>
        <w:spacing w:after="0" w:line="1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historical financial information and other disclosures contained in this press release relate to periods that ended both prior to and after the completion of the Reorganization Transactions and the IPO of Tradeweb Markets Inc. (unless the context otherwise requires, together with its subsidiaries, referred to as “we,” “our,” “Tradeweb,” “Tradeweb Markets” or the “Company”). The IPO closed on April 8, 2019. As a result of certain</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27" w:right="1419" w:bottom="1440" w:gutter="0" w:footer="0" w:header="0"/>
        </w:sectPr>
      </w:pPr>
    </w:p>
    <w:bookmarkStart w:id="7" w:name="page8"/>
    <w:bookmarkEnd w:id="7"/>
    <w:p>
      <w:pPr>
        <w:ind w:right="6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reorganization transactions (the “Reorganization Transactions”) completed in connection with the IPO, on April 4, 2019, Tradeweb Markets Inc. became a holding company whose sole material asset consists of its equity interest in Tradeweb Markets LLC (“TWM LLC”).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 The historical financial information contained in this press release relating to periods prior to and including March 31, 2019, which we refer to as the “pre-IPO period,” pertain to TWM LLC, the predecessor of Tradeweb Markets Inc. for financial reporting purposes. The historical financial information contained in this press release relating to periods beginning on April 1, 2019, and through and including June 30, 2019, which we refer to as the “post-IPO period,” pertain to Tradeweb Markets Inc. The pre-IPO period excludes, and the post-IPO period includes, our financial results from April 1, 2019 through April 3, 2019. Although this period was prior to the completion of the Reorganization Transactions, we believe it is appropriate to include these financial results in the post-IPO period as our accounting close controls and procedures are generally designed for a month-end cutoff and the inclusion of these financial results in the post-IPO period had an immaterial impact on our consolidated financial statements.</w:t>
      </w:r>
    </w:p>
    <w:p>
      <w:pPr>
        <w:spacing w:after="0" w:line="20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October 1, 2018, Refinitiv Holdings Ltd. (“Refinitiv”), which is controlled by certain investment funds affiliated with The Blackstone Group L.P., an affiliate of Canada Pension Plan Investment Board, an affiliate of GIC Special Investments Pte. Ltd. and certain co-investors, indirectly acquired substantially all of the financial and risk business of Thomson Reuters Corporation and Thomson Reuters Corporation indirectly acquired a non-controlling ownership interest in Refinitiv (collectively, the “Refinitiv Transaction”). As a result of the Refinitiv Transaction, as a consolidating subsidiary of Refinitiv, we accounted for the Refinitiv Transaction using pushdown accounting. Due to the change in the basis of accounting resulting from the application of pushdown accounting, the financial information for the period beginning on October 1, 2018, and through and including June 30, 2019, which we refer to as the “Successor period,” and the financial information for the periods prior to, and including, September 30, 2018, which we refer to as the “Predecessor period,” are not comparable.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This release contains “non-GAAP financial measures,” including Adjusted EBITDA, Adjusted EBITDA margin, Adjusted Net Income, Adjusted Diluted EPS, Adjusted Expenses and Free Cash Flow,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9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Management and our board of directors use Adjusted EBITDA and Adjusted EBITDA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use Adjusted Expenses as a supplemental metric to evaluate our underlying operating performance over time by removing items that are not related to day-to-day operations or are non-cash expenses.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27" w:right="1419" w:bottom="1440" w:gutter="0" w:footer="0" w:header="0"/>
        </w:sectPr>
      </w:pPr>
    </w:p>
    <w:bookmarkStart w:id="8" w:name="page9"/>
    <w:bookmarkEnd w:id="8"/>
    <w:p>
      <w:pPr>
        <w:ind w:right="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We use Free Cash Flow to assess our liquidity in a way that considers the amount of cash generated from our core operations after expenditures for capitalized software development costs and furniture, equipment and leasehold improvements.</w:t>
      </w:r>
    </w:p>
    <w:p>
      <w:pPr>
        <w:spacing w:after="0" w:line="18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Net Income, Adjusted Diluted EPS, Adjusted Expenses and Free Cash Flow, you should be aware that in the future, we may incur expenses similar to the adjustments in the presentation of these non-GAAP financial measures. 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average exchange rates for 2018. We make use of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 and may not be comparable to similarly titled measures used by other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Tradeweb Social Media</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p>
    <w:p>
      <w:pPr>
        <w:spacing w:after="0" w:line="1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 xml:space="preserve">Tradeweb Markets Inc. (Nasdaq: TW) is a leading, global operator of electronic marketplaces for rates, credit, equities and money markets. Founded in 1996, the company provides access to markets, data and analytics, electronic trading, straight-through-processing and reporting in more than 40 products to clients in the institutional, wholesale and retail markets. Advanced technologies developed by Tradeweb enhance price discovery, order execution and trade workflows while allowing for greater scale and helping to reduce risks in client trading operations. The company serves approximately 2,500 clients in more than 60 countries. On average, Tradeweb facilitated more than $630 billion in notional value per day over the past four fiscal quarters. For more information, please go to </w:t>
      </w:r>
      <w:r>
        <w:rPr>
          <w:rFonts w:ascii="Arial" w:cs="Arial" w:eastAsia="Arial" w:hAnsi="Arial"/>
          <w:sz w:val="18"/>
          <w:szCs w:val="18"/>
          <w:u w:val="single" w:color="auto"/>
          <w:color w:val="0000EE"/>
        </w:rPr>
        <w:t>www.tradeweb.com</w:t>
      </w:r>
      <w:r>
        <w:rPr>
          <w:rFonts w:ascii="Arial" w:cs="Arial" w:eastAsia="Arial" w:hAnsi="Arial"/>
          <w:sz w:val="18"/>
          <w:szCs w:val="18"/>
          <w:color w:val="auto"/>
        </w:rPr>
        <w:t>.</w:t>
      </w:r>
    </w:p>
    <w:p>
      <w:pPr>
        <w:sectPr>
          <w:pgSz w:w="11900" w:h="16838" w:orient="portrait"/>
          <w:cols w:equalWidth="0" w:num="1">
            <w:col w:w="9060"/>
          </w:cols>
          <w:pgMar w:left="1420" w:top="1030" w:right="141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Ashley Serrao, Tradeweb + 1 646 430 6027</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Jonathan Mairs, Tradeweb +1 646 430 6176</w:t>
      </w:r>
    </w:p>
    <w:p>
      <w:pPr>
        <w:spacing w:after="0" w:line="200" w:lineRule="exact"/>
        <w:rPr>
          <w:sz w:val="20"/>
          <w:szCs w:val="20"/>
          <w:color w:val="auto"/>
        </w:rPr>
      </w:pPr>
    </w:p>
    <w:p>
      <w:pPr>
        <w:sectPr>
          <w:pgSz w:w="11900" w:h="16838" w:orient="portrait"/>
          <w:cols w:equalWidth="0" w:num="2">
            <w:col w:w="3820" w:space="720"/>
            <w:col w:w="4520"/>
          </w:cols>
          <w:pgMar w:left="1420" w:top="1030" w:right="1419" w:bottom="1440" w:gutter="0" w:footer="0" w:header="0"/>
          <w:type w:val="continuous"/>
        </w:sectPr>
      </w:pP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30" w:right="1419" w:bottom="1440" w:gutter="0" w:footer="0" w:header="0"/>
          <w:type w:val="continuous"/>
        </w:sectPr>
      </w:pPr>
    </w:p>
    <w:bookmarkStart w:id="9" w:name="page10"/>
    <w:bookmarkEnd w:id="9"/>
    <w:p>
      <w:pPr>
        <w:spacing w:after="0"/>
        <w:tabs>
          <w:tab w:leader="none" w:pos="4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Ashley.Serrao@Tradeweb.com</w:t>
      </w:r>
      <w:r>
        <w:rPr>
          <w:sz w:val="20"/>
          <w:szCs w:val="20"/>
          <w:color w:val="auto"/>
        </w:rPr>
        <w:tab/>
      </w:r>
      <w:r>
        <w:rPr>
          <w:rFonts w:ascii="Arial" w:cs="Arial" w:eastAsia="Arial" w:hAnsi="Arial"/>
          <w:sz w:val="18"/>
          <w:szCs w:val="18"/>
          <w:color w:val="auto"/>
        </w:rPr>
        <w:t>Jonathan.Mairs@Tradeweb.com</w:t>
      </w:r>
    </w:p>
    <w:p>
      <w:pPr>
        <w:spacing w:after="0" w:line="198" w:lineRule="exact"/>
        <w:rPr>
          <w:sz w:val="20"/>
          <w:szCs w:val="20"/>
          <w:color w:val="auto"/>
        </w:rPr>
      </w:pPr>
    </w:p>
    <w:p>
      <w:pPr>
        <w:jc w:val="center"/>
        <w:spacing w:after="0"/>
        <w:tabs>
          <w:tab w:leader="none" w:pos="180" w:val="left"/>
          <w:tab w:leader="none" w:pos="14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7"/>
          <w:szCs w:val="17"/>
          <w:color w:val="auto"/>
        </w:rPr>
        <w:t>#</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27" w:right="1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(UNAUDITED)</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gridSpan w:val="3"/>
          </w:tcPr>
          <w:p>
            <w:pPr>
              <w:jc w:val="center"/>
              <w:spacing w:after="0"/>
              <w:rPr>
                <w:sz w:val="20"/>
                <w:szCs w:val="20"/>
                <w:color w:val="auto"/>
              </w:rPr>
            </w:pPr>
            <w:r>
              <w:rPr>
                <w:rFonts w:ascii="Arial" w:cs="Arial" w:eastAsia="Arial" w:hAnsi="Arial"/>
                <w:sz w:val="13"/>
                <w:szCs w:val="13"/>
                <w:b w:val="1"/>
                <w:bCs w:val="1"/>
                <w:color w:val="auto"/>
                <w:w w:val="79"/>
              </w:rPr>
              <w:t>Successor</w:t>
            </w:r>
          </w:p>
        </w:tc>
        <w:tc>
          <w:tcPr>
            <w:tcW w:w="9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5"/>
          </w:tcPr>
          <w:p>
            <w:pPr>
              <w:ind w:left="660"/>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10"/>
        </w:trPr>
        <w:tc>
          <w:tcPr>
            <w:tcW w:w="2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Three Months</w:t>
            </w: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257"/>
              <w:spacing w:after="0" w:line="110" w:lineRule="exact"/>
              <w:rPr>
                <w:sz w:val="20"/>
                <w:szCs w:val="20"/>
                <w:color w:val="auto"/>
              </w:rPr>
            </w:pPr>
            <w:r>
              <w:rPr>
                <w:rFonts w:ascii="Arial" w:cs="Arial" w:eastAsia="Arial" w:hAnsi="Arial"/>
                <w:sz w:val="12"/>
                <w:szCs w:val="12"/>
                <w:b w:val="1"/>
                <w:bCs w:val="1"/>
                <w:color w:val="auto"/>
                <w:w w:val="96"/>
              </w:rPr>
              <w:t>Six Months</w:t>
            </w:r>
          </w:p>
        </w:tc>
        <w:tc>
          <w:tcPr>
            <w:tcW w:w="1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6"/>
              </w:rPr>
              <w:t>Three Months</w:t>
            </w: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right="37"/>
              <w:spacing w:after="0" w:line="110" w:lineRule="exact"/>
              <w:rPr>
                <w:sz w:val="20"/>
                <w:szCs w:val="20"/>
                <w:color w:val="auto"/>
              </w:rPr>
            </w:pPr>
            <w:r>
              <w:rPr>
                <w:rFonts w:ascii="Arial" w:cs="Arial" w:eastAsia="Arial" w:hAnsi="Arial"/>
                <w:sz w:val="12"/>
                <w:szCs w:val="12"/>
                <w:b w:val="1"/>
                <w:bCs w:val="1"/>
                <w:color w:val="auto"/>
                <w:w w:val="96"/>
              </w:rPr>
              <w:t>Six Months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Ended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right w:val="single" w:sz="8" w:color="auto"/>
            </w:tcBorders>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85"/>
              </w:rPr>
              <w:t>Ended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Ended</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June 30,</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right w:val="single" w:sz="8" w:color="auto"/>
            </w:tcBorders>
            <w:gridSpan w:val="2"/>
          </w:tcPr>
          <w:p>
            <w:pPr>
              <w:ind w:left="60"/>
              <w:spacing w:after="0" w:line="135"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June 30,</w:t>
            </w:r>
          </w:p>
        </w:tc>
        <w:tc>
          <w:tcPr>
            <w:tcW w:w="12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53"/>
        </w:trPr>
        <w:tc>
          <w:tcPr>
            <w:tcW w:w="276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2019</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57"/>
              <w:spacing w:after="0"/>
              <w:rPr>
                <w:sz w:val="20"/>
                <w:szCs w:val="20"/>
                <w:color w:val="auto"/>
              </w:rPr>
            </w:pPr>
            <w:r>
              <w:rPr>
                <w:rFonts w:ascii="Arial" w:cs="Arial" w:eastAsia="Arial" w:hAnsi="Arial"/>
                <w:sz w:val="13"/>
                <w:szCs w:val="13"/>
                <w:b w:val="1"/>
                <w:bCs w:val="1"/>
                <w:color w:val="auto"/>
                <w:w w:val="89"/>
              </w:rPr>
              <w:t>2019</w:t>
            </w:r>
          </w:p>
        </w:tc>
        <w:tc>
          <w:tcPr>
            <w:tcW w:w="140" w:type="dxa"/>
            <w:vAlign w:val="bottom"/>
            <w:tcBorders>
              <w:bottom w:val="single" w:sz="8" w:color="CCEEFF"/>
              <w:right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2"/>
              </w:rPr>
              <w:t>2018</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2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Revenues</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Transaction fees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103,952</w:t>
            </w:r>
          </w:p>
        </w:tc>
        <w:tc>
          <w:tcPr>
            <w:tcW w:w="540" w:type="dxa"/>
            <w:vAlign w:val="bottom"/>
            <w:gridSpan w:val="3"/>
          </w:tcPr>
          <w:p>
            <w:pPr>
              <w:jc w:val="center"/>
              <w:spacing w:after="0" w:line="135" w:lineRule="exact"/>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206,592</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91,030</w:t>
            </w:r>
          </w:p>
        </w:tc>
        <w:tc>
          <w:tcPr>
            <w:tcW w:w="180" w:type="dxa"/>
            <w:vAlign w:val="bottom"/>
          </w:tcPr>
          <w:p>
            <w:pPr>
              <w:spacing w:after="0"/>
              <w:rPr>
                <w:sz w:val="11"/>
                <w:szCs w:val="11"/>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181,169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Subscription fees</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34,566</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69,011</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37,647</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73,973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Commissions</w:t>
            </w: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36,413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70,610</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27,553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55,436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Refinitiv market data fees</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13,385</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27,001</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12,081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24,318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tcBorders>
              <w:bottom w:val="single" w:sz="8" w:color="CCEEFF"/>
            </w:tcBorders>
            <w:gridSpan w:val="2"/>
          </w:tcPr>
          <w:p>
            <w:pPr>
              <w:ind w:left="120"/>
              <w:spacing w:after="0" w:line="135" w:lineRule="exact"/>
              <w:rPr>
                <w:sz w:val="20"/>
                <w:szCs w:val="20"/>
                <w:color w:val="auto"/>
              </w:rPr>
            </w:pPr>
            <w:r>
              <w:rPr>
                <w:rFonts w:ascii="Arial" w:cs="Arial" w:eastAsia="Arial" w:hAnsi="Arial"/>
                <w:sz w:val="13"/>
                <w:szCs w:val="13"/>
                <w:color w:val="auto"/>
              </w:rPr>
              <w:t>Other</w:t>
            </w: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2,169</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4,063</w:t>
            </w:r>
          </w:p>
        </w:tc>
        <w:tc>
          <w:tcPr>
            <w:tcW w:w="140" w:type="dxa"/>
            <w:vAlign w:val="bottom"/>
            <w:tcBorders>
              <w:bottom w:val="single" w:sz="8" w:color="CCEEFF"/>
              <w:right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2,704</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5,622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60" w:type="dxa"/>
            <w:vAlign w:val="bottom"/>
            <w:gridSpan w:val="2"/>
            <w:shd w:val="clear" w:color="auto" w:fill="CCEEFF"/>
          </w:tcPr>
          <w:p>
            <w:pPr>
              <w:ind w:left="220"/>
              <w:spacing w:after="0" w:line="129" w:lineRule="exact"/>
              <w:rPr>
                <w:sz w:val="20"/>
                <w:szCs w:val="20"/>
                <w:color w:val="auto"/>
              </w:rPr>
            </w:pPr>
            <w:r>
              <w:rPr>
                <w:rFonts w:ascii="Arial" w:cs="Arial" w:eastAsia="Arial" w:hAnsi="Arial"/>
                <w:sz w:val="13"/>
                <w:szCs w:val="13"/>
                <w:b w:val="1"/>
                <w:bCs w:val="1"/>
                <w:color w:val="auto"/>
              </w:rPr>
              <w:t>Gross revenue</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190,485</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377,277</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171,015</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340,518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Contingent consideration</w:t>
            </w: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(19,297)</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(29,367)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6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revenue</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190,485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377,277</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151,718</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311,151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Expenses</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Employee compensation and benefits</w:t>
            </w: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95,995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173,268</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68,407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139,977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34,292</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67,795</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16,178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32,446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Technology and communications</w:t>
            </w: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9,519</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19,559</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9,023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17,486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General and administrative</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9,365</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18,454</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7,153</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Professional fees</w:t>
            </w: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6,738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13,709</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7,276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12,814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Occupancy</w:t>
            </w:r>
          </w:p>
        </w:tc>
        <w:tc>
          <w:tcPr>
            <w:tcW w:w="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3,621</w:t>
            </w:r>
          </w:p>
        </w:tc>
        <w:tc>
          <w:tcPr>
            <w:tcW w:w="2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7,260</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3,519</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7,241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60" w:type="dxa"/>
            <w:vAlign w:val="bottom"/>
            <w:tcBorders>
              <w:bottom w:val="single" w:sz="8" w:color="CCEEFF"/>
            </w:tcBorders>
            <w:gridSpan w:val="2"/>
          </w:tcPr>
          <w:p>
            <w:pPr>
              <w:ind w:left="220"/>
              <w:spacing w:after="0" w:line="129" w:lineRule="exact"/>
              <w:rPr>
                <w:sz w:val="20"/>
                <w:szCs w:val="20"/>
                <w:color w:val="auto"/>
              </w:rPr>
            </w:pPr>
            <w:r>
              <w:rPr>
                <w:rFonts w:ascii="Arial" w:cs="Arial" w:eastAsia="Arial" w:hAnsi="Arial"/>
                <w:sz w:val="13"/>
                <w:szCs w:val="13"/>
                <w:b w:val="1"/>
                <w:bCs w:val="1"/>
                <w:color w:val="auto"/>
              </w:rPr>
              <w:t>Total expenses</w:t>
            </w: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159,530</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300,045</w:t>
            </w:r>
          </w:p>
        </w:tc>
        <w:tc>
          <w:tcPr>
            <w:tcW w:w="140" w:type="dxa"/>
            <w:vAlign w:val="bottom"/>
            <w:tcBorders>
              <w:bottom w:val="single" w:sz="8" w:color="CCEEFF"/>
              <w:right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111,556</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223,634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Operating income</w:t>
            </w:r>
          </w:p>
        </w:tc>
        <w:tc>
          <w:tcPr>
            <w:tcW w:w="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30,955</w:t>
            </w:r>
          </w:p>
        </w:tc>
        <w:tc>
          <w:tcPr>
            <w:tcW w:w="2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77,232</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40,162</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87,517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60" w:type="dxa"/>
            <w:vAlign w:val="bottom"/>
            <w:tcBorders>
              <w:bottom w:val="single" w:sz="8" w:color="CCEEFF"/>
            </w:tcBorders>
            <w:gridSpan w:val="2"/>
          </w:tcPr>
          <w:p>
            <w:pPr>
              <w:ind w:left="120"/>
              <w:spacing w:after="0" w:line="129" w:lineRule="exact"/>
              <w:rPr>
                <w:sz w:val="20"/>
                <w:szCs w:val="20"/>
                <w:color w:val="auto"/>
              </w:rPr>
            </w:pPr>
            <w:r>
              <w:rPr>
                <w:rFonts w:ascii="Arial" w:cs="Arial" w:eastAsia="Arial" w:hAnsi="Arial"/>
                <w:sz w:val="13"/>
                <w:szCs w:val="13"/>
                <w:color w:val="auto"/>
              </w:rPr>
              <w:t>Interest income</w:t>
            </w: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175</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1,033</w:t>
            </w:r>
          </w:p>
        </w:tc>
        <w:tc>
          <w:tcPr>
            <w:tcW w:w="140" w:type="dxa"/>
            <w:vAlign w:val="bottom"/>
            <w:tcBorders>
              <w:bottom w:val="single" w:sz="8" w:color="CCEEFF"/>
              <w:right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582</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Income before taxes</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31,130</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78,265</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40,744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88,570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3"/>
                <w:szCs w:val="13"/>
                <w:color w:val="auto"/>
              </w:rPr>
              <w:t>Provision for income taxes</w:t>
            </w:r>
          </w:p>
        </w:tc>
        <w:tc>
          <w:tcPr>
            <w:tcW w:w="80" w:type="dxa"/>
            <w:vAlign w:val="bottom"/>
          </w:tcPr>
          <w:p>
            <w:pPr>
              <w:spacing w:after="0"/>
              <w:rPr>
                <w:sz w:val="11"/>
                <w:szCs w:val="11"/>
                <w:color w:val="auto"/>
              </w:rPr>
            </w:pPr>
          </w:p>
        </w:tc>
        <w:tc>
          <w:tcPr>
            <w:tcW w:w="1080" w:type="dxa"/>
            <w:vAlign w:val="bottom"/>
            <w:gridSpan w:val="3"/>
          </w:tcPr>
          <w:p>
            <w:pPr>
              <w:jc w:val="right"/>
              <w:ind w:right="137"/>
              <w:spacing w:after="0" w:line="135" w:lineRule="exact"/>
              <w:rPr>
                <w:sz w:val="20"/>
                <w:szCs w:val="20"/>
                <w:color w:val="auto"/>
              </w:rPr>
            </w:pPr>
            <w:r>
              <w:rPr>
                <w:rFonts w:ascii="Arial" w:cs="Arial" w:eastAsia="Arial" w:hAnsi="Arial"/>
                <w:sz w:val="13"/>
                <w:szCs w:val="13"/>
                <w:color w:val="auto"/>
              </w:rPr>
              <w:t>(6,314)</w:t>
            </w:r>
          </w:p>
        </w:tc>
        <w:tc>
          <w:tcPr>
            <w:tcW w:w="320" w:type="dxa"/>
            <w:vAlign w:val="bottom"/>
          </w:tcPr>
          <w:p>
            <w:pPr>
              <w:spacing w:after="0"/>
              <w:rPr>
                <w:sz w:val="11"/>
                <w:szCs w:val="11"/>
                <w:color w:val="auto"/>
              </w:rPr>
            </w:pPr>
          </w:p>
        </w:tc>
        <w:tc>
          <w:tcPr>
            <w:tcW w:w="1080" w:type="dxa"/>
            <w:vAlign w:val="bottom"/>
            <w:tcBorders>
              <w:right w:val="single" w:sz="8" w:color="auto"/>
            </w:tcBorders>
            <w:gridSpan w:val="2"/>
          </w:tcPr>
          <w:p>
            <w:pPr>
              <w:jc w:val="right"/>
              <w:ind w:right="140"/>
              <w:spacing w:after="0" w:line="135" w:lineRule="exact"/>
              <w:rPr>
                <w:sz w:val="20"/>
                <w:szCs w:val="20"/>
                <w:color w:val="auto"/>
              </w:rPr>
            </w:pPr>
            <w:r>
              <w:rPr>
                <w:rFonts w:ascii="Arial" w:cs="Arial" w:eastAsia="Arial" w:hAnsi="Arial"/>
                <w:sz w:val="13"/>
                <w:szCs w:val="13"/>
                <w:color w:val="auto"/>
              </w:rPr>
              <w:t>(11,097)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(1,847)</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(4,365)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income</w:t>
            </w: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24,816</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CCEEFF"/>
            </w:tcBorders>
            <w:shd w:val="clear" w:color="auto" w:fill="CCEEFF"/>
          </w:tcPr>
          <w:p>
            <w:pPr>
              <w:jc w:val="center"/>
              <w:ind w:right="197"/>
              <w:spacing w:after="0" w:line="129" w:lineRule="exact"/>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67,168</w:t>
            </w:r>
          </w:p>
        </w:tc>
        <w:tc>
          <w:tcPr>
            <w:tcW w:w="14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38,897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84,205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26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3"/>
                <w:szCs w:val="13"/>
                <w:color w:val="auto"/>
              </w:rPr>
              <w:t>Less: Pre-IPO net income attributable to Tradeweb Markets LLC</w:t>
            </w: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42,352</w:t>
            </w:r>
          </w:p>
        </w:tc>
        <w:tc>
          <w:tcPr>
            <w:tcW w:w="140" w:type="dxa"/>
            <w:vAlign w:val="bottom"/>
            <w:tcBorders>
              <w:bottom w:val="single" w:sz="8" w:color="CCEEFF"/>
              <w:right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2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4"/>
              </w:rPr>
              <w:t>Net income attributable to Tradeweb Markets Inc. and non-controlling interests</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24,816</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24,816</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Less: Net income attributable to non-controlling interests</w:t>
            </w: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11,988</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11,988</w:t>
            </w:r>
          </w:p>
        </w:tc>
        <w:tc>
          <w:tcPr>
            <w:tcW w:w="140" w:type="dxa"/>
            <w:vAlign w:val="bottom"/>
            <w:tcBorders>
              <w:bottom w:val="single" w:sz="8" w:color="CCEEFF"/>
              <w:right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income attributable to Tradeweb Markets Inc.</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12,828</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center"/>
              <w:ind w:right="197"/>
              <w:spacing w:after="0" w:line="129" w:lineRule="exact"/>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12,828</w:t>
            </w: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426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EPS calculations for pre-IPO and post-IPO periods </w:t>
            </w:r>
            <w:r>
              <w:rPr>
                <w:rFonts w:ascii="Arial" w:cs="Arial" w:eastAsia="Arial" w:hAnsi="Arial"/>
                <w:sz w:val="14"/>
                <w:szCs w:val="14"/>
                <w:b w:val="1"/>
                <w:bCs w:val="1"/>
                <w:color w:val="auto"/>
                <w:vertAlign w:val="superscript"/>
              </w:rPr>
              <w:t>(1)</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Earnings per share</w:t>
            </w: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 xml:space="preserve">0.19 </w:t>
            </w:r>
            <w:r>
              <w:rPr>
                <w:rFonts w:ascii="Arial" w:cs="Arial" w:eastAsia="Arial" w:hAnsi="Arial"/>
                <w:sz w:val="14"/>
                <w:szCs w:val="14"/>
                <w:color w:val="auto"/>
                <w:vertAlign w:val="superscript"/>
              </w:rPr>
              <w:t>(a)</w:t>
            </w: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Borders>
              <w:right w:val="single" w:sz="8" w:color="auto"/>
            </w:tcBorders>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26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 xml:space="preserve">0.09 </w:t>
            </w:r>
            <w:r>
              <w:rPr>
                <w:rFonts w:ascii="Arial" w:cs="Arial" w:eastAsia="Arial" w:hAnsi="Arial"/>
                <w:sz w:val="14"/>
                <w:szCs w:val="14"/>
                <w:color w:val="auto"/>
                <w:vertAlign w:val="superscript"/>
              </w:rPr>
              <w:t>(b)</w:t>
            </w:r>
          </w:p>
        </w:tc>
        <w:tc>
          <w:tcPr>
            <w:tcW w:w="540" w:type="dxa"/>
            <w:vAlign w:val="bottom"/>
            <w:gridSpan w:val="3"/>
          </w:tcPr>
          <w:p>
            <w:pPr>
              <w:jc w:val="center"/>
              <w:spacing w:after="0"/>
              <w:rPr>
                <w:sz w:val="20"/>
                <w:szCs w:val="20"/>
                <w:color w:val="auto"/>
              </w:rPr>
            </w:pPr>
            <w:r>
              <w:rPr>
                <w:rFonts w:ascii="Arial" w:cs="Arial" w:eastAsia="Arial" w:hAnsi="Arial"/>
                <w:sz w:val="13"/>
                <w:szCs w:val="13"/>
                <w:color w:val="auto"/>
                <w:w w:val="82"/>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 xml:space="preserve">0.09 </w:t>
            </w:r>
            <w:r>
              <w:rPr>
                <w:rFonts w:ascii="Arial" w:cs="Arial" w:eastAsia="Arial" w:hAnsi="Arial"/>
                <w:sz w:val="14"/>
                <w:szCs w:val="14"/>
                <w:color w:val="auto"/>
                <w:vertAlign w:val="superscript"/>
              </w:rPr>
              <w:t>(b)</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ind w:left="500"/>
              <w:spacing w:after="0"/>
              <w:rPr>
                <w:sz w:val="20"/>
                <w:szCs w:val="20"/>
                <w:color w:val="auto"/>
              </w:rPr>
            </w:pPr>
            <w:r>
              <w:rPr>
                <w:rFonts w:ascii="Arial" w:cs="Arial" w:eastAsia="Arial" w:hAnsi="Arial"/>
                <w:sz w:val="13"/>
                <w:szCs w:val="13"/>
                <w:color w:val="auto"/>
              </w:rPr>
              <w:t xml:space="preserve">0.18 </w:t>
            </w:r>
            <w:r>
              <w:rPr>
                <w:rFonts w:ascii="Arial" w:cs="Arial" w:eastAsia="Arial" w:hAnsi="Arial"/>
                <w:sz w:val="14"/>
                <w:szCs w:val="14"/>
                <w:color w:val="auto"/>
                <w:vertAlign w:val="superscript"/>
              </w:rPr>
              <w:t>(a)</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 xml:space="preserve">0.39 </w:t>
            </w:r>
            <w:r>
              <w:rPr>
                <w:rFonts w:ascii="Arial" w:cs="Arial" w:eastAsia="Arial" w:hAnsi="Arial"/>
                <w:sz w:val="14"/>
                <w:szCs w:val="14"/>
                <w:color w:val="auto"/>
                <w:vertAlign w:val="superscript"/>
              </w:rPr>
              <w: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Arial" w:cs="Arial" w:eastAsia="Arial" w:hAnsi="Arial"/>
                <w:sz w:val="11"/>
                <w:szCs w:val="11"/>
                <w:color w:val="auto"/>
              </w:rPr>
              <w:t xml:space="preserve">0.19 </w:t>
            </w:r>
            <w:r>
              <w:rPr>
                <w:rFonts w:ascii="Arial" w:cs="Arial" w:eastAsia="Arial" w:hAnsi="Arial"/>
                <w:sz w:val="12"/>
                <w:szCs w:val="12"/>
                <w:color w:val="auto"/>
                <w:vertAlign w:val="superscript"/>
              </w:rPr>
              <w:t>(a)</w:t>
            </w:r>
            <w:r>
              <w:rPr>
                <w:rFonts w:ascii="Arial" w:cs="Arial" w:eastAsia="Arial" w:hAnsi="Arial"/>
                <w:sz w:val="11"/>
                <w:szCs w:val="11"/>
                <w:color w:val="auto"/>
              </w:rPr>
              <w:t>/</w:t>
            </w:r>
          </w:p>
        </w:tc>
        <w:tc>
          <w:tcPr>
            <w:tcW w:w="1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260" w:type="dxa"/>
            <w:vAlign w:val="bottom"/>
            <w:gridSpan w:val="2"/>
          </w:tcPr>
          <w:p>
            <w:pPr>
              <w:ind w:left="120"/>
              <w:spacing w:after="0"/>
              <w:rPr>
                <w:sz w:val="20"/>
                <w:szCs w:val="20"/>
                <w:color w:val="auto"/>
              </w:rPr>
            </w:pPr>
            <w:r>
              <w:rPr>
                <w:rFonts w:ascii="Arial" w:cs="Arial" w:eastAsia="Arial" w:hAnsi="Arial"/>
                <w:sz w:val="13"/>
                <w:szCs w:val="13"/>
                <w:color w:val="auto"/>
              </w:rPr>
              <w:t>Diluted</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 xml:space="preserve">0.09 </w:t>
            </w:r>
            <w:r>
              <w:rPr>
                <w:rFonts w:ascii="Arial" w:cs="Arial" w:eastAsia="Arial" w:hAnsi="Arial"/>
                <w:sz w:val="14"/>
                <w:szCs w:val="14"/>
                <w:color w:val="auto"/>
                <w:vertAlign w:val="superscript"/>
              </w:rPr>
              <w:t>(b)</w:t>
            </w:r>
          </w:p>
        </w:tc>
        <w:tc>
          <w:tcPr>
            <w:tcW w:w="2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1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 xml:space="preserve">0.09 </w:t>
            </w:r>
            <w:r>
              <w:rPr>
                <w:rFonts w:ascii="Arial" w:cs="Arial" w:eastAsia="Arial" w:hAnsi="Arial"/>
                <w:sz w:val="14"/>
                <w:szCs w:val="14"/>
                <w:color w:val="auto"/>
                <w:vertAlign w:val="superscript"/>
              </w:rPr>
              <w:t>(b)</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 xml:space="preserve">0.18 </w:t>
            </w:r>
            <w:r>
              <w:rPr>
                <w:rFonts w:ascii="Arial" w:cs="Arial" w:eastAsia="Arial" w:hAnsi="Arial"/>
                <w:sz w:val="14"/>
                <w:szCs w:val="14"/>
                <w:color w:val="auto"/>
                <w:vertAlign w:val="superscript"/>
              </w:rPr>
              <w:t>(a)</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 xml:space="preserve">0.39 </w:t>
            </w:r>
            <w:r>
              <w:rPr>
                <w:rFonts w:ascii="Arial" w:cs="Arial" w:eastAsia="Arial" w:hAnsi="Arial"/>
                <w:sz w:val="14"/>
                <w:szCs w:val="14"/>
                <w:color w:val="auto"/>
                <w:vertAlign w:val="superscript"/>
              </w:rPr>
              <w:t>(a)</w:t>
            </w: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line="135" w:lineRule="exact"/>
              <w:rPr>
                <w:sz w:val="20"/>
                <w:szCs w:val="20"/>
                <w:color w:val="auto"/>
              </w:rPr>
            </w:pPr>
            <w:r>
              <w:rPr>
                <w:rFonts w:ascii="Arial" w:cs="Arial" w:eastAsia="Arial" w:hAnsi="Arial"/>
                <w:sz w:val="13"/>
                <w:szCs w:val="13"/>
                <w:color w:val="auto"/>
              </w:rPr>
              <w:t>Weighted average shares outstanding</w:t>
            </w: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3"/>
              </w:rPr>
              <w:t xml:space="preserve">142,933,192 </w:t>
            </w:r>
            <w:r>
              <w:rPr>
                <w:rFonts w:ascii="Arial" w:cs="Arial" w:eastAsia="Arial" w:hAnsi="Arial"/>
                <w:sz w:val="14"/>
                <w:szCs w:val="14"/>
                <w:color w:val="auto"/>
                <w:w w:val="93"/>
                <w:vertAlign w:val="superscript"/>
              </w:rPr>
              <w:t>(b)</w:t>
            </w:r>
          </w:p>
        </w:tc>
        <w:tc>
          <w:tcPr>
            <w:tcW w:w="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6"/>
              </w:rPr>
              <w:t xml:space="preserve">222,222,197 </w:t>
            </w:r>
            <w:r>
              <w:rPr>
                <w:rFonts w:ascii="Arial" w:cs="Arial" w:eastAsia="Arial" w:hAnsi="Arial"/>
                <w:sz w:val="14"/>
                <w:szCs w:val="14"/>
                <w:color w:val="auto"/>
                <w:w w:val="96"/>
                <w:vertAlign w:val="superscript"/>
              </w:rPr>
              <w:t>(a)</w:t>
            </w:r>
            <w:r>
              <w:rPr>
                <w:rFonts w:ascii="Arial" w:cs="Arial" w:eastAsia="Arial" w:hAnsi="Arial"/>
                <w:sz w:val="13"/>
                <w:szCs w:val="13"/>
                <w:color w:val="auto"/>
                <w:w w:val="96"/>
              </w:rPr>
              <w:t>/</w:t>
            </w:r>
          </w:p>
        </w:tc>
        <w:tc>
          <w:tcPr>
            <w:tcW w:w="140" w:type="dxa"/>
            <w:vAlign w:val="bottom"/>
            <w:tcBorders>
              <w:right w:val="single" w:sz="8" w:color="auto"/>
            </w:tcBorders>
            <w:vMerge w:val="restart"/>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3"/>
              </w:rPr>
              <w:t xml:space="preserve">213,435,314 </w:t>
            </w:r>
            <w:r>
              <w:rPr>
                <w:rFonts w:ascii="Arial" w:cs="Arial" w:eastAsia="Arial" w:hAnsi="Arial"/>
                <w:sz w:val="14"/>
                <w:szCs w:val="14"/>
                <w:color w:val="auto"/>
                <w:w w:val="93"/>
                <w:vertAlign w:val="superscript"/>
              </w:rPr>
              <w:t>(a)</w:t>
            </w:r>
          </w:p>
        </w:tc>
        <w:tc>
          <w:tcPr>
            <w:tcW w:w="18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9"/>
              </w:rPr>
              <w:t xml:space="preserve">213,435,314 </w:t>
            </w:r>
            <w:r>
              <w:rPr>
                <w:rFonts w:ascii="Arial" w:cs="Arial" w:eastAsia="Arial" w:hAnsi="Arial"/>
                <w:sz w:val="14"/>
                <w:szCs w:val="14"/>
                <w:color w:val="auto"/>
                <w:w w:val="89"/>
                <w:vertAlign w:val="superscript"/>
              </w:rPr>
              <w:t>(a)</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4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Basic</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right w:val="single" w:sz="8" w:color="auto"/>
            </w:tcBorders>
            <w:gridSpan w:val="2"/>
          </w:tcPr>
          <w:p>
            <w:pPr>
              <w:jc w:val="right"/>
              <w:ind w:right="240"/>
              <w:spacing w:after="0" w:line="135" w:lineRule="exact"/>
              <w:rPr>
                <w:sz w:val="20"/>
                <w:szCs w:val="20"/>
                <w:color w:val="auto"/>
              </w:rPr>
            </w:pPr>
            <w:r>
              <w:rPr>
                <w:rFonts w:ascii="Arial" w:cs="Arial" w:eastAsia="Arial" w:hAnsi="Arial"/>
                <w:sz w:val="13"/>
                <w:szCs w:val="13"/>
                <w:color w:val="auto"/>
                <w:w w:val="93"/>
              </w:rPr>
              <w:t xml:space="preserve">142,933,192 </w:t>
            </w:r>
            <w:r>
              <w:rPr>
                <w:rFonts w:ascii="Arial" w:cs="Arial" w:eastAsia="Arial" w:hAnsi="Arial"/>
                <w:sz w:val="14"/>
                <w:szCs w:val="14"/>
                <w:color w:val="auto"/>
                <w:w w:val="93"/>
                <w:vertAlign w:val="superscript"/>
              </w:rPr>
              <w:t>(b)</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w w:val="93"/>
              </w:rPr>
              <w:t xml:space="preserve">150,847,183 </w:t>
            </w:r>
            <w:r>
              <w:rPr>
                <w:rFonts w:ascii="Arial" w:cs="Arial" w:eastAsia="Arial" w:hAnsi="Arial"/>
                <w:sz w:val="14"/>
                <w:szCs w:val="14"/>
                <w:color w:val="auto"/>
                <w:w w:val="93"/>
                <w:vertAlign w:val="superscript"/>
              </w:rPr>
              <w:t>(b)</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13"/>
                <w:szCs w:val="13"/>
                <w:color w:val="auto"/>
                <w:w w:val="96"/>
              </w:rPr>
              <w:t xml:space="preserve">223,320,457 </w:t>
            </w:r>
            <w:r>
              <w:rPr>
                <w:rFonts w:ascii="Arial" w:cs="Arial" w:eastAsia="Arial" w:hAnsi="Arial"/>
                <w:sz w:val="14"/>
                <w:szCs w:val="14"/>
                <w:color w:val="auto"/>
                <w:w w:val="96"/>
                <w:vertAlign w:val="superscript"/>
              </w:rPr>
              <w:t>(a)</w:t>
            </w:r>
            <w:r>
              <w:rPr>
                <w:rFonts w:ascii="Arial" w:cs="Arial" w:eastAsia="Arial" w:hAnsi="Arial"/>
                <w:sz w:val="13"/>
                <w:szCs w:val="13"/>
                <w:color w:val="auto"/>
                <w:w w:val="96"/>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w w:val="93"/>
              </w:rPr>
              <w:t xml:space="preserve">213,435,314 </w:t>
            </w:r>
            <w:r>
              <w:rPr>
                <w:rFonts w:ascii="Arial" w:cs="Arial" w:eastAsia="Arial" w:hAnsi="Arial"/>
                <w:sz w:val="14"/>
                <w:szCs w:val="14"/>
                <w:color w:val="auto"/>
                <w:w w:val="93"/>
                <w:vertAlign w:val="superscript"/>
              </w:rPr>
              <w:t>(a)</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w w:val="89"/>
              </w:rPr>
              <w:t xml:space="preserve">213,435,314 </w:t>
            </w:r>
            <w:r>
              <w:rPr>
                <w:rFonts w:ascii="Arial" w:cs="Arial" w:eastAsia="Arial" w:hAnsi="Arial"/>
                <w:sz w:val="14"/>
                <w:szCs w:val="14"/>
                <w:color w:val="auto"/>
                <w:w w:val="89"/>
                <w:vertAlign w:val="superscript"/>
              </w:rPr>
              <w:t>(a)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60" w:type="dxa"/>
            <w:vAlign w:val="bottom"/>
            <w:gridSpan w:val="2"/>
          </w:tcPr>
          <w:p>
            <w:pPr>
              <w:ind w:left="120"/>
              <w:spacing w:after="0"/>
              <w:rPr>
                <w:sz w:val="20"/>
                <w:szCs w:val="20"/>
                <w:color w:val="auto"/>
              </w:rPr>
            </w:pPr>
            <w:r>
              <w:rPr>
                <w:rFonts w:ascii="Arial" w:cs="Arial" w:eastAsia="Arial" w:hAnsi="Arial"/>
                <w:sz w:val="13"/>
                <w:szCs w:val="13"/>
                <w:color w:val="auto"/>
              </w:rPr>
              <w:t>Diluted</w:t>
            </w: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w w:val="98"/>
              </w:rPr>
              <w:t xml:space="preserve">150,847,183 </w:t>
            </w:r>
            <w:r>
              <w:rPr>
                <w:rFonts w:ascii="Arial" w:cs="Arial" w:eastAsia="Arial" w:hAnsi="Arial"/>
                <w:sz w:val="14"/>
                <w:szCs w:val="14"/>
                <w:color w:val="auto"/>
                <w:w w:val="98"/>
                <w:vertAlign w:val="superscript"/>
              </w:rPr>
              <w:t>(b)</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-1062990</wp:posOffset>
            </wp:positionV>
            <wp:extent cx="5754370"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-522605</wp:posOffset>
            </wp:positionV>
            <wp:extent cx="575437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94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-256540</wp:posOffset>
            </wp:positionV>
            <wp:extent cx="575437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-891540</wp:posOffset>
            </wp:positionV>
            <wp:extent cx="575437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88595"/>
                    </a:xfrm>
                    <a:prstGeom prst="rect">
                      <a:avLst/>
                    </a:prstGeom>
                    <a:noFill/>
                  </pic:spPr>
                </pic:pic>
              </a:graphicData>
            </a:graphic>
          </wp:anchor>
        </w:drawing>
      </w:r>
    </w:p>
    <w:p>
      <w:pPr>
        <w:spacing w:after="0" w:line="187" w:lineRule="exact"/>
        <w:rPr>
          <w:sz w:val="20"/>
          <w:szCs w:val="20"/>
          <w:color w:val="auto"/>
        </w:rPr>
      </w:pPr>
    </w:p>
    <w:p>
      <w:pPr>
        <w:ind w:left="400" w:right="20" w:hanging="316"/>
        <w:spacing w:after="0" w:line="241"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April 2019, the Company completed the Reorganization Transactions and the IPO, which, among other things, resulted Tradeweb Markets Inc. becoming the successor of Tradeweb Markets LLC for financial reporting purposes. As a result, earnings per share information for the pre-IPO period is not comparable to the earnings per share information for the post-IPO period. As a result, earnings per share information is being presented separately for the pre-IPO and post-IPO periods.</w:t>
      </w:r>
    </w:p>
    <w:p>
      <w:pPr>
        <w:spacing w:after="0" w:line="1" w:lineRule="exact"/>
        <w:rPr>
          <w:rFonts w:ascii="Arial" w:cs="Arial" w:eastAsia="Arial" w:hAnsi="Arial"/>
          <w:sz w:val="14"/>
          <w:szCs w:val="14"/>
          <w:color w:val="auto"/>
        </w:rPr>
      </w:pPr>
    </w:p>
    <w:p>
      <w:pPr>
        <w:ind w:left="1060" w:hanging="328"/>
        <w:spacing w:after="0"/>
        <w:tabs>
          <w:tab w:leader="none" w:pos="1060" w:val="left"/>
        </w:tabs>
        <w:numPr>
          <w:ilvl w:val="1"/>
          <w:numId w:val="6"/>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spacing w:after="0" w:line="1" w:lineRule="exact"/>
        <w:rPr>
          <w:rFonts w:ascii="Arial" w:cs="Arial" w:eastAsia="Arial" w:hAnsi="Arial"/>
          <w:sz w:val="14"/>
          <w:szCs w:val="14"/>
          <w:color w:val="auto"/>
        </w:rPr>
      </w:pPr>
    </w:p>
    <w:p>
      <w:pPr>
        <w:ind w:left="1060" w:hanging="328"/>
        <w:spacing w:after="0"/>
        <w:tabs>
          <w:tab w:leader="none" w:pos="1060" w:val="left"/>
        </w:tabs>
        <w:numPr>
          <w:ilvl w:val="1"/>
          <w:numId w:val="6"/>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See “Basic and Diluted EPS Calculations” below for additional information.</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Successor</w:t>
            </w:r>
          </w:p>
        </w:tc>
        <w:tc>
          <w:tcPr>
            <w:tcW w:w="680" w:type="dxa"/>
            <w:vAlign w:val="bottom"/>
            <w:tcBorders>
              <w:bottom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7"/>
                <w:szCs w:val="17"/>
                <w:color w:val="auto"/>
              </w:rPr>
            </w:pPr>
          </w:p>
        </w:tc>
        <w:tc>
          <w:tcPr>
            <w:tcW w:w="9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Six</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Three</w:t>
            </w:r>
          </w:p>
        </w:tc>
        <w:tc>
          <w:tcPr>
            <w:tcW w:w="200" w:type="dxa"/>
            <w:vAlign w:val="bottom"/>
          </w:tcPr>
          <w:p>
            <w:pPr>
              <w:spacing w:after="0"/>
              <w:rPr>
                <w:sz w:val="17"/>
                <w:szCs w:val="17"/>
                <w:color w:val="auto"/>
              </w:rPr>
            </w:pPr>
          </w:p>
        </w:tc>
        <w:tc>
          <w:tcPr>
            <w:tcW w:w="90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4"/>
              </w:rPr>
              <w:t>Six</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97"/>
              <w:spacing w:after="0"/>
              <w:rPr>
                <w:sz w:val="20"/>
                <w:szCs w:val="20"/>
                <w:color w:val="auto"/>
              </w:rPr>
            </w:pPr>
            <w:r>
              <w:rPr>
                <w:rFonts w:ascii="Arial" w:cs="Arial" w:eastAsia="Arial" w:hAnsi="Arial"/>
                <w:sz w:val="14"/>
                <w:szCs w:val="14"/>
                <w:b w:val="1"/>
                <w:bCs w:val="1"/>
                <w:color w:val="auto"/>
                <w:w w:val="92"/>
              </w:rPr>
              <w:t>Months</w:t>
            </w:r>
          </w:p>
        </w:tc>
        <w:tc>
          <w:tcPr>
            <w:tcW w:w="220" w:type="dxa"/>
            <w:vAlign w:val="bottom"/>
          </w:tcPr>
          <w:p>
            <w:pPr>
              <w:spacing w:after="0"/>
              <w:rPr>
                <w:sz w:val="17"/>
                <w:szCs w:val="17"/>
                <w:color w:val="auto"/>
              </w:rPr>
            </w:pPr>
          </w:p>
        </w:tc>
        <w:tc>
          <w:tcPr>
            <w:tcW w:w="9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Months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77"/>
              <w:spacing w:after="0"/>
              <w:rPr>
                <w:sz w:val="20"/>
                <w:szCs w:val="20"/>
                <w:color w:val="auto"/>
              </w:rPr>
            </w:pPr>
            <w:r>
              <w:rPr>
                <w:rFonts w:ascii="Arial" w:cs="Arial" w:eastAsia="Arial" w:hAnsi="Arial"/>
                <w:sz w:val="14"/>
                <w:szCs w:val="14"/>
                <w:b w:val="1"/>
                <w:bCs w:val="1"/>
                <w:color w:val="auto"/>
                <w:w w:val="96"/>
              </w:rPr>
              <w:t>Months</w:t>
            </w:r>
          </w:p>
        </w:tc>
        <w:tc>
          <w:tcPr>
            <w:tcW w:w="200" w:type="dxa"/>
            <w:vAlign w:val="bottom"/>
          </w:tcPr>
          <w:p>
            <w:pPr>
              <w:spacing w:after="0"/>
              <w:rPr>
                <w:sz w:val="17"/>
                <w:szCs w:val="17"/>
                <w:color w:val="auto"/>
              </w:rPr>
            </w:pPr>
          </w:p>
        </w:tc>
        <w:tc>
          <w:tcPr>
            <w:tcW w:w="90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203"/>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77"/>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7"/>
                <w:szCs w:val="17"/>
                <w:color w:val="auto"/>
              </w:rPr>
            </w:pPr>
          </w:p>
        </w:tc>
        <w:tc>
          <w:tcPr>
            <w:tcW w:w="9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77"/>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7"/>
                <w:szCs w:val="17"/>
                <w:color w:val="auto"/>
              </w:rPr>
            </w:pPr>
          </w:p>
        </w:tc>
        <w:tc>
          <w:tcPr>
            <w:tcW w:w="90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83"/>
        </w:trPr>
        <w:tc>
          <w:tcPr>
            <w:tcW w:w="4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17"/>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5"/>
                <w:szCs w:val="15"/>
                <w:color w:val="auto"/>
              </w:rPr>
            </w:pPr>
          </w:p>
        </w:tc>
        <w:tc>
          <w:tcPr>
            <w:tcW w:w="9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17"/>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5"/>
                <w:szCs w:val="15"/>
                <w:color w:val="auto"/>
              </w:rPr>
            </w:pPr>
          </w:p>
        </w:tc>
        <w:tc>
          <w:tcPr>
            <w:tcW w:w="90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34"/>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and Adjusted EBITDA Margin</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24,816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67,168</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38,897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84,205</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37"/>
              <w:spacing w:after="0"/>
              <w:rPr>
                <w:sz w:val="20"/>
                <w:szCs w:val="20"/>
                <w:color w:val="auto"/>
              </w:rPr>
            </w:pPr>
            <w:r>
              <w:rPr>
                <w:rFonts w:ascii="Arial" w:cs="Arial" w:eastAsia="Arial" w:hAnsi="Arial"/>
                <w:sz w:val="18"/>
                <w:szCs w:val="18"/>
                <w:color w:val="auto"/>
              </w:rPr>
              <w:t>19,297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37"/>
              <w:spacing w:after="0"/>
              <w:rPr>
                <w:sz w:val="20"/>
                <w:szCs w:val="20"/>
                <w:color w:val="auto"/>
              </w:rPr>
            </w:pPr>
            <w:r>
              <w:rPr>
                <w:rFonts w:ascii="Arial" w:cs="Arial" w:eastAsia="Arial" w:hAnsi="Arial"/>
                <w:sz w:val="18"/>
                <w:szCs w:val="18"/>
                <w:color w:val="auto"/>
              </w:rPr>
              <w:t>34,292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67,795</w:t>
            </w: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37"/>
              <w:spacing w:after="0"/>
              <w:rPr>
                <w:sz w:val="20"/>
                <w:szCs w:val="20"/>
                <w:color w:val="auto"/>
              </w:rPr>
            </w:pPr>
            <w:r>
              <w:rPr>
                <w:rFonts w:ascii="Arial" w:cs="Arial" w:eastAsia="Arial" w:hAnsi="Arial"/>
                <w:sz w:val="18"/>
                <w:szCs w:val="18"/>
                <w:color w:val="auto"/>
              </w:rPr>
              <w:t>16,178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Stock-based compensation expense associated with Special</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Option Award</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20,403</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20,403</w:t>
            </w:r>
          </w:p>
        </w:tc>
        <w:tc>
          <w:tcPr>
            <w:tcW w:w="22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37"/>
              <w:spacing w:after="0"/>
              <w:rPr>
                <w:sz w:val="20"/>
                <w:szCs w:val="20"/>
                <w:color w:val="auto"/>
              </w:rPr>
            </w:pPr>
            <w:r>
              <w:rPr>
                <w:rFonts w:ascii="Arial" w:cs="Arial" w:eastAsia="Arial" w:hAnsi="Arial"/>
                <w:sz w:val="18"/>
                <w:szCs w:val="18"/>
                <w:color w:val="auto"/>
              </w:rPr>
              <w:t>6,314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11,097</w:t>
            </w: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37"/>
              <w:spacing w:after="0"/>
              <w:rPr>
                <w:sz w:val="20"/>
                <w:szCs w:val="20"/>
                <w:color w:val="auto"/>
              </w:rPr>
            </w:pPr>
            <w:r>
              <w:rPr>
                <w:rFonts w:ascii="Arial" w:cs="Arial" w:eastAsia="Arial" w:hAnsi="Arial"/>
                <w:sz w:val="18"/>
                <w:szCs w:val="18"/>
                <w:color w:val="auto"/>
              </w:rPr>
              <w:t>1,847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(gains) / losses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1,577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line="162" w:lineRule="exact"/>
              <w:rPr>
                <w:sz w:val="20"/>
                <w:szCs w:val="20"/>
                <w:color w:val="auto"/>
              </w:rPr>
            </w:pPr>
            <w:r>
              <w:rPr>
                <w:rFonts w:ascii="Arial" w:cs="Arial" w:eastAsia="Arial" w:hAnsi="Arial"/>
                <w:sz w:val="18"/>
                <w:szCs w:val="18"/>
                <w:color w:val="auto"/>
                <w:w w:val="94"/>
              </w:rPr>
              <w:t>(Gain) / loss from revaluation of foreign-denominated cash</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177"/>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558</w:t>
            </w:r>
          </w:p>
        </w:tc>
        <w:tc>
          <w:tcPr>
            <w:tcW w:w="2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177"/>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(1)</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86,925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167,272</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74,827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147,508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Adjusted EBITDA margin </w:t>
            </w:r>
            <w:r>
              <w:rPr>
                <w:rFonts w:ascii="Arial" w:cs="Arial" w:eastAsia="Arial" w:hAnsi="Arial"/>
                <w:sz w:val="8"/>
                <w:szCs w:val="8"/>
                <w:b w:val="1"/>
                <w:bCs w:val="1"/>
                <w:color w:val="auto"/>
              </w:rPr>
              <w:t>(2)</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45.6 %</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44.3 %</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43.8 %</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60" w:right="620" w:hanging="333"/>
        <w:spacing w:after="0" w:line="25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foreign exchange gain or loss from the revaluation of cash denominated in a different currency than the entity’s functional currency.</w:t>
      </w:r>
    </w:p>
    <w:p>
      <w:pPr>
        <w:spacing w:after="0" w:line="194" w:lineRule="exact"/>
        <w:rPr>
          <w:rFonts w:ascii="Arial" w:cs="Arial" w:eastAsia="Arial" w:hAnsi="Arial"/>
          <w:sz w:val="14"/>
          <w:szCs w:val="14"/>
          <w:color w:val="auto"/>
        </w:rPr>
      </w:pPr>
    </w:p>
    <w:p>
      <w:pPr>
        <w:ind w:left="660" w:hanging="333"/>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EBITDA margin is defined as Adjusted EBITDA divided by gross revenue for the applicable period.</w:t>
      </w:r>
    </w:p>
    <w:p>
      <w:pPr>
        <w:spacing w:after="0" w:line="200" w:lineRule="exact"/>
        <w:rPr>
          <w:sz w:val="20"/>
          <w:szCs w:val="20"/>
          <w:color w:val="auto"/>
        </w:rPr>
      </w:pPr>
    </w:p>
    <w:p>
      <w:pPr>
        <w:spacing w:after="0" w:line="220" w:lineRule="exact"/>
        <w:rPr>
          <w:sz w:val="20"/>
          <w:szCs w:val="20"/>
          <w:color w:val="auto"/>
        </w:rPr>
      </w:pPr>
    </w:p>
    <w:p>
      <w:pPr>
        <w:ind w:left="89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805" w:right="13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17"/>
              <w:spacing w:after="0"/>
              <w:rPr>
                <w:sz w:val="20"/>
                <w:szCs w:val="20"/>
                <w:color w:val="auto"/>
              </w:rPr>
            </w:pPr>
            <w:r>
              <w:rPr>
                <w:rFonts w:ascii="Arial" w:cs="Arial" w:eastAsia="Arial" w:hAnsi="Arial"/>
                <w:sz w:val="14"/>
                <w:szCs w:val="14"/>
                <w:b w:val="1"/>
                <w:bCs w:val="1"/>
                <w:color w:val="auto"/>
                <w:w w:val="84"/>
              </w:rPr>
              <w:t>Successor</w:t>
            </w:r>
          </w:p>
        </w:tc>
        <w:tc>
          <w:tcPr>
            <w:tcW w:w="96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jc w:val="right"/>
              <w:ind w:right="616"/>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Three</w:t>
            </w:r>
          </w:p>
        </w:tc>
        <w:tc>
          <w:tcPr>
            <w:tcW w:w="360" w:type="dxa"/>
            <w:vAlign w:val="bottom"/>
          </w:tcPr>
          <w:p>
            <w:pPr>
              <w:spacing w:after="0"/>
              <w:rPr>
                <w:sz w:val="17"/>
                <w:szCs w:val="17"/>
                <w:color w:val="auto"/>
              </w:rPr>
            </w:pPr>
          </w:p>
        </w:tc>
        <w:tc>
          <w:tcPr>
            <w:tcW w:w="10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5"/>
              </w:rPr>
              <w:t>Six</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Three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Six</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Months</w:t>
            </w:r>
          </w:p>
        </w:tc>
        <w:tc>
          <w:tcPr>
            <w:tcW w:w="360" w:type="dxa"/>
            <w:vAlign w:val="bottom"/>
          </w:tcPr>
          <w:p>
            <w:pPr>
              <w:spacing w:after="0"/>
              <w:rPr>
                <w:sz w:val="17"/>
                <w:szCs w:val="17"/>
                <w:color w:val="auto"/>
              </w:rPr>
            </w:pPr>
          </w:p>
        </w:tc>
        <w:tc>
          <w:tcPr>
            <w:tcW w:w="10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2"/>
              </w:rPr>
              <w:t>Months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203"/>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to</w:t>
            </w:r>
          </w:p>
        </w:tc>
        <w:tc>
          <w:tcPr>
            <w:tcW w:w="16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7"/>
                <w:szCs w:val="17"/>
                <w:color w:val="auto"/>
              </w:rPr>
            </w:pPr>
          </w:p>
        </w:tc>
        <w:tc>
          <w:tcPr>
            <w:tcW w:w="108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83"/>
        </w:trPr>
        <w:tc>
          <w:tcPr>
            <w:tcW w:w="4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15"/>
                <w:szCs w:val="15"/>
                <w:color w:val="auto"/>
              </w:rPr>
            </w:pPr>
          </w:p>
        </w:tc>
        <w:tc>
          <w:tcPr>
            <w:tcW w:w="108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Net Income and Adjusted Diluted EPS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9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19"/>
        </w:trPr>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 xml:space="preserve">Earnings per diluted share </w:t>
            </w:r>
            <w:r>
              <w:rPr>
                <w:rFonts w:ascii="Arial" w:cs="Arial" w:eastAsia="Arial" w:hAnsi="Arial"/>
                <w:sz w:val="8"/>
                <w:szCs w:val="8"/>
                <w:b w:val="1"/>
                <w:bCs w:val="1"/>
                <w:color w:val="auto"/>
              </w:rPr>
              <w:t>(1)</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 xml:space="preserve">0.09 </w:t>
            </w:r>
            <w:r>
              <w:rPr>
                <w:rFonts w:ascii="Arial" w:cs="Arial" w:eastAsia="Arial" w:hAnsi="Arial"/>
                <w:sz w:val="14"/>
                <w:szCs w:val="14"/>
                <w:b w:val="1"/>
                <w:bCs w:val="1"/>
                <w:color w:val="auto"/>
                <w:vertAlign w:val="superscript"/>
              </w:rPr>
              <w:t>(b)</w:t>
            </w:r>
          </w:p>
        </w:tc>
        <w:tc>
          <w:tcPr>
            <w:tcW w:w="360" w:type="dxa"/>
            <w:vAlign w:val="bottom"/>
            <w:vMerge w:val="restart"/>
            <w:shd w:val="clear" w:color="auto" w:fill="CCEEFF"/>
          </w:tcPr>
          <w:p>
            <w:pPr>
              <w:jc w:val="center"/>
              <w:ind w:right="22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3"/>
                <w:szCs w:val="13"/>
                <w:b w:val="1"/>
                <w:bCs w:val="1"/>
                <w:color w:val="auto"/>
              </w:rPr>
              <w:t xml:space="preserve">0.19 </w:t>
            </w:r>
            <w:r>
              <w:rPr>
                <w:rFonts w:ascii="Arial" w:cs="Arial" w:eastAsia="Arial" w:hAnsi="Arial"/>
                <w:sz w:val="13"/>
                <w:szCs w:val="13"/>
                <w:b w:val="1"/>
                <w:bCs w:val="1"/>
                <w:color w:val="auto"/>
                <w:vertAlign w:val="superscript"/>
              </w:rPr>
              <w:t>(a)</w:t>
            </w:r>
            <w:r>
              <w:rPr>
                <w:rFonts w:ascii="Arial" w:cs="Arial" w:eastAsia="Arial" w:hAnsi="Arial"/>
                <w:sz w:val="13"/>
                <w:szCs w:val="13"/>
                <w:b w:val="1"/>
                <w:bCs w:val="1"/>
                <w:color w:val="auto"/>
              </w:rPr>
              <w:t>/</w:t>
            </w:r>
          </w:p>
        </w:tc>
        <w:tc>
          <w:tcPr>
            <w:tcW w:w="1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 xml:space="preserve">0.18 </w:t>
            </w:r>
            <w:r>
              <w:rPr>
                <w:rFonts w:ascii="Arial" w:cs="Arial" w:eastAsia="Arial" w:hAnsi="Arial"/>
                <w:sz w:val="14"/>
                <w:szCs w:val="14"/>
                <w:b w:val="1"/>
                <w:bCs w:val="1"/>
                <w:color w:val="auto"/>
                <w:vertAlign w:val="superscript"/>
              </w:rPr>
              <w:t>(a)</w:t>
            </w: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xml:space="preserve">0.39 </w:t>
            </w:r>
            <w:r>
              <w:rPr>
                <w:rFonts w:ascii="Arial" w:cs="Arial" w:eastAsia="Arial" w:hAnsi="Arial"/>
                <w:sz w:val="14"/>
                <w:szCs w:val="14"/>
                <w:b w:val="1"/>
                <w:bCs w:val="1"/>
                <w:color w:val="auto"/>
                <w:vertAlign w:val="superscript"/>
              </w:rPr>
              <w:t>(a)</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tcBorders>
            <w:gridSpan w:val="2"/>
            <w:vMerge w:val="continue"/>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 xml:space="preserve">0.09 </w:t>
            </w:r>
            <w:r>
              <w:rPr>
                <w:rFonts w:ascii="Arial" w:cs="Arial" w:eastAsia="Arial" w:hAnsi="Arial"/>
                <w:sz w:val="14"/>
                <w:szCs w:val="14"/>
                <w:b w:val="1"/>
                <w:bCs w:val="1"/>
                <w:color w:val="auto"/>
                <w:vertAlign w:val="superscript"/>
              </w:rPr>
              <w:t>(b)</w:t>
            </w:r>
          </w:p>
        </w:tc>
        <w:tc>
          <w:tcPr>
            <w:tcW w:w="1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gridSpan w:val="2"/>
            <w:vMerge w:val="continue"/>
            <w:shd w:val="clear" w:color="auto" w:fill="CCEEFF"/>
          </w:tcPr>
          <w:p>
            <w:pPr>
              <w:spacing w:after="0"/>
              <w:rPr>
                <w:sz w:val="14"/>
                <w:szCs w:val="14"/>
                <w:color w:val="auto"/>
              </w:rPr>
            </w:pPr>
          </w:p>
        </w:tc>
        <w:tc>
          <w:tcPr>
            <w:tcW w:w="260" w:type="dxa"/>
            <w:vAlign w:val="bottom"/>
            <w:tcBorders>
              <w:bottom w:val="single" w:sz="8" w:color="auto"/>
            </w:tcBorders>
            <w:gridSpan w:val="2"/>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80" w:type="dxa"/>
            <w:vAlign w:val="bottom"/>
          </w:tcPr>
          <w:p>
            <w:pPr>
              <w:spacing w:after="0" w:line="195" w:lineRule="exact"/>
              <w:rPr>
                <w:sz w:val="20"/>
                <w:szCs w:val="20"/>
                <w:color w:val="auto"/>
              </w:rPr>
            </w:pPr>
            <w:r>
              <w:rPr>
                <w:rFonts w:ascii="Arial" w:cs="Arial" w:eastAsia="Arial" w:hAnsi="Arial"/>
                <w:sz w:val="18"/>
                <w:szCs w:val="18"/>
                <w:color w:val="auto"/>
                <w:w w:val="95"/>
              </w:rPr>
              <w:t>Pre-IPO net income attributable to Tradeweb Markets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8"/>
                <w:szCs w:val="8"/>
                <w:color w:val="auto"/>
              </w:rPr>
              <w:t>(1)</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center"/>
              <w:ind w:right="22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 xml:space="preserve">42,352 </w:t>
            </w:r>
            <w:r>
              <w:rPr>
                <w:rFonts w:ascii="Arial" w:cs="Arial" w:eastAsia="Arial" w:hAnsi="Arial"/>
                <w:sz w:val="8"/>
                <w:szCs w:val="8"/>
                <w:color w:val="auto"/>
              </w:rPr>
              <w:t>(a)</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38,897 </w:t>
            </w:r>
            <w:r>
              <w:rPr>
                <w:rFonts w:ascii="Arial" w:cs="Arial" w:eastAsia="Arial" w:hAnsi="Arial"/>
                <w:sz w:val="8"/>
                <w:szCs w:val="8"/>
                <w:color w:val="auto"/>
              </w:rPr>
              <w:t>(a)</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 xml:space="preserve">84,205 </w:t>
            </w:r>
            <w:r>
              <w:rPr>
                <w:rFonts w:ascii="Arial" w:cs="Arial" w:eastAsia="Arial" w:hAnsi="Arial"/>
                <w:sz w:val="8"/>
                <w:szCs w:val="8"/>
                <w:color w:val="auto"/>
              </w:rPr>
              <w:t>(a)</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Net income attributable to Tradeweb Markets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8"/>
                <w:szCs w:val="8"/>
                <w:color w:val="auto"/>
              </w:rPr>
              <w:t>(1)</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xml:space="preserve">12,828 </w:t>
            </w:r>
            <w:r>
              <w:rPr>
                <w:rFonts w:ascii="Arial" w:cs="Arial" w:eastAsia="Arial" w:hAnsi="Arial"/>
                <w:sz w:val="8"/>
                <w:szCs w:val="8"/>
                <w:color w:val="auto"/>
              </w:rPr>
              <w:t>(b)</w:t>
            </w:r>
          </w:p>
        </w:tc>
        <w:tc>
          <w:tcPr>
            <w:tcW w:w="360" w:type="dxa"/>
            <w:vAlign w:val="bottom"/>
            <w:shd w:val="clear" w:color="auto" w:fill="CCEEFF"/>
          </w:tcPr>
          <w:p>
            <w:pPr>
              <w:spacing w:after="0"/>
              <w:rPr>
                <w:sz w:val="20"/>
                <w:szCs w:val="20"/>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xml:space="preserve">12,828 </w:t>
            </w:r>
            <w:r>
              <w:rPr>
                <w:rFonts w:ascii="Arial" w:cs="Arial" w:eastAsia="Arial" w:hAnsi="Arial"/>
                <w:sz w:val="8"/>
                <w:szCs w:val="8"/>
                <w:color w:val="auto"/>
              </w:rPr>
              <w:t>(b)</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Add: Net income attributable to non-controlling</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interests </w:t>
            </w:r>
            <w:r>
              <w:rPr>
                <w:rFonts w:ascii="Arial" w:cs="Arial" w:eastAsia="Arial" w:hAnsi="Arial"/>
                <w:sz w:val="8"/>
                <w:szCs w:val="8"/>
                <w:color w:val="auto"/>
              </w:rPr>
              <w:t>(1)(2)</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 xml:space="preserve">11,988 </w:t>
            </w:r>
            <w:r>
              <w:rPr>
                <w:rFonts w:ascii="Arial" w:cs="Arial" w:eastAsia="Arial" w:hAnsi="Arial"/>
                <w:sz w:val="8"/>
                <w:szCs w:val="8"/>
                <w:color w:val="auto"/>
              </w:rPr>
              <w:t>(b)</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 xml:space="preserve">11,988 </w:t>
            </w:r>
            <w:r>
              <w:rPr>
                <w:rFonts w:ascii="Arial" w:cs="Arial" w:eastAsia="Arial" w:hAnsi="Arial"/>
                <w:sz w:val="8"/>
                <w:szCs w:val="8"/>
                <w:color w:val="auto"/>
              </w:rPr>
              <w:t>(b)</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 xml:space="preserve">24,816 </w:t>
            </w:r>
            <w:r>
              <w:rPr>
                <w:rFonts w:ascii="Arial" w:cs="Arial" w:eastAsia="Arial" w:hAnsi="Arial"/>
                <w:sz w:val="8"/>
                <w:szCs w:val="8"/>
                <w:b w:val="1"/>
                <w:bCs w:val="1"/>
                <w:color w:val="auto"/>
              </w:rPr>
              <w:t>(b)</w:t>
            </w:r>
          </w:p>
        </w:tc>
        <w:tc>
          <w:tcPr>
            <w:tcW w:w="360" w:type="dxa"/>
            <w:vAlign w:val="bottom"/>
            <w:tcBorders>
              <w:bottom w:val="single" w:sz="8" w:color="auto"/>
            </w:tcBorders>
            <w:shd w:val="clear" w:color="auto" w:fill="CCEEFF"/>
          </w:tcPr>
          <w:p>
            <w:pPr>
              <w:jc w:val="center"/>
              <w:ind w:right="22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xml:space="preserve">67,168 </w:t>
            </w:r>
            <w:r>
              <w:rPr>
                <w:rFonts w:ascii="Arial" w:cs="Arial" w:eastAsia="Arial" w:hAnsi="Arial"/>
                <w:sz w:val="8"/>
                <w:szCs w:val="8"/>
                <w:b w:val="1"/>
                <w:bCs w:val="1"/>
                <w:color w:val="auto"/>
              </w:rPr>
              <w:t>(a)(b)</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xml:space="preserve">38,897 </w:t>
            </w:r>
            <w:r>
              <w:rPr>
                <w:rFonts w:ascii="Arial" w:cs="Arial" w:eastAsia="Arial" w:hAnsi="Arial"/>
                <w:sz w:val="8"/>
                <w:szCs w:val="8"/>
                <w:b w:val="1"/>
                <w:bCs w:val="1"/>
                <w:color w:val="auto"/>
              </w:rPr>
              <w:t>(a)</w:t>
            </w:r>
          </w:p>
        </w:tc>
        <w:tc>
          <w:tcPr>
            <w:tcW w:w="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84,205 </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6,314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11,097</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Acquisition and Refinitiv Transaction related D&amp;A</w:t>
            </w:r>
            <w:r>
              <w:rPr>
                <w:rFonts w:ascii="Arial" w:cs="Arial" w:eastAsia="Arial" w:hAnsi="Arial"/>
                <w:sz w:val="8"/>
                <w:szCs w:val="8"/>
                <w:color w:val="auto"/>
              </w:rPr>
              <w:t>(3)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24,133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47,342</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13,063</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Stock-based compensation expense associated with</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Special Option Award</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20,403</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20,403</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Unrealized foreign exchange (gains) / losses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(Gain) / loss from revaluation of foreign denominated</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w:t>
            </w:r>
            <w:r>
              <w:rPr>
                <w:rFonts w:ascii="Arial" w:cs="Arial" w:eastAsia="Arial" w:hAnsi="Arial"/>
                <w:sz w:val="8"/>
                <w:szCs w:val="8"/>
                <w:color w:val="auto"/>
              </w:rPr>
              <w:t>(4)</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Adjusted Net Income before income taxes</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76,941</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147,852</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129,178</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income taxes</w:t>
            </w:r>
            <w:r>
              <w:rPr>
                <w:rFonts w:ascii="Arial" w:cs="Arial" w:eastAsia="Arial" w:hAnsi="Arial"/>
                <w:sz w:val="8"/>
                <w:szCs w:val="8"/>
                <w:color w:val="auto"/>
              </w:rPr>
              <w:t>(5)</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(20,312)</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(39,033)</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(34,103)</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Net Income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56,629</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108,819</w:t>
            </w:r>
          </w:p>
        </w:tc>
        <w:tc>
          <w:tcPr>
            <w:tcW w:w="12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95,075</w:t>
            </w:r>
          </w:p>
        </w:tc>
        <w:tc>
          <w:tcPr>
            <w:tcW w:w="0" w:type="dxa"/>
            <w:vAlign w:val="bottom"/>
          </w:tcPr>
          <w:p>
            <w:pPr>
              <w:spacing w:after="0"/>
              <w:rPr>
                <w:sz w:val="1"/>
                <w:szCs w:val="1"/>
                <w:color w:val="auto"/>
              </w:rPr>
            </w:pPr>
          </w:p>
        </w:tc>
      </w:tr>
      <w:tr>
        <w:trPr>
          <w:trHeight w:val="119"/>
        </w:trPr>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Diluted EPS </w:t>
            </w:r>
            <w:r>
              <w:rPr>
                <w:rFonts w:ascii="Arial" w:cs="Arial" w:eastAsia="Arial" w:hAnsi="Arial"/>
                <w:sz w:val="8"/>
                <w:szCs w:val="8"/>
                <w:b w:val="1"/>
                <w:bCs w:val="1"/>
                <w:color w:val="auto"/>
              </w:rPr>
              <w:t>(1)(6)</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 xml:space="preserve">0.25 </w:t>
            </w:r>
            <w:r>
              <w:rPr>
                <w:rFonts w:ascii="Arial" w:cs="Arial" w:eastAsia="Arial" w:hAnsi="Arial"/>
                <w:sz w:val="14"/>
                <w:szCs w:val="14"/>
                <w:b w:val="1"/>
                <w:bCs w:val="1"/>
                <w:color w:val="auto"/>
                <w:vertAlign w:val="superscript"/>
              </w:rPr>
              <w:t>(b)</w:t>
            </w:r>
          </w:p>
        </w:tc>
        <w:tc>
          <w:tcPr>
            <w:tcW w:w="360" w:type="dxa"/>
            <w:vAlign w:val="bottom"/>
            <w:vMerge w:val="restart"/>
            <w:shd w:val="clear" w:color="auto" w:fill="CCEEFF"/>
          </w:tcPr>
          <w:p>
            <w:pPr>
              <w:jc w:val="center"/>
              <w:ind w:right="22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3"/>
                <w:szCs w:val="13"/>
                <w:b w:val="1"/>
                <w:bCs w:val="1"/>
                <w:color w:val="auto"/>
              </w:rPr>
              <w:t xml:space="preserve">0.23 </w:t>
            </w:r>
            <w:r>
              <w:rPr>
                <w:rFonts w:ascii="Arial" w:cs="Arial" w:eastAsia="Arial" w:hAnsi="Arial"/>
                <w:sz w:val="13"/>
                <w:szCs w:val="13"/>
                <w:b w:val="1"/>
                <w:bCs w:val="1"/>
                <w:color w:val="auto"/>
                <w:vertAlign w:val="superscript"/>
              </w:rPr>
              <w:t>(a)</w:t>
            </w:r>
            <w:r>
              <w:rPr>
                <w:rFonts w:ascii="Arial" w:cs="Arial" w:eastAsia="Arial" w:hAnsi="Arial"/>
                <w:sz w:val="13"/>
                <w:szCs w:val="13"/>
                <w:b w:val="1"/>
                <w:bCs w:val="1"/>
                <w:color w:val="auto"/>
              </w:rPr>
              <w:t xml:space="preserve">  /</w:t>
            </w:r>
          </w:p>
        </w:tc>
        <w:tc>
          <w:tcPr>
            <w:tcW w:w="1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 xml:space="preserve">0.23 </w:t>
            </w:r>
            <w:r>
              <w:rPr>
                <w:rFonts w:ascii="Arial" w:cs="Arial" w:eastAsia="Arial" w:hAnsi="Arial"/>
                <w:sz w:val="14"/>
                <w:szCs w:val="14"/>
                <w:b w:val="1"/>
                <w:bCs w:val="1"/>
                <w:color w:val="auto"/>
                <w:vertAlign w:val="superscript"/>
              </w:rPr>
              <w:t>(a)</w:t>
            </w: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xml:space="preserve">0.45 </w:t>
            </w:r>
            <w:r>
              <w:rPr>
                <w:rFonts w:ascii="Arial" w:cs="Arial" w:eastAsia="Arial" w:hAnsi="Arial"/>
                <w:sz w:val="14"/>
                <w:szCs w:val="14"/>
                <w:b w:val="1"/>
                <w:bCs w:val="1"/>
                <w:color w:val="auto"/>
                <w:vertAlign w:val="superscript"/>
              </w:rPr>
              <w:t>(a)</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tcBorders>
            <w:gridSpan w:val="2"/>
            <w:vMerge w:val="continue"/>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 xml:space="preserve">0.25 </w:t>
            </w:r>
            <w:r>
              <w:rPr>
                <w:rFonts w:ascii="Arial" w:cs="Arial" w:eastAsia="Arial" w:hAnsi="Arial"/>
                <w:sz w:val="14"/>
                <w:szCs w:val="14"/>
                <w:b w:val="1"/>
                <w:bCs w:val="1"/>
                <w:color w:val="auto"/>
                <w:vertAlign w:val="superscript"/>
              </w:rPr>
              <w:t>(b)</w:t>
            </w:r>
          </w:p>
        </w:tc>
        <w:tc>
          <w:tcPr>
            <w:tcW w:w="1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gridSpan w:val="2"/>
            <w:vMerge w:val="continue"/>
            <w:shd w:val="clear" w:color="auto" w:fill="CCEEFF"/>
          </w:tcPr>
          <w:p>
            <w:pPr>
              <w:spacing w:after="0"/>
              <w:rPr>
                <w:sz w:val="14"/>
                <w:szCs w:val="14"/>
                <w:color w:val="auto"/>
              </w:rPr>
            </w:pPr>
          </w:p>
        </w:tc>
        <w:tc>
          <w:tcPr>
            <w:tcW w:w="260" w:type="dxa"/>
            <w:vAlign w:val="bottom"/>
            <w:tcBorders>
              <w:bottom w:val="single" w:sz="8" w:color="auto"/>
            </w:tcBorders>
            <w:gridSpan w:val="2"/>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ind w:left="400" w:right="100" w:hanging="316"/>
        <w:spacing w:after="0" w:line="241" w:lineRule="auto"/>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April 2019, the Company completed the Reorganization Transactions and the IPO. As a result, certain earnings information is being presented separately for Tradeweb Markets LLC and Tradeweb Markets Inc.</w:t>
      </w:r>
    </w:p>
    <w:p>
      <w:pPr>
        <w:ind w:left="1060" w:hanging="328"/>
        <w:spacing w:after="0"/>
        <w:tabs>
          <w:tab w:leader="none" w:pos="1060" w:val="left"/>
        </w:tabs>
        <w:numPr>
          <w:ilvl w:val="1"/>
          <w:numId w:val="8"/>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spacing w:after="0" w:line="1" w:lineRule="exact"/>
        <w:rPr>
          <w:rFonts w:ascii="Arial" w:cs="Arial" w:eastAsia="Arial" w:hAnsi="Arial"/>
          <w:sz w:val="14"/>
          <w:szCs w:val="14"/>
          <w:color w:val="auto"/>
        </w:rPr>
      </w:pPr>
    </w:p>
    <w:p>
      <w:pPr>
        <w:ind w:left="1060" w:hanging="328"/>
        <w:spacing w:after="0"/>
        <w:tabs>
          <w:tab w:leader="none" w:pos="1060" w:val="left"/>
        </w:tabs>
        <w:numPr>
          <w:ilvl w:val="1"/>
          <w:numId w:val="8"/>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See the “Basic and Diluted EPS Calculations” table below for additional information.</w:t>
      </w:r>
    </w:p>
    <w:p>
      <w:pPr>
        <w:spacing w:after="0" w:line="163" w:lineRule="exact"/>
        <w:rPr>
          <w:sz w:val="20"/>
          <w:szCs w:val="20"/>
          <w:color w:val="auto"/>
        </w:rPr>
      </w:pPr>
    </w:p>
    <w:p>
      <w:pPr>
        <w:ind w:left="400" w:right="140" w:hanging="316"/>
        <w:spacing w:after="0" w:line="258" w:lineRule="auto"/>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post-IPO period, represents the reallocation of net income attributable to non-controlling interests from the assumed exchange of all outstanding LLC Interests for shares of Class A or Class B common stock.</w:t>
      </w:r>
    </w:p>
    <w:p>
      <w:pPr>
        <w:spacing w:after="0" w:line="194" w:lineRule="exact"/>
        <w:rPr>
          <w:rFonts w:ascii="Arial" w:cs="Arial" w:eastAsia="Arial" w:hAnsi="Arial"/>
          <w:sz w:val="14"/>
          <w:szCs w:val="14"/>
          <w:color w:val="auto"/>
        </w:rPr>
      </w:pPr>
    </w:p>
    <w:p>
      <w:pPr>
        <w:ind w:left="400" w:right="140" w:hanging="316"/>
        <w:spacing w:after="0" w:line="250" w:lineRule="auto"/>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to the closing date of the Refinitiv Transaction).</w:t>
      </w:r>
    </w:p>
    <w:p>
      <w:pPr>
        <w:spacing w:after="0" w:line="199" w:lineRule="exact"/>
        <w:rPr>
          <w:rFonts w:ascii="Arial" w:cs="Arial" w:eastAsia="Arial" w:hAnsi="Arial"/>
          <w:sz w:val="14"/>
          <w:szCs w:val="14"/>
          <w:color w:val="auto"/>
        </w:rPr>
      </w:pPr>
    </w:p>
    <w:p>
      <w:pPr>
        <w:ind w:left="400" w:right="180" w:hanging="316"/>
        <w:spacing w:after="0" w:line="258" w:lineRule="auto"/>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foreign exchange gain or loss from the revaluation of cash denominated in a different currency than the entity’s functional currency.</w:t>
      </w:r>
    </w:p>
    <w:p>
      <w:pPr>
        <w:spacing w:after="0" w:line="194" w:lineRule="exact"/>
        <w:rPr>
          <w:rFonts w:ascii="Arial" w:cs="Arial" w:eastAsia="Arial" w:hAnsi="Arial"/>
          <w:sz w:val="14"/>
          <w:szCs w:val="14"/>
          <w:color w:val="auto"/>
        </w:rPr>
      </w:pPr>
    </w:p>
    <w:p>
      <w:pPr>
        <w:jc w:val="both"/>
        <w:ind w:left="400" w:right="180" w:hanging="316"/>
        <w:spacing w:after="0" w:line="250" w:lineRule="auto"/>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corporate income taxes at an assumed effective tax rate of 26.4% for the three and six months ended June 30, 2019 and 2018 applied to Adjusted Net Income before income taxes. For the pre-IPO periods, this adjustment assumes Tradeweb Markets LLC was subject to a corporate tax rate for the periods presented.</w:t>
      </w:r>
    </w:p>
    <w:p>
      <w:pPr>
        <w:spacing w:after="0" w:line="145" w:lineRule="exact"/>
        <w:rPr>
          <w:rFonts w:ascii="Arial" w:cs="Arial" w:eastAsia="Arial" w:hAnsi="Arial"/>
          <w:sz w:val="14"/>
          <w:szCs w:val="14"/>
          <w:color w:val="auto"/>
        </w:rPr>
      </w:pPr>
    </w:p>
    <w:p>
      <w:pPr>
        <w:ind w:left="400" w:right="40" w:hanging="316"/>
        <w:spacing w:after="0" w:line="250" w:lineRule="auto"/>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Due to the Reorganization Transactions and the IPO completed in April 2019, shares outstanding during the six months ended June 30, 2019 represent shares of TWM LLC (pre-IPO period) and shares of Class A and Class B common stock of Tradeweb Markets Inc. (post-IPO period).</w:t>
      </w:r>
    </w:p>
    <w:p>
      <w:pPr>
        <w:spacing w:after="0" w:line="200" w:lineRule="exact"/>
        <w:rPr>
          <w:rFonts w:ascii="Arial" w:cs="Arial" w:eastAsia="Arial" w:hAnsi="Arial"/>
          <w:sz w:val="14"/>
          <w:szCs w:val="14"/>
          <w:color w:val="auto"/>
        </w:rPr>
      </w:pPr>
    </w:p>
    <w:p>
      <w:pPr>
        <w:spacing w:after="0" w:line="215" w:lineRule="exact"/>
        <w:rPr>
          <w:rFonts w:ascii="Arial" w:cs="Arial" w:eastAsia="Arial" w:hAnsi="Arial"/>
          <w:sz w:val="14"/>
          <w:szCs w:val="14"/>
          <w:color w:val="auto"/>
        </w:rPr>
      </w:pPr>
    </w:p>
    <w:p>
      <w:pPr>
        <w:ind w:left="400"/>
        <w:spacing w:after="0"/>
        <w:rPr>
          <w:rFonts w:ascii="Arial" w:cs="Arial" w:eastAsia="Arial" w:hAnsi="Arial"/>
          <w:sz w:val="14"/>
          <w:szCs w:val="14"/>
          <w:color w:val="auto"/>
        </w:rPr>
      </w:pPr>
      <w:r>
        <w:rPr>
          <w:rFonts w:ascii="Arial" w:cs="Arial" w:eastAsia="Arial" w:hAnsi="Arial"/>
          <w:sz w:val="14"/>
          <w:szCs w:val="14"/>
          <w:color w:val="auto"/>
        </w:rPr>
        <w:t>The following table summarizes the calculation of Adjusted Diluted EPS for the three and six months ended June 30, 2019 and 2018:</w:t>
      </w:r>
    </w:p>
    <w:p>
      <w:pPr>
        <w:spacing w:after="0" w:line="217"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69" w:right="14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Pre-IPO Period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7"/>
              <w:spacing w:after="0"/>
              <w:rPr>
                <w:sz w:val="20"/>
                <w:szCs w:val="20"/>
                <w:color w:val="auto"/>
              </w:rPr>
            </w:pPr>
            <w:r>
              <w:rPr>
                <w:rFonts w:ascii="Arial" w:cs="Arial" w:eastAsia="Arial" w:hAnsi="Arial"/>
                <w:sz w:val="14"/>
                <w:szCs w:val="14"/>
                <w:b w:val="1"/>
                <w:bCs w:val="1"/>
                <w:color w:val="auto"/>
                <w:w w:val="94"/>
              </w:rPr>
              <w:t>Post-IPO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center"/>
              <w:ind w:right="6"/>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4"/>
              </w:rPr>
              <w:t>Six</w:t>
            </w: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5"/>
              <w:spacing w:after="0" w:line="133" w:lineRule="exact"/>
              <w:rPr>
                <w:sz w:val="20"/>
                <w:szCs w:val="20"/>
                <w:color w:val="auto"/>
              </w:rPr>
            </w:pPr>
            <w:r>
              <w:rPr>
                <w:rFonts w:ascii="Arial" w:cs="Arial" w:eastAsia="Arial" w:hAnsi="Arial"/>
                <w:sz w:val="14"/>
                <w:szCs w:val="14"/>
                <w:b w:val="1"/>
                <w:bCs w:val="1"/>
                <w:color w:val="auto"/>
                <w:w w:val="94"/>
              </w:rPr>
              <w:t>Six</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7"/>
              <w:spacing w:after="0" w:line="133" w:lineRule="exact"/>
              <w:rPr>
                <w:sz w:val="20"/>
                <w:szCs w:val="20"/>
                <w:color w:val="auto"/>
              </w:rPr>
            </w:pPr>
            <w:r>
              <w:rPr>
                <w:rFonts w:ascii="Arial" w:cs="Arial" w:eastAsia="Arial" w:hAnsi="Arial"/>
                <w:sz w:val="14"/>
                <w:szCs w:val="14"/>
                <w:b w:val="1"/>
                <w:bCs w:val="1"/>
                <w:color w:val="auto"/>
                <w:w w:val="94"/>
              </w:rPr>
              <w:t>Six</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6"/>
              <w:spacing w:after="0"/>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5"/>
              <w:spacing w:after="0"/>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7"/>
              <w:spacing w:after="0"/>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5"/>
              <w:spacing w:after="0"/>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5"/>
              <w:spacing w:after="0"/>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86"/>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Diluted Weighted Average Shares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ind w:right="6"/>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5"/>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7"/>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5"/>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5"/>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34"/>
        </w:trPr>
        <w:tc>
          <w:tcPr>
            <w:tcW w:w="3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Outstanding to</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46"/>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67"/>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Adjusted Diluted Weighted Average 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Diluted weighted average TWM LLC shares outstanding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223,320,457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213,435,314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213,435,314</w:t>
            </w:r>
          </w:p>
        </w:tc>
        <w:tc>
          <w:tcPr>
            <w:tcW w:w="0" w:type="dxa"/>
            <w:vAlign w:val="bottom"/>
          </w:tcPr>
          <w:p>
            <w:pPr>
              <w:spacing w:after="0"/>
              <w:rPr>
                <w:sz w:val="1"/>
                <w:szCs w:val="1"/>
                <w:color w:val="auto"/>
              </w:rPr>
            </w:pPr>
          </w:p>
        </w:tc>
      </w:tr>
      <w:tr>
        <w:trPr>
          <w:trHeight w:val="167"/>
        </w:trPr>
        <w:tc>
          <w:tcPr>
            <w:tcW w:w="3660" w:type="dxa"/>
            <w:vAlign w:val="bottom"/>
          </w:tcPr>
          <w:p>
            <w:pPr>
              <w:spacing w:after="0"/>
              <w:rPr>
                <w:sz w:val="20"/>
                <w:szCs w:val="20"/>
                <w:color w:val="auto"/>
              </w:rPr>
            </w:pPr>
            <w:r>
              <w:rPr>
                <w:rFonts w:ascii="Arial" w:cs="Arial" w:eastAsia="Arial" w:hAnsi="Arial"/>
                <w:sz w:val="14"/>
                <w:szCs w:val="14"/>
                <w:color w:val="auto"/>
              </w:rPr>
              <w:t>Diluted weighted average shares of Class A and Class B</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7"/>
        </w:trPr>
        <w:tc>
          <w:tcPr>
            <w:tcW w:w="3660" w:type="dxa"/>
            <w:vAlign w:val="bottom"/>
          </w:tcPr>
          <w:p>
            <w:pPr>
              <w:spacing w:after="0" w:line="157" w:lineRule="exact"/>
              <w:rPr>
                <w:sz w:val="20"/>
                <w:szCs w:val="20"/>
                <w:color w:val="auto"/>
              </w:rPr>
            </w:pPr>
            <w:r>
              <w:rPr>
                <w:rFonts w:ascii="Arial" w:cs="Arial" w:eastAsia="Arial" w:hAnsi="Arial"/>
                <w:sz w:val="14"/>
                <w:szCs w:val="14"/>
                <w:color w:val="auto"/>
              </w:rPr>
              <w:t>common stock outstanding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150,847,183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150,847,183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Assumed exchange of LLC interests for shares of Class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0"/>
        </w:trPr>
        <w:tc>
          <w:tcPr>
            <w:tcW w:w="366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 xml:space="preserve">A or Class B common stock </w:t>
            </w:r>
            <w:r>
              <w:rPr>
                <w:rFonts w:ascii="Arial" w:cs="Arial" w:eastAsia="Arial" w:hAnsi="Arial"/>
                <w:sz w:val="14"/>
                <w:szCs w:val="14"/>
                <w:color w:val="auto"/>
                <w:vertAlign w:val="superscript"/>
              </w:rPr>
              <w:t>(1)</w:t>
            </w: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79,289,005</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79,289,005</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Adjusted diluted weighted average shares outstanding</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230,136,188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223,320,457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230,136,188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213,435,314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213,435,314</w:t>
            </w: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line="155" w:lineRule="exact"/>
              <w:rPr>
                <w:sz w:val="20"/>
                <w:szCs w:val="20"/>
                <w:color w:val="auto"/>
              </w:rPr>
            </w:pPr>
            <w:r>
              <w:rPr>
                <w:rFonts w:ascii="Arial" w:cs="Arial" w:eastAsia="Arial" w:hAnsi="Arial"/>
                <w:sz w:val="14"/>
                <w:szCs w:val="14"/>
                <w:color w:val="auto"/>
              </w:rPr>
              <w:t>Adjusted Net Income</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56,629</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52,190</w:t>
            </w:r>
          </w:p>
        </w:tc>
        <w:tc>
          <w:tcPr>
            <w:tcW w:w="2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56,629</w:t>
            </w:r>
          </w:p>
        </w:tc>
        <w:tc>
          <w:tcPr>
            <w:tcW w:w="2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48,420</w:t>
            </w:r>
          </w:p>
        </w:tc>
        <w:tc>
          <w:tcPr>
            <w:tcW w:w="2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95,075</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Adjusted Diluted EPS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ind w:left="320" w:right="20" w:hanging="317"/>
        <w:spacing w:after="0" w:line="258" w:lineRule="auto"/>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Assumes the exchange of all outstanding LLC Interests for shares of Class A or Class B common stock, resulting in the elimination of the non-controlling interests and recognition of the net income attributable to non-controlling interests.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45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98"/>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Three</w:t>
            </w:r>
          </w:p>
        </w:tc>
        <w:tc>
          <w:tcPr>
            <w:tcW w:w="20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5"/>
              </w:rPr>
              <w:t>Six</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7"/>
                <w:szCs w:val="17"/>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85"/>
              </w:rPr>
              <w:t>Six</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139"/>
              <w:spacing w:after="0"/>
              <w:rPr>
                <w:sz w:val="20"/>
                <w:szCs w:val="20"/>
                <w:color w:val="auto"/>
              </w:rPr>
            </w:pPr>
            <w:r>
              <w:rPr>
                <w:rFonts w:ascii="Arial" w:cs="Arial" w:eastAsia="Arial" w:hAnsi="Arial"/>
                <w:sz w:val="14"/>
                <w:szCs w:val="14"/>
                <w:b w:val="1"/>
                <w:bCs w:val="1"/>
                <w:color w:val="auto"/>
                <w:w w:val="96"/>
              </w:rPr>
              <w:t>Months</w:t>
            </w:r>
          </w:p>
        </w:tc>
        <w:tc>
          <w:tcPr>
            <w:tcW w:w="20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Months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7"/>
                <w:szCs w:val="17"/>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119"/>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7"/>
                <w:szCs w:val="17"/>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03"/>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w w:val="96"/>
              </w:rPr>
              <w:t>Reconciliation of Operating Expenses to Adjusted Expenses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7"/>
                <w:szCs w:val="17"/>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01"/>
        </w:trPr>
        <w:tc>
          <w:tcPr>
            <w:tcW w:w="50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159,530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300,045</w:t>
            </w: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w w:val="98"/>
              </w:rPr>
              <w:t>111,556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223,634</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Acquisition and Refinitiv Transaction related D&amp;A</w:t>
            </w:r>
            <w:r>
              <w:rPr>
                <w:rFonts w:ascii="Arial" w:cs="Arial" w:eastAsia="Arial" w:hAnsi="Arial"/>
                <w:sz w:val="8"/>
                <w:szCs w:val="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(24,133)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(47,342)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(6,557)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(13,063)</w:t>
            </w: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Stock-based compensation expense associated with Special Option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Award</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(20,403)</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(20,403)</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Unrealized foreign exchange gains / (losses)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(1,577)</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 (loss) from revaluation of foreign-denominated cash</w:t>
            </w:r>
            <w:r>
              <w:rPr>
                <w:rFonts w:ascii="Arial" w:cs="Arial" w:eastAsia="Arial" w:hAnsi="Arial"/>
                <w:sz w:val="8"/>
                <w:szCs w:val="8"/>
                <w:color w:val="auto"/>
              </w:rPr>
              <w:t>(2)</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411</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Expenses</w:t>
            </w:r>
          </w:p>
        </w:tc>
        <w:tc>
          <w:tcPr>
            <w:tcW w:w="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113,719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230,458</w:t>
            </w: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w w:val="98"/>
              </w:rPr>
              <w:t>105,809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212,393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60" w:right="140" w:hanging="333"/>
        <w:spacing w:after="0" w:line="250"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to the closing date of the Refinitiv Transaction).</w:t>
      </w:r>
    </w:p>
    <w:p>
      <w:pPr>
        <w:spacing w:after="0" w:line="199" w:lineRule="exact"/>
        <w:rPr>
          <w:rFonts w:ascii="Arial" w:cs="Arial" w:eastAsia="Arial" w:hAnsi="Arial"/>
          <w:sz w:val="14"/>
          <w:szCs w:val="14"/>
          <w:color w:val="auto"/>
        </w:rPr>
      </w:pPr>
    </w:p>
    <w:p>
      <w:pPr>
        <w:ind w:left="660" w:right="600" w:hanging="333"/>
        <w:spacing w:after="0" w:line="258"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foreign exchange gain or loss from the revaluation of cash denominated in a different currency than the entity’s functional currency.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41"/>
              <w:spacing w:after="0" w:line="133" w:lineRule="exact"/>
              <w:rPr>
                <w:sz w:val="20"/>
                <w:szCs w:val="20"/>
                <w:color w:val="auto"/>
              </w:rPr>
            </w:pPr>
            <w:r>
              <w:rPr>
                <w:rFonts w:ascii="Arial" w:cs="Arial" w:eastAsia="Arial" w:hAnsi="Arial"/>
                <w:sz w:val="14"/>
                <w:szCs w:val="14"/>
                <w:b w:val="1"/>
                <w:bCs w:val="1"/>
                <w:color w:val="auto"/>
                <w:w w:val="94"/>
              </w:rPr>
              <w:t>Six</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01"/>
              <w:spacing w:after="0" w:line="133" w:lineRule="exact"/>
              <w:rPr>
                <w:sz w:val="20"/>
                <w:szCs w:val="20"/>
                <w:color w:val="auto"/>
              </w:rPr>
            </w:pPr>
            <w:r>
              <w:rPr>
                <w:rFonts w:ascii="Arial" w:cs="Arial" w:eastAsia="Arial" w:hAnsi="Arial"/>
                <w:sz w:val="14"/>
                <w:szCs w:val="14"/>
                <w:b w:val="1"/>
                <w:bCs w:val="1"/>
                <w:color w:val="auto"/>
                <w:w w:val="85"/>
              </w:rPr>
              <w:t>Six</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86"/>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Flows from Operating Activities to</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83"/>
        </w:trPr>
        <w:tc>
          <w:tcPr>
            <w:tcW w:w="56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34"/>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Free Cash Flow</w:t>
            </w: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76,973</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Less: Capitalization of software development costs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(13,914)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Purchases of furniture, equipment and leasehold improvements</w:t>
            </w:r>
          </w:p>
        </w:tc>
        <w:tc>
          <w:tcPr>
            <w:tcW w:w="7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Free Cash Flow</w:t>
            </w: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59,266</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2"/>
        </w:trPr>
        <w:tc>
          <w:tcPr>
            <w:tcW w:w="5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48"/>
        </w:trPr>
        <w:tc>
          <w:tcPr>
            <w:tcW w:w="5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85" w:right="1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REVENUES BY ASSET CLASS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right w:val="single" w:sz="8" w:color="auto"/>
            </w:tcBorders>
            <w:gridSpan w:val="7"/>
          </w:tcPr>
          <w:p>
            <w:pPr>
              <w:jc w:val="center"/>
              <w:ind w:right="44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14"/>
                <w:szCs w:val="14"/>
                <w:color w:val="auto"/>
              </w:rPr>
            </w:pPr>
          </w:p>
        </w:tc>
        <w:tc>
          <w:tcPr>
            <w:tcW w:w="1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7"/>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Borders>
              <w:top w:val="single" w:sz="8" w:color="auto"/>
            </w:tcBorders>
            <w:gridSpan w:val="5"/>
          </w:tcPr>
          <w:p>
            <w:pPr>
              <w:jc w:val="center"/>
              <w:spacing w:after="0" w:line="133" w:lineRule="exact"/>
              <w:rPr>
                <w:sz w:val="20"/>
                <w:szCs w:val="20"/>
                <w:color w:val="auto"/>
              </w:rPr>
            </w:pPr>
            <w:r>
              <w:rPr>
                <w:rFonts w:ascii="Arial" w:cs="Arial" w:eastAsia="Arial" w:hAnsi="Arial"/>
                <w:sz w:val="14"/>
                <w:szCs w:val="14"/>
                <w:b w:val="1"/>
                <w:bCs w:val="1"/>
                <w:color w:val="auto"/>
                <w:w w:val="95"/>
              </w:rPr>
              <w:t>Three Months Ended</w:t>
            </w:r>
          </w:p>
        </w:tc>
        <w:tc>
          <w:tcPr>
            <w:tcW w:w="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right w:val="single" w:sz="8" w:color="auto"/>
            </w:tcBorders>
            <w:gridSpan w:val="7"/>
          </w:tcPr>
          <w:p>
            <w:pPr>
              <w:jc w:val="center"/>
              <w:ind w:right="440"/>
              <w:spacing w:after="0"/>
              <w:rPr>
                <w:sz w:val="20"/>
                <w:szCs w:val="20"/>
                <w:color w:val="auto"/>
              </w:rPr>
            </w:pPr>
            <w:r>
              <w:rPr>
                <w:rFonts w:ascii="Arial" w:cs="Arial" w:eastAsia="Arial" w:hAnsi="Arial"/>
                <w:sz w:val="14"/>
                <w:szCs w:val="14"/>
                <w:b w:val="1"/>
                <w:bCs w:val="1"/>
                <w:color w:val="auto"/>
                <w:w w:val="92"/>
              </w:rPr>
              <w:t>June 30, 2019</w:t>
            </w:r>
          </w:p>
        </w:tc>
        <w:tc>
          <w:tcPr>
            <w:tcW w:w="80" w:type="dxa"/>
            <w:vAlign w:val="bottom"/>
          </w:tcPr>
          <w:p>
            <w:pPr>
              <w:spacing w:after="0"/>
              <w:rPr>
                <w:sz w:val="14"/>
                <w:szCs w:val="14"/>
                <w:color w:val="auto"/>
              </w:rPr>
            </w:pPr>
          </w:p>
        </w:tc>
        <w:tc>
          <w:tcPr>
            <w:tcW w:w="1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6"/>
          </w:tcPr>
          <w:p>
            <w:pPr>
              <w:ind w:left="100"/>
              <w:spacing w:after="0"/>
              <w:rPr>
                <w:sz w:val="20"/>
                <w:szCs w:val="20"/>
                <w:color w:val="auto"/>
              </w:rPr>
            </w:pPr>
            <w:r>
              <w:rPr>
                <w:rFonts w:ascii="Arial" w:cs="Arial" w:eastAsia="Arial" w:hAnsi="Arial"/>
                <w:sz w:val="14"/>
                <w:szCs w:val="14"/>
                <w:b w:val="1"/>
                <w:bCs w:val="1"/>
                <w:color w:val="auto"/>
                <w:w w:val="95"/>
              </w:rPr>
              <w:t>$ Change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6"/>
          </w:tcPr>
          <w:p>
            <w:pPr>
              <w:jc w:val="center"/>
              <w:ind w:right="33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Variable</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Fixed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Variable</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8"/>
              </w:rPr>
              <w:t>Fixed</w:t>
            </w: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5"/>
          </w:tcPr>
          <w:p>
            <w:pPr>
              <w:ind w:left="40"/>
              <w:spacing w:after="0" w:line="142" w:lineRule="exact"/>
              <w:rPr>
                <w:sz w:val="20"/>
                <w:szCs w:val="20"/>
                <w:color w:val="auto"/>
              </w:rPr>
            </w:pPr>
            <w:r>
              <w:rPr>
                <w:rFonts w:ascii="Arial" w:cs="Arial" w:eastAsia="Arial" w:hAnsi="Arial"/>
                <w:sz w:val="14"/>
                <w:szCs w:val="14"/>
                <w:b w:val="1"/>
                <w:bCs w:val="1"/>
                <w:color w:val="auto"/>
              </w:rPr>
              <w:t>Variable</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Variable</w:t>
            </w:r>
          </w:p>
        </w:tc>
        <w:tc>
          <w:tcPr>
            <w:tcW w:w="4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7"/>
          </w:tcPr>
          <w:p>
            <w:pPr>
              <w:jc w:val="right"/>
              <w:ind w:right="300"/>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Rates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56,743</w:t>
            </w: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$ 50,320</w:t>
            </w: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$ 45,307</w:t>
            </w: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5"/>
              </w:rPr>
              <w:t>$ 49,829</w:t>
            </w:r>
          </w:p>
        </w:tc>
        <w:tc>
          <w:tcPr>
            <w:tcW w:w="860" w:type="dxa"/>
            <w:vAlign w:val="bottom"/>
            <w:gridSpan w:val="7"/>
          </w:tcPr>
          <w:p>
            <w:pPr>
              <w:jc w:val="right"/>
              <w:ind w:right="40"/>
              <w:spacing w:after="0"/>
              <w:rPr>
                <w:sz w:val="20"/>
                <w:szCs w:val="20"/>
                <w:color w:val="auto"/>
              </w:rPr>
            </w:pPr>
            <w:r>
              <w:rPr>
                <w:rFonts w:ascii="Arial" w:cs="Arial" w:eastAsia="Arial" w:hAnsi="Arial"/>
                <w:sz w:val="18"/>
                <w:szCs w:val="18"/>
                <w:color w:val="auto"/>
              </w:rPr>
              <w:t>$ 11,436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8"/>
          </w:tcPr>
          <w:p>
            <w:pPr>
              <w:jc w:val="right"/>
              <w:spacing w:after="0"/>
              <w:rPr>
                <w:sz w:val="20"/>
                <w:szCs w:val="20"/>
                <w:color w:val="auto"/>
              </w:rPr>
            </w:pPr>
            <w:r>
              <w:rPr>
                <w:rFonts w:ascii="Arial" w:cs="Arial" w:eastAsia="Arial" w:hAnsi="Arial"/>
                <w:sz w:val="18"/>
                <w:szCs w:val="18"/>
                <w:color w:val="auto"/>
              </w:rPr>
              <w:t>25.2 %   1.0 %</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34,337</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5,262</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29,102</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5,235</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18.0 %   5.8 %</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Equities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9,195</w:t>
            </w: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1,921</w:t>
            </w: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7,907</w:t>
            </w: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1,764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1,288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8"/>
          </w:tcPr>
          <w:p>
            <w:pPr>
              <w:jc w:val="right"/>
              <w:spacing w:after="0"/>
              <w:rPr>
                <w:sz w:val="20"/>
                <w:szCs w:val="20"/>
                <w:color w:val="auto"/>
              </w:rPr>
            </w:pPr>
            <w:r>
              <w:rPr>
                <w:rFonts w:ascii="Arial" w:cs="Arial" w:eastAsia="Arial" w:hAnsi="Arial"/>
                <w:sz w:val="18"/>
                <w:szCs w:val="18"/>
                <w:color w:val="auto"/>
              </w:rPr>
              <w:t>16.3 %   8.9 %</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3,648</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1,662</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33.2 %   5.6 %</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Market Data</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17,544</w:t>
            </w: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15,737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4,841</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(38.8)%</w:t>
            </w:r>
          </w:p>
        </w:tc>
        <w:tc>
          <w:tcPr>
            <w:tcW w:w="0" w:type="dxa"/>
            <w:vAlign w:val="bottom"/>
          </w:tcPr>
          <w:p>
            <w:pPr>
              <w:spacing w:after="0"/>
              <w:rPr>
                <w:sz w:val="1"/>
                <w:szCs w:val="1"/>
                <w:color w:val="auto"/>
              </w:rPr>
            </w:pPr>
          </w:p>
        </w:tc>
      </w:t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Gross revenue</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106,949</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83,536</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87,342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83,673</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gridSpan w:val="5"/>
          </w:tcPr>
          <w:p>
            <w:pPr>
              <w:jc w:val="right"/>
              <w:ind w:right="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19,607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585"/>
        </w:trPr>
        <w:tc>
          <w:tcPr>
            <w:tcW w:w="2520" w:type="dxa"/>
            <w:vAlign w:val="bottom"/>
          </w:tcPr>
          <w:p>
            <w:pPr>
              <w:spacing w:after="0"/>
              <w:rPr>
                <w:sz w:val="20"/>
                <w:szCs w:val="20"/>
                <w:color w:val="auto"/>
              </w:rPr>
            </w:pPr>
            <w:r>
              <w:rPr>
                <w:rFonts w:ascii="Arial" w:cs="Arial" w:eastAsia="Arial" w:hAnsi="Arial"/>
                <w:sz w:val="18"/>
                <w:szCs w:val="18"/>
                <w:b w:val="1"/>
                <w:bCs w:val="1"/>
                <w:color w:val="auto"/>
              </w:rPr>
              <w:t>TRADEWEB MARKETS INC.</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r>
              <w:rPr>
                <w:rFonts w:ascii="Arial" w:cs="Arial" w:eastAsia="Arial" w:hAnsi="Arial"/>
                <w:sz w:val="18"/>
                <w:szCs w:val="18"/>
                <w:b w:val="1"/>
                <w:bCs w:val="1"/>
                <w:color w:val="auto"/>
              </w:rPr>
              <w:t>AVERAGE DAILY VOLUME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w w:val="95"/>
              </w:rPr>
              <w:t>2Q19</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4"/>
            <w:vMerge w:val="restart"/>
          </w:tcPr>
          <w:p>
            <w:pPr>
              <w:jc w:val="right"/>
              <w:ind w:right="120"/>
              <w:spacing w:after="0"/>
              <w:rPr>
                <w:sz w:val="20"/>
                <w:szCs w:val="20"/>
                <w:color w:val="auto"/>
              </w:rPr>
            </w:pPr>
            <w:r>
              <w:rPr>
                <w:rFonts w:ascii="Arial" w:cs="Arial" w:eastAsia="Arial" w:hAnsi="Arial"/>
                <w:sz w:val="18"/>
                <w:szCs w:val="18"/>
                <w:b w:val="1"/>
                <w:bCs w:val="1"/>
                <w:color w:val="auto"/>
              </w:rPr>
              <w:t>2Q18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6"/>
            <w:vMerge w:val="restart"/>
          </w:tcPr>
          <w:p>
            <w:pPr>
              <w:jc w:val="center"/>
              <w:ind w:right="29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4"/>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20"/>
                <w:szCs w:val="20"/>
                <w:color w:val="auto"/>
              </w:rPr>
            </w:pPr>
            <w:r>
              <w:rPr>
                <w:rFonts w:ascii="Arial" w:cs="Arial" w:eastAsia="Arial" w:hAnsi="Arial"/>
                <w:sz w:val="18"/>
                <w:szCs w:val="18"/>
                <w:color w:val="auto"/>
              </w:rPr>
              <w:t>(in $ mm)</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7"/>
          </w:tcPr>
          <w:p>
            <w:pPr>
              <w:ind w:left="320"/>
              <w:spacing w:after="0"/>
              <w:rPr>
                <w:sz w:val="20"/>
                <w:szCs w:val="20"/>
                <w:color w:val="auto"/>
              </w:rPr>
            </w:pPr>
            <w:r>
              <w:rPr>
                <w:rFonts w:ascii="Arial" w:cs="Arial" w:eastAsia="Arial" w:hAnsi="Arial"/>
                <w:sz w:val="18"/>
                <w:szCs w:val="18"/>
                <w:b w:val="1"/>
                <w:bCs w:val="1"/>
                <w:color w:val="auto"/>
              </w:rPr>
              <w:t>ADV</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Volume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ind w:left="340"/>
              <w:spacing w:after="0"/>
              <w:rPr>
                <w:sz w:val="20"/>
                <w:szCs w:val="20"/>
                <w:color w:val="auto"/>
              </w:rPr>
            </w:pPr>
            <w:r>
              <w:rPr>
                <w:rFonts w:ascii="Arial" w:cs="Arial" w:eastAsia="Arial" w:hAnsi="Arial"/>
                <w:sz w:val="18"/>
                <w:szCs w:val="18"/>
                <w:b w:val="1"/>
                <w:bCs w:val="1"/>
                <w:color w:val="auto"/>
              </w:rPr>
              <w:t>ADV</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6"/>
              </w:rPr>
              <w:t>Volume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6"/>
          </w:tcPr>
          <w:p>
            <w:pPr>
              <w:jc w:val="center"/>
              <w:ind w:right="290"/>
              <w:spacing w:after="0"/>
              <w:rPr>
                <w:sz w:val="20"/>
                <w:szCs w:val="20"/>
                <w:color w:val="auto"/>
              </w:rPr>
            </w:pPr>
            <w:r>
              <w:rPr>
                <w:rFonts w:ascii="Arial" w:cs="Arial" w:eastAsia="Arial" w:hAnsi="Arial"/>
                <w:sz w:val="18"/>
                <w:szCs w:val="18"/>
                <w:b w:val="1"/>
                <w:bCs w:val="1"/>
                <w:color w:val="auto"/>
                <w:w w:val="99"/>
              </w:rPr>
              <w:t>ADV</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Rates</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511,912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32,144,241</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4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351,828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2"/>
              </w:rPr>
              <w:t>22,441,356</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Credit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12,217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766,367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color w:val="auto"/>
                <w:w w:val="87"/>
              </w:rPr>
              <w:t>11,791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right"/>
              <w:ind w:right="60"/>
              <w:spacing w:after="0"/>
              <w:rPr>
                <w:sz w:val="20"/>
                <w:szCs w:val="20"/>
                <w:color w:val="auto"/>
              </w:rPr>
            </w:pPr>
            <w:r>
              <w:rPr>
                <w:rFonts w:ascii="Arial" w:cs="Arial" w:eastAsia="Arial" w:hAnsi="Arial"/>
                <w:sz w:val="18"/>
                <w:szCs w:val="18"/>
                <w:color w:val="auto"/>
              </w:rPr>
              <w:t>746,841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445,568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440,504</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Money Markets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9"/>
              </w:rPr>
              <w:t>222,595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14,022,433</w:t>
            </w:r>
          </w:p>
        </w:tc>
        <w:tc>
          <w:tcPr>
            <w:tcW w:w="1160" w:type="dxa"/>
            <w:vAlign w:val="bottom"/>
            <w:gridSpan w:val="8"/>
          </w:tcPr>
          <w:p>
            <w:pPr>
              <w:jc w:val="right"/>
              <w:spacing w:after="0"/>
              <w:rPr>
                <w:sz w:val="20"/>
                <w:szCs w:val="20"/>
                <w:color w:val="auto"/>
              </w:rPr>
            </w:pPr>
            <w:r>
              <w:rPr>
                <w:rFonts w:ascii="Arial" w:cs="Arial" w:eastAsia="Arial" w:hAnsi="Arial"/>
                <w:sz w:val="18"/>
                <w:szCs w:val="18"/>
                <w:color w:val="auto"/>
              </w:rPr>
              <w:t>169,553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right"/>
              <w:ind w:right="60"/>
              <w:spacing w:after="0"/>
              <w:rPr>
                <w:sz w:val="20"/>
                <w:szCs w:val="20"/>
                <w:color w:val="auto"/>
              </w:rPr>
            </w:pPr>
            <w:r>
              <w:rPr>
                <w:rFonts w:ascii="Arial" w:cs="Arial" w:eastAsia="Arial" w:hAnsi="Arial"/>
                <w:sz w:val="18"/>
                <w:szCs w:val="18"/>
                <w:color w:val="auto"/>
                <w:w w:val="82"/>
              </w:rPr>
              <w:t>10,829,843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9"/>
              </w:rPr>
              <w:t>31.3 %</w:t>
            </w:r>
          </w:p>
        </w:tc>
        <w:tc>
          <w:tcPr>
            <w:tcW w:w="0" w:type="dxa"/>
            <w:vAlign w:val="bottom"/>
          </w:tcPr>
          <w:p>
            <w:pPr>
              <w:spacing w:after="0"/>
              <w:rPr>
                <w:sz w:val="1"/>
                <w:szCs w:val="1"/>
                <w:color w:val="auto"/>
              </w:rPr>
            </w:pPr>
          </w:p>
        </w:tc>
      </w:tr>
      <w:tr>
        <w:trPr>
          <w:trHeight w:val="230"/>
        </w:trPr>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753,844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47,378,609</w:t>
            </w: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540,091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2"/>
              </w:rPr>
              <w:t>34,458,544</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39.6 %</w:t>
            </w:r>
          </w:p>
        </w:tc>
        <w:tc>
          <w:tcPr>
            <w:tcW w:w="0" w:type="dxa"/>
            <w:vAlign w:val="bottom"/>
          </w:tcPr>
          <w:p>
            <w:pPr>
              <w:spacing w:after="0"/>
              <w:rPr>
                <w:sz w:val="1"/>
                <w:szCs w:val="1"/>
                <w:color w:val="auto"/>
              </w:rPr>
            </w:pPr>
          </w:p>
        </w:tc>
      </w:tr>
      <w:tr>
        <w:trPr>
          <w:trHeight w:val="572"/>
        </w:trPr>
        <w:tc>
          <w:tcPr>
            <w:tcW w:w="2520" w:type="dxa"/>
            <w:vAlign w:val="bottom"/>
          </w:tcPr>
          <w:p>
            <w:pPr>
              <w:spacing w:after="0"/>
              <w:rPr>
                <w:sz w:val="20"/>
                <w:szCs w:val="20"/>
                <w:color w:val="auto"/>
              </w:rPr>
            </w:pPr>
            <w:r>
              <w:rPr>
                <w:rFonts w:ascii="Arial" w:cs="Arial" w:eastAsia="Arial" w:hAnsi="Arial"/>
                <w:sz w:val="18"/>
                <w:szCs w:val="18"/>
                <w:b w:val="1"/>
                <w:bCs w:val="1"/>
                <w:color w:val="auto"/>
              </w:rPr>
              <w:t>TRADEWEB MARKETS INC.</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900" w:type="dxa"/>
            <w:vAlign w:val="bottom"/>
            <w:gridSpan w:val="17"/>
          </w:tcPr>
          <w:p>
            <w:pPr>
              <w:spacing w:after="0"/>
              <w:rPr>
                <w:sz w:val="20"/>
                <w:szCs w:val="20"/>
                <w:color w:val="auto"/>
              </w:rPr>
            </w:pPr>
            <w:r>
              <w:rPr>
                <w:rFonts w:ascii="Arial" w:cs="Arial" w:eastAsia="Arial" w:hAnsi="Arial"/>
                <w:sz w:val="18"/>
                <w:szCs w:val="18"/>
                <w:b w:val="1"/>
                <w:bCs w:val="1"/>
                <w:color w:val="auto"/>
              </w:rPr>
              <w:t>AVERAGE VARIABLE FEES PER MILLION DOLLARS OF VOLUME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6"/>
            <w:vMerge w:val="restart"/>
          </w:tcPr>
          <w:p>
            <w:pPr>
              <w:jc w:val="right"/>
              <w:ind w:right="41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5"/>
              </w:rPr>
              <w:t>2Q19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9"/>
              </w:rPr>
              <w:t>2Q18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0"/>
        </w:trPr>
        <w:tc>
          <w:tcPr>
            <w:tcW w:w="2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Rates</w:t>
            </w: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40" w:type="dxa"/>
            <w:vAlign w:val="bottom"/>
            <w:gridSpan w:val="3"/>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gridSpan w:val="2"/>
            <w:vMerge w:val="restart"/>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6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220" w:type="dxa"/>
            <w:vAlign w:val="bottom"/>
            <w:gridSpan w:val="2"/>
            <w:vMerge w:val="continue"/>
            <w:shd w:val="clear" w:color="auto" w:fill="CCEEFF"/>
          </w:tcPr>
          <w:p>
            <w:pPr>
              <w:spacing w:after="0"/>
              <w:rPr>
                <w:sz w:val="18"/>
                <w:szCs w:val="18"/>
                <w:color w:val="auto"/>
              </w:rPr>
            </w:pPr>
          </w:p>
        </w:tc>
        <w:tc>
          <w:tcPr>
            <w:tcW w:w="108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Credit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44.80</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38.97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10"/>
              <w:spacing w:after="0"/>
              <w:rPr>
                <w:sz w:val="20"/>
                <w:szCs w:val="20"/>
                <w:color w:val="auto"/>
              </w:rPr>
            </w:pPr>
            <w:r>
              <w:rPr>
                <w:rFonts w:ascii="Arial" w:cs="Arial" w:eastAsia="Arial" w:hAnsi="Arial"/>
                <w:sz w:val="18"/>
                <w:szCs w:val="18"/>
                <w:color w:val="auto"/>
                <w:w w:val="92"/>
              </w:rPr>
              <w:t>15.0 %</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20.64</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92"/>
              </w:rPr>
              <w:t>15.0 %</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Money Markets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0.48</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1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FPM</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1300" w:type="dxa"/>
            <w:vAlign w:val="bottom"/>
            <w:gridSpan w:val="8"/>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596"/>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748"/>
        </w:trPr>
        <w:tc>
          <w:tcPr>
            <w:tcW w:w="2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805" w:right="1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EPS CALCULATIONS (UNAUDITED)</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the basic and diluted earnings per share calculations for Tradeweb Markets LLC (pre-IPO period)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Tradeweb Markets Inc. (post-IPO period):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2"/>
                <w:szCs w:val="12"/>
                <w:color w:val="auto"/>
              </w:rPr>
            </w:pPr>
          </w:p>
        </w:tc>
        <w:tc>
          <w:tcPr>
            <w:tcW w:w="82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w w:val="93"/>
              </w:rPr>
              <w:t>Six Months</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0"/>
              </w:rPr>
              <w:t>June 30, 2019</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14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June 30, 2018</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tcBorders>
              <w:bottom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EPS: Pre-IPO net income attributable to Tradeweb Markets LLC</w:t>
            </w:r>
            <w:r>
              <w:rPr>
                <w:rFonts w:ascii="Arial" w:cs="Arial" w:eastAsia="Arial" w:hAnsi="Arial"/>
                <w:sz w:val="14"/>
                <w:szCs w:val="14"/>
                <w:b w:val="1"/>
                <w:bCs w:val="1"/>
                <w:color w:val="auto"/>
                <w:vertAlign w:val="superscript"/>
              </w:rPr>
              <w:t>(1)</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gridSpan w:val="3"/>
          </w:tcPr>
          <w:p>
            <w:pPr>
              <w:spacing w:after="0" w:line="129" w:lineRule="exact"/>
              <w:rPr>
                <w:sz w:val="20"/>
                <w:szCs w:val="20"/>
                <w:color w:val="auto"/>
              </w:rPr>
            </w:pPr>
            <w:r>
              <w:rPr>
                <w:rFonts w:ascii="Arial" w:cs="Arial" w:eastAsia="Arial" w:hAnsi="Arial"/>
                <w:sz w:val="14"/>
                <w:szCs w:val="14"/>
                <w:color w:val="auto"/>
              </w:rPr>
              <w:t>Numerator: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auto"/>
              </w:rPr>
              <w:t>Pre-IPO net income attributable to Tradeweb Markets LLC</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42,352</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38,897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84,205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Denominator:</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gridSpan w:val="3"/>
          </w:tcPr>
          <w:p>
            <w:pPr>
              <w:spacing w:after="0" w:line="155" w:lineRule="exact"/>
              <w:rPr>
                <w:sz w:val="20"/>
                <w:szCs w:val="20"/>
                <w:color w:val="auto"/>
              </w:rPr>
            </w:pPr>
            <w:r>
              <w:rPr>
                <w:rFonts w:ascii="Arial" w:cs="Arial" w:eastAsia="Arial" w:hAnsi="Arial"/>
                <w:sz w:val="14"/>
                <w:szCs w:val="14"/>
                <w:color w:val="auto"/>
              </w:rPr>
              <w:t>Weighted average LLC Interests outstanding - Basic</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w w:val="97"/>
              </w:rPr>
              <w:t>222,222,197</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w w:val="92"/>
              </w:rPr>
              <w:t>213,435,314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w w:val="97"/>
              </w:rPr>
              <w:t>213,435,314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Dilutive effect of equity-settled PRSUs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1,098,260</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760" w:type="dxa"/>
            <w:vAlign w:val="bottom"/>
            <w:gridSpan w:val="4"/>
          </w:tcPr>
          <w:p>
            <w:pPr>
              <w:spacing w:after="0" w:line="155" w:lineRule="exact"/>
              <w:rPr>
                <w:sz w:val="20"/>
                <w:szCs w:val="20"/>
                <w:color w:val="auto"/>
              </w:rPr>
            </w:pPr>
            <w:r>
              <w:rPr>
                <w:rFonts w:ascii="Arial" w:cs="Arial" w:eastAsia="Arial" w:hAnsi="Arial"/>
                <w:sz w:val="14"/>
                <w:szCs w:val="14"/>
                <w:color w:val="auto"/>
              </w:rPr>
              <w:t>Weighted average LLC Interests outstanding - Diluted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w w:val="97"/>
              </w:rPr>
              <w:t>223,320,457</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w w:val="92"/>
              </w:rPr>
              <w:t>213,435,314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w w:val="97"/>
              </w:rPr>
              <w:t>213,435,314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9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740" w:type="dxa"/>
            <w:vAlign w:val="bottom"/>
            <w:gridSpan w:val="3"/>
          </w:tcPr>
          <w:p>
            <w:pPr>
              <w:spacing w:after="0" w:line="149" w:lineRule="exact"/>
              <w:rPr>
                <w:sz w:val="20"/>
                <w:szCs w:val="20"/>
                <w:color w:val="auto"/>
              </w:rPr>
            </w:pPr>
            <w:r>
              <w:rPr>
                <w:rFonts w:ascii="Arial" w:cs="Arial" w:eastAsia="Arial" w:hAnsi="Arial"/>
                <w:sz w:val="14"/>
                <w:szCs w:val="14"/>
                <w:color w:val="auto"/>
              </w:rPr>
              <w:t>Earnings per share - Basic</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0.19</w:t>
            </w:r>
          </w:p>
        </w:tc>
        <w:tc>
          <w:tcPr>
            <w:tcW w:w="140" w:type="dxa"/>
            <w:vAlign w:val="bottom"/>
            <w:tcBorders>
              <w:right w:val="single" w:sz="8" w:color="auto"/>
            </w:tcBorders>
          </w:tcPr>
          <w:p>
            <w:pPr>
              <w:spacing w:after="0"/>
              <w:rPr>
                <w:sz w:val="13"/>
                <w:szCs w:val="13"/>
                <w:color w:val="auto"/>
              </w:rPr>
            </w:pP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0.18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tcBorders>
              <w:top w:val="single" w:sz="8" w:color="CCEEFF"/>
              <w:bottom w:val="single" w:sz="8" w:color="CCEEFF"/>
            </w:tcBorders>
            <w:gridSpan w:val="3"/>
            <w:shd w:val="clear" w:color="auto" w:fill="CCEEFF"/>
          </w:tcPr>
          <w:p>
            <w:pPr>
              <w:spacing w:after="0" w:line="149" w:lineRule="exact"/>
              <w:rPr>
                <w:sz w:val="20"/>
                <w:szCs w:val="20"/>
                <w:color w:val="auto"/>
              </w:rPr>
            </w:pPr>
            <w:r>
              <w:rPr>
                <w:rFonts w:ascii="Arial" w:cs="Arial" w:eastAsia="Arial" w:hAnsi="Arial"/>
                <w:sz w:val="14"/>
                <w:szCs w:val="14"/>
                <w:color w:val="auto"/>
              </w:rPr>
              <w:t>Earnings per share - Diluted</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14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EPS: Post-IPO net income attributable to Tradeweb Markets Inc.</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gridSpan w:val="3"/>
          </w:tcPr>
          <w:p>
            <w:pPr>
              <w:spacing w:after="0" w:line="129" w:lineRule="exact"/>
              <w:rPr>
                <w:sz w:val="20"/>
                <w:szCs w:val="20"/>
                <w:color w:val="auto"/>
              </w:rPr>
            </w:pPr>
            <w:r>
              <w:rPr>
                <w:rFonts w:ascii="Arial" w:cs="Arial" w:eastAsia="Arial" w:hAnsi="Arial"/>
                <w:sz w:val="14"/>
                <w:szCs w:val="14"/>
                <w:color w:val="auto"/>
              </w:rPr>
              <w:t>Numerator: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auto"/>
              </w:rPr>
              <w:t>Post-IPO net income attributable to Tradeweb Markets Inc.</w:t>
            </w:r>
          </w:p>
        </w:tc>
        <w:tc>
          <w:tcPr>
            <w:tcW w:w="2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12,828</w:t>
            </w: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12,828</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Denominator:</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740" w:type="dxa"/>
            <w:vAlign w:val="bottom"/>
            <w:gridSpan w:val="3"/>
          </w:tcPr>
          <w:p>
            <w:pPr>
              <w:spacing w:after="0" w:line="123" w:lineRule="exact"/>
              <w:rPr>
                <w:sz w:val="20"/>
                <w:szCs w:val="20"/>
                <w:color w:val="auto"/>
              </w:rPr>
            </w:pPr>
            <w:r>
              <w:rPr>
                <w:rFonts w:ascii="Arial" w:cs="Arial" w:eastAsia="Arial" w:hAnsi="Arial"/>
                <w:sz w:val="14"/>
                <w:szCs w:val="14"/>
                <w:color w:val="auto"/>
                <w:w w:val="97"/>
              </w:rPr>
              <w:t>Weighted average shares of Class A and Class B common stock outstanding -</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760" w:type="dxa"/>
            <w:vAlign w:val="bottom"/>
            <w:gridSpan w:val="4"/>
          </w:tcPr>
          <w:p>
            <w:pPr>
              <w:spacing w:after="0"/>
              <w:rPr>
                <w:sz w:val="20"/>
                <w:szCs w:val="20"/>
                <w:color w:val="auto"/>
              </w:rPr>
            </w:pPr>
            <w:r>
              <w:rPr>
                <w:rFonts w:ascii="Arial" w:cs="Arial" w:eastAsia="Arial" w:hAnsi="Arial"/>
                <w:sz w:val="14"/>
                <w:szCs w:val="14"/>
                <w:color w:val="auto"/>
              </w:rPr>
              <w:t>Basic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5"/>
              </w:rPr>
              <w:t>142,933,192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7"/>
              </w:rPr>
              <w:t>142,933,192</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Dilutive effect of equity-settled PRSUs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2,214,480</w:t>
            </w: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2,214,480</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Dilutive effect of options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5,699,511</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5,699,511</w:t>
            </w:r>
          </w:p>
        </w:tc>
        <w:tc>
          <w:tcPr>
            <w:tcW w:w="14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gridSpan w:val="3"/>
            <w:shd w:val="clear" w:color="auto" w:fill="CCEEFF"/>
          </w:tcPr>
          <w:p>
            <w:pPr>
              <w:spacing w:after="0" w:line="110" w:lineRule="exact"/>
              <w:rPr>
                <w:sz w:val="20"/>
                <w:szCs w:val="20"/>
                <w:color w:val="auto"/>
              </w:rPr>
            </w:pPr>
            <w:r>
              <w:rPr>
                <w:rFonts w:ascii="Arial" w:cs="Arial" w:eastAsia="Arial" w:hAnsi="Arial"/>
                <w:sz w:val="12"/>
                <w:szCs w:val="12"/>
                <w:color w:val="auto"/>
              </w:rPr>
              <w:t>Weighted average shares of Class A and Class B common stock outstanding -</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150,847,183</w:t>
            </w:r>
          </w:p>
        </w:tc>
        <w:tc>
          <w:tcPr>
            <w:tcW w:w="1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150,847,183</w:t>
            </w:r>
          </w:p>
        </w:tc>
        <w:tc>
          <w:tcPr>
            <w:tcW w:w="14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740" w:type="dxa"/>
            <w:vAlign w:val="bottom"/>
            <w:tcBorders>
              <w:bottom w:val="single" w:sz="8" w:color="CCEEFF"/>
            </w:tcBorders>
            <w:gridSpan w:val="3"/>
            <w:shd w:val="clear" w:color="auto" w:fill="CCEEFF"/>
          </w:tcPr>
          <w:p>
            <w:pPr>
              <w:spacing w:after="0" w:line="154" w:lineRule="exact"/>
              <w:rPr>
                <w:sz w:val="20"/>
                <w:szCs w:val="20"/>
                <w:color w:val="auto"/>
              </w:rPr>
            </w:pPr>
            <w:r>
              <w:rPr>
                <w:rFonts w:ascii="Arial" w:cs="Arial" w:eastAsia="Arial" w:hAnsi="Arial"/>
                <w:sz w:val="14"/>
                <w:szCs w:val="14"/>
                <w:color w:val="auto"/>
              </w:rPr>
              <w:t>Diluted</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right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Earnings per share - Basic</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2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8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60" w:type="dxa"/>
            <w:vAlign w:val="bottom"/>
            <w:gridSpan w:val="4"/>
          </w:tcPr>
          <w:p>
            <w:pPr>
              <w:spacing w:after="0" w:line="136" w:lineRule="exact"/>
              <w:rPr>
                <w:sz w:val="20"/>
                <w:szCs w:val="20"/>
                <w:color w:val="auto"/>
              </w:rPr>
            </w:pPr>
            <w:r>
              <w:rPr>
                <w:rFonts w:ascii="Arial" w:cs="Arial" w:eastAsia="Arial" w:hAnsi="Arial"/>
                <w:sz w:val="14"/>
                <w:szCs w:val="14"/>
                <w:color w:val="auto"/>
              </w:rPr>
              <w:t>Earnings per share - Diluted</w:t>
            </w:r>
          </w:p>
        </w:tc>
        <w:tc>
          <w:tcPr>
            <w:tcW w:w="1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0.09</w:t>
            </w: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0.09</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right="40" w:hanging="333"/>
        <w:spacing w:after="0" w:line="246"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Earnings per share and weighted average shares outstanding for the pre-IPO periods have been computed to give effect to the Reorganization Transactions, including the amendment and restatement of the fourth amended and restated limited liability company agreement of Tradeweb Markets LLC to, among other things, (i) provide for a new single class of common membership interests in Tradeweb Markets LLC (“LLC Interests”) and (ii) exchange all of the original members’ existing membership interests for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lvl w:ilvl="1">
      <w:lvlJc w:val="left"/>
      <w:lvlText w:val="%2."/>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2019-12-28T08:06:21Z</dcterms:created>
  <dcterms:modified xsi:type="dcterms:W3CDTF">2019-12-28T08:06:21Z</dcterms:modified>
</cp:coreProperties>
</file>