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Peterson Justin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03/22/2022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85"/>
        <w:spacing w:after="0"/>
        <w:rPr>
          <w:sz w:val="20"/>
          <w:szCs w:val="20"/>
          <w:color w:val="auto"/>
        </w:rPr>
      </w:pPr>
      <w:r>
        <w:rPr>
          <w:rFonts w:ascii="Arial" w:cs="Arial" w:eastAsia="Arial" w:hAnsi="Arial"/>
          <w:sz w:val="17"/>
          <w:szCs w:val="17"/>
          <w:color w:val="0000FF"/>
        </w:rPr>
        <w:t>Chief Technology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2700" w:type="dxa"/>
            <w:vAlign w:val="bottom"/>
            <w:tcBorders>
              <w:bottom w:val="single" w:sz="8" w:color="2C2C2C"/>
            </w:tcBorders>
            <w:gridSpan w:val="6"/>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Arial" w:cs="Arial" w:eastAsia="Arial" w:hAnsi="Arial"/>
                <w:sz w:val="17"/>
                <w:szCs w:val="17"/>
                <w:color w:val="0000FF"/>
              </w:rPr>
              <w:t>03/22/2022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1,929</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88.9562</w:t>
            </w:r>
            <w:r>
              <w:rPr>
                <w:rFonts w:ascii="Arial" w:cs="Arial" w:eastAsia="Arial" w:hAnsi="Arial"/>
                <w:sz w:val="22"/>
                <w:szCs w:val="22"/>
                <w:color w:val="008000"/>
                <w:w w:val="94"/>
                <w:vertAlign w:val="superscript"/>
              </w:rPr>
              <w:t>(2)</w:t>
            </w:r>
          </w:p>
        </w:tc>
        <w:tc>
          <w:tcPr>
            <w:tcW w:w="118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63,201</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November 11, 2021.</w:t>
      </w:r>
    </w:p>
    <w:p>
      <w:pPr>
        <w:spacing w:after="0" w:line="50"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$88.57 to $89.40,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 2 to this Form 4.</w:t>
      </w:r>
    </w:p>
    <w:p>
      <w:pPr>
        <w:spacing w:after="0" w:line="25" w:lineRule="exact"/>
        <w:rPr>
          <w:rFonts w:ascii="Arial" w:cs="Arial" w:eastAsia="Arial" w:hAnsi="Arial"/>
          <w:sz w:val="13"/>
          <w:szCs w:val="13"/>
          <w:color w:val="008000"/>
        </w:rPr>
      </w:pPr>
    </w:p>
    <w:p>
      <w:pPr>
        <w:ind w:left="40" w:right="16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4,288 unvested restricted stock units ("RSUs") in respect of the issuer's Class A common stock ("Class A Common Stock") which are scheduled to vest on March 17, 2023, (ii) 25,726 RSUs in respect of Class A Common Stock which are scheduled to vest on January 1, 2023, (iii) 6,742 RSUs in respect of Class A Common Stock which are scheduled to vest in equal installments on each of March 15, 2023 and March 15, 2024, (iv) 14,832 RSUs in respect of Class A Common Stock which are scheduled to vest on January 1, 2024, and (v) 9,613 RSUs in respect of Class A Common Stock which are scheduled to vest in equal installments on the first, second and third anniversaries of March 15, 2022, in each case subject to the reporting person's continued employment through the applicable vesting date.</w:t>
      </w:r>
    </w:p>
    <w:p>
      <w:pPr>
        <w:spacing w:after="0" w:line="23"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03/23/2022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Justin Peterson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7231"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2022-03-23T15:31:00Z</dcterms:created>
  <dcterms:modified xsi:type="dcterms:W3CDTF">2022-03-23T15:31:00Z</dcterms:modified>
</cp:coreProperties>
</file>