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74295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7" w:lineRule="exact"/>
        <w:rPr>
          <w:sz w:val="24"/>
          <w:szCs w:val="24"/>
          <w:color w:val="auto"/>
        </w:rPr>
      </w:pPr>
    </w:p>
    <w:p>
      <w:pPr>
        <w:ind w:right="100" w:firstLine="3"/>
        <w:spacing w:after="0" w:line="255" w:lineRule="auto"/>
        <w:tabs>
          <w:tab w:leader="none" w:pos="25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right="100" w:firstLine="3"/>
        <w:spacing w:after="0" w:line="237" w:lineRule="auto"/>
        <w:tabs>
          <w:tab w:leader="none" w:pos="24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Commission File Number: 001-38860</w:t>
      </w:r>
    </w:p>
    <w:p>
      <w:pPr>
        <w:spacing w:after="0" w:line="7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117475</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18"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52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34"/>
        </w:trPr>
        <w:tc>
          <w:tcPr>
            <w:tcW w:w="52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77"/>
        </w:trPr>
        <w:tc>
          <w:tcPr>
            <w:tcW w:w="52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8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193"/>
        </w:trPr>
        <w:tc>
          <w:tcPr>
            <w:tcW w:w="5260" w:type="dxa"/>
            <w:vAlign w:val="bottom"/>
          </w:tcPr>
          <w:p>
            <w:pPr>
              <w:jc w:val="center"/>
              <w:ind w:right="870"/>
              <w:spacing w:after="0" w:line="193"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84"/>
        </w:trPr>
        <w:tc>
          <w:tcPr>
            <w:tcW w:w="5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(646) 430-6000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180" w:type="dxa"/>
            <w:vAlign w:val="bottom"/>
          </w:tcPr>
          <w:p>
            <w:pPr>
              <w:spacing w:after="0"/>
              <w:rPr>
                <w:sz w:val="15"/>
                <w:szCs w:val="15"/>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TW</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21" w:lineRule="exact"/>
        <w:rPr>
          <w:sz w:val="24"/>
          <w:szCs w:val="24"/>
          <w:color w:val="auto"/>
        </w:rPr>
      </w:pPr>
    </w:p>
    <w:p>
      <w:pPr>
        <w:jc w:val="both"/>
        <w:ind w:right="3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71" w:lineRule="exact"/>
        <w:rPr>
          <w:sz w:val="24"/>
          <w:szCs w:val="24"/>
          <w:color w:val="auto"/>
        </w:rPr>
      </w:pPr>
    </w:p>
    <w:p>
      <w:pPr>
        <w:ind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41" w:lineRule="exact"/>
        <w:rPr>
          <w:sz w:val="24"/>
          <w:szCs w:val="24"/>
          <w:color w:val="auto"/>
        </w:rPr>
      </w:pPr>
    </w:p>
    <w:p>
      <w:pPr>
        <w:ind w:right="3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100"/>
          </w:cols>
          <w:pgMar w:left="1420" w:top="229" w:right="1379" w:bottom="1440" w:gutter="0" w:footer="0" w:header="0"/>
        </w:sectPr>
      </w:pPr>
    </w:p>
    <w:p>
      <w:pPr>
        <w:spacing w:after="0" w:line="55" w:lineRule="exact"/>
        <w:rPr>
          <w:sz w:val="24"/>
          <w:szCs w:val="24"/>
          <w:color w:val="auto"/>
        </w:rPr>
      </w:pPr>
    </w:p>
    <w:p>
      <w:pPr>
        <w:ind w:left="20"/>
        <w:spacing w:after="0" w:line="26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1" w:lineRule="exact"/>
        <w:rPr>
          <w:sz w:val="24"/>
          <w:szCs w:val="24"/>
          <w:color w:val="auto"/>
        </w:rPr>
      </w:pPr>
    </w:p>
    <w:p>
      <w:pPr>
        <w:sectPr>
          <w:pgSz w:w="11900" w:h="16838" w:orient="portrait"/>
          <w:cols w:equalWidth="0" w:num="6">
            <w:col w:w="1600" w:space="560"/>
            <w:col w:w="180" w:space="720"/>
            <w:col w:w="1560" w:space="560"/>
            <w:col w:w="160" w:space="720"/>
            <w:col w:w="1400" w:space="720"/>
            <w:col w:w="920"/>
          </w:cols>
          <w:pgMar w:left="1420" w:top="229" w:right="1379" w:bottom="1440" w:gutter="0" w:footer="0" w:header="0"/>
          <w:type w:val="continuous"/>
        </w:sect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Class of Stock</w:t>
            </w:r>
          </w:p>
        </w:tc>
        <w:tc>
          <w:tcPr>
            <w:tcW w:w="3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Shares Outstanding as of November 1, 2019</w:t>
            </w:r>
          </w:p>
        </w:tc>
      </w:tr>
      <w:tr>
        <w:trPr>
          <w:trHeight w:val="119"/>
        </w:trPr>
        <w:tc>
          <w:tcPr>
            <w:tcW w:w="20" w:type="dxa"/>
            <w:vAlign w:val="bottom"/>
          </w:tcPr>
          <w:p>
            <w:pPr>
              <w:spacing w:after="0"/>
              <w:rPr>
                <w:sz w:val="10"/>
                <w:szCs w:val="10"/>
                <w:color w:val="auto"/>
              </w:rPr>
            </w:pPr>
          </w:p>
        </w:tc>
        <w:tc>
          <w:tcPr>
            <w:tcW w:w="52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80" w:type="dxa"/>
            <w:vAlign w:val="bottom"/>
          </w:tcPr>
          <w:p>
            <w:pPr>
              <w:spacing w:after="0"/>
              <w:rPr>
                <w:sz w:val="10"/>
                <w:szCs w:val="10"/>
                <w:color w:val="auto"/>
              </w:rPr>
            </w:pPr>
          </w:p>
        </w:tc>
        <w:tc>
          <w:tcPr>
            <w:tcW w:w="374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63,674,649</w:t>
            </w:r>
          </w:p>
        </w:tc>
      </w:tr>
      <w:tr>
        <w:trPr>
          <w:trHeight w:val="149"/>
        </w:trPr>
        <w:tc>
          <w:tcPr>
            <w:tcW w:w="5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3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96,933,192</w:t>
            </w:r>
          </w:p>
        </w:tc>
      </w:tr>
      <w:tr>
        <w:trPr>
          <w:trHeight w:val="149"/>
        </w:trPr>
        <w:tc>
          <w:tcPr>
            <w:tcW w:w="5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3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8,881,156</w:t>
            </w:r>
          </w:p>
        </w:tc>
      </w:tr>
      <w:tr>
        <w:trPr>
          <w:trHeight w:val="188"/>
        </w:trPr>
        <w:tc>
          <w:tcPr>
            <w:tcW w:w="5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52,947,070</w:t>
            </w:r>
          </w:p>
        </w:tc>
      </w:tr>
      <w:tr>
        <w:trPr>
          <w:trHeight w:val="64"/>
        </w:trPr>
        <w:tc>
          <w:tcPr>
            <w:tcW w:w="20" w:type="dxa"/>
            <w:vAlign w:val="bottom"/>
            <w:tcBorders>
              <w:bottom w:val="single" w:sz="8" w:color="auto"/>
            </w:tcBorders>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41"/>
        </w:trPr>
        <w:tc>
          <w:tcPr>
            <w:tcW w:w="20" w:type="dxa"/>
            <w:vAlign w:val="bottom"/>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101"/>
        </w:trPr>
        <w:tc>
          <w:tcPr>
            <w:tcW w:w="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100"/>
          </w:cols>
          <w:pgMar w:left="1420" w:top="229" w:right="13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gridSpan w:val="24"/>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CAUTIONARY NOTE REGARDING FORWARD-LOOKING STATEMENTS</w:t>
              </w:r>
            </w:hyperlink>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40" w:type="dxa"/>
            <w:vAlign w:val="bottom"/>
            <w:gridSpan w:val="24"/>
            <w:vMerge w:val="continue"/>
          </w:tcPr>
          <w:p>
            <w:pPr>
              <w:spacing w:after="0"/>
              <w:rPr>
                <w:sz w:val="13"/>
                <w:szCs w:val="13"/>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26"/>
        </w:trPr>
        <w:tc>
          <w:tcPr>
            <w:tcW w:w="578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PART I — FINANCIAL INFORMATION</w:t>
              </w:r>
            </w:hyperlink>
          </w:p>
        </w:tc>
        <w:tc>
          <w:tcPr>
            <w:tcW w:w="26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Item 1.</w:t>
              </w:r>
            </w:hyperlink>
          </w:p>
        </w:tc>
        <w:tc>
          <w:tcPr>
            <w:tcW w:w="22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Financial Statements</w:t>
              </w:r>
            </w:hyperlink>
          </w:p>
        </w:tc>
        <w:tc>
          <w:tcPr>
            <w:tcW w:w="720" w:type="dxa"/>
            <w:vAlign w:val="bottom"/>
            <w:tcBorders>
              <w:top w:val="single" w:sz="8" w:color="0000EE"/>
            </w:tcBorders>
            <w:gridSpan w:val="5"/>
          </w:tcPr>
          <w:p>
            <w:pPr>
              <w:spacing w:after="0"/>
              <w:rPr>
                <w:sz w:val="24"/>
                <w:szCs w:val="24"/>
                <w:color w:val="auto"/>
              </w:rPr>
            </w:pPr>
          </w:p>
        </w:tc>
        <w:tc>
          <w:tcPr>
            <w:tcW w:w="538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8440" w:type="dxa"/>
            <w:vAlign w:val="bottom"/>
            <w:gridSpan w:val="2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Financial Condition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4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Income</w:t>
              </w:r>
            </w:hyperlink>
          </w:p>
        </w:tc>
        <w:tc>
          <w:tcPr>
            <w:tcW w:w="498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40" w:type="dxa"/>
            <w:vAlign w:val="bottom"/>
            <w:gridSpan w:val="2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Statements of Comprehensive Income</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336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Consolidated Statements of Changes in Equity</w:t>
              </w:r>
            </w:hyperlink>
          </w:p>
        </w:tc>
        <w:tc>
          <w:tcPr>
            <w:tcW w:w="380" w:type="dxa"/>
            <w:vAlign w:val="bottom"/>
            <w:tcBorders>
              <w:top w:val="single" w:sz="8" w:color="0000EE"/>
            </w:tcBorders>
            <w:gridSpan w:val="2"/>
          </w:tcPr>
          <w:p>
            <w:pPr>
              <w:spacing w:after="0"/>
              <w:rPr>
                <w:sz w:val="24"/>
                <w:szCs w:val="24"/>
                <w:color w:val="auto"/>
              </w:rPr>
            </w:pPr>
          </w:p>
        </w:tc>
        <w:tc>
          <w:tcPr>
            <w:tcW w:w="470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2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Consolidated Statements of Cash Flows</w:t>
              </w:r>
            </w:hyperlink>
          </w:p>
        </w:tc>
        <w:tc>
          <w:tcPr>
            <w:tcW w:w="556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31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Notes to Consolidated Financial Statements</w:t>
              </w:r>
            </w:hyperlink>
          </w:p>
        </w:tc>
        <w:tc>
          <w:tcPr>
            <w:tcW w:w="526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2.</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gridSpan w:val="2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3.</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Item 4.</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Controls and Procedures</w:t>
              </w:r>
            </w:hyperlink>
          </w:p>
        </w:tc>
        <w:tc>
          <w:tcPr>
            <w:tcW w:w="584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12"/>
        </w:trPr>
        <w:tc>
          <w:tcPr>
            <w:tcW w:w="2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PART II — OTHER INFORMATION</w:t>
              </w:r>
            </w:hyperlink>
          </w:p>
        </w:tc>
        <w:tc>
          <w:tcPr>
            <w:tcW w:w="56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1.</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gridSpan w:val="2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3"/>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1A.</w:t>
              </w:r>
            </w:hyperlink>
          </w:p>
        </w:tc>
        <w:tc>
          <w:tcPr>
            <w:tcW w:w="7700" w:type="dxa"/>
            <w:vAlign w:val="bottom"/>
            <w:gridSpan w:val="21"/>
          </w:tcPr>
          <w:p>
            <w:pPr>
              <w:ind w:left="8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Unregistered Sales of Equity Securities and Use of Proceeds</w:t>
              </w:r>
            </w:hyperlink>
          </w:p>
        </w:tc>
        <w:tc>
          <w:tcPr>
            <w:tcW w:w="326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3.</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Defaults Upon Senior Securities</w:t>
              </w:r>
            </w:hyperlink>
          </w:p>
        </w:tc>
        <w:tc>
          <w:tcPr>
            <w:tcW w:w="528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4.</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Mine Safety Disclosures</w:t>
              </w:r>
            </w:hyperlink>
          </w:p>
        </w:tc>
        <w:tc>
          <w:tcPr>
            <w:tcW w:w="584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Item 5.</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gridSpan w:val="20"/>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Item 6.</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Exhibits</w:t>
              </w:r>
            </w:hyperlink>
          </w:p>
        </w:tc>
        <w:tc>
          <w:tcPr>
            <w:tcW w:w="628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gridSpan w:val="20"/>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Signatures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68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14"/>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 Organization to our unaudited consolidated financial statements included elsewhere in this Quarterly Report on Form 10-Q.</w:t>
      </w:r>
    </w:p>
    <w:p>
      <w:pPr>
        <w:spacing w:after="0" w:line="1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Quarterly Report on Form 10-Q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consolidated financial statements and other financial disclosures included elsewhere in this Quarterly Report on Form 10-Q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unaudited consolidated financial statements and other financial disclosures included elsewhere in this Quarterly Report on Form 10-Q relating to periods beginning on April 1, 2019, and through and including September 30,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unaudited consolidated financial statements and other financial disclosures included elsewhere in this Quarterly Report on Form 10-Q do not reflect what the results of operations, financial position or cash flows would have been had the Reorganization Transactions and the IPO taken place at the beginning of the periods presented.</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firstLine="27"/>
        <w:spacing w:after="0" w:line="258" w:lineRule="auto"/>
        <w:rPr>
          <w:sz w:val="20"/>
          <w:szCs w:val="20"/>
          <w:color w:val="auto"/>
        </w:rPr>
      </w:pPr>
      <w:r>
        <w:rPr>
          <w:rFonts w:ascii="Times New Roman" w:cs="Times New Roman" w:eastAsia="Times New Roman" w:hAnsi="Times New Roman"/>
          <w:sz w:val="18"/>
          <w:szCs w:val="18"/>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84" w:lineRule="exact"/>
        <w:rPr>
          <w:sz w:val="20"/>
          <w:szCs w:val="20"/>
          <w:color w:val="auto"/>
        </w:rPr>
      </w:pPr>
    </w:p>
    <w:p>
      <w:pPr>
        <w:ind w:left="660" w:right="80" w:hanging="333"/>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89" w:lineRule="exact"/>
        <w:rPr>
          <w:sz w:val="20"/>
          <w:szCs w:val="20"/>
          <w:color w:val="auto"/>
        </w:rPr>
      </w:pPr>
    </w:p>
    <w:p>
      <w:pPr>
        <w:jc w:val="both"/>
        <w:ind w:left="660" w:right="140" w:firstLine="27"/>
        <w:spacing w:after="0" w:line="261" w:lineRule="auto"/>
        <w:rPr>
          <w:sz w:val="20"/>
          <w:szCs w:val="20"/>
          <w:color w:val="auto"/>
        </w:rPr>
      </w:pPr>
      <w:r>
        <w:rPr>
          <w:rFonts w:ascii="Times New Roman" w:cs="Times New Roman" w:eastAsia="Times New Roman" w:hAnsi="Times New Roman"/>
          <w:sz w:val="18"/>
          <w:szCs w:val="18"/>
          <w:color w:val="auto"/>
        </w:rPr>
        <w:t>“Continuing LLC Owners” refer collectively to (i) those Original LLC Owners, including an indirect subsidiary of Refinitiv (as defined below), certain of the Bank Stockholders and members of management, that continue to own LLC Interests after the completion of the IPO and Reorganization Transactions, that received shares of our Class C common stock, shares of our Class D common stock or a combination of both, as the case may be, 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color w:val="auto"/>
        </w:rPr>
        <w:t>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80" w:lineRule="exact"/>
        <w:rPr>
          <w:sz w:val="20"/>
          <w:szCs w:val="20"/>
          <w:color w:val="auto"/>
        </w:rPr>
      </w:pPr>
    </w:p>
    <w:p>
      <w:pPr>
        <w:jc w:val="both"/>
        <w:ind w:left="660" w:firstLine="27"/>
        <w:spacing w:after="0" w:line="289" w:lineRule="auto"/>
        <w:rPr>
          <w:sz w:val="20"/>
          <w:szCs w:val="20"/>
          <w:color w:val="auto"/>
        </w:rPr>
      </w:pPr>
      <w:r>
        <w:rPr>
          <w:rFonts w:ascii="Times New Roman" w:cs="Times New Roman" w:eastAsia="Times New Roman" w:hAnsi="Times New Roman"/>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58" w:lineRule="exact"/>
        <w:rPr>
          <w:sz w:val="20"/>
          <w:szCs w:val="20"/>
          <w:color w:val="auto"/>
        </w:rPr>
      </w:pPr>
    </w:p>
    <w:p>
      <w:pPr>
        <w:ind w:left="660" w:right="120" w:firstLine="27"/>
        <w:spacing w:after="0" w:line="282" w:lineRule="auto"/>
        <w:rPr>
          <w:sz w:val="20"/>
          <w:szCs w:val="20"/>
          <w:color w:val="auto"/>
        </w:rPr>
      </w:pPr>
      <w:r>
        <w:rPr>
          <w:rFonts w:ascii="Times New Roman" w:cs="Times New Roman" w:eastAsia="Times New Roman" w:hAnsi="Times New Roman"/>
          <w:sz w:val="18"/>
          <w:szCs w:val="18"/>
          <w:color w:val="auto"/>
        </w:rPr>
        <w:t>“LLC Interests” refer to the single class of common membership interests of TWM LLC issued in connection with the Reorganization Transactions.</w:t>
      </w:r>
    </w:p>
    <w:p>
      <w:pPr>
        <w:spacing w:after="0" w:line="162" w:lineRule="exact"/>
        <w:rPr>
          <w:sz w:val="20"/>
          <w:szCs w:val="20"/>
          <w:color w:val="auto"/>
        </w:rPr>
      </w:pPr>
    </w:p>
    <w:p>
      <w:pPr>
        <w:ind w:left="660" w:right="200" w:firstLine="27"/>
        <w:spacing w:after="0" w:line="282" w:lineRule="auto"/>
        <w:rPr>
          <w:sz w:val="20"/>
          <w:szCs w:val="20"/>
          <w:color w:val="auto"/>
        </w:rPr>
      </w:pPr>
      <w:r>
        <w:rPr>
          <w:rFonts w:ascii="Times New Roman" w:cs="Times New Roman" w:eastAsia="Times New Roman" w:hAnsi="Times New Roman"/>
          <w:sz w:val="18"/>
          <w:szCs w:val="18"/>
          <w:color w:val="auto"/>
        </w:rPr>
        <w:t>“LSEG Transaction” refer to the acquisition of the Refinitiv business by London Stock Exchange Group plc in an all share transaction for a total enterprise value of approximately $27 billion.</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225" w:lineRule="exact"/>
        <w:rPr>
          <w:sz w:val="20"/>
          <w:szCs w:val="20"/>
          <w:color w:val="auto"/>
        </w:rPr>
      </w:pPr>
    </w:p>
    <w:p>
      <w:pPr>
        <w:ind w:left="660" w:right="80" w:firstLine="27"/>
        <w:spacing w:after="0" w:line="261" w:lineRule="auto"/>
        <w:rPr>
          <w:sz w:val="20"/>
          <w:szCs w:val="20"/>
          <w:color w:val="auto"/>
        </w:rPr>
      </w:pPr>
      <w:r>
        <w:rPr>
          <w:rFonts w:ascii="Times New Roman" w:cs="Times New Roman" w:eastAsia="Times New Roman" w:hAnsi="Times New Roman"/>
          <w:sz w:val="18"/>
          <w:szCs w:val="18"/>
          <w:color w:val="auto"/>
        </w:rPr>
        <w:t>“Refinitiv”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80" w:lineRule="exact"/>
        <w:rPr>
          <w:sz w:val="20"/>
          <w:szCs w:val="20"/>
          <w:color w:val="auto"/>
        </w:rPr>
      </w:pPr>
    </w:p>
    <w:p>
      <w:pPr>
        <w:jc w:val="both"/>
        <w:ind w:left="660" w:right="180" w:firstLine="27"/>
        <w:spacing w:after="0" w:line="266" w:lineRule="auto"/>
        <w:rPr>
          <w:sz w:val="20"/>
          <w:szCs w:val="20"/>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6" w:lineRule="exact"/>
        <w:rPr>
          <w:sz w:val="20"/>
          <w:szCs w:val="20"/>
          <w:color w:val="auto"/>
        </w:rPr>
      </w:pPr>
    </w:p>
    <w:p>
      <w:pPr>
        <w:ind w:left="660" w:right="380" w:firstLine="27"/>
        <w:spacing w:after="0" w:line="282" w:lineRule="auto"/>
        <w:rPr>
          <w:sz w:val="20"/>
          <w:szCs w:val="20"/>
          <w:color w:val="auto"/>
        </w:rPr>
      </w:pPr>
      <w:r>
        <w:rPr>
          <w:rFonts w:ascii="Times New Roman" w:cs="Times New Roman" w:eastAsia="Times New Roman" w:hAnsi="Times New Roman"/>
          <w:sz w:val="18"/>
          <w:szCs w:val="18"/>
          <w:color w:val="auto"/>
        </w:rPr>
        <w:t>“Thomson Reuters” refer to Thomson Reuters Corporation, which indirectly holds a 45% ownership interest in Refinitiv.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5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Quarterly Report on Form 10-Q are forward-looking statements.</w:t>
      </w:r>
    </w:p>
    <w:p>
      <w:pPr>
        <w:spacing w:after="0" w:line="186" w:lineRule="exact"/>
        <w:rPr>
          <w:sz w:val="20"/>
          <w:szCs w:val="20"/>
          <w:color w:val="auto"/>
        </w:rPr>
      </w:pPr>
    </w:p>
    <w:p>
      <w:pPr>
        <w:ind w:right="20" w:firstLine="359"/>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failure to compete successfully;</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dependence on dealer clients that are also stockholders;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225" w:lineRule="exact"/>
        <w:rPr>
          <w:sz w:val="20"/>
          <w:szCs w:val="20"/>
          <w:color w:val="auto"/>
        </w:rPr>
      </w:pPr>
    </w:p>
    <w:p>
      <w:pPr>
        <w:ind w:left="720" w:right="280" w:firstLine="28"/>
        <w:spacing w:after="0" w:line="282" w:lineRule="auto"/>
        <w:rPr>
          <w:sz w:val="20"/>
          <w:szCs w:val="20"/>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ability to implement our business strategies profitably;</w:t>
      </w:r>
    </w:p>
    <w:p>
      <w:pPr>
        <w:spacing w:after="0" w:line="225" w:lineRule="exact"/>
        <w:rPr>
          <w:sz w:val="20"/>
          <w:szCs w:val="20"/>
          <w:color w:val="auto"/>
        </w:rPr>
      </w:pPr>
    </w:p>
    <w:p>
      <w:pPr>
        <w:ind w:left="720" w:right="120" w:firstLine="28"/>
        <w:spacing w:after="0" w:line="282" w:lineRule="auto"/>
        <w:rPr>
          <w:sz w:val="20"/>
          <w:szCs w:val="20"/>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ability to retain the services of certain members of our management;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inadequate protection of our intellectual property;</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extensive regulation of our industry;</w:t>
      </w:r>
    </w:p>
    <w:p>
      <w:pPr>
        <w:spacing w:after="0" w:line="225" w:lineRule="exact"/>
        <w:rPr>
          <w:sz w:val="20"/>
          <w:szCs w:val="20"/>
          <w:color w:val="auto"/>
        </w:rPr>
      </w:pPr>
    </w:p>
    <w:p>
      <w:pPr>
        <w:ind w:left="720" w:right="220" w:firstLine="28"/>
        <w:spacing w:after="0" w:line="261" w:lineRule="auto"/>
        <w:rPr>
          <w:sz w:val="20"/>
          <w:szCs w:val="20"/>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80" w:lineRule="exact"/>
        <w:rPr>
          <w:sz w:val="20"/>
          <w:szCs w:val="20"/>
          <w:color w:val="auto"/>
        </w:rPr>
      </w:pPr>
    </w:p>
    <w:p>
      <w:pPr>
        <w:jc w:val="both"/>
        <w:ind w:left="720" w:firstLine="28"/>
        <w:spacing w:after="0" w:line="266" w:lineRule="auto"/>
        <w:rPr>
          <w:sz w:val="20"/>
          <w:szCs w:val="20"/>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Refinitiv’s control of us and our status as a controlled company; and</w:t>
      </w:r>
    </w:p>
    <w:p>
      <w:pPr>
        <w:spacing w:after="0" w:line="225" w:lineRule="exact"/>
        <w:rPr>
          <w:sz w:val="20"/>
          <w:szCs w:val="20"/>
          <w:color w:val="auto"/>
        </w:rPr>
      </w:pPr>
    </w:p>
    <w:p>
      <w:pPr>
        <w:ind w:left="720" w:right="80" w:hanging="393"/>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 in our final prospectus, dated October 17, 2019 (the “October Prospectus”), filed with the Securities and Exchange Commission (“SEC”) pursuant to Rule 424(b) under the Securities Act, relating to our follow-on offering, and in other filings we may make from time to time with the SEC.</w:t>
      </w:r>
    </w:p>
    <w:p>
      <w:pPr>
        <w:spacing w:after="0" w:line="180" w:lineRule="exact"/>
        <w:rPr>
          <w:sz w:val="20"/>
          <w:szCs w:val="20"/>
          <w:color w:val="auto"/>
        </w:rPr>
      </w:pPr>
    </w:p>
    <w:p>
      <w:pPr>
        <w:ind w:right="40" w:firstLine="359"/>
        <w:spacing w:after="0" w:line="258"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industry and markets in which we operate, are consistent with the forward-looking statements contained in this Quarterly Report on Form 10-Q, they may not be predictive of results or developments in future periods.</w:t>
      </w:r>
    </w:p>
    <w:p>
      <w:pPr>
        <w:spacing w:after="0" w:line="162" w:lineRule="exact"/>
        <w:rPr>
          <w:sz w:val="20"/>
          <w:szCs w:val="20"/>
          <w:color w:val="auto"/>
        </w:rPr>
      </w:pPr>
    </w:p>
    <w:p>
      <w:pPr>
        <w:ind w:right="120" w:firstLine="359"/>
        <w:spacing w:after="0" w:line="261"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80" w:lineRule="exact"/>
        <w:rPr>
          <w:sz w:val="20"/>
          <w:szCs w:val="20"/>
          <w:color w:val="auto"/>
        </w:rPr>
      </w:pPr>
    </w:p>
    <w:p>
      <w:pPr>
        <w:ind w:firstLine="359"/>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142"/>
        </w:trPr>
        <w:tc>
          <w:tcPr>
            <w:tcW w:w="6760" w:type="dxa"/>
            <w:vAlign w:val="bottom"/>
            <w:shd w:val="clear" w:color="auto" w:fill="CCEEFF"/>
          </w:tcPr>
          <w:p>
            <w:pPr>
              <w:ind w:left="31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389,930</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410,104</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747,660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174,591</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Deposits with clearing organizations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11,427</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95,398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87,192</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Furniture, equipment, purchased software and leasehold improvements, net of accumulated depreciation and amortization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38,128</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170,582</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1,306,293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1,380,848</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2,694,797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2,694,797</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Receivable from affiliates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3,243</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29,650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25,027</w:t>
            </w:r>
          </w:p>
        </w:tc>
      </w:tr>
      <w:tr>
        <w:trPr>
          <w:trHeight w:val="149"/>
        </w:trPr>
        <w:tc>
          <w:tcPr>
            <w:tcW w:w="676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5,622,680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4,997,139</w:t>
            </w: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ind w:left="17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Equity/Members'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171,214</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120,158</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27,883</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42,548</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equity compensation payable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24,187</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Payable to affiliates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19,627</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Tax receivable agreement liability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171,426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7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1,135,444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410,626</w:t>
            </w:r>
          </w:p>
        </w:tc>
      </w:tr>
      <w:tr>
        <w:trPr>
          <w:trHeight w:val="142"/>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Mezzanine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C Shares and Class P(C)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14,179</w:t>
            </w:r>
          </w:p>
        </w:tc>
      </w:tr>
      <w:tr>
        <w:trPr>
          <w:trHeight w:val="149"/>
        </w:trPr>
        <w:tc>
          <w:tcPr>
            <w:tcW w:w="6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Equity/Members'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4,573,200</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$.00001 par value; 250,000,000 shares authorized; none issued or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36"/>
        </w:trPr>
        <w:tc>
          <w:tcPr>
            <w:tcW w:w="6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Class A common stock, $.00001 par value; 1,000,000,000 shares authorized; 46,009,753 shares issued and outstanding as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September 30, 2019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67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Class B common stock, $.00001 par value; 450,000,000 shares authorized; 96,933,192 shares issued and outstanding as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6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Class C common stock, $.00001 par value; 350,000,000 shares authorized; 10,006,269 shares issued and outstanding as of</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67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Class D common stock, $.00001 par value; 300,000,000 shares authorized; 69,282,736 shares issued and outstanding as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2,855,885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7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 attributable to Tradeweb Markets Inc./members'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2,873,603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4,572,334</w:t>
            </w:r>
          </w:p>
        </w:tc>
      </w:tr>
      <w:tr>
        <w:trPr>
          <w:trHeight w:val="149"/>
        </w:trPr>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1,613,633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76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4,487,236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4,572,334</w:t>
            </w:r>
          </w:p>
        </w:tc>
      </w:tr>
      <w:tr>
        <w:trPr>
          <w:trHeight w:val="149"/>
        </w:trPr>
        <w:tc>
          <w:tcPr>
            <w:tcW w:w="6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equity/members' capital</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5,622,680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4,997,139</w:t>
            </w:r>
          </w:p>
        </w:tc>
      </w:tr>
    </w:tbl>
    <w:p>
      <w:pPr>
        <w:spacing w:after="0" w:line="27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2"/>
                <w:szCs w:val="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Transaction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112,746</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319,338</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92,582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273,751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Subscription fees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104,398</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33,157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Commissions</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108,200</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Refinitiv market data fees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40,252</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Gross revenue</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578,258</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165,253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505,771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200,981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578,258</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167,790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478,941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Employee compensation and benefits</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252,912</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102,928</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Technology and communications</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29,086</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25,961</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20,981</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1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142,723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442,768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114,973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135,490</w:t>
            </w:r>
          </w:p>
        </w:tc>
        <w:tc>
          <w:tcPr>
            <w:tcW w:w="1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52,817</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taxes</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58,894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137,159</w:t>
            </w:r>
          </w:p>
        </w:tc>
        <w:tc>
          <w:tcPr>
            <w:tcW w:w="1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53,490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(21,413)</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(7,535)</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48,578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115,746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45,955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60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color w:val="auto"/>
              </w:rPr>
              <w:t>Less: Pre-IPO net income attributable to Tradeweb</w:t>
            </w:r>
          </w:p>
        </w:tc>
        <w:tc>
          <w:tcPr>
            <w:tcW w:w="100" w:type="dxa"/>
            <w:vAlign w:val="bottom"/>
          </w:tcPr>
          <w:p>
            <w:pPr>
              <w:spacing w:after="0"/>
              <w:rPr>
                <w:sz w:val="8"/>
                <w:szCs w:val="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42,352</w:t>
            </w:r>
          </w:p>
        </w:tc>
        <w:tc>
          <w:tcPr>
            <w:tcW w:w="1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Markets LLC</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0" w:type="dxa"/>
            <w:vAlign w:val="bottom"/>
            <w:tcBorders>
              <w:top w:val="single" w:sz="8" w:color="CCEE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Net income attributable to Tradeweb Markets Inc. and</w:t>
            </w:r>
          </w:p>
        </w:tc>
        <w:tc>
          <w:tcPr>
            <w:tcW w:w="10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48,578</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w:t>
            </w: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30,954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42,440</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EPS calculations for pre-IPO and post-IPO periods </w:t>
            </w:r>
            <w:r>
              <w:rPr>
                <w:rFonts w:ascii="Times New Roman" w:cs="Times New Roman" w:eastAsia="Times New Roman" w:hAnsi="Times New Roman"/>
                <w:sz w:val="14"/>
                <w:szCs w:val="14"/>
                <w:b w:val="1"/>
                <w:bCs w:val="1"/>
                <w:color w:val="auto"/>
                <w:vertAlign w:val="superscript"/>
              </w:rPr>
              <w:t>(1)</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Earnings per share</w:t>
            </w:r>
          </w:p>
        </w:tc>
        <w:tc>
          <w:tcPr>
            <w:tcW w:w="4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0.21 </w:t>
            </w:r>
            <w:r>
              <w:rPr>
                <w:rFonts w:ascii="Times New Roman" w:cs="Times New Roman" w:eastAsia="Times New Roman" w:hAnsi="Times New Roman"/>
                <w:sz w:val="14"/>
                <w:szCs w:val="14"/>
                <w:color w:val="auto"/>
                <w:vertAlign w:val="superscript"/>
              </w:rPr>
              <w:t>(b)</w:t>
            </w:r>
          </w:p>
        </w:tc>
        <w:tc>
          <w:tcPr>
            <w:tcW w:w="100" w:type="dxa"/>
            <w:vAlign w:val="bottom"/>
            <w:vMerge w:val="restart"/>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xml:space="preserve">0.19 </w:t>
            </w: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4"/>
                <w:szCs w:val="14"/>
                <w:color w:val="auto"/>
              </w:rPr>
              <w:t xml:space="preserve"> /</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xml:space="preserve">0.21 </w:t>
            </w:r>
            <w:r>
              <w:rPr>
                <w:rFonts w:ascii="Times New Roman" w:cs="Times New Roman" w:eastAsia="Times New Roman" w:hAnsi="Times New Roman"/>
                <w:sz w:val="14"/>
                <w:szCs w:val="14"/>
                <w:color w:val="auto"/>
                <w:vertAlign w:val="superscript"/>
              </w:rPr>
              <w:t>(a)</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0.60 </w:t>
            </w:r>
            <w:r>
              <w:rPr>
                <w:rFonts w:ascii="Times New Roman" w:cs="Times New Roman" w:eastAsia="Times New Roman" w:hAnsi="Times New Roman"/>
                <w:sz w:val="14"/>
                <w:szCs w:val="14"/>
                <w:color w:val="auto"/>
                <w:vertAlign w:val="superscript"/>
              </w:rPr>
              <w:t>(a)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0.30 </w:t>
            </w:r>
            <w:r>
              <w:rPr>
                <w:rFonts w:ascii="Times New Roman" w:cs="Times New Roman" w:eastAsia="Times New Roman" w:hAnsi="Times New Roman"/>
                <w:sz w:val="14"/>
                <w:szCs w:val="14"/>
                <w:color w:val="auto"/>
                <w:vertAlign w:val="superscript"/>
              </w:rPr>
              <w:t>(b)</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vMerge w:val="restart"/>
          </w:tcPr>
          <w:p>
            <w:pPr>
              <w:ind w:left="120"/>
              <w:spacing w:after="0" w:line="133" w:lineRule="exact"/>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vMerge w:val="restart"/>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00" w:type="dxa"/>
            <w:vAlign w:val="bottom"/>
            <w:gridSpan w:val="2"/>
            <w:vMerge w:val="continue"/>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0.20 </w:t>
            </w:r>
            <w:r>
              <w:rPr>
                <w:rFonts w:ascii="Times New Roman" w:cs="Times New Roman" w:eastAsia="Times New Roman" w:hAnsi="Times New Roman"/>
                <w:sz w:val="14"/>
                <w:szCs w:val="14"/>
                <w:color w:val="auto"/>
                <w:vertAlign w:val="superscript"/>
              </w:rPr>
              <w:t>(b)</w:t>
            </w:r>
          </w:p>
        </w:tc>
        <w:tc>
          <w:tcPr>
            <w:tcW w:w="100" w:type="dxa"/>
            <w:vAlign w:val="bottom"/>
            <w:vMerge w:val="restart"/>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color w:val="auto"/>
              </w:rPr>
              <w:t xml:space="preserve">0.19 </w:t>
            </w:r>
            <w:r>
              <w:rPr>
                <w:rFonts w:ascii="Times New Roman" w:cs="Times New Roman" w:eastAsia="Times New Roman" w:hAnsi="Times New Roman"/>
                <w:sz w:val="13"/>
                <w:szCs w:val="13"/>
                <w:color w:val="auto"/>
                <w:vertAlign w:val="superscript"/>
              </w:rPr>
              <w:t>(a)</w:t>
            </w:r>
            <w:r>
              <w:rPr>
                <w:rFonts w:ascii="Times New Roman" w:cs="Times New Roman" w:eastAsia="Times New Roman" w:hAnsi="Times New Roman"/>
                <w:sz w:val="13"/>
                <w:szCs w:val="13"/>
                <w:color w:val="auto"/>
              </w:rPr>
              <w:t xml:space="preserve"> /</w:t>
            </w:r>
          </w:p>
        </w:tc>
        <w:tc>
          <w:tcPr>
            <w:tcW w:w="140" w:type="dxa"/>
            <w:vAlign w:val="bottom"/>
            <w:vMerge w:val="continue"/>
          </w:tcPr>
          <w:p>
            <w:pPr>
              <w:spacing w:after="0"/>
              <w:rPr>
                <w:sz w:val="9"/>
                <w:szCs w:val="9"/>
                <w:color w:val="auto"/>
              </w:rPr>
            </w:pPr>
          </w:p>
        </w:tc>
        <w:tc>
          <w:tcPr>
            <w:tcW w:w="20" w:type="dxa"/>
            <w:vAlign w:val="bottom"/>
            <w:vMerge w:val="continue"/>
            <w:shd w:val="clear" w:color="auto" w:fill="000000"/>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xml:space="preserve">0.21 </w:t>
            </w:r>
            <w:r>
              <w:rPr>
                <w:rFonts w:ascii="Times New Roman" w:cs="Times New Roman" w:eastAsia="Times New Roman" w:hAnsi="Times New Roman"/>
                <w:sz w:val="14"/>
                <w:szCs w:val="14"/>
                <w:color w:val="auto"/>
                <w:vertAlign w:val="superscript"/>
              </w:rPr>
              <w:t>(a)</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0.60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0.28 </w:t>
            </w:r>
            <w:r>
              <w:rPr>
                <w:rFonts w:ascii="Times New Roman" w:cs="Times New Roman" w:eastAsia="Times New Roman" w:hAnsi="Times New Roman"/>
                <w:sz w:val="14"/>
                <w:szCs w:val="14"/>
                <w:color w:val="auto"/>
                <w:vertAlign w:val="superscript"/>
              </w:rPr>
              <w:t>(b)</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142,935,206 </w:t>
            </w:r>
            <w:r>
              <w:rPr>
                <w:rFonts w:ascii="Times New Roman" w:cs="Times New Roman" w:eastAsia="Times New Roman" w:hAnsi="Times New Roman"/>
                <w:sz w:val="14"/>
                <w:szCs w:val="14"/>
                <w:color w:val="auto"/>
                <w:vertAlign w:val="superscript"/>
              </w:rPr>
              <w:t>(b)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xml:space="preserve">222,222,197 </w:t>
            </w: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4"/>
                <w:szCs w:val="14"/>
                <w:color w:val="auto"/>
              </w:rPr>
              <w:t xml:space="preserve"> /</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xml:space="preserve">219,165,997 </w:t>
            </w:r>
            <w:r>
              <w:rPr>
                <w:rFonts w:ascii="Times New Roman" w:cs="Times New Roman" w:eastAsia="Times New Roman" w:hAnsi="Times New Roman"/>
                <w:sz w:val="14"/>
                <w:szCs w:val="14"/>
                <w:color w:val="auto"/>
                <w:vertAlign w:val="superscript"/>
              </w:rPr>
              <w:t>(a)</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215,365,920 </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142,934,221 </w:t>
            </w:r>
            <w:r>
              <w:rPr>
                <w:rFonts w:ascii="Times New Roman" w:cs="Times New Roman" w:eastAsia="Times New Roman" w:hAnsi="Times New Roman"/>
                <w:sz w:val="14"/>
                <w:szCs w:val="14"/>
                <w:color w:val="auto"/>
                <w:vertAlign w:val="superscript"/>
              </w:rPr>
              <w:t>(b)</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0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Diluted</w:t>
            </w: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151,362,643 </w:t>
            </w:r>
            <w:r>
              <w:rPr>
                <w:rFonts w:ascii="Times New Roman" w:cs="Times New Roman" w:eastAsia="Times New Roman" w:hAnsi="Times New Roman"/>
                <w:sz w:val="14"/>
                <w:szCs w:val="14"/>
                <w:color w:val="auto"/>
                <w:vertAlign w:val="superscript"/>
              </w:rPr>
              <w:t>(b)</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xml:space="preserve">223,320,457 </w:t>
            </w: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4"/>
                <w:szCs w:val="14"/>
                <w:color w:val="auto"/>
              </w:rPr>
              <w:t xml:space="preserve"> /</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xml:space="preserve">219,165,997 </w:t>
            </w:r>
            <w:r>
              <w:rPr>
                <w:rFonts w:ascii="Times New Roman" w:cs="Times New Roman" w:eastAsia="Times New Roman" w:hAnsi="Times New Roman"/>
                <w:sz w:val="14"/>
                <w:szCs w:val="14"/>
                <w:color w:val="auto"/>
                <w:vertAlign w:val="superscript"/>
              </w:rPr>
              <w:t>(a)</w:t>
            </w:r>
          </w:p>
        </w:tc>
        <w:tc>
          <w:tcPr>
            <w:tcW w:w="1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215,365,920 </w:t>
            </w:r>
            <w:r>
              <w:rPr>
                <w:rFonts w:ascii="Times New Roman" w:cs="Times New Roman" w:eastAsia="Times New Roman" w:hAnsi="Times New Roman"/>
                <w:sz w:val="14"/>
                <w:szCs w:val="14"/>
                <w:color w:val="auto"/>
                <w:vertAlign w:val="superscript"/>
              </w:rPr>
              <w:t>(a)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xml:space="preserve">151,158,760 </w:t>
            </w:r>
            <w:r>
              <w:rPr>
                <w:rFonts w:ascii="Times New Roman" w:cs="Times New Roman" w:eastAsia="Times New Roman" w:hAnsi="Times New Roman"/>
                <w:sz w:val="14"/>
                <w:szCs w:val="14"/>
                <w:color w:val="auto"/>
                <w:vertAlign w:val="superscript"/>
              </w:rPr>
              <w:t>(b)</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0" w:right="20" w:hanging="316"/>
        <w:spacing w:after="0" w:line="227" w:lineRule="auto"/>
        <w:tabs>
          <w:tab w:leader="none" w:pos="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18 – Earnings Per Share for additional information.</w:t>
      </w:r>
    </w:p>
    <w:p>
      <w:pPr>
        <w:spacing w:after="0" w:line="1" w:lineRule="exact"/>
        <w:rPr>
          <w:rFonts w:ascii="Times New Roman" w:cs="Times New Roman" w:eastAsia="Times New Roman" w:hAnsi="Times New Roman"/>
          <w:sz w:val="14"/>
          <w:szCs w:val="14"/>
          <w:color w:val="auto"/>
        </w:rPr>
      </w:pPr>
    </w:p>
    <w:p>
      <w:pPr>
        <w:ind w:left="1060" w:hanging="328"/>
        <w:spacing w:after="0" w:line="221" w:lineRule="auto"/>
        <w:tabs>
          <w:tab w:leader="none" w:pos="106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LLC (pre-IPO period).</w:t>
      </w:r>
    </w:p>
    <w:p>
      <w:pPr>
        <w:ind w:left="1060" w:hanging="328"/>
        <w:spacing w:after="0"/>
        <w:tabs>
          <w:tab w:leader="none" w:pos="106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Inc. (post-IPO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 Pre-IPO attributable to Tradeweb Markets LLC</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Pre-IPO net income attributable to Tradeweb Markets LLC</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42,352</w:t>
            </w:r>
          </w:p>
        </w:tc>
        <w:tc>
          <w:tcPr>
            <w:tcW w:w="100" w:type="dxa"/>
            <w:vAlign w:val="bottom"/>
            <w:tcBorders>
              <w:right w:val="single" w:sz="8" w:color="auto"/>
            </w:tcBorders>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45,955</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attributable to Tradeweb Markets LLC</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Pre-IPO comprehensive income attributable to Tradeweb Markets LLC</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43,340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44,949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 Tradeweb Markets Inc.</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Tradeweb Markets Inc.</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29,612</w:t>
            </w:r>
          </w:p>
        </w:tc>
        <w:tc>
          <w:tcPr>
            <w:tcW w:w="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attributable to Tradeweb Markets Inc.</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28,283</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40,464</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 Non-controlling interests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18,966</w:t>
            </w:r>
          </w:p>
        </w:tc>
        <w:tc>
          <w:tcPr>
            <w:tcW w:w="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30,954</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attributable to non-controlling interests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29,858</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420" w:top="121" w:right="13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Members'</w:t>
            </w:r>
          </w:p>
        </w:tc>
        <w:tc>
          <w:tcPr>
            <w:tcW w:w="100" w:type="dxa"/>
            <w:vAlign w:val="bottom"/>
          </w:tcPr>
          <w:p>
            <w:pPr>
              <w:spacing w:after="0"/>
              <w:rPr>
                <w:sz w:val="10"/>
                <w:szCs w:val="10"/>
                <w:color w:val="auto"/>
              </w:rPr>
            </w:pPr>
          </w:p>
        </w:tc>
        <w:tc>
          <w:tcPr>
            <w:tcW w:w="10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0"/>
                <w:szCs w:val="10"/>
                <w:color w:val="auto"/>
              </w:rPr>
            </w:pPr>
          </w:p>
        </w:tc>
        <w:tc>
          <w:tcPr>
            <w:tcW w:w="1020" w:type="dxa"/>
            <w:vAlign w:val="bottom"/>
            <w:gridSpan w:val="3"/>
          </w:tcPr>
          <w:p>
            <w:pPr>
              <w:jc w:val="right"/>
              <w:ind w:right="286"/>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0"/>
                <w:szCs w:val="10"/>
                <w:color w:val="auto"/>
              </w:rPr>
            </w:pPr>
          </w:p>
        </w:tc>
        <w:tc>
          <w:tcPr>
            <w:tcW w:w="10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100" w:type="dxa"/>
            <w:vAlign w:val="bottom"/>
          </w:tcPr>
          <w:p>
            <w:pPr>
              <w:spacing w:after="0"/>
              <w:rPr>
                <w:sz w:val="10"/>
                <w:szCs w:val="10"/>
                <w:color w:val="auto"/>
              </w:rPr>
            </w:pPr>
          </w:p>
        </w:tc>
        <w:tc>
          <w:tcPr>
            <w:tcW w:w="1020" w:type="dxa"/>
            <w:vAlign w:val="bottom"/>
            <w:gridSpan w:val="3"/>
          </w:tcPr>
          <w:p>
            <w:pPr>
              <w:jc w:val="right"/>
              <w:ind w:right="286"/>
              <w:spacing w:after="0" w:line="122" w:lineRule="exact"/>
              <w:rPr>
                <w:sz w:val="20"/>
                <w:szCs w:val="20"/>
                <w:color w:val="auto"/>
              </w:rPr>
            </w:pPr>
            <w:r>
              <w:rPr>
                <w:rFonts w:ascii="Times New Roman" w:cs="Times New Roman" w:eastAsia="Times New Roman" w:hAnsi="Times New Roman"/>
                <w:sz w:val="11"/>
                <w:szCs w:val="11"/>
                <w:b w:val="1"/>
                <w:bCs w:val="1"/>
                <w:color w:val="auto"/>
              </w:rPr>
              <w:t>Class D</w:t>
            </w:r>
          </w:p>
        </w:tc>
        <w:tc>
          <w:tcPr>
            <w:tcW w:w="160" w:type="dxa"/>
            <w:vAlign w:val="bottom"/>
          </w:tcPr>
          <w:p>
            <w:pPr>
              <w:spacing w:after="0"/>
              <w:rPr>
                <w:sz w:val="10"/>
                <w:szCs w:val="10"/>
                <w:color w:val="auto"/>
              </w:rPr>
            </w:pP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82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10"/>
                <w:szCs w:val="10"/>
                <w:color w:val="auto"/>
              </w:rPr>
            </w:pPr>
          </w:p>
        </w:tc>
        <w:tc>
          <w:tcPr>
            <w:tcW w:w="3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85"/>
              </w:rPr>
              <w:t>Retained</w:t>
            </w:r>
          </w:p>
        </w:tc>
        <w:tc>
          <w:tcPr>
            <w:tcW w:w="6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74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7"/>
        </w:trPr>
        <w:tc>
          <w:tcPr>
            <w:tcW w:w="1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00" w:type="dxa"/>
            <w:vAlign w:val="bottom"/>
          </w:tcPr>
          <w:p>
            <w:pPr>
              <w:spacing w:after="0"/>
              <w:rPr>
                <w:sz w:val="11"/>
                <w:szCs w:val="11"/>
                <w:color w:val="auto"/>
              </w:rPr>
            </w:pPr>
          </w:p>
        </w:tc>
        <w:tc>
          <w:tcPr>
            <w:tcW w:w="10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00" w:type="dxa"/>
            <w:vAlign w:val="bottom"/>
          </w:tcPr>
          <w:p>
            <w:pPr>
              <w:spacing w:after="0"/>
              <w:rPr>
                <w:sz w:val="11"/>
                <w:szCs w:val="11"/>
                <w:color w:val="auto"/>
              </w:rPr>
            </w:pPr>
          </w:p>
        </w:tc>
        <w:tc>
          <w:tcPr>
            <w:tcW w:w="10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6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Borders>
              <w:top w:val="single" w:sz="8" w:color="auto"/>
            </w:tcBorders>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620" w:type="dxa"/>
            <w:vAlign w:val="bottom"/>
            <w:tcBorders>
              <w:top w:val="single" w:sz="8" w:color="auto"/>
            </w:tcBorders>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Borders>
              <w:top w:val="single" w:sz="8" w:color="auto"/>
            </w:tcBorders>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20" w:type="dxa"/>
            <w:vAlign w:val="bottom"/>
            <w:tcBorders>
              <w:top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Balance at December</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31, 2018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4,573,200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4,572,334</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Adjustment to Class C</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and Class P(C)</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in mezzanine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Capital distributions</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4,674</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4,674</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42,352</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42,352</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w w:val="98"/>
              </w:rPr>
              <w:t>translation adjustments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988</w:t>
            </w:r>
          </w:p>
        </w:tc>
        <w:tc>
          <w:tcPr>
            <w:tcW w:w="1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988</w:t>
            </w:r>
          </w:p>
        </w:tc>
        <w:tc>
          <w:tcPr>
            <w:tcW w:w="0" w:type="dxa"/>
            <w:vAlign w:val="bottom"/>
          </w:tcPr>
          <w:p>
            <w:pPr>
              <w:spacing w:after="0"/>
              <w:rPr>
                <w:sz w:val="1"/>
                <w:szCs w:val="1"/>
                <w:color w:val="auto"/>
              </w:rPr>
            </w:pPr>
          </w:p>
        </w:tc>
      </w:tr>
      <w:tr>
        <w:trPr>
          <w:trHeight w:val="88"/>
        </w:trPr>
        <w:tc>
          <w:tcPr>
            <w:tcW w:w="10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at March 31,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4,597,857</w:t>
            </w:r>
          </w:p>
        </w:tc>
        <w:tc>
          <w:tcPr>
            <w:tcW w:w="10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4,597,979</w:t>
            </w: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2019</w:t>
            </w:r>
          </w:p>
        </w:tc>
        <w:tc>
          <w:tcPr>
            <w:tcW w:w="16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02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Capital distributions</w:t>
            </w:r>
          </w:p>
        </w:tc>
        <w:tc>
          <w:tcPr>
            <w:tcW w:w="10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ind w:lef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ind w:lef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CEEFF"/>
            </w:tcBorders>
          </w:tcPr>
          <w:p>
            <w:pPr>
              <w:spacing w:after="0"/>
              <w:rPr>
                <w:sz w:val="9"/>
                <w:szCs w:val="9"/>
                <w:color w:val="auto"/>
              </w:rPr>
            </w:pPr>
          </w:p>
        </w:tc>
        <w:tc>
          <w:tcPr>
            <w:tcW w:w="4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(100,000)</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Effect of the</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reorganization</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transactions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(4,497,857)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4,521,132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23,275</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 net of offering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w w:val="99"/>
              </w:rPr>
              <w:t>costs and cancellations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46,000,000</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96,933,192</w:t>
            </w:r>
          </w:p>
        </w:tc>
        <w:tc>
          <w:tcPr>
            <w:tcW w:w="80" w:type="dxa"/>
            <w:vAlign w:val="bottom"/>
          </w:tcPr>
          <w:p>
            <w:pPr>
              <w:spacing w:after="0"/>
              <w:rPr>
                <w:sz w:val="11"/>
                <w:szCs w:val="11"/>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10,006,269</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69,282,736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(15,854)</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Tax receivable</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8"/>
              </w:rPr>
              <w:t>agreement liability and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deferred taxes arising</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from the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reorganization</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transactions and IPO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(78,232)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(78,232)</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Allocation of equity to</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non-controlling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(1,607,529)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1,607,529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Adjustments to non-</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controlling interests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Distributions to non-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controlling interests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(11,909)</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Dividends ($0.08 per</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(11,435)</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(11,435)</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 expense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under the PRSU Plan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6,763</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compensation expense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under the Option Plan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20,403</w:t>
            </w: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12,828</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24,816</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8"/>
              </w:rPr>
              <w:t>translation adjustments</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0" w:type="dxa"/>
            <w:vAlign w:val="bottom"/>
          </w:tcPr>
          <w:p>
            <w:pPr>
              <w:spacing w:after="0"/>
              <w:rPr>
                <w:sz w:val="1"/>
                <w:szCs w:val="1"/>
                <w:color w:val="auto"/>
              </w:rPr>
            </w:pPr>
          </w:p>
        </w:tc>
      </w:tr>
      <w:tr>
        <w:trPr>
          <w:trHeight w:val="88"/>
        </w:trPr>
        <w:tc>
          <w:tcPr>
            <w:tcW w:w="10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Balance at June 30,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46,000,000</w:t>
            </w:r>
          </w:p>
        </w:tc>
        <w:tc>
          <w:tcPr>
            <w:tcW w:w="100" w:type="dxa"/>
            <w:vAlign w:val="bottom"/>
          </w:tcPr>
          <w:p>
            <w:pPr>
              <w:spacing w:after="0"/>
              <w:rPr>
                <w:sz w:val="7"/>
                <w:szCs w:val="7"/>
                <w:color w:val="auto"/>
              </w:rPr>
            </w:pP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96,933,192</w:t>
            </w:r>
          </w:p>
        </w:tc>
        <w:tc>
          <w:tcPr>
            <w:tcW w:w="80" w:type="dxa"/>
            <w:vAlign w:val="bottom"/>
          </w:tcPr>
          <w:p>
            <w:pPr>
              <w:spacing w:after="0"/>
              <w:rPr>
                <w:sz w:val="7"/>
                <w:szCs w:val="7"/>
                <w:color w:val="auto"/>
              </w:rPr>
            </w:pPr>
          </w:p>
        </w:tc>
        <w:tc>
          <w:tcPr>
            <w:tcW w:w="4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10,006,269</w:t>
            </w:r>
          </w:p>
        </w:tc>
        <w:tc>
          <w:tcPr>
            <w:tcW w:w="80" w:type="dxa"/>
            <w:vAlign w:val="bottom"/>
          </w:tcPr>
          <w:p>
            <w:pPr>
              <w:spacing w:after="0"/>
              <w:rPr>
                <w:sz w:val="7"/>
                <w:szCs w:val="7"/>
                <w:color w:val="auto"/>
              </w:rPr>
            </w:pP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69,282,736</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99"/>
              </w:rPr>
              <w:t>2,846,681</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1,607,249</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4,454,800</w:t>
            </w:r>
          </w:p>
        </w:tc>
        <w:tc>
          <w:tcPr>
            <w:tcW w:w="0" w:type="dxa"/>
            <w:vAlign w:val="bottom"/>
          </w:tcPr>
          <w:p>
            <w:pPr>
              <w:spacing w:after="0"/>
              <w:rPr>
                <w:sz w:val="1"/>
                <w:szCs w:val="1"/>
                <w:color w:val="auto"/>
              </w:rPr>
            </w:pPr>
          </w:p>
        </w:tc>
      </w:tr>
      <w:tr>
        <w:trPr>
          <w:trHeight w:val="129"/>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2019</w:t>
            </w:r>
          </w:p>
        </w:tc>
        <w:tc>
          <w:tcPr>
            <w:tcW w:w="1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2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Issuance of common</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 from equity</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incentive plans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Adjustments to non-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controlling interests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Distributions to non-</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controlling interests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(11,772)</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Dividends ($0.08 per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share)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(11,435)</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(11,435)</w:t>
            </w:r>
          </w:p>
        </w:tc>
        <w:tc>
          <w:tcPr>
            <w:tcW w:w="0" w:type="dxa"/>
            <w:vAlign w:val="bottom"/>
          </w:tcPr>
          <w:p>
            <w:pPr>
              <w:spacing w:after="0"/>
              <w:rPr>
                <w:sz w:val="1"/>
                <w:szCs w:val="1"/>
                <w:color w:val="auto"/>
              </w:rPr>
            </w:pPr>
          </w:p>
        </w:tc>
      </w:tr>
      <w:tr>
        <w:trPr>
          <w:trHeight w:val="108"/>
        </w:trPr>
        <w:tc>
          <w:tcPr>
            <w:tcW w:w="10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compensation expense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under the PRSU Plan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7,136</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 expense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20"/>
                <w:szCs w:val="20"/>
                <w:color w:val="auto"/>
              </w:rPr>
            </w:pPr>
            <w:r>
              <w:rPr>
                <w:rFonts w:ascii="Times New Roman" w:cs="Times New Roman" w:eastAsia="Times New Roman" w:hAnsi="Times New Roman"/>
                <w:sz w:val="11"/>
                <w:szCs w:val="11"/>
                <w:color w:val="auto"/>
              </w:rPr>
              <w:t>under the Option Plan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1,995</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29,612</w:t>
            </w:r>
          </w:p>
        </w:tc>
        <w:tc>
          <w:tcPr>
            <w:tcW w:w="16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48,578</w:t>
            </w:r>
          </w:p>
        </w:tc>
        <w:tc>
          <w:tcPr>
            <w:tcW w:w="0" w:type="dxa"/>
            <w:vAlign w:val="bottom"/>
          </w:tcPr>
          <w:p>
            <w:pPr>
              <w:spacing w:after="0"/>
              <w:rPr>
                <w:sz w:val="1"/>
                <w:szCs w:val="1"/>
                <w:color w:val="auto"/>
              </w:rPr>
            </w:pPr>
          </w:p>
        </w:tc>
      </w:tr>
      <w:tr>
        <w:trPr>
          <w:trHeight w:val="108"/>
        </w:trPr>
        <w:tc>
          <w:tcPr>
            <w:tcW w:w="10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w w:val="98"/>
              </w:rPr>
              <w:t>translation adjustments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1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(2,066)</w:t>
            </w:r>
          </w:p>
        </w:tc>
        <w:tc>
          <w:tcPr>
            <w:tcW w:w="0" w:type="dxa"/>
            <w:vAlign w:val="bottom"/>
          </w:tcPr>
          <w:p>
            <w:pPr>
              <w:spacing w:after="0"/>
              <w:rPr>
                <w:sz w:val="1"/>
                <w:szCs w:val="1"/>
                <w:color w:val="auto"/>
              </w:rPr>
            </w:pPr>
          </w:p>
        </w:tc>
      </w:tr>
      <w:tr>
        <w:trPr>
          <w:trHeight w:val="88"/>
        </w:trPr>
        <w:tc>
          <w:tcPr>
            <w:tcW w:w="10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at September</w:t>
            </w:r>
          </w:p>
        </w:tc>
        <w:tc>
          <w:tcPr>
            <w:tcW w:w="100" w:type="dxa"/>
            <w:vAlign w:val="bottom"/>
            <w:vMerge w:val="restart"/>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46,009,753</w:t>
            </w:r>
          </w:p>
        </w:tc>
        <w:tc>
          <w:tcPr>
            <w:tcW w:w="10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96,933,192</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10,006,269</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69,282,736</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2,855,885</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19,570</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1,613,633</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4,487,236</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30, 2019</w:t>
            </w:r>
          </w:p>
        </w:tc>
        <w:tc>
          <w:tcPr>
            <w:tcW w:w="100" w:type="dxa"/>
            <w:vAlign w:val="bottom"/>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60" w:type="dxa"/>
            <w:vAlign w:val="bottom"/>
            <w:tcBorders>
              <w:right w:val="single" w:sz="8" w:color="CCEEFF"/>
            </w:tcBorders>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60" w:type="dxa"/>
            <w:vAlign w:val="bottom"/>
            <w:tcBorders>
              <w:right w:val="single" w:sz="8" w:color="CCEEFF"/>
            </w:tcBorders>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60" w:type="dxa"/>
            <w:vAlign w:val="bottom"/>
            <w:tcBorders>
              <w:right w:val="single" w:sz="8" w:color="CCEEFF"/>
            </w:tcBorders>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360680</wp:posOffset>
            </wp:positionV>
            <wp:extent cx="60972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1" w:right="11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Equity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6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Members' capital at December 31, 2017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999,735</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(13,267)</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986,468</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45,308</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distributions</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62"/>
        </w:trPr>
        <w:tc>
          <w:tcPr>
            <w:tcW w:w="6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Members' capital at March 31, 2018</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1,020,043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(11,339)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1,008,704</w:t>
            </w:r>
          </w:p>
        </w:tc>
        <w:tc>
          <w:tcPr>
            <w:tcW w:w="0" w:type="dxa"/>
            <w:vAlign w:val="bottom"/>
          </w:tcPr>
          <w:p>
            <w:pPr>
              <w:spacing w:after="0"/>
              <w:rPr>
                <w:sz w:val="1"/>
                <w:szCs w:val="1"/>
                <w:color w:val="auto"/>
              </w:rPr>
            </w:pPr>
          </w:p>
        </w:tc>
      </w:tr>
      <w:tr>
        <w:trPr>
          <w:trHeight w:val="136"/>
        </w:trPr>
        <w:tc>
          <w:tcPr>
            <w:tcW w:w="6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38,897</w:t>
            </w:r>
          </w:p>
        </w:tc>
        <w:tc>
          <w:tcPr>
            <w:tcW w:w="0" w:type="dxa"/>
            <w:vAlign w:val="bottom"/>
          </w:tcPr>
          <w:p>
            <w:pPr>
              <w:spacing w:after="0"/>
              <w:rPr>
                <w:sz w:val="1"/>
                <w:szCs w:val="1"/>
                <w:color w:val="auto"/>
              </w:rPr>
            </w:pPr>
          </w:p>
        </w:tc>
      </w:tr>
      <w:tr>
        <w:trPr>
          <w:trHeight w:val="149"/>
        </w:trPr>
        <w:tc>
          <w:tcPr>
            <w:tcW w:w="6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49"/>
        </w:trPr>
        <w:tc>
          <w:tcPr>
            <w:tcW w:w="6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Members' capital at June 30,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1,003,940</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988,615</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45,955</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income</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45,955</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44,949</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 to Class C Shares and Class P(C) Shares in mezzanine capital</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49"/>
        </w:trPr>
        <w:tc>
          <w:tcPr>
            <w:tcW w:w="6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contingent consideration</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150,495</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(59,350)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(59,350)</w:t>
            </w:r>
          </w:p>
        </w:tc>
        <w:tc>
          <w:tcPr>
            <w:tcW w:w="0" w:type="dxa"/>
            <w:vAlign w:val="bottom"/>
          </w:tcPr>
          <w:p>
            <w:pPr>
              <w:spacing w:after="0"/>
              <w:rPr>
                <w:sz w:val="1"/>
                <w:szCs w:val="1"/>
                <w:color w:val="auto"/>
              </w:rPr>
            </w:pPr>
          </w:p>
        </w:tc>
      </w:tr>
      <w:tr>
        <w:trPr>
          <w:trHeight w:val="149"/>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Members' capital at September 30,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1,141,496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(16,331)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1,125,165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1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6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115,746</w:t>
            </w:r>
          </w:p>
        </w:tc>
        <w:tc>
          <w:tcPr>
            <w:tcW w:w="160" w:type="dxa"/>
            <w:vAlign w:val="bottom"/>
            <w:tcBorders>
              <w:right w:val="single" w:sz="8" w:color="auto"/>
            </w:tcBorders>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130,160</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102,928</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48,808</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26,830</w:t>
            </w: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P-1 (C)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(5,728)</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41,092</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(9,018)</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assets: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(573,069)</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Deposits with clearing organizations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(9,421)</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(28,434)</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Receivable from affiliates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(8,241)</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(6,371)</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24,938</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541,806</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w:t>
            </w: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(25,142)</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(7,568)</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49"/>
        </w:trPr>
        <w:tc>
          <w:tcPr>
            <w:tcW w:w="6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6,609</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8,793</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equity compensation payable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(16,746)</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Payable to affiliates</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16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190,465</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164,828</w:t>
            </w:r>
          </w:p>
        </w:tc>
        <w:tc>
          <w:tcPr>
            <w:tcW w:w="0" w:type="dxa"/>
            <w:vAlign w:val="bottom"/>
          </w:tcPr>
          <w:p>
            <w:pPr>
              <w:spacing w:after="0"/>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furniture, equipment, software and leasehold improvements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(8,567)</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(21,200)</w:t>
            </w:r>
          </w:p>
        </w:tc>
        <w:tc>
          <w:tcPr>
            <w:tcW w:w="16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(19,523)</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(29,767)</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(25,850)</w:t>
            </w:r>
          </w:p>
        </w:tc>
        <w:tc>
          <w:tcPr>
            <w:tcW w:w="0" w:type="dxa"/>
            <w:vAlign w:val="bottom"/>
          </w:tcPr>
          <w:p>
            <w:pPr>
              <w:spacing w:after="0"/>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Pre-IPO capital distributions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(139,350)</w:t>
            </w: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Class A common stock in the IPO, net of underwriting discounts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1,161,270</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LLC Interests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(1,161,270)</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costs from issuance of Class A common stock in the IPO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(12,306)</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(22,869)</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distributions to non-controlling interests</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(23,681)</w:t>
            </w:r>
          </w:p>
        </w:tc>
        <w:tc>
          <w:tcPr>
            <w:tcW w:w="16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(178,856)</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(139,350)</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6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(20,174)</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of period</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411,304</w:t>
            </w: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353,798</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End of period</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391,130</w:t>
            </w:r>
          </w:p>
        </w:tc>
        <w:tc>
          <w:tcPr>
            <w:tcW w:w="16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351,383</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30,287</w:t>
            </w:r>
          </w:p>
        </w:tc>
        <w:tc>
          <w:tcPr>
            <w:tcW w:w="160" w:type="dxa"/>
            <w:vAlign w:val="bottom"/>
            <w:tcBorders>
              <w:right w:val="single" w:sz="8" w:color="auto"/>
            </w:tcBorders>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Items arising from the reorganization transactions and IPO:</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171,426</w:t>
            </w:r>
          </w:p>
        </w:tc>
        <w:tc>
          <w:tcPr>
            <w:tcW w:w="160" w:type="dxa"/>
            <w:vAlign w:val="bottom"/>
            <w:tcBorders>
              <w:right w:val="single" w:sz="8" w:color="auto"/>
            </w:tcBorders>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93,194</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Vesting of contingent consideration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150,495</w:t>
            </w:r>
          </w:p>
        </w:tc>
        <w:tc>
          <w:tcPr>
            <w:tcW w:w="0" w:type="dxa"/>
            <w:vAlign w:val="bottom"/>
          </w:tcPr>
          <w:p>
            <w:pPr>
              <w:spacing w:after="0"/>
              <w:rPr>
                <w:sz w:val="1"/>
                <w:szCs w:val="1"/>
                <w:color w:val="auto"/>
              </w:rPr>
            </w:pPr>
          </w:p>
        </w:tc>
      </w:tr>
      <w:tr>
        <w:trPr>
          <w:trHeight w:val="123"/>
        </w:trPr>
        <w:tc>
          <w:tcPr>
            <w:tcW w:w="6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2"/>
        </w:trPr>
        <w:tc>
          <w:tcPr>
            <w:tcW w:w="6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0" w:type="dxa"/>
            <w:vAlign w:val="bottom"/>
          </w:tcPr>
          <w:p>
            <w:pPr>
              <w:spacing w:after="0"/>
              <w:rPr>
                <w:sz w:val="1"/>
                <w:szCs w:val="1"/>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389,930</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410,104</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391,130</w:t>
            </w: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411,304</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gridSpan w:val="4"/>
            <w:vMerge w:val="restart"/>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Note 1</w:t>
              </w:r>
            </w:hyperlink>
          </w:p>
        </w:tc>
        <w:tc>
          <w:tcPr>
            <w:tcW w:w="7540" w:type="dxa"/>
            <w:vAlign w:val="bottom"/>
            <w:gridSpan w:val="20"/>
            <w:vMerge w:val="restart"/>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Organization</w:t>
              </w:r>
            </w:hyperlink>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780" w:type="dxa"/>
            <w:vAlign w:val="bottom"/>
            <w:gridSpan w:val="4"/>
            <w:vMerge w:val="continue"/>
          </w:tcPr>
          <w:p>
            <w:pPr>
              <w:spacing w:after="0"/>
              <w:rPr>
                <w:sz w:val="13"/>
                <w:szCs w:val="13"/>
                <w:color w:val="auto"/>
              </w:rPr>
            </w:pPr>
          </w:p>
        </w:tc>
        <w:tc>
          <w:tcPr>
            <w:tcW w:w="7540" w:type="dxa"/>
            <w:vAlign w:val="bottom"/>
            <w:gridSpan w:val="20"/>
            <w:vMerge w:val="continue"/>
          </w:tcPr>
          <w:p>
            <w:pPr>
              <w:spacing w:after="0"/>
              <w:rPr>
                <w:sz w:val="13"/>
                <w:szCs w:val="13"/>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7"/>
        </w:trPr>
        <w:tc>
          <w:tcPr>
            <w:tcW w:w="4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gridSpan w:val="4"/>
          </w:tcPr>
          <w:p>
            <w:pPr>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Note 2</w:t>
              </w:r>
            </w:hyperlink>
          </w:p>
        </w:tc>
        <w:tc>
          <w:tcPr>
            <w:tcW w:w="7540" w:type="dxa"/>
            <w:vAlign w:val="bottom"/>
            <w:gridSpan w:val="20"/>
          </w:tcPr>
          <w:p>
            <w:pPr>
              <w:spacing w:after="0" w:line="202"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Significant Accounting Policies</w:t>
              </w:r>
            </w:hyperlink>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Note 3</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Pushdown Accounting</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Note 4</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Receivable from and Payable to Brokers and Dealers and Clearing Organizations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Note 5</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Securities Sold Under Agreements to Repurchase</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Note 6</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Leases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Note 7</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Intangible Assets and Goodwill</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Note 8</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Deferred Revenue</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Note 9</w:t>
              </w:r>
            </w:hyperlink>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Income Taxes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Note 10</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Tax Receivable Agreement</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Note 11</w:t>
              </w:r>
            </w:hyperlink>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Stockholders’ Equity</w:t>
              </w:r>
            </w:hyperlink>
          </w:p>
        </w:tc>
        <w:tc>
          <w:tcPr>
            <w:tcW w:w="420" w:type="dxa"/>
            <w:vAlign w:val="bottom"/>
            <w:tcBorders>
              <w:top w:val="single" w:sz="8" w:color="0000EE"/>
            </w:tcBorders>
            <w:gridSpan w:val="4"/>
          </w:tcPr>
          <w:p>
            <w:pPr>
              <w:spacing w:after="0"/>
              <w:rPr>
                <w:sz w:val="17"/>
                <w:szCs w:val="17"/>
                <w:color w:val="auto"/>
              </w:rPr>
            </w:pPr>
          </w:p>
        </w:tc>
        <w:tc>
          <w:tcPr>
            <w:tcW w:w="560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Note 12</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Non-Controlling Interests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Note 13</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Stock-Based Compensation Plans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Note 14</w:t>
              </w:r>
            </w:hyperlink>
          </w:p>
        </w:tc>
        <w:tc>
          <w:tcPr>
            <w:tcW w:w="180" w:type="dxa"/>
            <w:vAlign w:val="bottom"/>
          </w:tcPr>
          <w:p>
            <w:pPr>
              <w:spacing w:after="0"/>
              <w:rPr>
                <w:sz w:val="17"/>
                <w:szCs w:val="17"/>
                <w:color w:val="auto"/>
              </w:rPr>
            </w:pPr>
          </w:p>
        </w:tc>
        <w:tc>
          <w:tcPr>
            <w:tcW w:w="24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Related Party Transactions</w:t>
              </w:r>
            </w:hyperlink>
          </w:p>
        </w:tc>
        <w:tc>
          <w:tcPr>
            <w:tcW w:w="512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Note 15</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Fair Value of Financial Instruments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Note 16</w:t>
              </w:r>
            </w:hyperlink>
          </w:p>
        </w:tc>
        <w:tc>
          <w:tcPr>
            <w:tcW w:w="18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Credit Risk</w:t>
              </w:r>
            </w:hyperlink>
          </w:p>
        </w:tc>
        <w:tc>
          <w:tcPr>
            <w:tcW w:w="1720" w:type="dxa"/>
            <w:vAlign w:val="bottom"/>
            <w:tcBorders>
              <w:top w:val="single" w:sz="8" w:color="0000EE"/>
            </w:tcBorders>
            <w:gridSpan w:val="14"/>
          </w:tcPr>
          <w:p>
            <w:pPr>
              <w:spacing w:after="0"/>
              <w:rPr>
                <w:sz w:val="17"/>
                <w:szCs w:val="17"/>
                <w:color w:val="auto"/>
              </w:rPr>
            </w:pPr>
          </w:p>
        </w:tc>
        <w:tc>
          <w:tcPr>
            <w:tcW w:w="500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Note 17</w:t>
              </w:r>
            </w:hyperlink>
          </w:p>
        </w:tc>
        <w:tc>
          <w:tcPr>
            <w:tcW w:w="18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Commitments and Contingencies</w:t>
              </w:r>
            </w:hyperlink>
          </w:p>
        </w:tc>
        <w:tc>
          <w:tcPr>
            <w:tcW w:w="514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Note 18</w:t>
              </w:r>
            </w:hyperlink>
          </w:p>
        </w:tc>
        <w:tc>
          <w:tcPr>
            <w:tcW w:w="18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Earnings Per Share</w:t>
              </w:r>
            </w:hyperlink>
          </w:p>
        </w:tc>
        <w:tc>
          <w:tcPr>
            <w:tcW w:w="616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Note 19</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Regulatory Capital Requirements</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Note 20</w:t>
              </w:r>
            </w:hyperlink>
          </w:p>
        </w:tc>
        <w:tc>
          <w:tcPr>
            <w:tcW w:w="180" w:type="dxa"/>
            <w:vAlign w:val="bottom"/>
          </w:tcPr>
          <w:p>
            <w:pPr>
              <w:spacing w:after="0"/>
              <w:rPr>
                <w:sz w:val="17"/>
                <w:szCs w:val="17"/>
                <w:color w:val="auto"/>
              </w:rPr>
            </w:pPr>
          </w:p>
        </w:tc>
        <w:tc>
          <w:tcPr>
            <w:tcW w:w="7540" w:type="dxa"/>
            <w:vAlign w:val="bottom"/>
            <w:gridSpan w:val="20"/>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Business Segment and Geographic Information</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Note 21</w:t>
              </w:r>
            </w:hyperlink>
          </w:p>
        </w:tc>
        <w:tc>
          <w:tcPr>
            <w:tcW w:w="1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Subsequent Events</w:t>
              </w:r>
            </w:hyperlink>
          </w:p>
        </w:tc>
        <w:tc>
          <w:tcPr>
            <w:tcW w:w="2040" w:type="dxa"/>
            <w:vAlign w:val="bottom"/>
            <w:tcBorders>
              <w:top w:val="single" w:sz="8" w:color="0000EE"/>
            </w:tcBorders>
            <w:gridSpan w:val="11"/>
          </w:tcPr>
          <w:p>
            <w:pPr>
              <w:spacing w:after="0"/>
              <w:rPr>
                <w:sz w:val="17"/>
                <w:szCs w:val="17"/>
                <w:color w:val="auto"/>
              </w:rPr>
            </w:pPr>
          </w:p>
        </w:tc>
        <w:tc>
          <w:tcPr>
            <w:tcW w:w="41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898"/>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19"/>
          </w:tcPr>
          <w:p>
            <w:pPr>
              <w:ind w:left="366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03" w:lineRule="exact"/>
        <w:rPr>
          <w:sz w:val="20"/>
          <w:szCs w:val="20"/>
          <w:color w:val="auto"/>
        </w:rPr>
      </w:pPr>
    </w:p>
    <w:p>
      <w:pPr>
        <w:ind w:left="580" w:hanging="577"/>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219"/>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0" w:lineRule="exact"/>
        <w:rPr>
          <w:sz w:val="20"/>
          <w:szCs w:val="20"/>
          <w:color w:val="auto"/>
        </w:rPr>
      </w:pPr>
    </w:p>
    <w:p>
      <w:pPr>
        <w:ind w:right="19"/>
        <w:spacing w:after="0" w:line="258" w:lineRule="auto"/>
        <w:rPr>
          <w:sz w:val="20"/>
          <w:szCs w:val="20"/>
          <w:color w:val="auto"/>
        </w:rPr>
      </w:pPr>
      <w:r>
        <w:rPr>
          <w:rFonts w:ascii="Times New Roman" w:cs="Times New Roman" w:eastAsia="Times New Roman" w:hAnsi="Times New Roman"/>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As of September 30, 2019, Refinitiv owns a majority ownership interest in the Company (as defined below).</w:t>
      </w:r>
    </w:p>
    <w:p>
      <w:pPr>
        <w:spacing w:after="0" w:line="184"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September 30, 2019, Tradeweb Markets Inc. owns 64.3% of TWM LLC and the Continuing LLC Owners (defined below) own the remaining 35.7% of TWM LLC.</w:t>
      </w:r>
    </w:p>
    <w:p>
      <w:pPr>
        <w:spacing w:after="0" w:line="189" w:lineRule="exact"/>
        <w:rPr>
          <w:sz w:val="20"/>
          <w:szCs w:val="20"/>
          <w:color w:val="auto"/>
        </w:rPr>
      </w:pPr>
    </w:p>
    <w:p>
      <w:pPr>
        <w:jc w:val="both"/>
        <w:ind w:right="339"/>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76" w:lineRule="exact"/>
        <w:rPr>
          <w:sz w:val="20"/>
          <w:szCs w:val="20"/>
          <w:color w:val="auto"/>
        </w:rPr>
      </w:pPr>
    </w:p>
    <w:p>
      <w:pPr>
        <w:ind w:right="639"/>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62" w:lineRule="exact"/>
        <w:rPr>
          <w:sz w:val="20"/>
          <w:szCs w:val="20"/>
          <w:color w:val="auto"/>
        </w:rPr>
      </w:pPr>
    </w:p>
    <w:p>
      <w:pPr>
        <w:ind w:left="660" w:right="179" w:hanging="333"/>
        <w:spacing w:after="0" w:line="289"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58" w:lineRule="exact"/>
        <w:rPr>
          <w:sz w:val="20"/>
          <w:szCs w:val="20"/>
          <w:color w:val="auto"/>
        </w:rPr>
      </w:pPr>
    </w:p>
    <w:p>
      <w:pPr>
        <w:ind w:left="720" w:right="139" w:firstLine="29"/>
        <w:spacing w:after="0" w:line="266" w:lineRule="auto"/>
        <w:rPr>
          <w:sz w:val="20"/>
          <w:szCs w:val="20"/>
          <w:color w:val="auto"/>
        </w:rPr>
      </w:pPr>
      <w:r>
        <w:rPr>
          <w:rFonts w:ascii="Times New Roman" w:cs="Times New Roman" w:eastAsia="Times New Roman" w:hAnsi="Times New Roman"/>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TW SEF LLC (“TW SEF”), a Swap Execution Facility (“SEF”) regulated by the CFTC.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DW SEF LLC (“DW SEF”), a SEF regulated by the CFTC.</w:t>
      </w:r>
    </w:p>
    <w:p>
      <w:pPr>
        <w:spacing w:after="0" w:line="225" w:lineRule="exact"/>
        <w:rPr>
          <w:sz w:val="20"/>
          <w:szCs w:val="20"/>
          <w:color w:val="auto"/>
        </w:rPr>
      </w:pPr>
    </w:p>
    <w:p>
      <w:pPr>
        <w:ind w:left="720" w:right="199" w:firstLine="29"/>
        <w:spacing w:after="0" w:line="282" w:lineRule="auto"/>
        <w:rPr>
          <w:sz w:val="20"/>
          <w:szCs w:val="20"/>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62" w:lineRule="exact"/>
        <w:rPr>
          <w:sz w:val="20"/>
          <w:szCs w:val="20"/>
          <w:color w:val="auto"/>
        </w:rPr>
      </w:pPr>
    </w:p>
    <w:p>
      <w:pPr>
        <w:ind w:left="720" w:right="679" w:firstLine="29"/>
        <w:spacing w:after="0" w:line="282" w:lineRule="auto"/>
        <w:rPr>
          <w:sz w:val="20"/>
          <w:szCs w:val="20"/>
          <w:color w:val="auto"/>
        </w:rPr>
      </w:pPr>
      <w:r>
        <w:rPr>
          <w:rFonts w:ascii="Times New Roman" w:cs="Times New Roman" w:eastAsia="Times New Roman" w:hAnsi="Times New Roman"/>
          <w:sz w:val="18"/>
          <w:szCs w:val="18"/>
          <w:color w:val="auto"/>
        </w:rPr>
        <w:t>Tradeweb EU B.V. (“TWEU”), a Trading Venue and Approved Publication Arrangement regulated by the Netherlands Authority for the Financial Markets (“AFM”).</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18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The Company, through its subsidiary BondDesk Group LLC, owns Tradeweb Direct LLC (“TWD”) (formerly known as BondDesk Trading LLC), a registered broker-dealer under the Securities Exchange Act of 1934 and a member of FINRA.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8,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membership interests of TWM LLC from certain existing equityholders of TWM LLC (and the corresponding shares of common stock were cancelled as described below), at a purchase price per interest equal to the public offering price of $27.00, less the underwriting discounts and commissions payable thereon.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certain investment and commercial banks (collectively, the “Bank Stockholders”);</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members of management;</w:t>
      </w:r>
    </w:p>
    <w:p>
      <w:pPr>
        <w:spacing w:after="0" w:line="225" w:lineRule="exact"/>
        <w:rPr>
          <w:sz w:val="20"/>
          <w:szCs w:val="20"/>
          <w:color w:val="auto"/>
        </w:rPr>
      </w:pPr>
    </w:p>
    <w:p>
      <w:pPr>
        <w:ind w:left="980" w:right="40" w:firstLine="108"/>
        <w:spacing w:after="0" w:line="274" w:lineRule="auto"/>
        <w:rPr>
          <w:sz w:val="20"/>
          <w:szCs w:val="20"/>
          <w:color w:val="auto"/>
        </w:rPr>
      </w:pPr>
      <w:r>
        <w:rPr>
          <w:rFonts w:ascii="Times New Roman" w:cs="Times New Roman" w:eastAsia="Times New Roman" w:hAnsi="Times New Roman"/>
          <w:sz w:val="17"/>
          <w:szCs w:val="17"/>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the Corporation’s Class B common stock in connection with the completion of the Reorganization Transactions and (ii) on and after June 28, 2019, an indirect subsidiary of Refinitiv that owns shares of the Corporation’s Class B common stock which shares were contributed by the direct subsidiary of Refinitiv referred to in the foregoing clause (i); and</w:t>
      </w:r>
    </w:p>
    <w:p>
      <w:pPr>
        <w:spacing w:after="0" w:line="174" w:lineRule="exact"/>
        <w:rPr>
          <w:sz w:val="20"/>
          <w:szCs w:val="20"/>
          <w:color w:val="auto"/>
        </w:rPr>
      </w:pPr>
    </w:p>
    <w:p>
      <w:pPr>
        <w:ind w:left="980" w:right="700" w:firstLine="108"/>
        <w:spacing w:after="0" w:line="282" w:lineRule="auto"/>
        <w:rPr>
          <w:sz w:val="20"/>
          <w:szCs w:val="20"/>
          <w:color w:val="auto"/>
        </w:rPr>
      </w:pPr>
      <w:r>
        <w:rPr>
          <w:rFonts w:ascii="Times New Roman" w:cs="Times New Roman" w:eastAsia="Times New Roman" w:hAnsi="Times New Roman"/>
          <w:sz w:val="18"/>
          <w:szCs w:val="18"/>
          <w:color w:val="auto"/>
        </w:rPr>
        <w:t>an indirect subsidiary (the “Refinitiv LLC Owner” and, together with the Refinitiv Direct Owner, the “Refinitiv Owners”) of Refinitiv.</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used herein, references to “Continuing LLC Owners” refer collectively to (i) those Original LLC Owners, including the Refinitiv LLC Owner, certain Bank Stockholders and members of management, that continue to own LLC Interests (as defined below) after the completion of the IPO and Reorganization Transactions, that received shares of the Corporation’s Class C common stock, shares of the Corporation’s Class D common stock or a combination of both, as the case may be, in connection with the completion of the Reorganization Transactions, and that may redeem or exchange their LLC Interests for shares of the Corporation’s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Reorganization Transactions occurred:</w:t>
      </w:r>
    </w:p>
    <w:p>
      <w:pPr>
        <w:spacing w:after="0" w:line="225" w:lineRule="exact"/>
        <w:rPr>
          <w:sz w:val="20"/>
          <w:szCs w:val="20"/>
          <w:color w:val="auto"/>
        </w:rPr>
      </w:pPr>
    </w:p>
    <w:p>
      <w:pPr>
        <w:ind w:left="980" w:right="180" w:firstLine="108"/>
        <w:spacing w:after="0" w:line="266" w:lineRule="auto"/>
        <w:rPr>
          <w:sz w:val="20"/>
          <w:szCs w:val="20"/>
          <w:color w:val="auto"/>
        </w:rPr>
      </w:pPr>
      <w:r>
        <w:rPr>
          <w:rFonts w:ascii="Times New Roman" w:cs="Times New Roman" w:eastAsia="Times New Roman" w:hAnsi="Times New Roman"/>
          <w:sz w:val="18"/>
          <w:szCs w:val="18"/>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LLC Interests and (iii) appoint the Corporation as the sole manager of TWM LLC. See Note 11 – Stockholders’ Equity.</w:t>
      </w:r>
    </w:p>
    <w:p>
      <w:pPr>
        <w:spacing w:after="0" w:line="162" w:lineRule="exact"/>
        <w:rPr>
          <w:sz w:val="20"/>
          <w:szCs w:val="20"/>
          <w:color w:val="auto"/>
        </w:rPr>
      </w:pPr>
    </w:p>
    <w:p>
      <w:pPr>
        <w:jc w:val="both"/>
        <w:ind w:left="980" w:right="180" w:firstLine="108"/>
        <w:spacing w:after="0" w:line="266" w:lineRule="auto"/>
        <w:rPr>
          <w:sz w:val="20"/>
          <w:szCs w:val="20"/>
          <w:color w:val="auto"/>
        </w:rPr>
      </w:pPr>
      <w:r>
        <w:rPr>
          <w:rFonts w:ascii="Times New Roman" w:cs="Times New Roman" w:eastAsia="Times New Roman" w:hAnsi="Times New Roman"/>
          <w:sz w:val="18"/>
          <w:szCs w:val="18"/>
          <w:color w:val="auto"/>
        </w:rPr>
        <w:t>The Corporation’s certificate of incorporation was amended and restated to, among other things, provide for Class A common stock, Class B common stock, Class C common stock and Class D common stock. See Note 11 – Stockholders’ Equity.</w:t>
      </w:r>
    </w:p>
    <w:p>
      <w:pPr>
        <w:spacing w:after="0" w:line="176" w:lineRule="exact"/>
        <w:rPr>
          <w:sz w:val="20"/>
          <w:szCs w:val="20"/>
          <w:color w:val="auto"/>
        </w:rPr>
      </w:pPr>
    </w:p>
    <w:p>
      <w:pPr>
        <w:ind w:left="980" w:right="80" w:hanging="329"/>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9" w:lineRule="exact"/>
        <w:rPr>
          <w:rFonts w:ascii="Times New Roman" w:cs="Times New Roman" w:eastAsia="Times New Roman" w:hAnsi="Times New Roman"/>
          <w:sz w:val="18"/>
          <w:szCs w:val="18"/>
          <w:color w:val="auto"/>
        </w:rPr>
      </w:pPr>
    </w:p>
    <w:p>
      <w:pPr>
        <w:ind w:left="980" w:right="100" w:hanging="329"/>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Refinitiv Contribution (described above), the Corporation received 96,933,192 LLC Interests and the Refinitiv Direct Owner received 96,933,192 shares of Class B common stock. See Note 11 – Stockholders’ Equity.</w:t>
      </w:r>
    </w:p>
    <w:p>
      <w:pPr>
        <w:spacing w:after="0" w:line="176" w:lineRule="exact"/>
        <w:rPr>
          <w:sz w:val="20"/>
          <w:szCs w:val="20"/>
          <w:color w:val="auto"/>
        </w:rPr>
      </w:pPr>
    </w:p>
    <w:p>
      <w:pPr>
        <w:ind w:left="980" w:firstLine="108"/>
        <w:spacing w:after="0" w:line="261" w:lineRule="auto"/>
        <w:rPr>
          <w:sz w:val="20"/>
          <w:szCs w:val="20"/>
          <w:color w:val="auto"/>
        </w:rPr>
      </w:pPr>
      <w:r>
        <w:rPr>
          <w:rFonts w:ascii="Times New Roman" w:cs="Times New Roman" w:eastAsia="Times New Roman" w:hAnsi="Times New Roman"/>
          <w:sz w:val="18"/>
          <w:szCs w:val="18"/>
          <w:color w:val="auto"/>
        </w:rPr>
        <w:t>The Corporation’s board of directors adopted a new omnibus equity incentive plan, under which equity awards may be made in respect of shares of the Corporation’s Class A common stock. It also assumed sponsorship of an option plan and PRSU plan formerly sponsored by TWM LLC. See Note 13 – Stock-Based Compensation Plans.</w:t>
      </w:r>
    </w:p>
    <w:p>
      <w:pPr>
        <w:spacing w:after="0" w:line="180" w:lineRule="exact"/>
        <w:rPr>
          <w:sz w:val="20"/>
          <w:szCs w:val="20"/>
          <w:color w:val="auto"/>
        </w:rPr>
      </w:pPr>
    </w:p>
    <w:p>
      <w:pPr>
        <w:ind w:left="980" w:right="140" w:firstLine="108"/>
        <w:spacing w:after="0" w:line="282" w:lineRule="auto"/>
        <w:rPr>
          <w:sz w:val="20"/>
          <w:szCs w:val="20"/>
          <w:color w:val="auto"/>
        </w:rPr>
      </w:pPr>
      <w:r>
        <w:rPr>
          <w:rFonts w:ascii="Times New Roman" w:cs="Times New Roman" w:eastAsia="Times New Roman" w:hAnsi="Times New Roman"/>
          <w:sz w:val="18"/>
          <w:szCs w:val="18"/>
          <w:color w:val="auto"/>
        </w:rPr>
        <w:t>The Corporation entered into a tax receivable agreement (the “Tax Receivable Agreement”) with TWM LLC and the Continuing LLC Owners. See Note 10 – Tax Receivable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Parent Company and Presentation of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Thomson Reuters Corporation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84" w:lineRule="exact"/>
        <w:rPr>
          <w:sz w:val="20"/>
          <w:szCs w:val="20"/>
          <w:color w:val="auto"/>
        </w:rPr>
      </w:pPr>
    </w:p>
    <w:p>
      <w:pPr>
        <w:ind w:left="700" w:right="20" w:hanging="333"/>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period of the Company, reflecting the Refinitiv Transaction, as of September 30, 2019 and December 31, 2018 and for the three and nine months ended September 30, 2019.</w:t>
      </w:r>
    </w:p>
    <w:p>
      <w:pPr>
        <w:spacing w:after="0" w:line="161" w:lineRule="exact"/>
        <w:rPr>
          <w:rFonts w:ascii="Times New Roman" w:cs="Times New Roman" w:eastAsia="Times New Roman" w:hAnsi="Times New Roman"/>
          <w:sz w:val="18"/>
          <w:szCs w:val="18"/>
          <w:color w:val="auto"/>
        </w:rPr>
      </w:pPr>
    </w:p>
    <w:p>
      <w:pPr>
        <w:ind w:left="700" w:hanging="33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period of the Company for the three and nine months ended September 30,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Pushdown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LSEG Transaction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August 1, 2019, London Stock Exchange Group plc announced that it has agreed to definitive terms with a consortium including certain investment funds affiliated with Blackstone as well as TR to acquire the Refinitiv business in an all share transaction for a total enterprise value of approximately $27 billion (the “LSEG Transaction”). 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 Operating results for interim periods are not necessarily indicative of the results that may be expected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have been eliminated in consolidation.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(such as short-term money market instruments) with original maturities of less than three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Equipment, Purchased Software and Leasehold Improvements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(see Note 3 –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(see Note 3 – Pushdown Accounting)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seven to sixteen years, in accordance with ASC 350. Intangible assets subject to amortization are tested for impairment whenever events or changes in circumstances suggest that an asset's or asset group's carrying value may not be fully recoverable in accordance with ASC</w:t>
      </w:r>
    </w:p>
    <w:p>
      <w:pPr>
        <w:spacing w:after="0" w:line="2" w:lineRule="exact"/>
        <w:rPr>
          <w:sz w:val="20"/>
          <w:szCs w:val="20"/>
          <w:color w:val="auto"/>
        </w:rPr>
      </w:pPr>
    </w:p>
    <w:p>
      <w:pPr>
        <w:ind w:firstLine="3"/>
        <w:spacing w:after="0" w:line="255"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2019, the Company changed the annual date on which goodwill is tested for impairment from July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to October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2018 in connection with the Refinitiv Transaction and the application of pushdown accounting. See Note 3 – Pushdown Accounting.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and Follow-On Offering Costs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2018 and the third quarter of 2019, the Company began incurring costs in connection with the filing of a Registration Statement on Form S-1 for an IPO and a Registration Statement on Form S-1 for a follow-on offering, respectively, which are deferred in other assets in accordance with ASC 505-10-25 in the consolidated statements of financial condition. IPO and follow-on offering costs consist of legal, accounting, and other costs directly related to the Company’s efforts to raise capital. As of September 30, 2019, $15.9 million of deferred costs related to the IPO were reclassified from other assets to additional paid-in capital and $0.7 million of deferred costs related to the follow-on offering were included in other assets, in each case on the consolidated statements of financial condition. See Note 11 – Stockholders’ Equity and Note 21 – Subsequent Events.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on a pro rata basis.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2018,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using the modified retrospective approach. The adoption of ASU 2014-09 did not have a material impact on the measurement or recognition of revenue in any prior reporting periods. However, subsequent to the adoption, the Company was required to make significant judgements for the Refinitiv market data fees. Significant judgements used in accounting for this contract include:</w:t>
      </w:r>
    </w:p>
    <w:p>
      <w:pPr>
        <w:spacing w:after="0" w:line="182" w:lineRule="exact"/>
        <w:rPr>
          <w:sz w:val="20"/>
          <w:szCs w:val="20"/>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225" w:lineRule="exact"/>
        <w:rPr>
          <w:rFonts w:ascii="Times New Roman" w:cs="Times New Roman" w:eastAsia="Times New Roman" w:hAnsi="Times New Roman"/>
          <w:sz w:val="18"/>
          <w:szCs w:val="18"/>
          <w:color w:val="auto"/>
        </w:rPr>
      </w:pPr>
    </w:p>
    <w:p>
      <w:pPr>
        <w:ind w:left="660" w:right="120" w:hanging="333"/>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161" w:lineRule="exact"/>
        <w:rPr>
          <w:rFonts w:ascii="Times New Roman" w:cs="Times New Roman" w:eastAsia="Times New Roman" w:hAnsi="Times New Roman"/>
          <w:sz w:val="18"/>
          <w:szCs w:val="18"/>
          <w:color w:val="auto"/>
        </w:rPr>
      </w:pPr>
    </w:p>
    <w:p>
      <w:pPr>
        <w:ind w:left="660" w:right="160" w:hanging="333"/>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 based fees. The breakdown of revenues between fixed and variable revenues, in thousands, for the three and nine months ended September 30, 2019 and 2018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2"/>
                <w:szCs w:val="2"/>
                <w:color w:val="auto"/>
              </w:rPr>
            </w:pPr>
          </w:p>
        </w:tc>
        <w:tc>
          <w:tcPr>
            <w:tcW w:w="1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0"/>
                <w:szCs w:val="10"/>
                <w:color w:val="auto"/>
              </w:rPr>
            </w:pPr>
          </w:p>
        </w:tc>
        <w:tc>
          <w:tcPr>
            <w:tcW w:w="176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74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60" w:type="dxa"/>
            <w:vAlign w:val="bottom"/>
          </w:tcPr>
          <w:p>
            <w:pPr>
              <w:spacing w:after="0"/>
              <w:rPr>
                <w:sz w:val="10"/>
                <w:szCs w:val="10"/>
                <w:color w:val="auto"/>
              </w:rPr>
            </w:pPr>
          </w:p>
        </w:tc>
        <w:tc>
          <w:tcPr>
            <w:tcW w:w="1640" w:type="dxa"/>
            <w:vAlign w:val="bottom"/>
            <w:gridSpan w:val="3"/>
          </w:tcPr>
          <w:p>
            <w:pPr>
              <w:jc w:val="right"/>
              <w:ind w:right="319"/>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740" w:type="dxa"/>
            <w:vAlign w:val="bottom"/>
            <w:gridSpan w:val="4"/>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0"/>
                <w:szCs w:val="10"/>
                <w:color w:val="auto"/>
              </w:rPr>
            </w:pPr>
          </w:p>
        </w:tc>
        <w:tc>
          <w:tcPr>
            <w:tcW w:w="6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fees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$ 25,172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$ 246,066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120" w:type="dxa"/>
            <w:vAlign w:val="bottom"/>
            <w:tcBorders>
              <w:right w:val="single" w:sz="8" w:color="auto"/>
            </w:tcBorders>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$ 68,855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$ 23,727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$ 208,049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Subscription Fees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including Refinitiv</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 data fees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143,320</w:t>
            </w:r>
          </w:p>
        </w:tc>
        <w:tc>
          <w:tcPr>
            <w:tcW w:w="120" w:type="dxa"/>
            <w:vAlign w:val="bottom"/>
            <w:tcBorders>
              <w:right w:val="single" w:sz="8" w:color="auto"/>
            </w:tcBorders>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0" w:type="dxa"/>
            <w:vAlign w:val="bottom"/>
          </w:tcPr>
          <w:p>
            <w:pPr>
              <w:spacing w:after="0"/>
              <w:rPr>
                <w:sz w:val="1"/>
                <w:szCs w:val="1"/>
                <w:color w:val="auto"/>
              </w:rPr>
            </w:pPr>
          </w:p>
        </w:tc>
      </w:tr>
      <w:tr>
        <w:trPr>
          <w:trHeight w:val="216"/>
        </w:trPr>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120" w:type="dxa"/>
            <w:vAlign w:val="bottom"/>
            <w:tcBorders>
              <w:right w:val="single" w:sz="8" w:color="auto"/>
            </w:tcBorders>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17"/>
        </w:trPr>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revenue</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$ 85,040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$ 326,873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$ 83,515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$ 81,738</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$ 258,761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periods following the Reorganization Transactions and the IPO, the fair value of new equity instrument grants is determined based on the price of the Company’s Class A common stock on the grant date.</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8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consolidated statements of income over the requisite service period, with an offsetting increase to additional paid-in capital. The non-cash stock-based compensation expense associated with the Special Option Award began being expensed in the second quarter of 2019 and will continue to be expensed over the following three years.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Corporation’s Class A or Class B common stock, in the post-IPO period, using the treasury stock method, as applicable.</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229" w:lineRule="exact"/>
        <w:rPr>
          <w:sz w:val="20"/>
          <w:szCs w:val="20"/>
          <w:color w:val="auto"/>
        </w:rPr>
      </w:pPr>
    </w:p>
    <w:p>
      <w:pPr>
        <w:ind w:left="1300" w:right="38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62" w:lineRule="exact"/>
        <w:rPr>
          <w:sz w:val="20"/>
          <w:szCs w:val="20"/>
          <w:color w:val="auto"/>
        </w:rPr>
      </w:pPr>
    </w:p>
    <w:p>
      <w:pPr>
        <w:ind w:left="1300" w:right="48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considered to be active or financial instruments for which all significant inputs are observable, either directly or indirectly;</w:t>
      </w:r>
    </w:p>
    <w:p>
      <w:pPr>
        <w:spacing w:after="0" w:line="162" w:lineRule="exact"/>
        <w:rPr>
          <w:sz w:val="20"/>
          <w:szCs w:val="20"/>
          <w:color w:val="auto"/>
        </w:rPr>
      </w:pPr>
    </w:p>
    <w:p>
      <w:pPr>
        <w:ind w:left="1300" w:right="54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Prices or valuations that require inputs that are both significant to the fair value measurement and unobservable.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Not Yet Adopted</w:t>
      </w:r>
    </w:p>
    <w:p>
      <w:pPr>
        <w:spacing w:after="0" w:line="201" w:lineRule="exact"/>
        <w:rPr>
          <w:sz w:val="20"/>
          <w:szCs w:val="20"/>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In June 2016, the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ASU provides new guidance for estimating credit losses on certain types of financial instruments by introducing an approach based on expected losses. This ASU is applicable for the Company in the fiscal year beginning January 1, 2020 and requires a modified retrospective method of adoption. The Company is currently in the planning and analysis phase, which involves documenting in-scope financial assets and understanding and leveraging existing credit loss estimation processes.</w:t>
      </w:r>
    </w:p>
    <w:p>
      <w:pPr>
        <w:spacing w:after="0" w:line="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The Company does not anticipate the adoption of this ASU to have a material impact on the Company’s consolidated financial statements.</w:t>
      </w:r>
    </w:p>
    <w:p>
      <w:pPr>
        <w:spacing w:after="0" w:line="151" w:lineRule="exact"/>
        <w:rPr>
          <w:sz w:val="20"/>
          <w:szCs w:val="20"/>
          <w:color w:val="auto"/>
        </w:rPr>
      </w:pPr>
    </w:p>
    <w:p>
      <w:pPr>
        <w:ind w:right="240"/>
        <w:spacing w:after="0" w:line="226" w:lineRule="exact"/>
        <w:rPr>
          <w:sz w:val="20"/>
          <w:szCs w:val="20"/>
          <w:color w:val="auto"/>
        </w:rPr>
      </w:pPr>
      <w:r>
        <w:rPr>
          <w:rFonts w:ascii="Times New Roman" w:cs="Times New Roman" w:eastAsia="Times New Roman" w:hAnsi="Times New Roman"/>
          <w:sz w:val="18"/>
          <w:szCs w:val="18"/>
          <w:color w:val="auto"/>
        </w:rPr>
        <w:t>In January 2017, the FASB issued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2020. The Company does not anticipate the adoption of this ASU to have a material impact on the Company's consolidated financial statements.</w:t>
      </w:r>
    </w:p>
    <w:p>
      <w:pPr>
        <w:spacing w:after="0" w:line="209" w:lineRule="exact"/>
        <w:rPr>
          <w:sz w:val="20"/>
          <w:szCs w:val="20"/>
          <w:color w:val="auto"/>
        </w:rPr>
      </w:pPr>
    </w:p>
    <w:p>
      <w:pPr>
        <w:ind w:left="580" w:hanging="577"/>
        <w:spacing w:after="0"/>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Pushdown Accounting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Refinitiv Transaction was accounted for by Refinitiv in accordance with the acquisition method of accounting pursuant to ASC 805, and pushdown accounting was applied to Refinitiv to record the fair value of the assets and liabilities of Refinitiv on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was recorded as goodwill. At September 30, 2019 and December 31, 2018, goodwill amounted to $2.7 billion.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valuations resulted in an increase in depreciation and amortization expense, due to the increased carrying value of the Company’s assets and the related increase in depreciation of tangible assets and amortization of intangible assets, and a decrease in occupancy expense as a result of the recognition of a leasehold interest liability.</w:t>
      </w:r>
    </w:p>
    <w:p>
      <w:pPr>
        <w:spacing w:after="0" w:line="172" w:lineRule="exact"/>
        <w:rPr>
          <w:sz w:val="20"/>
          <w:szCs w:val="20"/>
          <w:color w:val="auto"/>
        </w:rPr>
      </w:pPr>
    </w:p>
    <w:p>
      <w:pPr>
        <w:ind w:left="580" w:hanging="577"/>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Receivables from and payables to brokers and dealers and clearing organizations consist of proceeds from transactions which failed to settle due to the inability of a transaction party to deliver or receive the transacted security. These securities transactions are generally collateralized by those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October 1, 2019, approximately $698.8 million and $664.3 million, respectively, of the receivable from and payable to balances outstanding at September 30, 2019 were settled.</w:t>
      </w:r>
    </w:p>
    <w:p>
      <w:pPr>
        <w:spacing w:after="0" w:line="198" w:lineRule="exact"/>
        <w:rPr>
          <w:sz w:val="20"/>
          <w:szCs w:val="20"/>
          <w:color w:val="auto"/>
        </w:rPr>
      </w:pPr>
    </w:p>
    <w:p>
      <w:pPr>
        <w:ind w:left="580" w:hanging="577"/>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agreements to repurchase from time to time to facilitate the clearance of securities.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30, 2019, securities sold from agreements to repurchase amounted to $24.9 million and related to an overnight repurchase agreement with a maturity date of October 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regarding this agreement to repurchase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 to repurchase: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w:t>
            </w: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220" w:type="dxa"/>
            <w:vAlign w:val="bottom"/>
          </w:tcPr>
          <w:p>
            <w:pPr>
              <w:spacing w:after="0"/>
              <w:rPr>
                <w:sz w:val="18"/>
                <w:szCs w:val="18"/>
                <w:color w:val="auto"/>
              </w:rPr>
            </w:pPr>
          </w:p>
        </w:tc>
        <w:tc>
          <w:tcPr>
            <w:tcW w:w="2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agreements to repurchase</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amount of recognized liabilities for agreements to repurchase</w:t>
            </w:r>
          </w:p>
        </w:tc>
        <w:tc>
          <w:tcPr>
            <w:tcW w:w="10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Securities sold under agreements to repurchase are treated as collateralized financings and are presented on the consolidated statement of financial condition at the amounts of cash received, which approximates fair value. Receivables and payables arising from these agreements are not offset on the statement of financial condition.</w:t>
      </w:r>
    </w:p>
    <w:p>
      <w:pPr>
        <w:spacing w:after="0" w:line="186" w:lineRule="exact"/>
        <w:rPr>
          <w:sz w:val="20"/>
          <w:szCs w:val="20"/>
          <w:color w:val="auto"/>
        </w:rPr>
      </w:pPr>
    </w:p>
    <w:p>
      <w:pPr>
        <w:ind w:left="580" w:hanging="577"/>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standard requires the Company to recognize a right-of-use asset and a lease liability for all leases with an initial term in excess of twelve months. The Company accounts for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ASC 842 using a modified retrospective approach and did not restate comparative periods. The Company elected to take the package of practical expedients allowing the Company to not reassess (i) whether any expired or existing contracts are or contain leases, (ii) the lease classification for any expired or existing leases and (iii) initial direct costs for any existing leases. The Company has elected to account for nonlease components in a contract as part of the single lease component to which they are related.</w:t>
      </w:r>
    </w:p>
    <w:p>
      <w:pPr>
        <w:spacing w:after="0" w:line="19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Significant assumptions and judgements in calculating the right-of-use assets and lease liability include the determination of the applicable borrowing rate for each lease.</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January 1, 2019, upon the adoption of ASC 842, the Company recorded, for office space and data center leases in the U.S. and U.K., right-of-use assets of $34.8 million, lease liabilities of $39.6 million and eliminated deferred rent of $4.9 million. The leases have initial lease terms ranging from three to 11 years.</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leases for the three and nine months ended September 30, 2019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9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for amounts included in the measurement of operating liability</w:t>
            </w:r>
          </w:p>
        </w:tc>
        <w:tc>
          <w:tcPr>
            <w:tcW w:w="11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liabilities</w:t>
            </w:r>
          </w:p>
        </w:tc>
        <w:tc>
          <w:tcPr>
            <w:tcW w:w="1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64"/>
        </w:trPr>
        <w:tc>
          <w:tcPr>
            <w:tcW w:w="59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1"/>
        </w:trPr>
        <w:tc>
          <w:tcPr>
            <w:tcW w:w="5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the weighted average borrowing rate and weighted average lease term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r>
      <w:tr>
        <w:trPr>
          <w:trHeight w:val="41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maturity of lease liabilities as of September 30, 2019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8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11,121</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36,133</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w:t>
            </w:r>
          </w:p>
        </w:tc>
      </w:tr>
      <w:tr>
        <w:trPr>
          <w:trHeight w:val="41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2018, the future minimum lease payments were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8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11,156</w:t>
            </w:r>
          </w:p>
        </w:tc>
      </w:tr>
      <w:tr>
        <w:trPr>
          <w:trHeight w:val="217"/>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U.S. lease is secured by a letter of credit in the amount of $1.2 million, which is guaranteed by Refinitiv.</w:t>
      </w:r>
    </w:p>
    <w:p>
      <w:pPr>
        <w:spacing w:after="0" w:line="221" w:lineRule="exact"/>
        <w:rPr>
          <w:sz w:val="20"/>
          <w:szCs w:val="20"/>
          <w:color w:val="auto"/>
        </w:rPr>
      </w:pPr>
    </w:p>
    <w:p>
      <w:pPr>
        <w:ind w:left="580" w:hanging="577"/>
        <w:spacing w:after="0"/>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Intangible assets and goodwill relate to the allocation of purchase price associated with the Refinitiv Transaction (see Note 3 – Pushdown Accounting).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which have an indefinite useful life at both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r>
      <w:tr>
        <w:trPr>
          <w:trHeight w:val="216"/>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Tradename</w:t>
            </w:r>
          </w:p>
        </w:tc>
        <w:tc>
          <w:tcPr>
            <w:tcW w:w="5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154,300</w:t>
            </w:r>
          </w:p>
        </w:tc>
      </w:tr>
      <w:tr>
        <w:trPr>
          <w:trHeight w:val="23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323,100</w:t>
            </w:r>
          </w:p>
        </w:tc>
      </w:tr>
      <w:tr>
        <w:trPr>
          <w:trHeight w:val="851"/>
        </w:trPr>
        <w:tc>
          <w:tcPr>
            <w:tcW w:w="2620" w:type="dxa"/>
            <w:vAlign w:val="bottom"/>
          </w:tcPr>
          <w:p>
            <w:pPr>
              <w:spacing w:after="0"/>
              <w:rPr>
                <w:sz w:val="24"/>
                <w:szCs w:val="24"/>
                <w:color w:val="auto"/>
              </w:rPr>
            </w:pPr>
          </w:p>
        </w:tc>
        <w:tc>
          <w:tcPr>
            <w:tcW w:w="5420" w:type="dxa"/>
            <w:vAlign w:val="bottom"/>
          </w:tcPr>
          <w:p>
            <w:pPr>
              <w:jc w:val="right"/>
              <w:ind w:right="33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61"/>
        </w:trPr>
        <w:tc>
          <w:tcPr>
            <w:tcW w:w="26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Intangible assets that are subject to amortization, including the related accumulated amortization, are comprised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0"/>
                <w:szCs w:val="10"/>
                <w:color w:val="auto"/>
              </w:rPr>
            </w:pPr>
          </w:p>
        </w:tc>
        <w:tc>
          <w:tcPr>
            <w:tcW w:w="108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0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12 Years</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928,200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(77,350)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850,850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928,200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(19,338)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908,862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Content and data</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7 Years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(22,057)</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(5,514)</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148,886</w:t>
            </w:r>
          </w:p>
        </w:tc>
        <w:tc>
          <w:tcPr>
            <w:tcW w:w="0" w:type="dxa"/>
            <w:vAlign w:val="bottom"/>
          </w:tcPr>
          <w:p>
            <w:pPr>
              <w:spacing w:after="0"/>
              <w:rPr>
                <w:sz w:val="1"/>
                <w:szCs w:val="1"/>
                <w:color w:val="auto"/>
              </w:rPr>
            </w:pPr>
          </w:p>
        </w:tc>
      </w:tr>
      <w:tr>
        <w:trPr>
          <w:trHeight w:val="149"/>
        </w:trPr>
        <w:tc>
          <w:tcPr>
            <w:tcW w:w="21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1,082,600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(99,407)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983,193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1,082,600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(24,852)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1,057,748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intangible assets was $24.9 million and $74.6 million, respectively, for the three and nine months ended September 30, 2019, and $6.5 million and $19.6 million, respectively, for the three and nine months ended September 30, 2018.</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estimated annual future amortization for existing intangibles assets through December 31, 2023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99,408</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99,408</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99,408</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99,408</w:t>
            </w:r>
          </w:p>
        </w:tc>
      </w:tr>
    </w:tbl>
    <w:p>
      <w:pPr>
        <w:spacing w:after="0" w:line="200" w:lineRule="exact"/>
        <w:rPr>
          <w:sz w:val="20"/>
          <w:szCs w:val="20"/>
          <w:color w:val="auto"/>
        </w:rPr>
      </w:pPr>
    </w:p>
    <w:p>
      <w:pPr>
        <w:spacing w:after="0" w:line="250" w:lineRule="exact"/>
        <w:rPr>
          <w:sz w:val="20"/>
          <w:szCs w:val="20"/>
          <w:color w:val="auto"/>
        </w:rPr>
      </w:pPr>
    </w:p>
    <w:p>
      <w:pPr>
        <w:ind w:left="580" w:hanging="577"/>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recognized revenue and remaining balance is shown below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balance -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New billings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84,011</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balance - September 30, 2019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w:t>
            </w:r>
          </w:p>
        </w:tc>
      </w:tr>
    </w:tbl>
    <w:p>
      <w:pPr>
        <w:spacing w:after="0" w:line="207" w:lineRule="exact"/>
        <w:rPr>
          <w:sz w:val="20"/>
          <w:szCs w:val="20"/>
          <w:color w:val="auto"/>
        </w:rPr>
      </w:pPr>
    </w:p>
    <w:p>
      <w:pPr>
        <w:ind w:left="580" w:hanging="577"/>
        <w:spacing w:after="0"/>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effective tax rate was 17.5% and 14.1% for the three months ended September 30, 2019 and 2018, respectively, and 15.6% and 8.4% for the nine months ended September 30, 2019 and 2018, respectively. The increase in the effective tax rate for the three months and nine months ended September 30, 2019 was primarily due to the Reorganization Transactions.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 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as the Continuing LLC Owners redeem or exchange their LLC Interests for shares of Class A common stock or Class B common stock, as applicable, or the Corporation purchases LLC Interests from the Continuing LLC Owners.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consolidated effective tax rate will vary from period to period depending on redemptions, exchanges or purchases of LLC Interests as described above, changes in the geographic mix of its earnings and changes in tax legislation and tax rates.</w:t>
      </w:r>
    </w:p>
    <w:p>
      <w:pPr>
        <w:spacing w:after="0" w:line="1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10 – Tax Receivable Agreement. As a result of the IPO, the Company assumed a tax benefit of $93.2 million, primarily due to an increase in amortizable tax basis that will be amortized primarily over 15 years pursuant to Section 197 of the Internal Revenue Code of 1986, as amended, offset by other factors. The tax benefit has been recognized in deferred tax asset on the September 30, 2019 consolidated statement of financial condition.</w:t>
      </w:r>
    </w:p>
    <w:p>
      <w:pPr>
        <w:spacing w:after="0" w:line="1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Refinitiv Contribution, the Company assumed the tax liabilities of the contributed entity. The contributed entity is under audit by the State of New Jersey for the tax years 2012-2015 and is appealing a tax assessment from an audit by the State of New Jersey for the tax years 2008-2011. At September 30, 2019, the tax liability related to the Refinitiv Contribution is $2.8 million and is included within accounts payable, accrued expenses and other liabilities on the consolidated statement of financial condition. The Company is indemnified by Refinitiv for tax liabilities that were assumed by the Company as a result of the Refinitiv Contribution. See Note 14 – Related Party Transactions.</w:t>
      </w:r>
    </w:p>
    <w:p>
      <w:pPr>
        <w:spacing w:after="0" w:line="184" w:lineRule="exact"/>
        <w:rPr>
          <w:sz w:val="20"/>
          <w:szCs w:val="20"/>
          <w:color w:val="auto"/>
        </w:rPr>
      </w:pPr>
    </w:p>
    <w:p>
      <w:pPr>
        <w:ind w:left="680" w:hanging="677"/>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recorded an initial liability of $171.4 million related to its projected obligations under the Tax Receivable Agreement with respect to LLC Interests that were purchased by the Corporation using the net proceeds of the IPO.</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or exchange,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impact of any changes in the projected obligations under the Tax Receivable Agreement as a result of changes in the geographic mix of the Company’s earnings, changes in tax legislation and tax rates or other factors that may impact the Corporation’s tax savings will be reflected in income before taxes on the consolidated statement of income in the period in which the change occurs.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hanging="657"/>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in Note 1 – Organization, 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IPO, the Reorganization Transactions described below were completed.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0" w:type="dxa"/>
            <w:vAlign w:val="bottom"/>
          </w:tcPr>
          <w:p>
            <w:pPr>
              <w:spacing w:after="0"/>
              <w:rPr>
                <w:sz w:val="1"/>
                <w:szCs w:val="1"/>
                <w:color w:val="auto"/>
              </w:rPr>
            </w:pPr>
          </w:p>
        </w:tc>
      </w:tr>
      <w:tr>
        <w:trPr>
          <w:trHeight w:val="173"/>
        </w:trPr>
        <w:tc>
          <w:tcPr>
            <w:tcW w:w="386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60" w:type="dxa"/>
            <w:vAlign w:val="bottom"/>
            <w:gridSpan w:val="2"/>
            <w:vMerge w:val="continue"/>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4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7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common stock</w:t>
            </w:r>
          </w:p>
        </w:tc>
        <w:tc>
          <w:tcPr>
            <w:tcW w:w="7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Class D common stock</w:t>
            </w:r>
          </w:p>
        </w:tc>
        <w:tc>
          <w:tcPr>
            <w:tcW w:w="7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The Continuing LLC Owners that hold shares of Class D common stock may also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that the combined voting power held by such Bank Stockholder would not exceed 4.9% will automatically convert into shares of Class C common stock.</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 of Tradeweb Markets LLC</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Class 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P (A)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Class P (C)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P-1(A)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Class P-1 (C)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Cancellation of Common Stock</w:t>
      </w:r>
    </w:p>
    <w:p>
      <w:pPr>
        <w:spacing w:after="0" w:line="229" w:lineRule="exact"/>
        <w:rPr>
          <w:sz w:val="20"/>
          <w:szCs w:val="20"/>
          <w:color w:val="auto"/>
        </w:rPr>
      </w:pPr>
    </w:p>
    <w:p>
      <w:pPr>
        <w:ind w:left="660" w:hanging="333"/>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Refinitiv Contribution, the Corporation received 96,933,192 LLC Interests and the Refinitiv Direct Owner received 96,933,192 shares of Class B common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hanging="333"/>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completion of the Reorganization Transactions, including the IPO and the application of the proceeds therefrom as described above, (i) the investors in the IPO collectively owned 46,000,000 shares of Class A common,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98" w:lineRule="exact"/>
        <w:rPr>
          <w:sz w:val="20"/>
          <w:szCs w:val="20"/>
          <w:color w:val="auto"/>
        </w:rPr>
      </w:pPr>
    </w:p>
    <w:p>
      <w:pPr>
        <w:ind w:left="680" w:hanging="677"/>
        <w:spacing w:after="0"/>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17"/>
        </w:trPr>
        <w:tc>
          <w:tcPr>
            <w:tcW w:w="6980" w:type="dxa"/>
            <w:vAlign w:val="bottom"/>
          </w:tcPr>
          <w:p>
            <w:pPr>
              <w:spacing w:after="0"/>
              <w:rPr>
                <w:sz w:val="10"/>
                <w:szCs w:val="10"/>
                <w:color w:val="auto"/>
              </w:rPr>
            </w:pPr>
          </w:p>
        </w:tc>
        <w:tc>
          <w:tcPr>
            <w:tcW w:w="12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LLC</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r>
      <w:tr>
        <w:trPr>
          <w:trHeight w:val="173"/>
        </w:trPr>
        <w:tc>
          <w:tcPr>
            <w:tcW w:w="69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142,942,945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79,289,005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LLC Interests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222,231,950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11 – Stockholders’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on equity due to changes in the Corporation’s ownership interest in Tradeweb Markets LLC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0"/>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07"/>
        </w:trPr>
        <w:tc>
          <w:tcPr>
            <w:tcW w:w="6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73"/>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Tradeweb Markets Inc.</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29,612</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42,440</w:t>
            </w:r>
          </w:p>
        </w:tc>
        <w:tc>
          <w:tcPr>
            <w:tcW w:w="0" w:type="dxa"/>
            <w:vAlign w:val="bottom"/>
          </w:tcPr>
          <w:p>
            <w:pPr>
              <w:spacing w:after="0"/>
              <w:rPr>
                <w:sz w:val="1"/>
                <w:szCs w:val="1"/>
                <w:color w:val="auto"/>
              </w:rPr>
            </w:pPr>
          </w:p>
        </w:tc>
      </w:tr>
      <w:tr>
        <w:trPr>
          <w:trHeight w:val="149"/>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Transfers (to) from non-controlling interests: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Allocation of equity to non-controlling interests arising from the reorganization transactions and IPO</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(1,607,529)</w:t>
            </w:r>
          </w:p>
        </w:tc>
        <w:tc>
          <w:tcPr>
            <w:tcW w:w="0" w:type="dxa"/>
            <w:vAlign w:val="bottom"/>
          </w:tcPr>
          <w:p>
            <w:pPr>
              <w:spacing w:after="0"/>
              <w:rPr>
                <w:sz w:val="1"/>
                <w:szCs w:val="1"/>
                <w:color w:val="auto"/>
              </w:rPr>
            </w:pPr>
          </w:p>
        </w:tc>
      </w:tr>
      <w:tr>
        <w:trPr>
          <w:trHeight w:val="149"/>
        </w:trPr>
        <w:tc>
          <w:tcPr>
            <w:tcW w:w="6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ownership percentage resulting from issuance of common stock from equity incentive plans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transfers (to) from non-controlling interests</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(1,607,456)</w:t>
            </w:r>
          </w:p>
        </w:tc>
        <w:tc>
          <w:tcPr>
            <w:tcW w:w="0" w:type="dxa"/>
            <w:vAlign w:val="bottom"/>
          </w:tcPr>
          <w:p>
            <w:pPr>
              <w:spacing w:after="0"/>
              <w:rPr>
                <w:sz w:val="1"/>
                <w:szCs w:val="1"/>
                <w:color w:val="auto"/>
              </w:rPr>
            </w:pPr>
          </w:p>
        </w:tc>
      </w:tr>
      <w:tr>
        <w:trPr>
          <w:trHeight w:val="106"/>
        </w:trPr>
        <w:tc>
          <w:tcPr>
            <w:tcW w:w="61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Change from net income attributable to Tradeweb Markets Inc. and transfers (to) from non-controlling</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(1,565,016)</w:t>
            </w:r>
          </w:p>
        </w:tc>
        <w:tc>
          <w:tcPr>
            <w:tcW w:w="0" w:type="dxa"/>
            <w:vAlign w:val="bottom"/>
          </w:tcPr>
          <w:p>
            <w:pPr>
              <w:spacing w:after="0"/>
              <w:rPr>
                <w:sz w:val="1"/>
                <w:szCs w:val="1"/>
                <w:color w:val="auto"/>
              </w:rPr>
            </w:pPr>
          </w:p>
        </w:tc>
      </w:tr>
      <w:tr>
        <w:trPr>
          <w:trHeight w:val="158"/>
        </w:trPr>
        <w:tc>
          <w:tcPr>
            <w:tcW w:w="6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40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0" w:hanging="677"/>
        <w:spacing w:after="0"/>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a stock-based incentive plan (the “PRSU Plan”) which provides for the grant of performance-based restricted share units (“PRSUs”) to encourage employees of the Company to participate in the long-term success of the Company.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PRSUs generally vest in the third plan year following the year of grant and are equity-settled in shares of Class A common stock (except as described below). The outstanding PRSUs vest on January 1, 2020, 2021 and 2022. The number of PRSUs initially awarded is subsequently adjusted (upward or downward) by a performance modifier, based on the financial performance of the Company in the year of the grant. If an employee’s employment with the Company is terminated, subject to certain exceptions, all unvested PRSUs are forfeited.</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for equity-settled PRSUs of the Company (in thousands, except weighted average grant date fair value per unit):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2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Equity-Settled PRSUs</w:t>
            </w: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PRSU compensation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PRSU compensation expense, net of taxes</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Weighted-average grant date fair value per unit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vested PRSUs</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for cash-settled PRSUs of the Company (in thousands, except weighted average fair value per unit):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Cash-Settled PRSUs</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PRSU compensation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PRSU compensation expense, net of taxes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Weighted-average grant date fair value per unit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54,150</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vested PRSUs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maintains the Option Plan which provides for the grant of stock options. Prior to the IPO, the Company awarded options to management and other employees under the Option Plan. Each option vests one half based solely on the passage of time and one half only if the Company achieves certain performance targets. The time vesting portion of the options has a graded vesting schedule with vesting dates of January 1, 2019, 2020, 2021 and 2022, with accelerated vesting for time-based options with vesting dates of January 1, 2021 and 2022 upon the completion of an initial public offering.</w:t>
      </w:r>
    </w:p>
    <w:p>
      <w:pPr>
        <w:spacing w:after="0" w:line="18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or during a 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following a change in control of the Company (and certain other sales of equity by the Company’s shareholders). Costs related to these options are recognized as an expense in the consolidated statements of income over the requisite service period, when exercisability is considered probable, with an offsetting increase to additional paid-in capital. As a result, expense recognition commenced upon the completion of the IPO, with $18.9 million recognized as compensation expense related to these options immediately upon the completion of the IPO.</w:t>
      </w:r>
    </w:p>
    <w:p>
      <w:pPr>
        <w:spacing w:after="0" w:line="1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for options of the Company (in thousands, except weighted average fair value per unit):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compensation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compensation expense, net of taxes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6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Weighted-average grant date fair value per unit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vested options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Borders>
              <w:left w:val="single" w:sz="8" w:color="CCEEFF"/>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September 30, 2019, total unrecognized compensation expense related to non-vested stock-based compensation arrangements and the expected recognition period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Cash-Settled</w:t>
            </w:r>
          </w:p>
        </w:tc>
        <w:tc>
          <w:tcPr>
            <w:tcW w:w="22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Settled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PRSUs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PRSUs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unrecognized compensation cost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recognition period</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years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years</w:t>
            </w:r>
          </w:p>
        </w:tc>
        <w:tc>
          <w:tcPr>
            <w:tcW w:w="0" w:type="dxa"/>
            <w:vAlign w:val="bottom"/>
          </w:tcPr>
          <w:p>
            <w:pPr>
              <w:spacing w:after="0"/>
              <w:rPr>
                <w:sz w:val="1"/>
                <w:szCs w:val="1"/>
                <w:color w:val="auto"/>
              </w:rPr>
            </w:pPr>
          </w:p>
        </w:tc>
      </w:tr>
      <w:tr>
        <w:trPr>
          <w:trHeight w:val="873"/>
        </w:trPr>
        <w:tc>
          <w:tcPr>
            <w:tcW w:w="3600" w:type="dxa"/>
            <w:vAlign w:val="bottom"/>
          </w:tcPr>
          <w:p>
            <w:pPr>
              <w:spacing w:after="0"/>
              <w:rPr>
                <w:sz w:val="24"/>
                <w:szCs w:val="24"/>
                <w:color w:val="auto"/>
              </w:rPr>
            </w:pPr>
          </w:p>
        </w:tc>
        <w:tc>
          <w:tcPr>
            <w:tcW w:w="19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enters into transactions with Refinitiv and its affiliates which are considered to be related party transactions. The Company also enters into transactions with the Bank Stockholders and their respective affiliates. Prior to the Reorganization Transactions, the Bank Stockholders were collectively considered to be related parties of the Company. As a result of the Reorganization Transactions, they are no longer considered to be related parties. As a result, the related party transactions listed below include transactions with affiliates of Refinitiv for all periods presented and only includes transactions with affiliates of the Bank Stockholders for pre-IPO periods.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2019 and December 31, 2018, the following balances with such affiliates were included in the consolidated statements of financial condition in the following line items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42"/>
        </w:trPr>
        <w:tc>
          <w:tcPr>
            <w:tcW w:w="46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283,790</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Receivables from brokers and dealers and clearing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affiliates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affiliates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balances with such affiliates were included in the consolidated statements of income in the following line items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0" w:type="dxa"/>
            <w:vAlign w:val="bottom"/>
          </w:tcPr>
          <w:p>
            <w:pPr>
              <w:spacing w:after="0"/>
              <w:rPr>
                <w:sz w:val="10"/>
                <w:szCs w:val="10"/>
                <w:color w:val="auto"/>
              </w:rPr>
            </w:pPr>
          </w:p>
        </w:tc>
        <w:tc>
          <w:tcPr>
            <w:tcW w:w="110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0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5"/>
                <w:szCs w:val="15"/>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156"/>
        </w:trPr>
        <w:tc>
          <w:tcPr>
            <w:tcW w:w="362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34"/>
        </w:trPr>
        <w:tc>
          <w:tcPr>
            <w:tcW w:w="12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r>
      <w:tr>
        <w:trPr>
          <w:trHeight w:val="216"/>
        </w:trPr>
        <w:tc>
          <w:tcPr>
            <w:tcW w:w="3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Transaction fees </w:t>
            </w:r>
            <w:r>
              <w:rPr>
                <w:rFonts w:ascii="Times New Roman" w:cs="Times New Roman" w:eastAsia="Times New Roman" w:hAnsi="Times New Roman"/>
                <w:sz w:val="8"/>
                <w:szCs w:val="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16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159,663</w:t>
            </w:r>
          </w:p>
        </w:tc>
      </w:tr>
      <w:tr>
        <w:trPr>
          <w:trHeight w:val="216"/>
        </w:trPr>
        <w:tc>
          <w:tcPr>
            <w:tcW w:w="36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8"/>
                <w:szCs w:val="8"/>
                <w:color w:val="auto"/>
              </w:rPr>
              <w:t>(1)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r>
      <w:tr>
        <w:trPr>
          <w:trHeight w:val="216"/>
        </w:trPr>
        <w:tc>
          <w:tcPr>
            <w:tcW w:w="3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Commissions </w:t>
            </w:r>
            <w:r>
              <w:rPr>
                <w:rFonts w:ascii="Times New Roman" w:cs="Times New Roman" w:eastAsia="Times New Roman" w:hAnsi="Times New Roman"/>
                <w:sz w:val="8"/>
                <w:szCs w:val="8"/>
                <w:color w:val="auto"/>
              </w:rPr>
              <w:t>(1)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w:t>
            </w:r>
          </w:p>
        </w:tc>
      </w:tr>
      <w:tr>
        <w:trPr>
          <w:trHeight w:val="216"/>
        </w:trPr>
        <w:tc>
          <w:tcPr>
            <w:tcW w:w="36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Refinitiv market data fees </w:t>
            </w:r>
            <w:r>
              <w:rPr>
                <w:rFonts w:ascii="Times New Roman" w:cs="Times New Roman" w:eastAsia="Times New Roman" w:hAnsi="Times New Roman"/>
                <w:sz w:val="8"/>
                <w:szCs w:val="8"/>
                <w:color w:val="auto"/>
              </w:rPr>
              <w:t>(2)</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w:t>
            </w:r>
          </w:p>
        </w:tc>
      </w:tr>
      <w:tr>
        <w:trPr>
          <w:trHeight w:val="176"/>
        </w:trPr>
        <w:tc>
          <w:tcPr>
            <w:tcW w:w="36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8"/>
                <w:szCs w:val="8"/>
                <w:color w:val="auto"/>
              </w:rPr>
              <w:t>(3)</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36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36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Shared Services Fees </w:t>
            </w:r>
            <w:r>
              <w:rPr>
                <w:rFonts w:ascii="Times New Roman" w:cs="Times New Roman" w:eastAsia="Times New Roman" w:hAnsi="Times New Roman"/>
                <w:sz w:val="8"/>
                <w:szCs w:val="8"/>
                <w:color w:val="auto"/>
              </w:rPr>
              <w:t>(4)</w:t>
            </w:r>
            <w:r>
              <w:rPr>
                <w:rFonts w:ascii="Times New Roman" w:cs="Times New Roman" w:eastAsia="Times New Roman" w:hAnsi="Times New Roman"/>
                <w:sz w:val="18"/>
                <w:szCs w:val="18"/>
                <w:color w:val="auto"/>
              </w:rPr>
              <w:t xml:space="preserve">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120" w:type="dxa"/>
            <w:vAlign w:val="bottom"/>
          </w:tcPr>
          <w:p>
            <w:pPr>
              <w:spacing w:after="0"/>
              <w:rPr>
                <w:sz w:val="18"/>
                <w:szCs w:val="18"/>
                <w:color w:val="auto"/>
              </w:rPr>
            </w:pPr>
          </w:p>
        </w:tc>
        <w:tc>
          <w:tcPr>
            <w:tcW w:w="3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1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bl>
    <w:p>
      <w:pPr>
        <w:spacing w:after="0" w:line="193" w:lineRule="exact"/>
        <w:rPr>
          <w:sz w:val="20"/>
          <w:szCs w:val="20"/>
          <w:color w:val="auto"/>
        </w:rPr>
      </w:pPr>
    </w:p>
    <w:p>
      <w:pPr>
        <w:ind w:left="660" w:hanging="333"/>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pre-IPO periods, represents fees and commissions from affiliates of the Bank Stockholders.</w:t>
      </w:r>
    </w:p>
    <w:p>
      <w:pPr>
        <w:spacing w:after="0" w:line="203" w:lineRule="exact"/>
        <w:rPr>
          <w:rFonts w:ascii="Times New Roman" w:cs="Times New Roman" w:eastAsia="Times New Roman" w:hAnsi="Times New Roman"/>
          <w:sz w:val="14"/>
          <w:szCs w:val="14"/>
          <w:color w:val="auto"/>
        </w:rPr>
      </w:pPr>
    </w:p>
    <w:p>
      <w:pPr>
        <w:ind w:left="660" w:right="240" w:hanging="333"/>
        <w:spacing w:after="0" w:line="241"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Refinitiv (TR in the predecessor period). Under the agreement, the Company delivers to Refinitiv certain market data feeds which Refinitiv redistributes to its customers. The Company earns license fees and royalties for these feeds.</w:t>
      </w:r>
    </w:p>
    <w:p>
      <w:pPr>
        <w:spacing w:after="0" w:line="176" w:lineRule="exact"/>
        <w:rPr>
          <w:rFonts w:ascii="Times New Roman" w:cs="Times New Roman" w:eastAsia="Times New Roman" w:hAnsi="Times New Roman"/>
          <w:sz w:val="14"/>
          <w:szCs w:val="14"/>
          <w:color w:val="auto"/>
        </w:rPr>
      </w:pPr>
    </w:p>
    <w:p>
      <w:pPr>
        <w:ind w:left="660" w:right="300" w:hanging="333"/>
        <w:spacing w:after="0" w:line="262"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pre-IPO periods, represents interest income from money market funds invested with and savings accounts deposited with affiliates of the Bank Stockholders.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120" w:hanging="333"/>
        <w:spacing w:after="0" w:line="262"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shared services agreement with Refinitiv (TR in the predecessor period). Under the terms of the agreement, Refinitiv provides the Company with certain real estate, payroll, benefits administration, insurance, content, financial reporting and tax support.</w:t>
      </w:r>
    </w:p>
    <w:p>
      <w:pPr>
        <w:spacing w:after="0" w:line="16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reimburses affiliates of Refinitiv (TR in the predecessor period) for expenses paid on behalf of the Company for various services including salaries and bonuses, marketing, professional fees, communications, data costs and certain other administrative services. For the three and nine months ended September 30, 2019, the Company reimbursed such affiliates approximately $1.2 million and $5.5 million, respectively, for these expenses. For the three and nine months ended September 30, 2018, the Company reimbursed such affiliates approximately $0.3 million and $28.7 million, respectively, for these expenses.</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indemnified by Refinitiv for any tax liabilities that existed in the entity contributed by Refinitiv as a result of the Refinitiv Contribution. At September 30, 2019, $2.7 million is included in other assets on the September 30, 2019 consolidated statement of financial condition related to this indemnification.</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2014, the Company issued Class A Shares and unvested Class P-1(A) Shares to some of the Bank Stockholders as a result of a $120.0 million capital contribution. In connection with this investment, employees invested $5.3 million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and as a result no contingent consideration has been recognized related to these shares subsequent to that date. The Company recognized contingent consideration for the nine months ended September 30, 2018 of $26.8 million (which included a reversal of contingent consideration of $2.5 million for the three months ended September 30, 2018), relating to these shares, which is included in net revenue on the consolidated statements of income.</w:t>
      </w:r>
    </w:p>
    <w:p>
      <w:pPr>
        <w:spacing w:after="0" w:line="199" w:lineRule="exact"/>
        <w:rPr>
          <w:sz w:val="20"/>
          <w:szCs w:val="20"/>
          <w:color w:val="auto"/>
        </w:rPr>
      </w:pPr>
    </w:p>
    <w:p>
      <w:pPr>
        <w:ind w:left="680" w:hanging="677"/>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in active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instruments that are classified within level 2 or level 3 of the fair value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16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$ 175,563</w:t>
            </w:r>
          </w:p>
        </w:tc>
        <w:tc>
          <w:tcPr>
            <w:tcW w:w="0" w:type="dxa"/>
            <w:vAlign w:val="bottom"/>
          </w:tcPr>
          <w:p>
            <w:pPr>
              <w:spacing w:after="0"/>
              <w:rPr>
                <w:sz w:val="1"/>
                <w:szCs w:val="1"/>
                <w:color w:val="auto"/>
              </w:rPr>
            </w:pPr>
          </w:p>
        </w:tc>
      </w:tr>
      <w:tr>
        <w:trPr>
          <w:trHeight w:val="230"/>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$ 175,563</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As of December 31, 2018</w:t>
            </w:r>
          </w:p>
        </w:tc>
        <w:tc>
          <w:tcPr>
            <w:tcW w:w="16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$ 127,927</w:t>
            </w:r>
          </w:p>
        </w:tc>
        <w:tc>
          <w:tcPr>
            <w:tcW w:w="0" w:type="dxa"/>
            <w:vAlign w:val="bottom"/>
          </w:tcPr>
          <w:p>
            <w:pPr>
              <w:spacing w:after="0"/>
              <w:rPr>
                <w:sz w:val="1"/>
                <w:szCs w:val="1"/>
                <w:color w:val="auto"/>
              </w:rPr>
            </w:pPr>
          </w:p>
        </w:tc>
      </w:tr>
      <w:tr>
        <w:trPr>
          <w:trHeight w:val="230"/>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$ 127,927</w:t>
            </w:r>
          </w:p>
        </w:tc>
        <w:tc>
          <w:tcPr>
            <w:tcW w:w="0" w:type="dxa"/>
            <w:vAlign w:val="bottom"/>
          </w:tcPr>
          <w:p>
            <w:pPr>
              <w:spacing w:after="0"/>
              <w:rPr>
                <w:sz w:val="1"/>
                <w:szCs w:val="1"/>
                <w:color w:val="auto"/>
              </w:rPr>
            </w:pPr>
          </w:p>
        </w:tc>
      </w:tr>
      <w:tr>
        <w:trPr>
          <w:trHeight w:val="865"/>
        </w:trPr>
        <w:tc>
          <w:tcPr>
            <w:tcW w:w="316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99"/>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At September 30, 2019 and December 31, 2018, the Company established an allowance for doubtful accounts of $1.3 million and $1.2 million, respectively, with regard to these receivables.</w:t>
      </w:r>
    </w:p>
    <w:p>
      <w:pPr>
        <w:spacing w:after="0" w:line="180" w:lineRule="exact"/>
        <w:rPr>
          <w:sz w:val="20"/>
          <w:szCs w:val="20"/>
          <w:color w:val="auto"/>
        </w:rPr>
      </w:pPr>
    </w:p>
    <w:p>
      <w:pPr>
        <w:ind w:right="11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80" w:lineRule="exact"/>
        <w:rPr>
          <w:sz w:val="20"/>
          <w:szCs w:val="20"/>
          <w:color w:val="auto"/>
        </w:rPr>
      </w:pPr>
    </w:p>
    <w:p>
      <w:pPr>
        <w:ind w:right="59"/>
        <w:spacing w:after="0" w:line="261" w:lineRule="auto"/>
        <w:rPr>
          <w:sz w:val="20"/>
          <w:szCs w:val="20"/>
          <w:color w:val="auto"/>
        </w:rPr>
      </w:pPr>
      <w:r>
        <w:rPr>
          <w:rFonts w:ascii="Times New Roman" w:cs="Times New Roman" w:eastAsia="Times New Roman" w:hAnsi="Times New Roman"/>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80" w:lineRule="exact"/>
        <w:rPr>
          <w:sz w:val="20"/>
          <w:szCs w:val="20"/>
          <w:color w:val="auto"/>
        </w:rPr>
      </w:pPr>
    </w:p>
    <w:p>
      <w:pPr>
        <w:ind w:right="79"/>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85" w:lineRule="exact"/>
        <w:rPr>
          <w:sz w:val="20"/>
          <w:szCs w:val="20"/>
          <w:color w:val="auto"/>
        </w:rPr>
      </w:pPr>
    </w:p>
    <w:p>
      <w:pPr>
        <w:ind w:right="119"/>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6" w:lineRule="exact"/>
        <w:rPr>
          <w:sz w:val="20"/>
          <w:szCs w:val="20"/>
          <w:color w:val="auto"/>
        </w:rPr>
      </w:pPr>
    </w:p>
    <w:p>
      <w:pPr>
        <w:ind w:left="680" w:hanging="677"/>
        <w:spacing w:after="0"/>
        <w:tabs>
          <w:tab w:leader="none" w:pos="6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84" w:lineRule="exact"/>
        <w:rPr>
          <w:sz w:val="20"/>
          <w:szCs w:val="20"/>
          <w:color w:val="auto"/>
        </w:rPr>
      </w:pPr>
    </w:p>
    <w:p>
      <w:pPr>
        <w:ind w:right="119"/>
        <w:spacing w:after="0" w:line="258"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84" w:lineRule="exact"/>
        <w:rPr>
          <w:sz w:val="20"/>
          <w:szCs w:val="20"/>
          <w:color w:val="auto"/>
        </w:rPr>
      </w:pPr>
    </w:p>
    <w:p>
      <w:pPr>
        <w:ind w:right="139"/>
        <w:spacing w:after="0" w:line="255" w:lineRule="auto"/>
        <w:rPr>
          <w:sz w:val="20"/>
          <w:szCs w:val="20"/>
          <w:color w:val="auto"/>
        </w:rPr>
      </w:pPr>
      <w:r>
        <w:rPr>
          <w:rFonts w:ascii="Times New Roman" w:cs="Times New Roman" w:eastAsia="Times New Roman" w:hAnsi="Times New Roman"/>
          <w:sz w:val="18"/>
          <w:szCs w:val="18"/>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 million in damages and also seeks punitive damages, attorneys' fees and costs. In September 2019, the Court dismissed some, but not all, of plaintiff’s claims, and rejected plaintiff’s damages theory on which it relied to support its claims for approximately $80 million in damages. The Company intends to continue to vigorously defend what the Company believes to be meritless claims.</w:t>
      </w:r>
    </w:p>
    <w:p>
      <w:pPr>
        <w:spacing w:after="0" w:line="189" w:lineRule="exact"/>
        <w:rPr>
          <w:sz w:val="20"/>
          <w:szCs w:val="20"/>
          <w:color w:val="auto"/>
        </w:rPr>
      </w:pPr>
    </w:p>
    <w:p>
      <w:pPr>
        <w:ind w:right="59"/>
        <w:spacing w:after="0" w:line="282"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8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Under the terms of the credit agreement that governs the Credit Facility, borrowings under the Credit Facility bear interest at a rate equal to, at the Company’s option, either (a) a base rate equal to the greatest of (i) the administrative agent’s prime rate,</w:t>
      </w:r>
    </w:p>
    <w:p>
      <w:pPr>
        <w:spacing w:after="0" w:line="1" w:lineRule="exact"/>
        <w:rPr>
          <w:sz w:val="20"/>
          <w:szCs w:val="20"/>
          <w:color w:val="auto"/>
        </w:rPr>
      </w:pPr>
    </w:p>
    <w:p>
      <w:pPr>
        <w:ind w:right="140" w:firstLine="3"/>
        <w:spacing w:after="0" w:line="253"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there were no amounts outstanding under the Credit Facility.</w:t>
      </w:r>
    </w:p>
    <w:p>
      <w:pPr>
        <w:spacing w:after="0" w:line="235" w:lineRule="exact"/>
        <w:rPr>
          <w:sz w:val="20"/>
          <w:szCs w:val="20"/>
          <w:color w:val="auto"/>
        </w:rPr>
      </w:pPr>
    </w:p>
    <w:p>
      <w:pPr>
        <w:ind w:left="680" w:hanging="677"/>
        <w:spacing w:after="0"/>
        <w:tabs>
          <w:tab w:leader="none" w:pos="6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basic and diluted earnings per share calculations for Tradeweb Markets LLC (pre-IPO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4"/>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EPS: Pre-IPO net income attributable to Tradeweb Markets LLC</w:t>
            </w:r>
            <w:r>
              <w:rPr>
                <w:rFonts w:ascii="Times New Roman" w:cs="Times New Roman" w:eastAsia="Times New Roman" w:hAnsi="Times New Roman"/>
                <w:sz w:val="14"/>
                <w:szCs w:val="14"/>
                <w:b w:val="1"/>
                <w:bCs w:val="1"/>
                <w:color w:val="auto"/>
                <w:vertAlign w:val="superscript"/>
              </w:rPr>
              <w:t>(1)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60" w:type="dxa"/>
            <w:vAlign w:val="bottom"/>
            <w:gridSpan w:val="8"/>
            <w:shd w:val="clear" w:color="auto" w:fill="CCEEFF"/>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Borders>
              <w:top w:val="single" w:sz="8" w:color="auto"/>
            </w:tcBorders>
            <w:gridSpan w:val="4"/>
          </w:tcPr>
          <w:p>
            <w:pPr>
              <w:spacing w:after="0" w:line="129" w:lineRule="exact"/>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220" w:type="dxa"/>
            <w:vAlign w:val="bottom"/>
            <w:tcBorders>
              <w:top w:val="single" w:sz="8" w:color="CCEEFF"/>
              <w:right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Pre-IPO net income attributable to Tradeweb Markets LLC</w:t>
            </w:r>
          </w:p>
        </w:tc>
        <w:tc>
          <w:tcPr>
            <w:tcW w:w="2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42,352</w:t>
            </w:r>
          </w:p>
        </w:tc>
        <w:tc>
          <w:tcPr>
            <w:tcW w:w="220" w:type="dxa"/>
            <w:vAlign w:val="bottom"/>
            <w:tcBorders>
              <w:right w:val="single" w:sz="8" w:color="auto"/>
            </w:tcBorders>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45,955</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130,160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0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Weighted average LLC Interests outstanding - Basic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222,222,197</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219,165,997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gridSpan w:val="4"/>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Dilutive effect of equity-settled PRSUs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1,098,260</w:t>
            </w:r>
          </w:p>
        </w:tc>
        <w:tc>
          <w:tcPr>
            <w:tcW w:w="2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Borders>
              <w:bottom w:val="single" w:sz="8" w:color="CCEEFF"/>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Weighted average LLC Interests outstanding - Diluted</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223,320,457</w:t>
            </w:r>
          </w:p>
        </w:tc>
        <w:tc>
          <w:tcPr>
            <w:tcW w:w="220" w:type="dxa"/>
            <w:vAlign w:val="bottom"/>
            <w:tcBorders>
              <w:bottom w:val="single" w:sz="8" w:color="CCEEFF"/>
              <w:right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219,165,997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215,365,920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Basic</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220" w:type="dxa"/>
            <w:vAlign w:val="bottom"/>
            <w:tcBorders>
              <w:right w:val="single" w:sz="8" w:color="auto"/>
            </w:tcBorders>
          </w:tcPr>
          <w:p>
            <w:pPr>
              <w:spacing w:after="0"/>
              <w:rPr>
                <w:sz w:val="13"/>
                <w:szCs w:val="13"/>
                <w:color w:val="auto"/>
              </w:rPr>
            </w:pP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CCEEFF"/>
              <w:bottom w:val="single" w:sz="8" w:color="CCEE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Diluted</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22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60" w:hanging="333"/>
        <w:spacing w:after="0" w:line="241"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per share and weighted average shares outstanding for the pre-IPO periods have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basic and diluted earnings per share calculations for Tradeweb Markets Inc. (post-IPO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EPS: Post-IPO net income attributable to Tradeweb Markets Inc.</w:t>
            </w:r>
          </w:p>
        </w:tc>
        <w:tc>
          <w:tcPr>
            <w:tcW w:w="260" w:type="dxa"/>
            <w:vAlign w:val="bottom"/>
            <w:shd w:val="clear" w:color="auto" w:fill="CCEEFF"/>
          </w:tcPr>
          <w:p>
            <w:pPr>
              <w:spacing w:after="0"/>
              <w:rPr>
                <w:sz w:val="10"/>
                <w:szCs w:val="10"/>
                <w:color w:val="auto"/>
              </w:rPr>
            </w:pPr>
          </w:p>
        </w:tc>
        <w:tc>
          <w:tcPr>
            <w:tcW w:w="2620" w:type="dxa"/>
            <w:vAlign w:val="bottom"/>
            <w:gridSpan w:val="6"/>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Borders>
              <w:bottom w:val="single" w:sz="8" w:color="auto"/>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4"/>
            <w:shd w:val="clear" w:color="auto" w:fill="CCEEFF"/>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Numerator: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Post-IPO net income attributable to Tradeweb Markets Inc.</w:t>
            </w:r>
          </w:p>
        </w:tc>
        <w:tc>
          <w:tcPr>
            <w:tcW w:w="3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29,612</w:t>
            </w:r>
          </w:p>
        </w:tc>
        <w:tc>
          <w:tcPr>
            <w:tcW w:w="4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Denominator:</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Class A and Class B common stock outstanding - Basic</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142,935,206</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142,934,221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Dilutive effect of equity-settled PRSUs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2,492,381</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Borders>
              <w:bottom w:val="single" w:sz="8" w:color="CCEEFF"/>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Dilutive effect of options</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5,935,056</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5,868,601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Borders>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Class A and Class B common stock outstanding - Diluted</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151,362,643</w:t>
            </w:r>
          </w:p>
        </w:tc>
        <w:tc>
          <w:tcPr>
            <w:tcW w:w="4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151,158,760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 - Basic</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4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60" w:type="dxa"/>
            <w:vAlign w:val="bottom"/>
            <w:tcBorders>
              <w:top w:val="single" w:sz="8" w:color="CCEEFF"/>
            </w:tcBorders>
            <w:gridSpan w:val="3"/>
          </w:tcPr>
          <w:p>
            <w:pPr>
              <w:spacing w:after="0" w:line="136" w:lineRule="exact"/>
              <w:rPr>
                <w:sz w:val="20"/>
                <w:szCs w:val="20"/>
                <w:color w:val="auto"/>
              </w:rPr>
            </w:pPr>
            <w:r>
              <w:rPr>
                <w:rFonts w:ascii="Times New Roman" w:cs="Times New Roman" w:eastAsia="Times New Roman" w:hAnsi="Times New Roman"/>
                <w:sz w:val="14"/>
                <w:szCs w:val="14"/>
                <w:color w:val="auto"/>
              </w:rPr>
              <w:t>Earnings per share - Diluted</w:t>
            </w: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0.20</w:t>
            </w: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2019, there were approximately 247,491 and 126,667 shares, respectively, underlying equity-settled PRSUs and options that were anti-dilutive and thus excluded from the computation of diluted earnings per share. For the three and nine months ended September 30, 2018, there were approximately 2,798,674 and 5,444,566 shares, respectively, related to the contingent consideration payable that were anti-dilutive and thus excluded from the computation of diluted earnings per share.</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79,289,005 LLC Interests for the assumed exchange of non-controlling interests were determined to be anti-dilutive and thus were excluded from the computation of diluted earnings per share for the post-IPO periods.</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71" w:lineRule="exact"/>
        <w:rPr>
          <w:sz w:val="20"/>
          <w:szCs w:val="20"/>
          <w:color w:val="auto"/>
        </w:rPr>
      </w:pPr>
    </w:p>
    <w:p>
      <w:pPr>
        <w:ind w:left="680" w:hanging="677"/>
        <w:spacing w:after="0"/>
        <w:tabs>
          <w:tab w:leader="none" w:pos="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Capital Requirements</w:t>
      </w:r>
    </w:p>
    <w:p>
      <w:pPr>
        <w:spacing w:after="0" w:line="201" w:lineRule="exact"/>
        <w:rPr>
          <w:sz w:val="20"/>
          <w:szCs w:val="20"/>
          <w:color w:val="auto"/>
        </w:rPr>
      </w:pPr>
    </w:p>
    <w:p>
      <w:pPr>
        <w:ind w:right="60"/>
        <w:spacing w:after="0" w:line="228" w:lineRule="exact"/>
        <w:rPr>
          <w:sz w:val="20"/>
          <w:szCs w:val="20"/>
          <w:color w:val="auto"/>
        </w:rPr>
      </w:pPr>
      <w:r>
        <w:rPr>
          <w:rFonts w:ascii="Times New Roman" w:cs="Times New Roman" w:eastAsia="Times New Roman" w:hAnsi="Times New Roman"/>
          <w:sz w:val="18"/>
          <w:szCs w:val="18"/>
          <w:color w:val="auto"/>
        </w:rPr>
        <w:t>TWL, DW and TWD are subject to the Uniform Net Capital Rule 15c3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September 30, 2019 and December 31, 2018, the regulatory capital requirements and regulatory capital for TWL, DW, TWD, TEL, TWJ and TWEU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TWL</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DW</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TWD</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TEL</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TWJ</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TWEU</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9,719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1,907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459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7,927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32,168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378"/>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TWL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DW</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TEL</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TWJ</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Capital</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46,157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17,493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28,664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September 30, 2019 and December 31, 2018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r>
      <w:tr>
        <w:trPr>
          <w:trHeight w:val="142"/>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TW SEF</w:t>
            </w: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DW SEF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TW SEF</w:t>
            </w:r>
          </w:p>
        </w:tc>
        <w:tc>
          <w:tcPr>
            <w:tcW w:w="120" w:type="dxa"/>
            <w:vAlign w:val="bottom"/>
          </w:tcPr>
          <w:p>
            <w:pPr>
              <w:spacing w:after="0"/>
              <w:rPr>
                <w:sz w:val="12"/>
                <w:szCs w:val="12"/>
                <w:color w:val="auto"/>
              </w:rPr>
            </w:pPr>
          </w:p>
        </w:tc>
        <w:tc>
          <w:tcPr>
            <w:tcW w:w="7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DW SEF</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Resources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w:t>
            </w: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Required Financial Resources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Financial Resources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 Financial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Required Liquid Financial Assets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Liquid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r>
    </w:tbl>
    <w:p>
      <w:pPr>
        <w:spacing w:after="0" w:line="221" w:lineRule="exact"/>
        <w:rPr>
          <w:sz w:val="20"/>
          <w:szCs w:val="20"/>
          <w:color w:val="auto"/>
        </w:rPr>
      </w:pPr>
    </w:p>
    <w:p>
      <w:pPr>
        <w:ind w:left="680" w:hanging="677"/>
        <w:spacing w:after="0"/>
        <w:tabs>
          <w:tab w:leader="none" w:pos="6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and Geographic Information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3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Institutional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 Data</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478,941</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442,768</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338,607</w:t>
            </w:r>
          </w:p>
        </w:tc>
        <w:tc>
          <w:tcPr>
            <w:tcW w:w="0" w:type="dxa"/>
            <w:vAlign w:val="bottom"/>
          </w:tcPr>
          <w:p>
            <w:pPr>
              <w:spacing w:after="0"/>
              <w:rPr>
                <w:sz w:val="1"/>
                <w:szCs w:val="1"/>
                <w:color w:val="auto"/>
              </w:rPr>
            </w:pPr>
          </w:p>
        </w:tc>
      </w:tr>
      <w:tr>
        <w:trPr>
          <w:trHeight w:val="21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and Asia regions. Revenues are attributed to geographic area based on the jurisdiction where the underlying transactions take place. The results by geographic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region are not meaningful in understanding the Company's business. Long-lived assets are attributed to the geographic area based on the location of the particular subsidiary.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revenue by geographic area for the three and nine months ended September 30, 2019 and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3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3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368,689</w:t>
            </w:r>
          </w:p>
        </w:tc>
        <w:tc>
          <w:tcPr>
            <w:tcW w:w="10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106,982</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181,467</w:t>
            </w:r>
          </w:p>
        </w:tc>
        <w:tc>
          <w:tcPr>
            <w:tcW w:w="0" w:type="dxa"/>
            <w:vAlign w:val="bottom"/>
          </w:tcPr>
          <w:p>
            <w:pPr>
              <w:spacing w:after="0"/>
              <w:rPr>
                <w:sz w:val="1"/>
                <w:szCs w:val="1"/>
                <w:color w:val="auto"/>
              </w:rPr>
            </w:pPr>
          </w:p>
        </w:tc>
      </w:tr>
      <w:tr>
        <w:trPr>
          <w:trHeight w:val="210"/>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revenue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 as of September 30, 2019 and December 31,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4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4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4,227,002</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4,276,568</w:t>
            </w: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1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4,284,355</w:t>
            </w:r>
          </w:p>
        </w:tc>
      </w:tr>
    </w:tbl>
    <w:p>
      <w:pPr>
        <w:spacing w:after="0" w:line="200" w:lineRule="exact"/>
        <w:rPr>
          <w:sz w:val="20"/>
          <w:szCs w:val="20"/>
          <w:color w:val="auto"/>
        </w:rPr>
      </w:pPr>
    </w:p>
    <w:p>
      <w:pPr>
        <w:spacing w:after="0" w:line="237" w:lineRule="exact"/>
        <w:rPr>
          <w:sz w:val="20"/>
          <w:szCs w:val="20"/>
          <w:color w:val="auto"/>
        </w:rPr>
      </w:pPr>
    </w:p>
    <w:p>
      <w:pPr>
        <w:ind w:left="680" w:hanging="677"/>
        <w:spacing w:after="0"/>
        <w:tabs>
          <w:tab w:leader="none" w:pos="6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On October 22, 2019, Tradeweb Markets Inc. completed its follow-on offering of 17,287,878 shares of Class A Common stock at a public offering price of $42.00 per share. The underwriters have a 30-day option to purchase up to an additional 2,593,181 shares of Class A common stock at the public offering price, less the underwriting discounts and commissions.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Tradeweb Markets Inc. received net proceeds of $704.3 million, after deducting underwriting discounts and commissions but before deducting estimated offering expenses, which were used to purchase (i) 17,259,961 issued and outstanding LLC Interests from certain of the Bank Stockholders and certain of our executive officers (and the corresponding shares of common stock held by such holders were cancelled) and (ii) 27,917 issued and outstanding shares of Class A common stock from certain of our executive officers (and such shares of Class A common stock were cancelled), at a purchase price per interest and share equal to the public offering price of $42.00, less the underwriting discounts and commissions payable thereon. As of November 1, 2019, Tradeweb Markets Inc. owns 72.2% of TWM LLC and the Continuing LLC Owners own the remaining 27.8% of TWM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2019, the board of directors of Tradeweb Markets Inc. declared a cash dividend of $0.08 per share of</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Class A common stock and Class B common stock for the fourth quarter of 2019. This dividend will be payable on December 16, 2019 to stockholders of record as of December 2, 2019.</w:t>
      </w:r>
    </w:p>
    <w:p>
      <w:pPr>
        <w:spacing w:after="0" w:line="18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On November 5, 2019, Tradeweb Markets Inc., as the sole manager, approved a distribution by TWM LLC to its equityholders, including Tradeweb Markets Inc., in an aggregate amount of $45.8 million payable on December 13, 2019.</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57" w:lineRule="exact"/>
        <w:rPr>
          <w:sz w:val="20"/>
          <w:szCs w:val="20"/>
          <w:color w:val="auto"/>
        </w:rPr>
      </w:pPr>
    </w:p>
    <w:p>
      <w:pPr>
        <w:ind w:right="60"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w:t>
      </w:r>
    </w:p>
    <w:p>
      <w:pPr>
        <w:spacing w:after="0" w:line="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8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4"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229" w:lineRule="exact"/>
        <w:rPr>
          <w:sz w:val="20"/>
          <w:szCs w:val="20"/>
          <w:color w:val="auto"/>
        </w:rPr>
      </w:pPr>
    </w:p>
    <w:p>
      <w:pPr>
        <w:ind w:right="19" w:firstLine="324"/>
        <w:spacing w:after="0" w:line="261"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180" w:lineRule="exact"/>
        <w:rPr>
          <w:sz w:val="20"/>
          <w:szCs w:val="20"/>
          <w:color w:val="auto"/>
        </w:rPr>
      </w:pPr>
    </w:p>
    <w:p>
      <w:pPr>
        <w:ind w:right="99" w:firstLine="324"/>
        <w:spacing w:after="0" w:line="261"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ind w:right="79" w:firstLine="324"/>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Approved Publication Arrangement (“APA”) service in connection with, the implementation of Markets in Financial Instruments Directive II (“MiFID II”) in January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29" w:lineRule="exact"/>
        <w:rPr>
          <w:sz w:val="20"/>
          <w:szCs w:val="20"/>
          <w:color w:val="auto"/>
        </w:rPr>
      </w:pPr>
    </w:p>
    <w:p>
      <w:pPr>
        <w:ind w:right="19" w:firstLine="324"/>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229" w:lineRule="exact"/>
        <w:rPr>
          <w:sz w:val="20"/>
          <w:szCs w:val="20"/>
          <w:color w:val="auto"/>
        </w:rPr>
      </w:pPr>
    </w:p>
    <w:p>
      <w:pPr>
        <w:ind w:right="679" w:firstLine="324"/>
        <w:spacing w:after="0" w:line="313" w:lineRule="auto"/>
        <w:rPr>
          <w:sz w:val="20"/>
          <w:szCs w:val="20"/>
          <w:color w:val="auto"/>
        </w:rPr>
      </w:pPr>
      <w:r>
        <w:rPr>
          <w:rFonts w:ascii="Times New Roman" w:cs="Times New Roman" w:eastAsia="Times New Roman" w:hAnsi="Times New Roman"/>
          <w:sz w:val="17"/>
          <w:szCs w:val="17"/>
          <w:color w:val="auto"/>
        </w:rPr>
        <w:t>Our business and its success are largely impacted by the introduction of increasingly complex and sophisticated technology systems and infrastructures and new business models. Offering specialized trading venues and solutions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229"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Item 3, “Quantitative and Qualitative Disclosures About Market Risk— Foreign Currency and Derivative Risk”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Pushdown Accounting on our Financial Statements</w:t>
      </w:r>
    </w:p>
    <w:p>
      <w:pPr>
        <w:spacing w:after="0" w:line="229" w:lineRule="exact"/>
        <w:rPr>
          <w:sz w:val="20"/>
          <w:szCs w:val="20"/>
          <w:color w:val="auto"/>
        </w:rPr>
      </w:pPr>
    </w:p>
    <w:p>
      <w:pPr>
        <w:ind w:right="40" w:firstLine="324"/>
        <w:spacing w:after="0" w:line="218" w:lineRule="exact"/>
        <w:rPr>
          <w:sz w:val="20"/>
          <w:szCs w:val="20"/>
          <w:color w:val="auto"/>
        </w:rPr>
      </w:pPr>
      <w:r>
        <w:rPr>
          <w:rFonts w:ascii="Times New Roman" w:cs="Times New Roman" w:eastAsia="Times New Roman" w:hAnsi="Times New Roman"/>
          <w:sz w:val="18"/>
          <w:szCs w:val="18"/>
          <w:color w:val="auto"/>
        </w:rPr>
        <w:t>As a result of the Refinitiv Transaction, and the application of pushdown accounting, our assets and liabilities were adjusted to their estimated fair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 Pushdown Accounting to our unaudited consolidated financial statements included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 Critical Accounting Policies and Estimates — Pushdown Accounting.”</w:t>
      </w:r>
    </w:p>
    <w:p>
      <w:pPr>
        <w:spacing w:after="0" w:line="20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Due to the change in the basis of accounting resulting from the application of pushdown accounting, the financial information for the period beginning on October 1, 2018, and through and including September 30, 2019,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For all other metrics, to the extent that the change in basis had a material impact on our results, we have disclosed such impact under “—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and Public Company Expenses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applicable, or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continue to increase as we establish more comprehensive compliance and governance functions, establish, maintain and review internal controls over financial reporting in accordance with the Sarbanes-Oxley Act and prepare and distribute periodic reports in accordance with SEC rules. Beginning in the second quarter of 2019, our financial statements reflect the impact of these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gross revenue is derived primarily from transaction fees, subscription fees, commissions and market data fees. For the three and nine months ended September 30, 2018,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99" w:lineRule="exact"/>
        <w:rPr>
          <w:sz w:val="20"/>
          <w:szCs w:val="20"/>
          <w:color w:val="auto"/>
        </w:rPr>
      </w:pPr>
    </w:p>
    <w:p>
      <w:pPr>
        <w:ind w:right="180" w:firstLine="324"/>
        <w:spacing w:after="0" w:line="220" w:lineRule="exact"/>
        <w:rPr>
          <w:sz w:val="20"/>
          <w:szCs w:val="20"/>
          <w:color w:val="auto"/>
        </w:rPr>
      </w:pPr>
      <w:r>
        <w:rPr>
          <w:rFonts w:ascii="Times New Roman" w:cs="Times New Roman" w:eastAsia="Times New Roman" w:hAnsi="Times New Roman"/>
          <w:sz w:val="18"/>
          <w:szCs w:val="18"/>
          <w:color w:val="auto"/>
        </w:rPr>
        <w:t>In 2014, we issued Class A Shares and unvested Class P1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Shares. The Class P1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three and nine months ended September 30, 2018.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 In connection with the Reorganization Transactions, the Class A Shares, Class P1-(A) Shares, Class C Shares and Class P1-(C) Shares were exchanged for LLC Interests.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227"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costs and data feeds provided by third-party service providers,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including Refinitiv pursuant to a shared services agreement. Factors that influence technology and communications expense include the growth of our client base and product offerings.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continue to implement as a public company. Factors that influence technology and software consulting expense include the growth of our client base and product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(Expense)</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us, on a pro rata basis.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2019 (Successor) and Three Months Ended September 30, 2018 (Predecessor)</w:t>
      </w:r>
    </w:p>
    <w:p>
      <w:pPr>
        <w:spacing w:after="0" w:line="15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6"/>
          </w:tcPr>
          <w:p>
            <w:pPr>
              <w:jc w:val="right"/>
              <w:ind w:right="73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58,258</w:t>
            </w: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58,894</w:t>
            </w: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(10,316)</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3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2019,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higher depreciation and amortization expense as a result of the application of pushdown accounting and non-cash stock-based compensation expense related to options.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revenue increased by $35.7 million or 21.6% to $201.0 million for the three months ended September 30,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$165.3 million for the three months ended September 30, 2018. This increase in gross revenue was mainly due to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volumes resulting in a $20.2 million increase in transaction fees and a $13.2 million increase in commission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increased by $33.2 million or 19.8% to $201.0 million for the three months ended September 30, 2019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$167.8 million for the three months ended September 30, 2018. Non-cash contingent consideration decreased by $2.5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2019 as a result of the vesting of the Credit Initiative Earnout at July 31, 2018,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reduction in the actual consideration versus the estimated consideration.</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Total expenses for the three months ended September 30, 2019 and 2018 were $142.7 million and $115.0 million, respectively. Total expenses for the three months ended September 30, 2019 were impacted by higher depreciation and amortization expense as a result of the application of pushdown accounting, and higher employee compensation and benefits expense, including the impact of non-cash stock-based compensation expense related to options. Total expenses for the three months ended September 30, 2019 were partially offset by lower general and administrative costs, specifically foreign exchange gains.</w:t>
      </w:r>
    </w:p>
    <w:p>
      <w:pPr>
        <w:spacing w:after="0" w:line="18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Income before taxes for the three months ended September 30, 2019 and 2018 was $58.9 million and $53.5 million, respectively. Net income for the three months ended September 30, 2019 and 2018 was $48.6 million and $46.0 million, respectively. Net income attributable to Tradeweb Markets Inc. for the three months ended September 30, 2019 was $29.6 million. Income before taxes, net income and net income attributable to Tradeweb Markets Inc. for the three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months ended September 30, 2019 were impacted by higher net revenue of $33.2 million, partially offset by higher depreciation and amortization expense as a result of the application of pushdown accounting, resulting in a $18.3 million increase in depreciation and amortization expense, and higher employee compensation and benefits expense of $10.6 million, including $2.0 million of non-cash stock-based compensation expense related to options.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revenues for the three months ended September 30, 2019 and 2018, and the resulting dollar and percentage changes, were as follows:</w:t>
      </w: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Borders>
              <w:right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4"/>
                <w:szCs w:val="14"/>
                <w:color w:val="auto"/>
              </w:rPr>
            </w:pPr>
          </w:p>
        </w:tc>
        <w:tc>
          <w:tcPr>
            <w:tcW w:w="192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$ 112,746</w:t>
            </w:r>
          </w:p>
        </w:tc>
        <w:tc>
          <w:tcPr>
            <w:tcW w:w="118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56.1 %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92,582</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56.0 %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r>
              <w:rPr>
                <w:rFonts w:ascii="Times New Roman" w:cs="Times New Roman" w:eastAsia="Times New Roman" w:hAnsi="Times New Roman"/>
                <w:sz w:val="8"/>
                <w:szCs w:val="8"/>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1180" w:type="dxa"/>
            <w:vAlign w:val="bottom"/>
            <w:tcBorders>
              <w:right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37,590</w:t>
            </w:r>
          </w:p>
        </w:tc>
        <w:tc>
          <w:tcPr>
            <w:tcW w:w="118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18.7 %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14.8 %</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180" w:type="dxa"/>
            <w:vAlign w:val="bottom"/>
            <w:tcBorders>
              <w:right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35,728</w:t>
            </w:r>
          </w:p>
        </w:tc>
        <w:tc>
          <w:tcPr>
            <w:tcW w:w="2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$ 200,981</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right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$ 167,790</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2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gross revenue growth:</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 currency growth</w:t>
            </w:r>
            <w:r>
              <w:rPr>
                <w:rFonts w:ascii="Times New Roman" w:cs="Times New Roman" w:eastAsia="Times New Roman" w:hAnsi="Times New Roman"/>
                <w:sz w:val="8"/>
                <w:szCs w:val="8"/>
                <w:color w:val="auto"/>
              </w:rPr>
              <w:t>(2)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impact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revenue growth</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right="580" w:hanging="317"/>
        <w:spacing w:after="0" w:line="262"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September 30, 2019 and 2018 include $13.3 million and $12.5 million, respectively, of Refinitiv (formerly Thomson Reuters) market data fees.</w:t>
      </w:r>
    </w:p>
    <w:p>
      <w:pPr>
        <w:spacing w:after="0" w:line="161" w:lineRule="exact"/>
        <w:rPr>
          <w:rFonts w:ascii="Times New Roman" w:cs="Times New Roman" w:eastAsia="Times New Roman" w:hAnsi="Times New Roman"/>
          <w:sz w:val="14"/>
          <w:szCs w:val="14"/>
          <w:color w:val="auto"/>
        </w:rPr>
      </w:pPr>
    </w:p>
    <w:p>
      <w:pPr>
        <w:ind w:left="320" w:right="20" w:hanging="317"/>
        <w:spacing w:after="0" w:line="233"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fee type for the three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0"/>
                <w:szCs w:val="10"/>
                <w:color w:val="auto"/>
              </w:rPr>
            </w:pPr>
          </w:p>
        </w:tc>
        <w:tc>
          <w:tcPr>
            <w:tcW w:w="16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8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6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6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$ 25,172</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$ 68,855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$ 23,727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$ 18,719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$ 1,445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115,941</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85,040</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83,515</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81,738</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32,426</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$ 3,302</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right="580" w:hanging="317"/>
        <w:spacing w:after="0" w:line="262" w:lineRule="auto"/>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September 30, 2019 and 2018 include $13.3 million and $12.5 million, respectively, of Refinitiv (formerly Thomson Reuters) market data fees.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Transaction fees increased by $20.2 million or 21.8% to $112.8 million for the three months ended September 30, 2019 from $92.6 million for the three months ended September 30, 2018 primarily due to higher trading volumes for rates derivatives products and ETFs.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Subscription fees</w:t>
      </w:r>
      <w:r>
        <w:rPr>
          <w:rFonts w:ascii="Times New Roman" w:cs="Times New Roman" w:eastAsia="Times New Roman" w:hAnsi="Times New Roman"/>
          <w:sz w:val="18"/>
          <w:szCs w:val="18"/>
          <w:color w:val="auto"/>
        </w:rPr>
        <w:t>. Subscription fees increased by $2.9 million or 6.5% to $48.6 million for the three months ended September 30, 2019 from $45.7 million for the three months ended September 30, 2018 primarily due to higher Institutional MBS, retail and market data fees.</w:t>
      </w:r>
    </w:p>
    <w:p>
      <w:pPr>
        <w:spacing w:after="0" w:line="172"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u w:val="single" w:color="auto"/>
          <w:color w:val="auto"/>
        </w:rPr>
        <w:t>Commissions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Commission revenue increased by $13.2 million or 54.1% to $37.6 million for the three months ended September 30, 2019 from $24.4 million for the three months ended September 30, 2018 primarily due to higher trading volumes for U.S. corporate bonds and U.S. treasuries.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Other revenue decreased by $0.6 million or (22.4)% to $2.0 million for the three months ended September 30, 2019 from $2.6 million for the three months ended September 30, 2018 primarily as a result of lower fees from a third party for certain licensing and development in Canada.</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Contingent consideration</w:t>
      </w:r>
      <w:r>
        <w:rPr>
          <w:rFonts w:ascii="Times New Roman" w:cs="Times New Roman" w:eastAsia="Times New Roman" w:hAnsi="Times New Roman"/>
          <w:sz w:val="18"/>
          <w:szCs w:val="18"/>
          <w:color w:val="auto"/>
        </w:rPr>
        <w:t>. There was no contingent consideration for the three months ended September 30, 2019 due to the vesting of the Credit Initiative Earnout at July 31, 2018. Contingent consideration for the three months ended September 30, 2018 was $(2.5) million.</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client sector for the three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right w:val="single" w:sz="8" w:color="auto"/>
            </w:tcBorders>
          </w:tcPr>
          <w:p>
            <w:pPr>
              <w:spacing w:after="0"/>
              <w:rPr>
                <w:sz w:val="12"/>
                <w:szCs w:val="12"/>
                <w:color w:val="auto"/>
              </w:rPr>
            </w:pPr>
          </w:p>
        </w:tc>
        <w:tc>
          <w:tcPr>
            <w:tcW w:w="1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Institutional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120,858</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97,503</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7"/>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35,728</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xml:space="preserve"> Revenues from our Institutional client sector increased by $23.4 million or 24.0% to $120.9 million for the three months ended September 30, 2019 from $97.5 million for the three months ended September 30, 2018. The increase was derived primarily from higher trading volumes for rates derivatives products, mortgages products and ETFs, partially offset by the impact of foreign exchange, mainly the weakening of the euro.</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$8.9 million or 26.0% to $43.0 million for the three months ended September 30, 2019 from $34.2 million for the three months ended September 30, 2018. The increase was derived primarily from higher trading volumes for U.S. session-based trading and U.S. treasuries.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$2.4 million or 13.2% to $20.2 million for the three months ended September 30, 2019 from $17.8 million for the three months ended September 30, 2018. The increase was primarily due to higher trading volumes for certificates of deposit partially offset by lower revenues for software development and implementation.</w:t>
      </w:r>
    </w:p>
    <w:p>
      <w:pPr>
        <w:spacing w:after="0" w:line="180"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$1.1 million or 7.3% to $16.9 million for the three months ended September 30, 2019 from $15.8 million for the three months ended September 30, 2018 primarily as a result of increased Refinitiv (formerly Thomson Reuters) license fees due to an increase in the number of market data feeds provided to Refinitiv.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asset class for the three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$ 22,913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39,578</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Fees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7"/>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$ 35,728</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0"/>
                <w:szCs w:val="10"/>
                <w:color w:val="auto"/>
              </w:rPr>
            </w:pPr>
          </w:p>
        </w:tc>
        <w:tc>
          <w:tcPr>
            <w:tcW w:w="17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8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7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6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58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6"/>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$ 50,620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$ 42,808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$ 49,784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$ 22,077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40.1 %   71.9 %</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115,941</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$ 85,040</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$ 83,515</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$ 81,738</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$ 32,426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$22.9 million or 24.7% to $115.5 million for the three months ended September 30, 2019 from $92.6 million for the three months ended September 30, 2018 primarily due to higher trading volumes for derivatives products, U.S. treasuries and mortgages products.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$5.9 million or 17.6% to $39.6 million for the three months ended September 30, 2019 from $33.7 million for the three months ended September 30, 2018 primarily due to higher trading volumes for U.S. corporate bonds and credit derivatives products.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$3.8 million or 45.4% to $12.3 million for the three months ended September 30, 2019 from $8.5 million for the three months ended September 30, 2018 primarily due to higher trading volumes for ETFs and equity derivatives products.</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$1.8 million or 20.9% to $10.5 million for the three months ended September 30, 2019 from $8.7 million for the three months ended September 30, 2018 primarily due to increased volumes for repurchase agreements and certificates of deposit.</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Market Data increased by $1.1 million or 7.3% to $16.9 million for the three months ended September 30, 2019 from $15.8 million for the three months ended September 30, 2018 primarily as a result of increased Refinitiv (formerly Thomson Reuters) license fees due to an increase in the number of market data feeds provided to Refinitiv.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Revenues from Other Fees increased by $0.1 million or 1.2% to $6.2 million for the three months ended September 30, 2019 from $6.1 million for the three months ended September 30, 2018 primarily due to the timing of Retail revenues for software development and implementation partially offset by lower fees from a third party for certain licensing and development in Canada.</w:t>
      </w:r>
    </w:p>
    <w:p>
      <w:pPr>
        <w:spacing w:after="0" w:line="180"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September 30, 2019 and 2018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ADV</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960" w:type="dxa"/>
            <w:vAlign w:val="bottom"/>
            <w:gridSpan w:val="3"/>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ADV</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ADV</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$ 36,305,114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$ 342,572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$ 21,710,832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1,117,045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760,207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476,129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14,701,122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10,872,806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$ 52,599,410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$ 531,712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$ 33,710,435</w:t>
            </w:r>
          </w:p>
        </w:tc>
        <w:tc>
          <w:tcPr>
            <w:tcW w:w="11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 increases in average daily volumes in the three months ended September 30, 2019 for most asset classes can be attributed to various factors, including further electronification of trading activities across our asset classes, increase in market share, new products, new clients and increased volatility. Trading activity in both long and short-tenor interest rate swaps and swaptions, repurchase agreements and mortgages were the leading drivers of our overall volume growth year-over-year. Rates ADV increased mainly due to higher trading activity in both long and short-tenor interest rate swaps and swaptions, as well as mortgages and U.S. treasuries. Credit ADV increased due mainly to higher trading activity in credit derivatives, U.S. high-grade and high-yield credit as well as Chinese bonds. Equities ADV increased due mainly to higher trading activity in institutional ETFs. Money Markets ADV increased due to the continued growth of bilateral electronic trading in repurchase agreements.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September 30, 2019 and 2018 are summarized below. There are four potential drivers of quarterly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17.7% for the three months ended September 30, 2019 while gross revenue for our Credit asset class increased 17.6% over the same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 - excluding short-tenor swaps (less than 1 year)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Fees per Million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Fees per Million - excluding short-tenor swaps (less than 1 year)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Rates average variable fees per million was impacted by the growth of short tenor swap volumes, a product which has a lower variable fee capture as compared to other rates products. Credit average variable fees per million was impacted by a mix shift due to higher growth in credit derivatives volumes, products which have a lower variable fee capture as compared to cash credit products, and a decline in municipals volumes. Equities average variable fees per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million was impacted by a mix shift towards Institutional European ETFs and away from Wholesale products. Money Markets average variable fees per million was impacted by a mix shift within repurchase agreements volumes from Wholesale to Institutional.</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geography (based on client location) for the three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126,599</w:t>
            </w:r>
          </w:p>
        </w:tc>
        <w:tc>
          <w:tcPr>
            <w:tcW w:w="14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35,728</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$19.6 million or 18.3% to $126.6 million for the three months ended September 30, 2019 from $107.0 million for the three months ended September 30, 2018 primarily due to higher trading volumes for mortgages products, U.S. credit products, U.S. treasuries, U.S. dollar-denominated swaps and U.S. ETFs.</w:t>
      </w:r>
    </w:p>
    <w:p>
      <w:pPr>
        <w:spacing w:after="0" w:line="176" w:lineRule="exact"/>
        <w:rPr>
          <w:sz w:val="20"/>
          <w:szCs w:val="20"/>
          <w:color w:val="auto"/>
        </w:rPr>
      </w:pPr>
    </w:p>
    <w:p>
      <w:pPr>
        <w:ind w:right="360" w:firstLine="324"/>
        <w:spacing w:after="0" w:line="281" w:lineRule="auto"/>
        <w:rPr>
          <w:sz w:val="20"/>
          <w:szCs w:val="20"/>
          <w:color w:val="auto"/>
        </w:rPr>
      </w:pPr>
      <w:r>
        <w:rPr>
          <w:rFonts w:ascii="Times New Roman" w:cs="Times New Roman" w:eastAsia="Times New Roman" w:hAnsi="Times New Roman"/>
          <w:sz w:val="17"/>
          <w:szCs w:val="17"/>
          <w:u w:val="single" w:color="auto"/>
          <w:color w:val="auto"/>
        </w:rPr>
        <w:t>International.</w:t>
      </w:r>
      <w:r>
        <w:rPr>
          <w:rFonts w:ascii="Times New Roman" w:cs="Times New Roman" w:eastAsia="Times New Roman" w:hAnsi="Times New Roman"/>
          <w:sz w:val="17"/>
          <w:szCs w:val="17"/>
          <w:color w:val="auto"/>
        </w:rPr>
        <w:t xml:space="preserve"> Revenues from International clients increased by $16.1 million or 27.6% to $74.4 million for the three months ended September 30, 2019 from $58.3 million for the three months ended September 30, 2018 primarily due to higher trading volumes for European interest rate swaps, European ETFs, U.S. dollar-denominated swaps and European repurchase agreements. Fluctuations in foreign currency rates decreased our International gross revenue by $3.6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expenses for the three months ended September 30, 2019 and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79,644</w:t>
            </w:r>
          </w:p>
        </w:tc>
        <w:tc>
          <w:tcPr>
            <w:tcW w:w="18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17"/>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142,723</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Employee compensation and benefits expense increased by $10.6 million or 15.3% to $79.6 million for the three months ended September 30, 2019 from $69.1 million for the three months ended September 30, 2018. The increase was primarily due to a $3.7 million increase in salaries and benefits, due to an increase in employee headcount, a $3.0 million increase in commission related expenses due to higher Wholesale revenues, $2.6 million increase in annual incentive compensation expenses tied to operating performance, and a $2.0 million increase in non-cash stock-based compensation expense related to options. Total employee headcount increased to 926 as of September 30, 2019 from 896 as of September 30, 2018.</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and amortization expense for the three months ended September 30, 2019 was $35.1 million. Depreciation and amortization expense for the three months ended September 30, 2018 was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39"/>
        <w:spacing w:after="0" w:line="261" w:lineRule="auto"/>
        <w:rPr>
          <w:sz w:val="20"/>
          <w:szCs w:val="20"/>
          <w:color w:val="auto"/>
        </w:rPr>
      </w:pPr>
      <w:r>
        <w:rPr>
          <w:rFonts w:ascii="Times New Roman" w:cs="Times New Roman" w:eastAsia="Times New Roman" w:hAnsi="Times New Roman"/>
          <w:sz w:val="18"/>
          <w:szCs w:val="18"/>
          <w:color w:val="auto"/>
        </w:rPr>
        <w:t>$16.4 million. As a result of the Refinitiv Transaction and the application of pushdown accounting, we adjusted our assets and liabilities to their estimated fair values as of October 1, 2018, which resulted in an increase in depreciation of tangible assets and amortization of our intangible assets. The impact of such adjustments increased depreciation and amortization expense during the three months ended September 30, 2019 by $18.3 million.</w:t>
      </w:r>
    </w:p>
    <w:p>
      <w:pPr>
        <w:spacing w:after="0" w:line="180" w:lineRule="exact"/>
        <w:rPr>
          <w:sz w:val="20"/>
          <w:szCs w:val="20"/>
          <w:color w:val="auto"/>
        </w:rPr>
      </w:pPr>
    </w:p>
    <w:p>
      <w:pPr>
        <w:jc w:val="both"/>
        <w:ind w:right="139"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Technology and communications expense increased by $0.4 million or 4.6% to $9.5 million for the three months ended September 30, 2019 from $9.1 million for the three months ended September 30, 2018. The increase was primarily due to increased clearance fees as a result of higher trading volumes.</w:t>
      </w:r>
    </w:p>
    <w:p>
      <w:pPr>
        <w:spacing w:after="0" w:line="176" w:lineRule="exact"/>
        <w:rPr>
          <w:sz w:val="20"/>
          <w:szCs w:val="20"/>
          <w:color w:val="auto"/>
        </w:rPr>
      </w:pPr>
    </w:p>
    <w:p>
      <w:pPr>
        <w:ind w:right="219"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General and administrative expense decreased by $1.9 million or (20.0)% to $7.5 million for the three months ended September 30, 2019 from $9.4 million for the three months ended September 30, 2018. The decrease was primarily a result of an increase in foreign exchange gains of $1.5 million.</w:t>
      </w:r>
    </w:p>
    <w:p>
      <w:pPr>
        <w:spacing w:after="0" w:line="176" w:lineRule="exact"/>
        <w:rPr>
          <w:sz w:val="20"/>
          <w:szCs w:val="20"/>
          <w:color w:val="auto"/>
        </w:rPr>
      </w:pPr>
    </w:p>
    <w:p>
      <w:pPr>
        <w:ind w:right="239"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Professional fees decreased by $0.3 million or (3.6)% to $7.3 million for the three months ended September 30, 2019 from $7.6 million for the three months ended September 30, 2018. The decrease was primarily due to fees incurred in 2018 associated with preliminary work related to our IPO.</w:t>
      </w:r>
    </w:p>
    <w:p>
      <w:pPr>
        <w:spacing w:after="0" w:line="176" w:lineRule="exact"/>
        <w:rPr>
          <w:sz w:val="20"/>
          <w:szCs w:val="20"/>
          <w:color w:val="auto"/>
        </w:rPr>
      </w:pPr>
    </w:p>
    <w:p>
      <w:pPr>
        <w:ind w:right="59"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Occupancy expense for the three months ended September 30, 2019 was $3.6 million. Occupancy expense for the three months ended September 30, 2018 was $3.5 million. As a result of the Refinitiv Transaction and the application of pushdown accounting, at October 1, 2018, we established a leasehold interest liability, which resulted in a $0.1 million increase in occupancy expense during the three months ended September 30,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227" w:lineRule="exact"/>
        <w:rPr>
          <w:sz w:val="20"/>
          <w:szCs w:val="20"/>
          <w:color w:val="auto"/>
        </w:rPr>
      </w:pPr>
    </w:p>
    <w:p>
      <w:pPr>
        <w:ind w:right="239" w:firstLine="324"/>
        <w:spacing w:after="0" w:line="266" w:lineRule="auto"/>
        <w:rPr>
          <w:sz w:val="20"/>
          <w:szCs w:val="20"/>
          <w:color w:val="auto"/>
        </w:rPr>
      </w:pPr>
      <w:r>
        <w:rPr>
          <w:rFonts w:ascii="Times New Roman" w:cs="Times New Roman" w:eastAsia="Times New Roman" w:hAnsi="Times New Roman"/>
          <w:sz w:val="18"/>
          <w:szCs w:val="18"/>
          <w:color w:val="auto"/>
        </w:rPr>
        <w:t>Net interest income (expense) decreased by $0.1 million to net interest income of $0.6 million for the three months ended September 30, 2019 from net interest income of $0.7 million for the three months ended September 30, 2018 due to higher interest income offset by credit facility fees related to the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19" w:firstLine="324"/>
        <w:spacing w:after="0" w:line="255"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2019 was $10.3 million. Provision for income taxes for the three months ended September 30, 2018 was $7.5 million. The provision for income taxes for the three months ended September 30, 2019 was impacted by the Reorganization Transactions and the IPO, which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2019 (Successor) and Nine Months Ended September 30, 2018 (Predecessor)</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nine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7"/>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(26,830)</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442,768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135,490</w:t>
            </w: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137,159</w:t>
            </w: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(21,413)</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3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Pre-IPO net income attributable to Tradeweb Markets LLC</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42,352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 and non-controlling interests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73,394</w:t>
            </w: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2019,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higher depreciation and amortization expense as a result of the application of pushdown accounting and non-cash stock-based compensation expense related to the Special Option Award (as defined below) as a result of the completion of the IPO during the second quarter of 2019, and post-IPO options awarded in the third quarter of 2019.</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Gross revenue increased by $72.5 million or 14.3% to $578.3 million for the nine months ended September 30, 2019 from $505.8 million for the nine months ended September 30, 2018. This increase in gross revenue was mainly due to higher trading volumes resulting in a $45.6 million increase in transaction fees and a $28.4 million increase in commissions. Net revenue increased by $99.3 million or 20.7% to $578.3 million for the nine months ended September 30, 2019 from $478.9 million for the nine months ended September 30, 2018. Non-cash contingent consideration decreased by $26.8 million for the nine months ended September 30, 2019 as a result of the vesting of the Credit Initiative Earnout at July 31, 2018.</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Total expenses for the nine months ended September 30, 2019 and 2018 were $442.8 million, and $338.6 million, respectively. Total expenses for the nine months ended September 30, 2019 were impacted by higher depreciation and amortization expense as a result of the application of pushdown accounting and higher employee compensation and benefits expense, including the impact of non-cash stock-based compensation expense related to the Special Option Award, which, as a result of the completion of the IPO, we began to expense during the second quarter of 2019, and post-IPO options awarded in the third quarter of 2019.</w:t>
      </w:r>
    </w:p>
    <w:p>
      <w:pPr>
        <w:spacing w:after="0" w:line="18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Income before taxes for the nine months ended September 30, 2019 and 2018 was $137.2 million and $142.1 million, respectively. Net income for the nine months ended September 30, 2019 and 2018 was $115.8 million and $130.2 million, respectively. Net income attributable to Tradeweb Markets Inc. for the nine months ended September 30,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2019 was $42.4 million. Income before taxes, net income and net income attributable to Tradeweb Markets Inc. for the nine months ended September 30, 2019 were negatively impacted by higher depreciation and amortization expense as a result of the application of pushdown accounting, resulting in a $52.5 million increase in depreciation and amortization expense and $22.4 million of stock-based compensation expense related to the Special Option Award and post-IPO options awarded in 2019, partially offset by higher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revenues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gridSpan w:val="4"/>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860" w:type="dxa"/>
            <w:vAlign w:val="bottom"/>
            <w:gridSpan w:val="4"/>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24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16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Pr>
          <w:p>
            <w:pPr>
              <w:spacing w:after="0"/>
              <w:rPr>
                <w:sz w:val="15"/>
                <w:szCs w:val="15"/>
                <w:color w:val="auto"/>
              </w:rPr>
            </w:pPr>
          </w:p>
        </w:tc>
        <w:tc>
          <w:tcPr>
            <w:tcW w:w="200" w:type="dxa"/>
            <w:vAlign w:val="bottom"/>
            <w:tcBorders>
              <w:left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 2018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40" w:type="dxa"/>
            <w:vAlign w:val="bottom"/>
          </w:tcPr>
          <w:p>
            <w:pPr>
              <w:spacing w:after="0"/>
              <w:rPr>
                <w:sz w:val="10"/>
                <w:szCs w:val="10"/>
                <w:color w:val="auto"/>
              </w:rPr>
            </w:pPr>
          </w:p>
        </w:tc>
        <w:tc>
          <w:tcPr>
            <w:tcW w:w="960" w:type="dxa"/>
            <w:vAlign w:val="bottom"/>
            <w:tcBorders>
              <w:left w:val="single" w:sz="8" w:color="auto"/>
            </w:tcBorders>
            <w:gridSpan w:val="2"/>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18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Borders>
              <w:lef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$ 319,338</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9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$ 273,751</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r>
              <w:rPr>
                <w:rFonts w:ascii="Times New Roman" w:cs="Times New Roman" w:eastAsia="Times New Roman" w:hAnsi="Times New Roman"/>
                <w:sz w:val="8"/>
                <w:szCs w:val="8"/>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144,650</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96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108,200</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9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left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72,487</w:t>
            </w:r>
          </w:p>
        </w:tc>
        <w:tc>
          <w:tcPr>
            <w:tcW w:w="2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$ 578,258</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left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$ 478,941</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99,317</w:t>
            </w:r>
          </w:p>
        </w:tc>
        <w:tc>
          <w:tcPr>
            <w:tcW w:w="2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gross revenue growth:</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 currency growth</w:t>
            </w:r>
            <w:r>
              <w:rPr>
                <w:rFonts w:ascii="Times New Roman" w:cs="Times New Roman" w:eastAsia="Times New Roman" w:hAnsi="Times New Roman"/>
                <w:sz w:val="8"/>
                <w:szCs w:val="8"/>
                <w:color w:val="auto"/>
              </w:rPr>
              <w:t>(2)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gross revenue growth</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right="20" w:hanging="317"/>
        <w:spacing w:after="0" w:line="262"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nine months ended September 30, 2019 and 2018 include $40.3 million and $36.8 million, respectively, of Refinitiv (formerly Thomson Reuters) market data fees.</w:t>
      </w:r>
    </w:p>
    <w:p>
      <w:pPr>
        <w:spacing w:after="0" w:line="161" w:lineRule="exact"/>
        <w:rPr>
          <w:rFonts w:ascii="Times New Roman" w:cs="Times New Roman" w:eastAsia="Times New Roman" w:hAnsi="Times New Roman"/>
          <w:sz w:val="14"/>
          <w:szCs w:val="14"/>
          <w:color w:val="auto"/>
        </w:rPr>
      </w:pPr>
    </w:p>
    <w:p>
      <w:pPr>
        <w:ind w:left="320" w:right="20" w:hanging="317"/>
        <w:spacing w:after="0" w:line="233" w:lineRule="auto"/>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fee type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580" w:type="dxa"/>
            <w:vAlign w:val="bottom"/>
            <w:gridSpan w:val="4"/>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4"/>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80" w:type="dxa"/>
            <w:vAlign w:val="bottom"/>
          </w:tcPr>
          <w:p>
            <w:pPr>
              <w:spacing w:after="0"/>
              <w:rPr>
                <w:sz w:val="10"/>
                <w:szCs w:val="10"/>
                <w:color w:val="auto"/>
              </w:rPr>
            </w:pPr>
          </w:p>
        </w:tc>
        <w:tc>
          <w:tcPr>
            <w:tcW w:w="16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40" w:type="dxa"/>
            <w:vAlign w:val="bottom"/>
            <w:gridSpan w:val="5"/>
            <w:vMerge w:val="continue"/>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$ 246,066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12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$ 208,049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$ 38,017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8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18.3 %   11.5 %</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r>
              <w:rPr>
                <w:rFonts w:ascii="Times New Roman" w:cs="Times New Roman" w:eastAsia="Times New Roman" w:hAnsi="Times New Roman"/>
                <w:sz w:val="8"/>
                <w:szCs w:val="8"/>
                <w:color w:val="auto"/>
              </w:rPr>
              <w:t>(1)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143,320</w:t>
            </w:r>
          </w:p>
        </w:tc>
        <w:tc>
          <w:tcPr>
            <w:tcW w:w="12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142,676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12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(1,048)</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59.6 %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(2,791)</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1,630.</w:t>
            </w:r>
            <w:r>
              <w:rPr>
                <w:rFonts w:ascii="Times New Roman" w:cs="Times New Roman" w:eastAsia="Times New Roman" w:hAnsi="Times New Roman"/>
                <w:sz w:val="18"/>
                <w:szCs w:val="18"/>
                <w:u w:val="single" w:color="auto"/>
                <w:color w:val="auto"/>
                <w:w w:val="97"/>
              </w:rPr>
              <w:t>0</w:t>
            </w:r>
            <w:r>
              <w:rPr>
                <w:rFonts w:ascii="Times New Roman" w:cs="Times New Roman" w:eastAsia="Times New Roman" w:hAnsi="Times New Roman"/>
                <w:sz w:val="18"/>
                <w:szCs w:val="18"/>
                <w:color w:val="auto"/>
                <w:w w:val="97"/>
              </w:rPr>
              <w:t xml:space="preserve">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40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$ 326,873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251,385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$ 258,761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247,010</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$ 68,112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8"/>
        </w:trPr>
        <w:tc>
          <w:tcPr>
            <w:tcW w:w="1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right="20" w:hanging="317"/>
        <w:spacing w:after="0" w:line="262" w:lineRule="auto"/>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nine months ended September 30, 2019 and 2018 include $40.3 million and $36.8 million, respectively, of Refinitiv (formerly Thomson Reuters) market data fees.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Transaction fees increased by $45.6 million or 16.7% to $319.3 million for the nine months ended September 30, 2019 from $273.8 million for the nine months ended September 30, 2018 primarily due to higher trading volumes for rates derivatives products and ETFs.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Subscription fees</w:t>
      </w:r>
      <w:r>
        <w:rPr>
          <w:rFonts w:ascii="Times New Roman" w:cs="Times New Roman" w:eastAsia="Times New Roman" w:hAnsi="Times New Roman"/>
          <w:sz w:val="18"/>
          <w:szCs w:val="18"/>
          <w:color w:val="auto"/>
        </w:rPr>
        <w:t>. Subscription fees increased by $0.7 million or 0.5% to $144.7 million for the nine months ended September 30, 2019 from $144.0 million for the nine months ended September 30, 2018 primarily due to higher market data and Institutional MBS fees, partially offset by lower Retail fees.</w:t>
      </w:r>
    </w:p>
    <w:p>
      <w:pPr>
        <w:spacing w:after="0" w:line="172"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u w:val="single" w:color="auto"/>
          <w:color w:val="auto"/>
        </w:rPr>
        <w:t>Commissions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Commission revenue increased by $28.4 million or 35.5% to $108.2 million for the nine months ended September 30, 2019 from $79.8 million for the nine months ended September 30, 2018 primarily due to higher trading volumes for U.S. corporate bonds and U.S. treasuries.</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Other revenue decreased by $2.1 million or (26.1)% to $6.1 million for the nine months ended September 30, 2019 from $8.2 million for the nine months ended September 30, 2018 primarily as a result of lower fees from a third party for certain licensing and development in Canada.</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Contingent consideration.</w:t>
      </w:r>
      <w:r>
        <w:rPr>
          <w:rFonts w:ascii="Times New Roman" w:cs="Times New Roman" w:eastAsia="Times New Roman" w:hAnsi="Times New Roman"/>
          <w:sz w:val="18"/>
          <w:szCs w:val="18"/>
          <w:color w:val="auto"/>
        </w:rPr>
        <w:t xml:space="preserve"> There was no contingent consideration for the nine months ended September 30, 2019 due to the vesting of the Credit Initiative Earnout at July 31, 2018. Contingent consideration for the nine months ended September 30, 2018 was $26.8 million.</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client sector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left w:val="single" w:sz="8" w:color="auto"/>
            </w:tcBorders>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Institutional</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341,167</w:t>
            </w:r>
          </w:p>
        </w:tc>
        <w:tc>
          <w:tcPr>
            <w:tcW w:w="120" w:type="dxa"/>
            <w:vAlign w:val="bottom"/>
          </w:tcPr>
          <w:p>
            <w:pPr>
              <w:spacing w:after="0"/>
              <w:rPr>
                <w:sz w:val="18"/>
                <w:szCs w:val="18"/>
                <w:color w:val="auto"/>
              </w:rPr>
            </w:pPr>
          </w:p>
        </w:tc>
        <w:tc>
          <w:tcPr>
            <w:tcW w:w="280" w:type="dxa"/>
            <w:vAlign w:val="bottom"/>
            <w:tcBorders>
              <w:left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301,918</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61,314</w:t>
            </w: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7"/>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revenue</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72,487</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xml:space="preserve"> Revenues from our Institutional client sector increased by $39.2 million or 13.0% to $341.2 million for the nine months ended September 30, 2019 from $301.9 million for the nine months ended September 30, 2018. The increase was derived primarily from higher trading volumes for rates derivatives products, ETFs and mortgages products, partially offset by the impact of foreign exchange, mainly the weakening of the euro.</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$25.4 million or 25.6% to $124.4 million for the nine months ended September 30, 2019 from $99.0 million for the nine months ended September 30, 2018. The increase was derived primarily from higher trading volumes for U.S. session-based trading and U.S. treasuries.</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xml:space="preserve"> Revenues from our Retail client sector increased by $3.5 million or 6.1% to $61.3 million for the nine months ended September 30, 2019 from $57.8 million for the nine months ended September 30, 2018. The increase was derived primarily from higher trading volumes for certificates of deposit, municipal bonds and U.S. treasuries partially offset by lower revenues for software development and implementation.</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our Market Data client sector increased by $4.3 million or 9.1% to $51.4 million for the nine months ended September 30, 2019 from $47.1 million for the nine months ended September 30, 2018 primarily as a result of increased Refinitiv (formerly Thomson Reuters) license fees due to an increase in the number of market data feeds provided to Refinitiv.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asset class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326,658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$ 45,017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Market Data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Fees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7"/>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$ 72,487</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80" w:type="dxa"/>
            <w:vAlign w:val="bottom"/>
          </w:tcPr>
          <w:p>
            <w:pPr>
              <w:spacing w:after="0"/>
              <w:rPr>
                <w:sz w:val="10"/>
                <w:szCs w:val="10"/>
                <w:color w:val="auto"/>
              </w:rPr>
            </w:pPr>
          </w:p>
        </w:tc>
        <w:tc>
          <w:tcPr>
            <w:tcW w:w="17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8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76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7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58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$ 175,278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$ 151,380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$ 133,183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$ 148,458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$ 42,095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24.5 %   23.7 %</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Market Data</w:t>
            </w:r>
          </w:p>
        </w:tc>
        <w:tc>
          <w:tcPr>
            <w:tcW w:w="4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4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$ 326,873</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$ 251,385</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$ 258,761</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$ 247,010</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$ 68,112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$45.0 million or 16.0% to $326.7 million for the nine months ended September 30, 2019 from $281.6 million for the nine months ended September 30, 2018 primarily due to higher trading volumes for derivatives products, U.S. treasuries and mortgages products.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Revenues from our Credit asset class increased by $16.2 million or 15.8% to $118.6 million for the nine months ended September 30, 2019 from $102.5 million for the nine months ended September 30, 2018 primarily due to higher trading volumes for U.S. corporate bonds .</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$6.9 million or 24.3% to $35.2 million for the nine months ended September 30, 2019 from $28.3 million for the nine months ended September 30, 2018 primarily due to higher trading volumes for ETFs.</w:t>
      </w:r>
    </w:p>
    <w:p>
      <w:pPr>
        <w:spacing w:after="0" w:line="17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$5.1 million or 20.3% to $30.4 million for the nine months ended September 30, 2019 from $25.3 million for the nine months ended September 30, 2018 primarily due to higher trading volumes for repurchase agreements and certificates of deposit.</w:t>
      </w:r>
    </w:p>
    <w:p>
      <w:pPr>
        <w:spacing w:after="0" w:line="176"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xml:space="preserve"> Revenues from Market Data increased by $4.3 million or 9.1% to $51.4 million for the nine months ended September 30, 2019 from $47.1 million for the nine months ended September 30, 2018 primarily as a result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increased Refinitiv (formerly Thomson Reuters) license fees due to an increase in the number of market data feeds provided to Refinitiv.</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Revenues from Other Fees decreased by $5.0 million or (23.8)% to $16.0 million for the nine months ended September 30, 2019 from $21.0 million for the nine months ended September 30, 2018 primarily due lower fees from a third party for certain licensing and development in Canada and lower Retail revenues for software development and implementation.</w:t>
      </w:r>
    </w:p>
    <w:p>
      <w:pPr>
        <w:spacing w:after="0" w:line="180"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nine months ended September 30, 2019 and 2018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ADV</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2"/>
                <w:szCs w:val="12"/>
                <w:color w:val="auto"/>
              </w:rPr>
            </w:pPr>
          </w:p>
        </w:tc>
        <w:tc>
          <w:tcPr>
            <w:tcW w:w="2060" w:type="dxa"/>
            <w:vAlign w:val="bottom"/>
            <w:tcBorders>
              <w:bottom w:val="single" w:sz="8" w:color="auto"/>
            </w:tcBorders>
            <w:gridSpan w:val="4"/>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2"/>
                <w:szCs w:val="12"/>
                <w:color w:val="auto"/>
              </w:rPr>
            </w:pPr>
          </w:p>
        </w:tc>
        <w:tc>
          <w:tcPr>
            <w:tcW w:w="76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ADV</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94,680,563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$ 345,759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65,186,563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2,433,824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1,397,429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1,419,622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40,495,243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31,773,689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1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139,466,467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$ 534,791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100,813,698</w:t>
            </w:r>
          </w:p>
        </w:tc>
        <w:tc>
          <w:tcPr>
            <w:tcW w:w="10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the increases in average daily volumes in nine months ended September 30, 2019 for most asset classes can be attributed to various factors, including further electronification of trading activities across our asset classes, increase in market share, new products, new clients and increased volatility. Trading activity in both long and short-tenor interest rate swaps and swaptions, mortgages and repurchase agreements were the leading drivers of our overall volume growth year-over-year. Rates ADV increased due mainly to higher trading activity in long and short-tenor interest rate swaps and swaptions, mortgages and U.S. treasuries. Credit ADV increased due mainly to higher trading activity in credit derivatives, U.S. high-grade and high-yield credit as well as Chinese bonds. Equities ADV decreased due mainly to lower trading activity in U.S. ETFs. Money Markets ADV increased due to the continued growth of bilateral electronic trading in repurchase agreements.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nine months ended September 30, 2019 and 2018 are summarized below. There are four potential drivers of quarterly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9.3% for the nine months ended September 30, 2019 while gross revenue for our Rates asset class increased 16.0% over the same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 - excluding short-tenor swaps (less than 1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Fees per Million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 per Million - excluding short-tenor swaps (less than 1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864"/>
        </w:trPr>
        <w:tc>
          <w:tcPr>
            <w:tcW w:w="54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Rates average variable fees per million was impacted by growth in short tenor swap volumes, a product which has a lower variable fee capture as compared to other rates products. Credit average variable fees per million was impacted by growth in credit derivatives volumes, products which have a lower variable fee capture as compared to cash credit products, and a decline in municipals volumes. Equities average variable fees per million was impacted by a mix shift in volumes towards Institutional ETFs and away from Wholesale products. Money Markets average variable fees per million was impacted by a mix shift in volumes towards repurchase agreements and away from other lower variable fee capture Money Markets products.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gross revenue by geography (based on client location) for the nine months ended September 30, 2019 and 2018,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368,689</w:t>
            </w:r>
          </w:p>
        </w:tc>
        <w:tc>
          <w:tcPr>
            <w:tcW w:w="14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44,385</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209,569</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505,771</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72,487</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$44.4 million or 13.7% to $368.7 million for the nine months ended September 30, 2019 from $324.3 million for the nine months ended September 30, 2018 primarily due to higher trading volumes from our U.S. credit products, U.S. treasuries, mortgages products, U.S. dollar-denominated swaps, and U.S. ETFs.</w:t>
      </w:r>
    </w:p>
    <w:p>
      <w:pPr>
        <w:spacing w:after="0" w:line="176"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xml:space="preserve"> Revenues from International clients increased by $28.1 million or 15.5% to $209.6 million for the nine months ended September 30, 2019 from $181.5 million for the nine months ended September 30, 2018 primarily due to higher trading volumes for European interest rate swaps, European equities, Chinese bonds and European repurchase agreements. Fluctuations in foreign currency rates decreased our International gross revenue by $8.3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expenses for the nine months ended September 30, 2019 and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252,912</w:t>
            </w:r>
          </w:p>
        </w:tc>
        <w:tc>
          <w:tcPr>
            <w:tcW w:w="18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0" w:type="dxa"/>
            <w:vAlign w:val="bottom"/>
          </w:tcPr>
          <w:p>
            <w:pPr>
              <w:spacing w:after="0"/>
              <w:rPr>
                <w:sz w:val="1"/>
                <w:szCs w:val="1"/>
                <w:color w:val="auto"/>
              </w:rPr>
            </w:pPr>
          </w:p>
        </w:tc>
      </w:tr>
      <w:tr>
        <w:trPr>
          <w:trHeight w:val="217"/>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442,768</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Employee compensation and benefits expense increased by $43.9 million or 21.0% to $252.9 million for the nine months ended September 30, 2019 from $209.0 million for the nine months ended September 30, 2018. The increase was primarily due to $22.4 million of non-cash stock-based compensation expense related to the Special Option Award, which, as a result of the completion of the IPO, we began to expense during the second quarter of 2019 (with $18.9 million recognized as compensation expense related to these options immediately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upon the completion of the IPO), and post-IPO options awarded in the third quarter of 2019, an $11.7 million increase in salaries and benefits due to an increase in employee headcount and an increase in commission related expenses of $7.0 million due to higher Wholesale revenues.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and amortization expense for the nine months ended September 30, 2019 was $102.9 million. Depreciation and amortization expense for the nine months ended September 30, 2018 was $48.8 million. As a result of the Refinitiv Transaction and the application of pushdown accounting, we adjusted our assets and liabilities to their estimated fair values as of October 1, 2018, which resulted in an increase in depreciation of tangible assets and amortization of our intangible assets. The impact of such adjustments increased depreciation and amortization expense during the nine months ended September 30, 2019 by $52.5 million.</w:t>
      </w:r>
    </w:p>
    <w:p>
      <w:pPr>
        <w:spacing w:after="0" w:line="18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Technology and communications expense increased by $2.5 million or 9.4% to $29.1 million for the nine months ended September 30, 2019 from $26.6 million for the nine months ended September 30, 2018. The increase was primarily due to increased clearance fees as a result of higher trading volumes.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General and administrative expense increased by $2.9 million or 12.6% to $26.0 million for the nine months ended September 30, 2019 from $23.1 million for the nine months ended September 30, 2018. The increase was primarily a result of an increase in foreign exchange losses of $1.9 million and an increase in insurance costs of $0.9 million associated with being a public company.</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Professional fees increased by $0.6million or 3.1% to $21.0 million for the nine months ended September 30, 2019 from $20.4 million for the nine months ended September 30, 2018. The increase was primarily due to tax advisory and audit fees, including fees incurred in connection with the IPO, partially offset by decreased legal and consulting fees.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Occupancy expense for the nine months ended September 30, 2019 was $10.9 million. Occupancy expense for the nine months ended September 30, 2018 was $10.7 million. As a result of the Refinitiv Transaction and the application of pushdown accounting, at October 1, 2018, we established a leasehold interest liability, which resulted in a $0.3 million decrease in occupancy expense during the nine months ended September 30,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22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Net interest income (expense) for the nine months ended September 30, 2019 and 2018 was $1.7 million. Net interest income for the nine months ended September 30, 2019 was impacted by credit facility fees related to the Revolving Credit Facility, which we entered into during the second quarter of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Provision for income taxes for the nine months ended September 30, 2019 was $21.4 million. Provision for income taxes for the nine months ended September 30, 2018 was $11.9 million. The provision for income taxes for the nine months ended September 30, 2019 was impacted by the Reorganization Transactions and the IPO, which occurred in April 2019 and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commitments and contractual obligations. We consider liquidity in terms of cash flows from operations and availability under the Revolving Credit Facility and their sufficiency to fund our operating and investing activities.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189" w:lineRule="exact"/>
        <w:rPr>
          <w:sz w:val="20"/>
          <w:szCs w:val="20"/>
          <w:color w:val="auto"/>
        </w:rPr>
      </w:pPr>
    </w:p>
    <w:p>
      <w:pPr>
        <w:jc w:val="both"/>
        <w:ind w:right="160" w:firstLine="324"/>
        <w:spacing w:after="0" w:line="289" w:lineRule="auto"/>
        <w:rPr>
          <w:sz w:val="20"/>
          <w:szCs w:val="20"/>
          <w:color w:val="auto"/>
        </w:rPr>
      </w:pPr>
      <w:r>
        <w:rPr>
          <w:rFonts w:ascii="Times New Roman" w:cs="Times New Roman" w:eastAsia="Times New Roman" w:hAnsi="Times New Roman"/>
          <w:sz w:val="17"/>
          <w:szCs w:val="17"/>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15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we had cash and cash equivalents of approximately $389.9 million and $410.1 million, respectively. All cash and cash equivalents were held in accounts with banks such that the funds are immediately available or in fixed term deposits with a maximum maturity of three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2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$0.08 per share. As discussed below, our ability to pay these quarterly cash dividends on our Class A common stock and Class B common stock will depend on distributions to us from TWM LLC. Dividends declared and paid to Class A and B common stockholders during the nine months ended September 30, 2019 amounted to $22.9 million.</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distributions to us, the other holders of LLC Interests will be entitled to receive proportionate distributions based on their economic interests in TWM LLC at the time of such distributions.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In March and April 2019, TWM LLC made pre-IPO cash distributions to the Original LLC Owners in aggregate amounts of $20.0 million and $100.0 million, respectively.</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May and September 2019, TWM LLC made quarterly cash distributions to its equityholders, including Tradeweb Markets Inc., in aggregate amounts of $33.4 million and $33.0 million, respectively.</w:t>
      </w:r>
    </w:p>
    <w:p>
      <w:pPr>
        <w:spacing w:after="0" w:line="162" w:lineRule="exact"/>
        <w:rPr>
          <w:sz w:val="20"/>
          <w:szCs w:val="20"/>
          <w:color w:val="auto"/>
        </w:rPr>
      </w:pPr>
    </w:p>
    <w:p>
      <w:pPr>
        <w:jc w:val="both"/>
        <w:ind w:right="240" w:firstLine="324"/>
        <w:spacing w:after="0" w:line="313" w:lineRule="auto"/>
        <w:rPr>
          <w:sz w:val="20"/>
          <w:szCs w:val="20"/>
          <w:color w:val="auto"/>
        </w:rPr>
      </w:pPr>
      <w:r>
        <w:rPr>
          <w:rFonts w:ascii="Times New Roman" w:cs="Times New Roman" w:eastAsia="Times New Roman" w:hAnsi="Times New Roman"/>
          <w:sz w:val="17"/>
          <w:szCs w:val="17"/>
          <w:color w:val="auto"/>
        </w:rPr>
        <w:t>On November 5, 2019, Tradeweb Markets Inc., as the sole manager, approved a cash distribution by TWM LLC to its equityholders, including Tradeweb Markets Inc., in an aggregate amount of $45.8 million payable on December 13, 2019.</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June and September 2019, Tradeweb Markets Inc. paid quarterly cash dividends to the holders of Class A common stock and Class B common stock in aggregate amounts of $11.4 million for each quarter.</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November 6, 2019, our board of directors declared a cash dividend of $0.08 per share of Class A common stock and Class B common stock for the fourth quarter of 2019. This dividend will be payable on December 16, 2019 to stockholders of record as of December 2,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2019 and December 31, 2018, we had no outstanding indebtedness.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Historically, the Company has only issued debt in connection with significant investment transactions and all debt issued by the Company has been issued to subsidiaries of Thomson Reuters.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84"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there were no amounts outstanding under the Revolving Credit Facility and we had availability of $500.0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the option to voluntarily repay outstanding loans at any time without premium or penalty other than customary “breakage” costs with respect to LIBOR loans.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There will be no scheduled amortization under the Revolving Credit Facility. The principal amount outstanding will be due and payable in full at maturity.</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63" w:lineRule="exact"/>
        <w:rPr>
          <w:sz w:val="20"/>
          <w:szCs w:val="20"/>
          <w:color w:val="auto"/>
        </w:rPr>
      </w:pPr>
    </w:p>
    <w:p>
      <w:pPr>
        <w:ind w:left="660" w:hanging="333"/>
        <w:spacing w:after="0"/>
        <w:tabs>
          <w:tab w:leader="none" w:pos="66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incur additional indebtedness and guarantee indebtedness;</w:t>
      </w:r>
    </w:p>
    <w:p>
      <w:pPr>
        <w:spacing w:after="0" w:line="141" w:lineRule="exact"/>
        <w:rPr>
          <w:rFonts w:ascii="Times New Roman" w:cs="Times New Roman" w:eastAsia="Times New Roman" w:hAnsi="Times New Roman"/>
          <w:sz w:val="29"/>
          <w:szCs w:val="29"/>
          <w:color w:val="auto"/>
          <w:vertAlign w:val="superscript"/>
        </w:rPr>
      </w:pPr>
    </w:p>
    <w:p>
      <w:pPr>
        <w:ind w:left="660" w:hanging="333"/>
        <w:spacing w:after="0" w:line="208" w:lineRule="auto"/>
        <w:tabs>
          <w:tab w:leader="none" w:pos="66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create or incur liens;</w:t>
      </w:r>
    </w:p>
    <w:p>
      <w:pPr>
        <w:spacing w:after="0" w:line="143" w:lineRule="exact"/>
        <w:rPr>
          <w:rFonts w:ascii="Times New Roman" w:cs="Times New Roman" w:eastAsia="Times New Roman" w:hAnsi="Times New Roman"/>
          <w:sz w:val="29"/>
          <w:szCs w:val="29"/>
          <w:color w:val="auto"/>
          <w:vertAlign w:val="superscript"/>
        </w:rPr>
      </w:pPr>
    </w:p>
    <w:p>
      <w:pPr>
        <w:ind w:left="660" w:hanging="333"/>
        <w:spacing w:after="0" w:line="208" w:lineRule="auto"/>
        <w:tabs>
          <w:tab w:leader="none" w:pos="66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pay dividends and distributions or repurchase capital stock;</w:t>
      </w:r>
    </w:p>
    <w:p>
      <w:pPr>
        <w:spacing w:after="0" w:line="143" w:lineRule="exact"/>
        <w:rPr>
          <w:rFonts w:ascii="Times New Roman" w:cs="Times New Roman" w:eastAsia="Times New Roman" w:hAnsi="Times New Roman"/>
          <w:sz w:val="29"/>
          <w:szCs w:val="29"/>
          <w:color w:val="auto"/>
          <w:vertAlign w:val="superscript"/>
        </w:rPr>
      </w:pPr>
    </w:p>
    <w:p>
      <w:pPr>
        <w:ind w:left="660" w:hanging="333"/>
        <w:spacing w:after="0" w:line="208" w:lineRule="auto"/>
        <w:tabs>
          <w:tab w:leader="none" w:pos="66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make investments, loans and advances; and</w:t>
      </w:r>
    </w:p>
    <w:p>
      <w:pPr>
        <w:spacing w:after="0" w:line="143" w:lineRule="exact"/>
        <w:rPr>
          <w:rFonts w:ascii="Times New Roman" w:cs="Times New Roman" w:eastAsia="Times New Roman" w:hAnsi="Times New Roman"/>
          <w:sz w:val="29"/>
          <w:szCs w:val="29"/>
          <w:color w:val="auto"/>
          <w:vertAlign w:val="superscript"/>
        </w:rPr>
      </w:pPr>
    </w:p>
    <w:p>
      <w:pPr>
        <w:ind w:left="660" w:hanging="333"/>
        <w:spacing w:after="0" w:line="208" w:lineRule="auto"/>
        <w:tabs>
          <w:tab w:leader="none" w:pos="66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enter into certain transactions with affiliates.</w:t>
      </w:r>
    </w:p>
    <w:p>
      <w:pPr>
        <w:spacing w:after="0" w:line="1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that governs the Revolving Credit Facility also contains certain affirmative covenants and events of default customary for facilities of this type, including relating to a change of control. See Item 5, “Other Information” elsewhere in this Quarterly Report on Form 10 Q. If an event of default occurs, the lenders under the Revolving Credit Facility will be entitled to take various actions, including the acceleration of amounts due under the Revolving Credit Facility and all actions permitted to be taken by secured creditors under applicable law. As of September 30, 2019, we were in compliance with all the covenants set forth in the Revolving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September 30, 2019 and December 31, 2018, each of our regulated subsidiaries had maintained sufficient net capital or financial resources to at least satisfy their minimum requirements which in aggregate were $50.4 million and $41.7 million, respectively. We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Fails to Deliver/Fails to Receive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See Note 4 – Receivable to and Payable from Brokers and Dealers and Clearing Organizations to our unaudited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securities sold under agreements to repurchase,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September 30, 2019 and December 31, 2018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410,104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87,192</w:t>
            </w: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Receivable from affiliates</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1,249,804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687,757</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equity compensation payable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affiliates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922,382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390,999</w:t>
            </w:r>
          </w:p>
        </w:tc>
      </w:tr>
      <w:tr>
        <w:trPr>
          <w:trHeight w:val="21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327,422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296,758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Current assets increased to $1.3 billion as of September 30, 2019 from $687.8 million as of December 31, 2018 due to an increase in receivable from brokers and dealers and clearing organizations resulting from a higher number of fails to deliver as a result of increased unsettled wholesale platform transactions. On October 1, 2019, approximately $698.8 million of the receivable from brokers and dealers and clearing organizations balance at September 30, 2019 was settled.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Current liabilities increased to $922.4 million as of September 30, 2019 from $391.0 million as of December 31, 2018 due to an increase in payable to brokers and dealers and clearing organizations resulting from a higher number of fails to receive as a result of increased unsettled wholesale platform transactions. On October 1, 2019, approximately $664.3 million of the payable from brokers and dealers and clearing organizations balance at September 30, 2019 was settled. In addition, there was a decrease in accrued compensation and employee equity compensation payments as a result of annual payments.</w:t>
      </w:r>
    </w:p>
    <w:p>
      <w:pPr>
        <w:spacing w:after="0" w:line="1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See Note 4 – Receivable to and Payable from Brokers and Dealers and Clearing Organizations to our unaudited consolidated financial statements included elsewhere in this Quarterly Report on Form 10-Q, for more information regarding the fails to deliver/receive and the subsequent settlement.</w:t>
      </w:r>
    </w:p>
    <w:p>
      <w:pPr>
        <w:spacing w:after="0" w:line="176"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See “—Liquidity and Capital Resources—Factors Influencing Our Liquidity and Capital Resources—Capital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2019 and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5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r>
      <w:tr>
        <w:trPr>
          <w:trHeight w:val="149"/>
        </w:trPr>
        <w:tc>
          <w:tcPr>
            <w:tcW w:w="5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9"/>
        </w:trPr>
        <w:tc>
          <w:tcPr>
            <w:tcW w:w="5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164,828</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(178,856)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(139,350)</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tcPr>
          <w:p>
            <w:pPr>
              <w:spacing w:after="0"/>
              <w:rPr>
                <w:sz w:val="18"/>
                <w:szCs w:val="18"/>
                <w:color w:val="auto"/>
              </w:rPr>
            </w:pPr>
          </w:p>
        </w:tc>
      </w:tr>
      <w:tr>
        <w:trPr>
          <w:trHeight w:val="217"/>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expense and contingent consideration. Cash flows from operating activities can fluctuate significantly from period-to-period as working capital needs and the timing of payments for accrued compensation (primarily in the first quarter) and other items impact reported cash flows.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2019 was $190.5 million, an increase of 15.6% over 2018, and primarily driven by an increase in gross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Investing activities consist of software development costs, investments in technology hardware, purchases of equipment and other tangible assets, business acquisitions and investments.</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$29.8 million for the nine months ended September 30, 2019, which consisted of $21.2 million of capitalized software development costs and $8.6 million of purchases of furniture, equipment, purchased software and leasehold improvements. Net cash used in investing activities was $25.8 million for the nine months ended September 30, 2018, which consisted of $19.5 million of capitalized software development costs and $6.3 million of purchases of furniture, equipment, purchased software and leasehold improvements.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cash dividends to our Class A and Class B common stockholders and cash distributions from TWM LLC to the Original LLC Owners during the pre-IPO period.</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2019 was $178.9 million, which consisted of purchases of LLC Interests of $1,161.3 million from certain of the Bank Stockholders using the net proceeds from the IPO, cash dividends to our Class A and Class B common stockholders of $22.9 million and capital distributions to the Original LLC Owners of $143.7 million, including a one-time distribution of $100.0 million paid in connection with the IPO. Net cash used in financing activities for the nine months ended September 30, 2018 was $139.4 million, which consisted of capital distributions to the Original LLC Owners.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7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nine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5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r>
      <w:tr>
        <w:trPr>
          <w:trHeight w:val="149"/>
        </w:trPr>
        <w:tc>
          <w:tcPr>
            <w:tcW w:w="5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9"/>
        </w:trPr>
        <w:tc>
          <w:tcPr>
            <w:tcW w:w="5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164,828</w:t>
            </w:r>
          </w:p>
        </w:tc>
        <w:tc>
          <w:tcPr>
            <w:tcW w:w="20" w:type="dxa"/>
            <w:vAlign w:val="bottom"/>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0" w:type="dxa"/>
            <w:vAlign w:val="bottom"/>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9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138,978</w:t>
            </w:r>
          </w:p>
        </w:tc>
        <w:tc>
          <w:tcPr>
            <w:tcW w:w="20" w:type="dxa"/>
            <w:vAlign w:val="bottom"/>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Net Income per diluted share (“Adjusted Diluted EPS”) as measures of our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2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Adjusted EBITDA is defined as net income before contingent consideration, net interest income, provision for income taxes and depreciation and amortization, adjusted for the impact of certain other items, including certain stock-based compensation expense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we also exclude non-cash stock-based compensation expense associated with the Special Option Award discussed below under “— Critical Accounting Policies and Estimates — Stock-Based Compensation,” as well as non-cash stock-based compensation expense associated with options awarded to management and other employees following the IPO during 2019. We believe it is useful to exclude this stock-based compensation expense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pre-IPO periods and post-IPO periods give effect to potentially dilutive securities using the treasury stock method.</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9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set forth below presents a reconciliation of net income to Adjusted EBITDA, Adjusted EBITDA margin,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 and Adjusted EBIT margin for the three and nine months ended September 30, 2019 and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gridSpan w:val="5"/>
            <w:vMerge w:val="restart"/>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gridSpan w:val="5"/>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0" w:type="dxa"/>
            <w:vAlign w:val="bottom"/>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0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left w:val="single" w:sz="8" w:color="auto"/>
            </w:tcBorders>
            <w:gridSpan w:val="3"/>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tcBorders>
          </w:tcPr>
          <w:p>
            <w:pPr>
              <w:spacing w:after="0"/>
              <w:rPr>
                <w:sz w:val="15"/>
                <w:szCs w:val="15"/>
                <w:color w:val="auto"/>
              </w:rPr>
            </w:pPr>
          </w:p>
        </w:tc>
        <w:tc>
          <w:tcPr>
            <w:tcW w:w="18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200" w:type="dxa"/>
            <w:vAlign w:val="bottom"/>
            <w:shd w:val="clear" w:color="auto" w:fill="CCEEFF"/>
          </w:tcPr>
          <w:p>
            <w:pPr>
              <w:spacing w:after="0"/>
              <w:rPr>
                <w:sz w:val="18"/>
                <w:szCs w:val="18"/>
                <w:color w:val="auto"/>
              </w:rPr>
            </w:pPr>
          </w:p>
        </w:tc>
        <w:tc>
          <w:tcPr>
            <w:tcW w:w="32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w:t>
            </w:r>
          </w:p>
        </w:tc>
        <w:tc>
          <w:tcPr>
            <w:tcW w:w="20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20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 loss from revaluation of foreign denominated cash</w:t>
            </w:r>
            <w:r>
              <w:rPr>
                <w:rFonts w:ascii="Times New Roman" w:cs="Times New Roman" w:eastAsia="Times New Roman" w:hAnsi="Times New Roman"/>
                <w:sz w:val="8"/>
                <w:szCs w:val="8"/>
                <w:color w:val="auto"/>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Borders>
              <w:bottom w:val="single" w:sz="8" w:color="CCEEFF"/>
            </w:tcBorders>
          </w:tcPr>
          <w:p>
            <w:pPr>
              <w:spacing w:after="0"/>
              <w:rPr>
                <w:sz w:val="18"/>
                <w:szCs w:val="18"/>
                <w:color w:val="auto"/>
              </w:rPr>
            </w:pPr>
          </w:p>
        </w:tc>
        <w:tc>
          <w:tcPr>
            <w:tcW w:w="180" w:type="dxa"/>
            <w:vAlign w:val="bottom"/>
            <w:tcBorders>
              <w:left w:val="single" w:sz="8" w:color="auto"/>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260,721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left w:val="single" w:sz="8" w:color="auto"/>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Less: Depreciation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(16,362)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(48,808)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Acquisition and Refinitiv Transaction related D&amp;A</w:t>
            </w:r>
            <w:r>
              <w:rPr>
                <w:rFonts w:ascii="Times New Roman" w:cs="Times New Roman" w:eastAsia="Times New Roman" w:hAnsi="Times New Roman"/>
                <w:sz w:val="8"/>
                <w:szCs w:val="8"/>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184,859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8"/>
                <w:szCs w:val="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 margin</w:t>
            </w:r>
            <w:r>
              <w:rPr>
                <w:rFonts w:ascii="Times New Roman" w:cs="Times New Roman" w:eastAsia="Times New Roman" w:hAnsi="Times New Roman"/>
                <w:sz w:val="8"/>
                <w:szCs w:val="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9" w:lineRule="exact"/>
        <w:rPr>
          <w:sz w:val="20"/>
          <w:szCs w:val="20"/>
          <w:color w:val="auto"/>
        </w:rPr>
      </w:pPr>
    </w:p>
    <w:p>
      <w:pPr>
        <w:ind w:left="320" w:hanging="317"/>
        <w:spacing w:after="0" w:line="262" w:lineRule="auto"/>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the third quarter of 2019.</w:t>
      </w:r>
    </w:p>
    <w:p>
      <w:pPr>
        <w:spacing w:after="0" w:line="16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foreign exchange gain or loss from the revaluation of cash denominated in a different currency than the entity’s functional currency.</w:t>
      </w:r>
    </w:p>
    <w:p>
      <w:pPr>
        <w:spacing w:after="0" w:line="203" w:lineRule="exact"/>
        <w:rPr>
          <w:rFonts w:ascii="Times New Roman" w:cs="Times New Roman" w:eastAsia="Times New Roman" w:hAnsi="Times New Roman"/>
          <w:sz w:val="14"/>
          <w:szCs w:val="14"/>
          <w:color w:val="auto"/>
        </w:rPr>
      </w:pPr>
    </w:p>
    <w:p>
      <w:pPr>
        <w:ind w:left="320" w:right="200" w:hanging="317"/>
        <w:spacing w:after="0" w:line="241" w:lineRule="auto"/>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76" w:lineRule="exact"/>
        <w:rPr>
          <w:rFonts w:ascii="Times New Roman" w:cs="Times New Roman" w:eastAsia="Times New Roman" w:hAnsi="Times New Roman"/>
          <w:sz w:val="14"/>
          <w:szCs w:val="14"/>
          <w:color w:val="auto"/>
        </w:rPr>
      </w:pPr>
    </w:p>
    <w:p>
      <w:pPr>
        <w:ind w:left="320" w:right="40" w:hanging="317"/>
        <w:spacing w:after="0" w:line="227" w:lineRule="auto"/>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2019, Adjusted EBITDA margin increased compared to the prior year period by 620 and 276 basis points, respectively, or 672 and 326 basis points on a constant currency basis. For the three and nine months ended September 30, 2019 and 2018, Adjusted EBIT margin increased compared to the prior year period by 701 basis points and 321 basis points, respectively, or 770 basis points and 386 basis points on a constant currency basis.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2018. We use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table below provides a reconciliation of net income attributable to Tradeweb Markets Inc. and net income, as applicable, to Adjusted Net Income and Adjusted Diluted EPS for the three and nine months ended September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gridSpan w:val="7"/>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6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80" w:type="dxa"/>
            <w:vAlign w:val="bottom"/>
            <w:gridSpan w:val="5"/>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right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0" w:type="dxa"/>
            <w:vAlign w:val="bottom"/>
            <w:gridSpan w:val="15"/>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per diluted share</w:t>
            </w:r>
            <w:r>
              <w:rPr>
                <w:rFonts w:ascii="Times New Roman" w:cs="Times New Roman" w:eastAsia="Times New Roman" w:hAnsi="Times New Roman"/>
                <w:sz w:val="8"/>
                <w:szCs w:val="8"/>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xml:space="preserve">0.19 </w:t>
            </w:r>
            <w:r>
              <w:rPr>
                <w:rFonts w:ascii="Times New Roman" w:cs="Times New Roman" w:eastAsia="Times New Roman" w:hAnsi="Times New Roman"/>
                <w:sz w:val="8"/>
                <w:szCs w:val="8"/>
                <w:color w:val="auto"/>
              </w:rPr>
              <w:t>(a)</w:t>
            </w:r>
          </w:p>
        </w:tc>
        <w:tc>
          <w:tcPr>
            <w:tcW w:w="1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8"/>
                <w:szCs w:val="8"/>
                <w:color w:val="auto"/>
              </w:rPr>
              <w:t>(b)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0.28 </w:t>
            </w: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0.21 </w:t>
            </w:r>
            <w:r>
              <w:rPr>
                <w:rFonts w:ascii="Times New Roman" w:cs="Times New Roman" w:eastAsia="Times New Roman" w:hAnsi="Times New Roman"/>
                <w:sz w:val="8"/>
                <w:szCs w:val="8"/>
                <w:color w:val="auto"/>
              </w:rPr>
              <w:t>(a)</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0.60 </w:t>
            </w:r>
            <w:r>
              <w:rPr>
                <w:rFonts w:ascii="Times New Roman" w:cs="Times New Roman" w:eastAsia="Times New Roman" w:hAnsi="Times New Roman"/>
                <w:sz w:val="8"/>
                <w:szCs w:val="8"/>
                <w:color w:val="auto"/>
              </w:rPr>
              <w:t>(a)</w:t>
            </w:r>
          </w:p>
        </w:tc>
        <w:tc>
          <w:tcPr>
            <w:tcW w:w="0" w:type="dxa"/>
            <w:vAlign w:val="bottom"/>
          </w:tcPr>
          <w:p>
            <w:pPr>
              <w:spacing w:after="0"/>
              <w:rPr>
                <w:sz w:val="1"/>
                <w:szCs w:val="1"/>
                <w:color w:val="auto"/>
              </w:rPr>
            </w:pPr>
          </w:p>
        </w:tc>
      </w:tr>
      <w:tr>
        <w:trPr>
          <w:trHeight w:val="149"/>
        </w:trPr>
        <w:tc>
          <w:tcPr>
            <w:tcW w:w="4620" w:type="dxa"/>
            <w:vAlign w:val="bottom"/>
            <w:tcBorders>
              <w:top w:val="single" w:sz="8" w:color="CCEEFF"/>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 xml:space="preserve">Pre-IPO net income attributable to Tradeweb Markets LLC </w:t>
            </w:r>
            <w:r>
              <w:rPr>
                <w:rFonts w:ascii="Times New Roman" w:cs="Times New Roman" w:eastAsia="Times New Roman" w:hAnsi="Times New Roman"/>
                <w:sz w:val="8"/>
                <w:szCs w:val="8"/>
                <w:color w:val="auto"/>
              </w:rPr>
              <w:t>(1)</w:t>
            </w: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42,352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9"/>
              </w:rPr>
              <w:t>(a)</w:t>
            </w:r>
          </w:p>
        </w:tc>
        <w:tc>
          <w:tcPr>
            <w:tcW w:w="12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45,955</w:t>
            </w: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99"/>
              </w:rPr>
              <w:t>(a)</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130,160</w:t>
            </w: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Tradeweb Markets Inc.</w:t>
            </w:r>
            <w:r>
              <w:rPr>
                <w:rFonts w:ascii="Times New Roman" w:cs="Times New Roman" w:eastAsia="Times New Roman" w:hAnsi="Times New Roman"/>
                <w:sz w:val="8"/>
                <w:szCs w:val="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29,612 </w:t>
            </w:r>
            <w:r>
              <w:rPr>
                <w:rFonts w:ascii="Times New Roman" w:cs="Times New Roman" w:eastAsia="Times New Roman" w:hAnsi="Times New Roman"/>
                <w:sz w:val="8"/>
                <w:szCs w:val="8"/>
                <w:color w:val="auto"/>
              </w:rPr>
              <w:t>(b)</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42,440 </w:t>
            </w: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Add: Net income attributable to non-controlling interests </w:t>
            </w:r>
            <w:r>
              <w:rPr>
                <w:rFonts w:ascii="Times New Roman" w:cs="Times New Roman" w:eastAsia="Times New Roman" w:hAnsi="Times New Roman"/>
                <w:sz w:val="8"/>
                <w:szCs w:val="8"/>
                <w:color w:val="auto"/>
              </w:rPr>
              <w:t>(1)(2)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 xml:space="preserve">18,966 </w:t>
            </w:r>
            <w:r>
              <w:rPr>
                <w:rFonts w:ascii="Times New Roman" w:cs="Times New Roman" w:eastAsia="Times New Roman" w:hAnsi="Times New Roman"/>
                <w:sz w:val="8"/>
                <w:szCs w:val="8"/>
                <w:color w:val="auto"/>
              </w:rPr>
              <w:t>(b)</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30,954 </w:t>
            </w:r>
            <w:r>
              <w:rPr>
                <w:rFonts w:ascii="Times New Roman" w:cs="Times New Roman" w:eastAsia="Times New Roman" w:hAnsi="Times New Roman"/>
                <w:sz w:val="8"/>
                <w:szCs w:val="8"/>
                <w:color w:val="auto"/>
              </w:rPr>
              <w:t>(b)</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w w:val="94"/>
              </w:rPr>
              <w:t>(b)</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115,746</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45,955</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w w:val="99"/>
              </w:rPr>
              <w:t>(a)</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130,160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6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(a)(b)</w:t>
            </w: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10,316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Refinitiv Transaction related D&amp;A</w:t>
            </w:r>
            <w:r>
              <w:rPr>
                <w:rFonts w:ascii="Times New Roman" w:cs="Times New Roman" w:eastAsia="Times New Roman" w:hAnsi="Times New Roman"/>
                <w:sz w:val="8"/>
                <w:szCs w:val="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24,780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6,513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8"/>
                <w:szCs w:val="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from revaluation of foreign denominated cash</w:t>
            </w:r>
            <w:r>
              <w:rPr>
                <w:rFonts w:ascii="Times New Roman" w:cs="Times New Roman" w:eastAsia="Times New Roman" w:hAnsi="Times New Roman"/>
                <w:sz w:val="8"/>
                <w:szCs w:val="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83,732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57,407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8"/>
                <w:szCs w:val="8"/>
                <w:color w:val="auto"/>
              </w:rPr>
              <w:t>(6)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(22,105)</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(49,258)</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61,627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170,445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42,252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137,327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Adjusted Diluted EPS </w:t>
            </w:r>
            <w:r>
              <w:rPr>
                <w:rFonts w:ascii="Times New Roman" w:cs="Times New Roman" w:eastAsia="Times New Roman" w:hAnsi="Times New Roman"/>
                <w:sz w:val="8"/>
                <w:szCs w:val="8"/>
                <w:b w:val="1"/>
                <w:bCs w:val="1"/>
                <w:color w:val="auto"/>
              </w:rPr>
              <w:t>(1)(7)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xml:space="preserve">0.23 </w:t>
            </w:r>
            <w:r>
              <w:rPr>
                <w:rFonts w:ascii="Times New Roman" w:cs="Times New Roman" w:eastAsia="Times New Roman" w:hAnsi="Times New Roman"/>
                <w:sz w:val="8"/>
                <w:szCs w:val="8"/>
                <w:color w:val="auto"/>
              </w:rPr>
              <w:t>(a)</w:t>
            </w:r>
          </w:p>
        </w:tc>
        <w:tc>
          <w:tcPr>
            <w:tcW w:w="1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0.27 </w:t>
            </w:r>
            <w:r>
              <w:rPr>
                <w:rFonts w:ascii="Times New Roman" w:cs="Times New Roman" w:eastAsia="Times New Roman" w:hAnsi="Times New Roman"/>
                <w:sz w:val="8"/>
                <w:szCs w:val="8"/>
                <w:color w:val="auto"/>
              </w:rPr>
              <w:t>(b)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0.51 </w:t>
            </w: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0.19 </w:t>
            </w:r>
            <w:r>
              <w:rPr>
                <w:rFonts w:ascii="Times New Roman" w:cs="Times New Roman" w:eastAsia="Times New Roman" w:hAnsi="Times New Roman"/>
                <w:sz w:val="8"/>
                <w:szCs w:val="8"/>
                <w:color w:val="auto"/>
              </w:rPr>
              <w:t>(a)</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0.64 </w:t>
            </w:r>
            <w:r>
              <w:rPr>
                <w:rFonts w:ascii="Times New Roman" w:cs="Times New Roman" w:eastAsia="Times New Roman" w:hAnsi="Times New Roman"/>
                <w:sz w:val="8"/>
                <w:szCs w:val="8"/>
                <w:color w:val="auto"/>
              </w:rPr>
              <w:t>(a)</w:t>
            </w: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234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00" w:right="100" w:hanging="316"/>
        <w:spacing w:after="0" w:line="233" w:lineRule="auto"/>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2019, we completed the Reorganization Transactions and the IPO. Therefore, certain earnings information is being presented separately for Tradeweb Markets LLC and Tradeweb Markets Inc.</w:t>
      </w:r>
    </w:p>
    <w:p>
      <w:pPr>
        <w:ind w:left="1060" w:hanging="328"/>
        <w:spacing w:after="0" w:line="221" w:lineRule="auto"/>
        <w:tabs>
          <w:tab w:leader="none" w:pos="10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LLC (pre-IPO period).</w:t>
      </w:r>
    </w:p>
    <w:p>
      <w:pPr>
        <w:ind w:left="1060" w:hanging="328"/>
        <w:spacing w:after="0" w:line="221" w:lineRule="auto"/>
        <w:tabs>
          <w:tab w:leader="none" w:pos="10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Presents information for Tradeweb Markets Inc. (post-IPO period).</w:t>
      </w:r>
    </w:p>
    <w:p>
      <w:pPr>
        <w:ind w:left="320"/>
        <w:spacing w:after="0"/>
        <w:rPr>
          <w:sz w:val="20"/>
          <w:szCs w:val="20"/>
          <w:color w:val="auto"/>
        </w:rPr>
      </w:pPr>
      <w:r>
        <w:rPr>
          <w:rFonts w:ascii="Times New Roman" w:cs="Times New Roman" w:eastAsia="Times New Roman" w:hAnsi="Times New Roman"/>
          <w:sz w:val="14"/>
          <w:szCs w:val="14"/>
          <w:color w:val="auto"/>
        </w:rPr>
        <w:t>See Note 18 – Earnings Per Share to our unaudited consolidated financial statements included elsewhere in this Quarterly Report on Form 10-Q.</w:t>
      </w:r>
    </w:p>
    <w:p>
      <w:pPr>
        <w:spacing w:after="0" w:line="188" w:lineRule="exact"/>
        <w:rPr>
          <w:sz w:val="20"/>
          <w:szCs w:val="20"/>
          <w:color w:val="auto"/>
        </w:rPr>
      </w:pPr>
    </w:p>
    <w:p>
      <w:pPr>
        <w:ind w:left="400" w:right="60" w:hanging="316"/>
        <w:spacing w:after="0" w:line="262"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377" w:lineRule="exact"/>
        <w:rPr>
          <w:rFonts w:ascii="Times New Roman" w:cs="Times New Roman" w:eastAsia="Times New Roman" w:hAnsi="Times New Roman"/>
          <w:sz w:val="14"/>
          <w:szCs w:val="14"/>
          <w:color w:val="auto"/>
        </w:rPr>
      </w:pPr>
    </w:p>
    <w:p>
      <w:pPr>
        <w:ind w:left="400" w:right="120" w:hanging="316"/>
        <w:spacing w:after="0" w:line="241"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392" w:lineRule="exact"/>
        <w:rPr>
          <w:rFonts w:ascii="Times New Roman" w:cs="Times New Roman" w:eastAsia="Times New Roman" w:hAnsi="Times New Roman"/>
          <w:sz w:val="14"/>
          <w:szCs w:val="14"/>
          <w:color w:val="auto"/>
        </w:rPr>
      </w:pPr>
    </w:p>
    <w:p>
      <w:pPr>
        <w:ind w:left="400" w:right="80" w:hanging="316"/>
        <w:spacing w:after="0" w:line="262"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the third quarter of 2019.</w:t>
      </w:r>
    </w:p>
    <w:p>
      <w:pPr>
        <w:spacing w:after="0" w:line="161" w:lineRule="exact"/>
        <w:rPr>
          <w:rFonts w:ascii="Times New Roman" w:cs="Times New Roman" w:eastAsia="Times New Roman" w:hAnsi="Times New Roman"/>
          <w:sz w:val="14"/>
          <w:szCs w:val="14"/>
          <w:color w:val="auto"/>
        </w:rPr>
      </w:pPr>
    </w:p>
    <w:p>
      <w:pPr>
        <w:ind w:left="400" w:hanging="316"/>
        <w:spacing w:after="0"/>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foreign exchange gain or loss from the revaluation of cash denominated in a different currency than the entity’s functional currency.</w:t>
      </w:r>
    </w:p>
    <w:p>
      <w:pPr>
        <w:spacing w:after="0" w:line="203" w:lineRule="exact"/>
        <w:rPr>
          <w:rFonts w:ascii="Times New Roman" w:cs="Times New Roman" w:eastAsia="Times New Roman" w:hAnsi="Times New Roman"/>
          <w:sz w:val="14"/>
          <w:szCs w:val="14"/>
          <w:color w:val="auto"/>
        </w:rPr>
      </w:pPr>
    </w:p>
    <w:p>
      <w:pPr>
        <w:ind w:left="400" w:right="80" w:hanging="316"/>
        <w:spacing w:after="0" w:line="262"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61" w:lineRule="exact"/>
        <w:rPr>
          <w:rFonts w:ascii="Times New Roman" w:cs="Times New Roman" w:eastAsia="Times New Roman" w:hAnsi="Times New Roman"/>
          <w:sz w:val="14"/>
          <w:szCs w:val="14"/>
          <w:color w:val="auto"/>
        </w:rPr>
      </w:pPr>
    </w:p>
    <w:p>
      <w:pPr>
        <w:ind w:left="400" w:right="120" w:hanging="316"/>
        <w:spacing w:after="0" w:line="262"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calculation of Adjusted Diluted EPS for the three and nine months ended September 30, 2019 and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Pre-IPO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Post-IPO</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Three</w:t>
            </w: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Period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Period</w:t>
            </w:r>
          </w:p>
        </w:tc>
        <w:tc>
          <w:tcPr>
            <w:tcW w:w="10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Three</w:t>
            </w:r>
          </w:p>
        </w:tc>
        <w:tc>
          <w:tcPr>
            <w:tcW w:w="100" w:type="dxa"/>
            <w:vAlign w:val="bottom"/>
          </w:tcPr>
          <w:p>
            <w:pPr>
              <w:spacing w:after="0"/>
              <w:rPr>
                <w:sz w:val="13"/>
                <w:szCs w:val="13"/>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Nine</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Nine</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Nine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0" w:type="dxa"/>
            <w:vAlign w:val="bottom"/>
          </w:tcPr>
          <w:p>
            <w:pPr>
              <w:spacing w:after="0"/>
              <w:rPr>
                <w:sz w:val="1"/>
                <w:szCs w:val="1"/>
                <w:color w:val="auto"/>
              </w:rPr>
            </w:pPr>
          </w:p>
        </w:tc>
      </w:tr>
      <w:tr>
        <w:trPr>
          <w:trHeight w:val="135"/>
        </w:trPr>
        <w:tc>
          <w:tcPr>
            <w:tcW w:w="4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Reconciliation of Diluted Weighted Average Shares Outstanding to</w:t>
            </w: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1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9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55"/>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Adjusted Diluted Weighted Average Shares Outstanding</w:t>
            </w: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0" w:type="dxa"/>
            <w:vAlign w:val="bottom"/>
          </w:tcPr>
          <w:p>
            <w:pPr>
              <w:spacing w:after="0"/>
              <w:rPr>
                <w:sz w:val="1"/>
                <w:szCs w:val="1"/>
                <w:color w:val="auto"/>
              </w:rPr>
            </w:pPr>
          </w:p>
        </w:tc>
      </w:tr>
      <w:tr>
        <w:trPr>
          <w:trHeight w:val="129"/>
        </w:trPr>
        <w:tc>
          <w:tcPr>
            <w:tcW w:w="42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Diluted weighted average TWM LLC shares outstanding</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223,320,457</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219,165,997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215,365,920</w:t>
            </w:r>
          </w:p>
        </w:tc>
        <w:tc>
          <w:tcPr>
            <w:tcW w:w="0" w:type="dxa"/>
            <w:vAlign w:val="bottom"/>
          </w:tcPr>
          <w:p>
            <w:pPr>
              <w:spacing w:after="0"/>
              <w:rPr>
                <w:sz w:val="1"/>
                <w:szCs w:val="1"/>
                <w:color w:val="auto"/>
              </w:rPr>
            </w:pPr>
          </w:p>
        </w:tc>
      </w:tr>
      <w:tr>
        <w:trPr>
          <w:trHeight w:val="117"/>
        </w:trPr>
        <w:tc>
          <w:tcPr>
            <w:tcW w:w="44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Diluted weighted average shares of Class A and Class B common stock</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151,362,643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151,158,760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44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Assumed exchange of LLC interests for shares of Class A or Class B common</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stock </w:t>
            </w:r>
            <w:r>
              <w:rPr>
                <w:rFonts w:ascii="Times New Roman" w:cs="Times New Roman" w:eastAsia="Times New Roman" w:hAnsi="Times New Roman"/>
                <w:sz w:val="14"/>
                <w:szCs w:val="14"/>
                <w:color w:val="auto"/>
                <w:vertAlign w:val="superscript"/>
              </w:rPr>
              <w:t>(1)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79,289,005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79,289,005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40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Adjusted diluted weighted average shares outstanding</w:t>
            </w: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230,651,648</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223,320,457</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230,447,765</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219,165,997</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215,365,920</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Adjusted Net Income (in thousands)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61,627</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52,190</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118,255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42,252</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137,327</w:t>
            </w:r>
          </w:p>
        </w:tc>
        <w:tc>
          <w:tcPr>
            <w:tcW w:w="0" w:type="dxa"/>
            <w:vAlign w:val="bottom"/>
          </w:tcPr>
          <w:p>
            <w:pPr>
              <w:spacing w:after="0"/>
              <w:rPr>
                <w:sz w:val="1"/>
                <w:szCs w:val="1"/>
                <w:color w:val="auto"/>
              </w:rPr>
            </w:pPr>
          </w:p>
        </w:tc>
      </w:tr>
      <w:tr>
        <w:trPr>
          <w:trHeight w:val="129"/>
        </w:trPr>
        <w:tc>
          <w:tcPr>
            <w:tcW w:w="440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Adjusted Diluted EPS</w:t>
            </w: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0.27</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0.23</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0.51</w:t>
            </w:r>
          </w:p>
        </w:tc>
        <w:tc>
          <w:tcPr>
            <w:tcW w:w="1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0.19</w:t>
            </w:r>
          </w:p>
        </w:tc>
        <w:tc>
          <w:tcPr>
            <w:tcW w:w="1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0.64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right="40" w:hanging="329"/>
        <w:spacing w:after="0" w:line="262" w:lineRule="auto"/>
        <w:tabs>
          <w:tab w:leader="none" w:pos="9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2019, we did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Pushdown Accounting</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sixteen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the Company’s Class A and B common shares.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 We are required to make significant judgements for the Refinitiv market data fees. Significant judgements used in accounting for this contract include:</w:t>
      </w:r>
    </w:p>
    <w:p>
      <w:pPr>
        <w:spacing w:after="0" w:line="184" w:lineRule="exact"/>
        <w:rPr>
          <w:sz w:val="20"/>
          <w:szCs w:val="20"/>
          <w:color w:val="auto"/>
        </w:rPr>
      </w:pPr>
    </w:p>
    <w:p>
      <w:pPr>
        <w:ind w:left="660" w:hanging="333"/>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225" w:lineRule="exact"/>
        <w:rPr>
          <w:rFonts w:ascii="Times New Roman" w:cs="Times New Roman" w:eastAsia="Times New Roman" w:hAnsi="Times New Roman"/>
          <w:sz w:val="18"/>
          <w:szCs w:val="18"/>
          <w:color w:val="auto"/>
        </w:rPr>
      </w:pPr>
    </w:p>
    <w:p>
      <w:pPr>
        <w:ind w:left="660" w:right="120" w:hanging="333"/>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hanging="333"/>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Company’s Class A common stock on the grant date.</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Prior to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expect the non-cash stock-based compensation expense associated with the Special Option Award to be between approximately $33.5 million and $35.7 million, respectively, which we started to expense beginning in the second quarter of 2019, with a charge of $20.4 million ($18.9 million of which was charged immediately upon the completion of the IPO), and will continue to expense over the following three years. For more information, please see “Executive Compensation—Narrative Disclosure to Summary Compensation Table—Amended and Restated Tradeweb Markets Inc. 2018 Share Option Plan” in the October Prospectus.</w:t>
      </w:r>
    </w:p>
    <w:p>
      <w:pPr>
        <w:spacing w:after="0" w:line="18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us for the post-IPO period, on a pro rata basis.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w:t>
      </w:r>
    </w:p>
    <w:p>
      <w:pPr>
        <w:spacing w:after="0" w:line="18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firstLine="324"/>
        <w:spacing w:after="0" w:line="282" w:lineRule="auto"/>
        <w:rPr>
          <w:sz w:val="20"/>
          <w:szCs w:val="20"/>
          <w:color w:val="auto"/>
        </w:rPr>
      </w:pPr>
      <w:r>
        <w:rPr>
          <w:rFonts w:ascii="Times New Roman" w:cs="Times New Roman" w:eastAsia="Times New Roman" w:hAnsi="Times New Roman"/>
          <w:sz w:val="18"/>
          <w:szCs w:val="18"/>
          <w:color w:val="auto"/>
        </w:rPr>
        <w:t>We have elected to treat taxes due on future U.S. inclusions in taxable income under the GILTI provision of the Tax Cuts and Jobs Act as a current period expense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39" w:firstLine="324"/>
        <w:spacing w:after="0" w:line="255"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w:t>
      </w:r>
    </w:p>
    <w:p>
      <w:pPr>
        <w:spacing w:after="0" w:line="185" w:lineRule="exact"/>
        <w:rPr>
          <w:sz w:val="20"/>
          <w:szCs w:val="20"/>
          <w:color w:val="auto"/>
        </w:rPr>
      </w:pPr>
    </w:p>
    <w:p>
      <w:pPr>
        <w:ind w:right="59" w:firstLine="324"/>
        <w:spacing w:after="0" w:line="258" w:lineRule="auto"/>
        <w:rPr>
          <w:sz w:val="20"/>
          <w:szCs w:val="20"/>
          <w:color w:val="auto"/>
        </w:rPr>
      </w:pPr>
      <w:r>
        <w:rPr>
          <w:rFonts w:ascii="Times New Roman" w:cs="Times New Roman" w:eastAsia="Times New Roman" w:hAnsi="Times New Roman"/>
          <w:sz w:val="18"/>
          <w:szCs w:val="18"/>
          <w:color w:val="auto"/>
        </w:rPr>
        <w:t>We recorded an initial liability of $171.4 million related to our projected obligations under the Tax Receivable Agreement with respect to LLC Interests that were purchased by us using the net proceeds from the IPO. 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01" w:lineRule="exact"/>
        <w:rPr>
          <w:sz w:val="20"/>
          <w:szCs w:val="20"/>
          <w:color w:val="auto"/>
        </w:rPr>
      </w:pPr>
    </w:p>
    <w:p>
      <w:pPr>
        <w:ind w:right="139" w:firstLine="324"/>
        <w:spacing w:after="0" w:line="224" w:lineRule="exact"/>
        <w:rPr>
          <w:sz w:val="20"/>
          <w:szCs w:val="20"/>
          <w:color w:val="auto"/>
        </w:rPr>
      </w:pPr>
      <w:r>
        <w:rPr>
          <w:rFonts w:ascii="Times New Roman" w:cs="Times New Roman" w:eastAsia="Times New Roman" w:hAnsi="Times New Roman"/>
          <w:sz w:val="18"/>
          <w:szCs w:val="18"/>
          <w:color w:val="auto"/>
        </w:rPr>
        <w:t>In 2014, we issued Class A Shares and unvested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The proceeds from the issuance of these shares were included in members’ capital. The Class A Shares and Class C Shares issued in connection with the investment equally participated in the earnings of the Company together with the other Class A Shares, Class P(A) Shares, Class C Shares and</w:t>
      </w:r>
    </w:p>
    <w:p>
      <w:pPr>
        <w:spacing w:after="0" w:line="3" w:lineRule="exact"/>
        <w:rPr>
          <w:sz w:val="20"/>
          <w:szCs w:val="20"/>
          <w:color w:val="auto"/>
        </w:rPr>
      </w:pPr>
    </w:p>
    <w:p>
      <w:pPr>
        <w:ind w:right="39"/>
        <w:spacing w:after="0" w:line="216" w:lineRule="exact"/>
        <w:rPr>
          <w:sz w:val="20"/>
          <w:szCs w:val="20"/>
          <w:color w:val="auto"/>
        </w:rPr>
      </w:pPr>
      <w:r>
        <w:rPr>
          <w:rFonts w:ascii="Times New Roman" w:cs="Times New Roman" w:eastAsia="Times New Roman" w:hAnsi="Times New Roman"/>
          <w:sz w:val="18"/>
          <w:szCs w:val="18"/>
          <w:color w:val="auto"/>
        </w:rPr>
        <w:t>Class P(C) Shares of the Company. Most of the holders of Class A shares had the right to appoint members to the board of managers of the Company.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and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did not have any earnings participation rights, nor did any of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have the right to appoint members to the former board of managers, until they vested.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and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vested in July 2018 upon the achievement of specific revenue earnout milestones related to the growth of our credit products, as defined by the agreement, from August 2014 through the vesting date of July 2018.</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Prior to the July 2018 vesting, we recognized contingent consideration with respect to the potential vesting of</w:t>
      </w:r>
    </w:p>
    <w:p>
      <w:pPr>
        <w:spacing w:after="0" w:line="22" w:lineRule="exact"/>
        <w:rPr>
          <w:sz w:val="20"/>
          <w:szCs w:val="20"/>
          <w:color w:val="auto"/>
        </w:rPr>
      </w:pPr>
    </w:p>
    <w:p>
      <w:pPr>
        <w:ind w:right="59"/>
        <w:spacing w:after="0" w:line="217" w:lineRule="exact"/>
        <w:rPr>
          <w:sz w:val="20"/>
          <w:szCs w:val="20"/>
          <w:color w:val="auto"/>
        </w:rPr>
      </w:pPr>
      <w:r>
        <w:rPr>
          <w:rFonts w:ascii="Times New Roman" w:cs="Times New Roman" w:eastAsia="Times New Roman" w:hAnsi="Times New Roman"/>
          <w:sz w:val="18"/>
          <w:szCs w:val="18"/>
          <w:color w:val="auto"/>
        </w:rPr>
        <w:t>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and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as a contra-revenue adjustment in accordance with ASC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200" w:lineRule="exact"/>
        <w:rPr>
          <w:sz w:val="20"/>
          <w:szCs w:val="20"/>
          <w:color w:val="auto"/>
        </w:rPr>
      </w:pPr>
    </w:p>
    <w:p>
      <w:pPr>
        <w:ind w:right="219" w:firstLine="324"/>
        <w:spacing w:after="0" w:line="220" w:lineRule="exact"/>
        <w:rPr>
          <w:sz w:val="20"/>
          <w:szCs w:val="20"/>
          <w:color w:val="auto"/>
        </w:rPr>
      </w:pPr>
      <w:r>
        <w:rPr>
          <w:rFonts w:ascii="Times New Roman" w:cs="Times New Roman" w:eastAsia="Times New Roman" w:hAnsi="Times New Roman"/>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Shares and employee equity compensation payable increased by $5.7 million as a result of the vesting of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The value of the vested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Shares was included in employee equity compensation payable because the Class 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were owned for less than six months by employees who had the ability to exercise a put option of those shares under certain conditions under their control.</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Recently Adopted</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Effective January 1, 2019, we adopted ASC 842, Leases. This standard requires us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We adopted ASC 842 prospectively and elected to take the package of practical expedients allowing us not to reassess (i) whether any expired or existing contracts are or contain leases, (ii) the lease classification for any expired or existing leases and (iii) initial direct costs for any existing leases.</w:t>
      </w:r>
    </w:p>
    <w:p>
      <w:pPr>
        <w:spacing w:after="0" w:line="18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January 1, 2019, upon the adoption of ASC 842, we recorded right-to-use assets of $34.8 million, lease liabilities of $39.6 million and eliminated deferred rent of $4.9 million.</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our unaudited consolidated financial statements included elsewhere in this Quarterly Report on Form 10-Q for information regarding recent accounting pronouncements not yet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Act of 2012</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6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gross revenue and operating expenses denominated in currencies other than the U.S. dollar for the three and nine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100" w:type="dxa"/>
            <w:vAlign w:val="bottom"/>
          </w:tcPr>
          <w:p>
            <w:pPr>
              <w:spacing w:after="0"/>
              <w:rPr>
                <w:sz w:val="10"/>
                <w:szCs w:val="10"/>
                <w:color w:val="auto"/>
              </w:rPr>
            </w:pPr>
          </w:p>
        </w:tc>
        <w:tc>
          <w:tcPr>
            <w:tcW w:w="760" w:type="dxa"/>
            <w:vAlign w:val="bottom"/>
          </w:tcPr>
          <w:p>
            <w:pPr>
              <w:jc w:val="center"/>
              <w:ind w:left="14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center"/>
              <w:ind w:left="18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4100" w:type="dxa"/>
            <w:vAlign w:val="bottom"/>
          </w:tcPr>
          <w:p>
            <w:pPr>
              <w:spacing w:after="0"/>
              <w:rPr>
                <w:sz w:val="12"/>
                <w:szCs w:val="12"/>
                <w:color w:val="auto"/>
              </w:rPr>
            </w:pPr>
          </w:p>
        </w:tc>
        <w:tc>
          <w:tcPr>
            <w:tcW w:w="76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center"/>
              <w:ind w:left="16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760" w:type="dxa"/>
            <w:vAlign w:val="bottom"/>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20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3"/>
        </w:trPr>
        <w:tc>
          <w:tcPr>
            <w:tcW w:w="4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of revenue denominated in foreign currencies </w:t>
            </w:r>
            <w:r>
              <w:rPr>
                <w:rFonts w:ascii="Times New Roman" w:cs="Times New Roman" w:eastAsia="Times New Roman" w:hAnsi="Times New Roman"/>
                <w:sz w:val="8"/>
                <w:szCs w:val="8"/>
                <w:color w:val="auto"/>
              </w:rPr>
              <w:t>(1)</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of operating expenses denominated in foreign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currencies </w:t>
            </w:r>
            <w:r>
              <w:rPr>
                <w:rFonts w:ascii="Times New Roman" w:cs="Times New Roman" w:eastAsia="Times New Roman" w:hAnsi="Times New Roman"/>
                <w:sz w:val="8"/>
                <w:szCs w:val="8"/>
                <w:color w:val="auto"/>
              </w:rPr>
              <w:t>(2)</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-989965</wp:posOffset>
            </wp:positionV>
            <wp:extent cx="8890" cy="995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995045"/>
                    </a:xfrm>
                    <a:prstGeom prst="rect">
                      <a:avLst/>
                    </a:prstGeom>
                    <a:noFill/>
                  </pic:spPr>
                </pic:pic>
              </a:graphicData>
            </a:graphic>
          </wp:anchor>
        </w:drawing>
      </w:r>
    </w:p>
    <w:p>
      <w:pPr>
        <w:ind w:left="400" w:hanging="316"/>
        <w:spacing w:after="0" w:line="221"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revenue in foreign currencies is primarily denominated in Euros.</w:t>
      </w:r>
    </w:p>
    <w:p>
      <w:pPr>
        <w:ind w:left="400" w:hanging="316"/>
        <w:spacing w:after="0"/>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w:t>
      </w:r>
    </w:p>
    <w:p>
      <w:pPr>
        <w:spacing w:after="0" w:line="19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Since our consolidated financial statements are presented in U.S. dollars, we must translate revenues and expenses, as well as assets and liabilities, into U.S. dollars. Accordingly, increases or decreases in the value of the U.S. dollar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8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gross revenue and operating income caused by fluctuations in foreign currency rates during the three and nine months ended September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center"/>
              <w:ind w:right="163"/>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gross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4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0" w:type="dxa"/>
            <w:vAlign w:val="bottom"/>
            <w:tcBorders>
              <w:right w:val="single" w:sz="8" w:color="auto"/>
            </w:tcBorders>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would have on actual gross revenue and operating income for the three and nine months ended September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center"/>
              <w:ind w:right="163"/>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center"/>
              <w:ind w:right="184"/>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3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10% change on gross revenue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$ 18,000</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$ 11,400</w:t>
            </w:r>
          </w:p>
        </w:tc>
        <w:tc>
          <w:tcPr>
            <w:tcW w:w="200" w:type="dxa"/>
            <w:vAlign w:val="bottom"/>
            <w:tcBorders>
              <w:right w:val="single" w:sz="8" w:color="auto"/>
            </w:tcBorders>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September 30, 2019 and December 31, 2018, the notional amount of our foreign currency forward contracts was $82.5 million and $1.7 million, respectively.</w:t>
      </w:r>
    </w:p>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At September 30, 2019 and December 31, 2018, we established an allowance for doubtful accounts of $1.3 million and $1.2 million, respectively, with regard to these receivables.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8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16 – Credit Risk to our unaudited consolidated financial statements included elsewhere in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324"/>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and with the participation of our Chief Executive Officer and Chief Financial Officer,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September 30, 2019 that have materially affected, or that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legal proceedings previously disclosed under the heading “Business— Legal Proceedings” in the October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October Prospectus, which is accessible on the SEC’s website at www.sec.gov.</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are providing the following disclosure in lieu of filing a Current Report on Form 8-K relating to Item 1.01—Entry into a Material Definitive Agreement of Form 8-K.</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Revolving Credit Facility Amendment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On November 7, 2019, TWM LLC entered into that certain First Amendment to Credit Agreement (the “First Amendment”) among TWM LLC and the lenders party thereto, which First Amendment amends that certain Credit Agreement (the “Credit Agreement”), dated as of April 8, 2019, among TWM LLC, the lenders party thereto and Citibank, N.A., as administrative agent, collateral agent, issuing bank and swing line lender. The First Amendment revises the Credit Agreement to permit the LSEG Transaction. The First Amendment does not otherwise impact the terms of the Credit Agreement and does not impact the amount of borrowings available to TWM LLC under the Credit Agreement.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the LSEG Transaction, see Note 1—Organization to our unaudited consolidated financial statements included elsewhere in this Quarterly Report on Form 10-Q. For a summary of the material terms of the Credit Agreement, see “Management’s Discussion and Analysis of Financial Condition—Liquidity and Capital Resources—Factors Influencing Our Liquidity and Capital Resources—Indebtedness.”</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Amendment does not purport to be complete and is subject to, and qualified in its entirety by, the full text of the First Amendment, a copy of which is filed herewith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900" w:type="dxa"/>
            <w:vAlign w:val="bottom"/>
            <w:tcBorders>
              <w:bottom w:val="single" w:sz="8" w:color="auto"/>
            </w:tcBorders>
            <w:gridSpan w:val="10"/>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700" w:type="dxa"/>
            <w:vAlign w:val="bottom"/>
            <w:gridSpan w:val="12"/>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Amendment No.1, dated as of November 7, 2019, among Tradeweb Markets LLC and each lender party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thereto, relating to Credit Agreement, dated as of April 8, 2019, among Tradeweb Markets LLC, the</w:t>
              </w:r>
            </w:hyperlink>
          </w:p>
        </w:tc>
        <w:tc>
          <w:tcPr>
            <w:tcW w:w="28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lenders party thereto and Citibank, N.A., as administrative agent, collateral agent, issuing bank and swing</w:t>
              </w:r>
            </w:hyperlink>
          </w:p>
        </w:tc>
        <w:tc>
          <w:tcPr>
            <w:tcW w:w="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gridSpan w:val="12"/>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line lender.</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700" w:type="dxa"/>
            <w:vAlign w:val="bottom"/>
            <w:gridSpan w:val="12"/>
          </w:tcPr>
          <w:p>
            <w:pPr>
              <w:spacing w:after="0" w:line="207"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Certification of Chief Executive Officer pursuant to 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or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of the Securities</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Exchange Act of 1934, as amended, as adopted pursuant to Section 302 of the Sarbanes-Oxley Act of</w:t>
              </w:r>
            </w:hyperlink>
          </w:p>
        </w:tc>
        <w:tc>
          <w:tcPr>
            <w:tcW w:w="3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93">
              <w:r>
                <w:rPr>
                  <w:rFonts w:ascii="Times New Roman" w:cs="Times New Roman" w:eastAsia="Times New Roman" w:hAnsi="Times New Roman"/>
                  <w:sz w:val="18"/>
                  <w:szCs w:val="18"/>
                  <w:color w:val="0000EE"/>
                  <w:w w:val="98"/>
                </w:rPr>
                <w:t>2002.</w:t>
              </w:r>
            </w:hyperlink>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040" w:type="dxa"/>
            <w:vAlign w:val="bottom"/>
            <w:tcBorders>
              <w:bottom w:val="single" w:sz="8" w:color="0000EE"/>
            </w:tcBorders>
            <w:gridSpan w:val="5"/>
          </w:tcPr>
          <w:p>
            <w:pPr>
              <w:spacing w:after="0" w:line="207"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Certification of Chief Financial Officer pursuant to 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or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of the Securities</w:t>
              </w:r>
            </w:hyperlink>
          </w:p>
        </w:tc>
        <w:tc>
          <w:tcPr>
            <w:tcW w:w="6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Exchange Act of 1934, as amended, as adopted pursuant to Section 302 of the Sarbanes-Oxley Act of</w:t>
              </w:r>
            </w:hyperlink>
          </w:p>
        </w:tc>
        <w:tc>
          <w:tcPr>
            <w:tcW w:w="3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2002.</w:t>
              </w:r>
            </w:hyperlink>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700" w:type="dxa"/>
            <w:vAlign w:val="bottom"/>
            <w:gridSpan w:val="12"/>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Certification of Chief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Section 906 of the Sarbanes-Oxley Act of 2002.</w:t>
              </w:r>
            </w:hyperlink>
          </w:p>
        </w:tc>
        <w:tc>
          <w:tcPr>
            <w:tcW w:w="3700" w:type="dxa"/>
            <w:vAlign w:val="bottom"/>
            <w:tcBorders>
              <w:top w:val="single" w:sz="8" w:color="0000EE"/>
            </w:tcBorders>
            <w:gridSpan w:val="3"/>
          </w:tcPr>
          <w:p>
            <w:pPr>
              <w:spacing w:after="0"/>
              <w:rPr>
                <w:sz w:val="17"/>
                <w:szCs w:val="17"/>
                <w:color w:val="auto"/>
              </w:rPr>
            </w:pPr>
          </w:p>
        </w:tc>
        <w:tc>
          <w:tcPr>
            <w:tcW w:w="520" w:type="dxa"/>
            <w:vAlign w:val="bottom"/>
            <w:gridSpan w:val="5"/>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Certification of Chief Financial Officer pursuant to 18 U.S.C. Section 1350, as adopted pursuant to</w:t>
              </w:r>
            </w:hyperlink>
          </w:p>
        </w:tc>
        <w:tc>
          <w:tcPr>
            <w:tcW w:w="56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gridSpan w:val="12"/>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Section 906 of the Sarbanes-Oxley Act of 2002.</w:t>
              </w:r>
            </w:hyperlink>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240" w:type="dxa"/>
            <w:vAlign w:val="bottom"/>
            <w:gridSpan w:val="9"/>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TRADEWEB MARKETS INC.</w:t>
            </w:r>
          </w:p>
        </w:tc>
      </w:tr>
      <w:tr>
        <w:trPr>
          <w:trHeight w:val="64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1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Olesky</w:t>
            </w:r>
          </w:p>
        </w:tc>
      </w:tr>
      <w:tr>
        <w:trPr>
          <w:trHeight w:val="191"/>
        </w:trPr>
        <w:tc>
          <w:tcPr>
            <w:tcW w:w="2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Lee Olesky</w:t>
            </w:r>
          </w:p>
        </w:tc>
      </w:tr>
      <w:tr>
        <w:trPr>
          <w:trHeight w:val="234"/>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64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1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Warshaw</w:t>
            </w:r>
          </w:p>
        </w:tc>
      </w:tr>
      <w:tr>
        <w:trPr>
          <w:trHeight w:val="191"/>
        </w:trPr>
        <w:tc>
          <w:tcPr>
            <w:tcW w:w="2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Robert Warshaw</w:t>
            </w:r>
          </w:p>
        </w:tc>
      </w:tr>
      <w:tr>
        <w:trPr>
          <w:trHeight w:val="234"/>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64"/>
        </w:trPr>
        <w:tc>
          <w:tcPr>
            <w:tcW w:w="2900" w:type="dxa"/>
            <w:vAlign w:val="bottom"/>
          </w:tcPr>
          <w:p>
            <w:pPr>
              <w:spacing w:after="0"/>
              <w:rPr>
                <w:sz w:val="24"/>
                <w:szCs w:val="24"/>
                <w:color w:val="auto"/>
              </w:rPr>
            </w:pPr>
          </w:p>
        </w:tc>
        <w:tc>
          <w:tcPr>
            <w:tcW w:w="6160" w:type="dxa"/>
            <w:vAlign w:val="bottom"/>
            <w:gridSpan w:val="2"/>
          </w:tcPr>
          <w:p>
            <w:pPr>
              <w:jc w:val="right"/>
              <w:ind w:right="4350"/>
              <w:spacing w:after="0"/>
              <w:rPr>
                <w:sz w:val="20"/>
                <w:szCs w:val="20"/>
                <w:color w:val="auto"/>
              </w:rPr>
            </w:pPr>
            <w:r>
              <w:rPr>
                <w:rFonts w:ascii="Times New Roman" w:cs="Times New Roman" w:eastAsia="Times New Roman" w:hAnsi="Times New Roman"/>
                <w:sz w:val="18"/>
                <w:szCs w:val="18"/>
                <w:color w:val="auto"/>
              </w:rPr>
              <w:t>78</w:t>
            </w:r>
          </w:p>
        </w:tc>
      </w:tr>
      <w:tr>
        <w:trPr>
          <w:trHeight w:val="561"/>
        </w:trPr>
        <w:tc>
          <w:tcPr>
            <w:tcW w:w="2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AMENDMENT NO. 1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November 7, 2019, among Tradeweb Markets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Lender party hereto (constituting the Required Lenders), relating to the Credit Agreement, dated as of April 8, 2019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among the Borrower, the Lenders party thereto, and Citibank, N.A., as Administrative Agent, Collateral Agent, Issuing Bank and Swing Line Lender.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WHEREAS, pursuant to Section 9.02(b) of the Existing Credit Agreement, the Borrower has requested an amendment to the Existing Credit Agreement to effect the changes described in Section 2 of this Amendment; and</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0"/>
          <w:szCs w:val="20"/>
          <w:color w:val="auto"/>
        </w:rPr>
        <w:t>WHEREAS, the Borrower and the Lenders party hereto which constitute the Required Lenders (the “</w:t>
      </w:r>
      <w:r>
        <w:rPr>
          <w:rFonts w:ascii="Times New Roman" w:cs="Times New Roman" w:eastAsia="Times New Roman" w:hAnsi="Times New Roman"/>
          <w:sz w:val="20"/>
          <w:szCs w:val="20"/>
          <w:u w:val="single" w:color="auto"/>
          <w:color w:val="auto"/>
        </w:rPr>
        <w:t>Consenting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have agreed to make the changes described in Section 2 of this Amendment as of the Amendment No. 1 Effective Date (as defined below), subject to the terms and conditions set forth herein.</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NOW THEREFORE, the parties hereto therefore agree as follows:</w:t>
      </w:r>
    </w:p>
    <w:p>
      <w:pPr>
        <w:spacing w:after="0" w:line="1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i w:val="1"/>
          <w:iCs w:val="1"/>
          <w:color w:val="auto"/>
        </w:rPr>
        <w:t>. Defined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specifically defined herein, each term used herein that 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Existing Credit Agreement has the meaning assigned to such term in the Existing Credit Agreement.</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Amendments to Existing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Existing Credit Agreement is, as of the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1 Effective Date and subject to the satisfaction of the conditions precedent set forth in Section 4 of this Amendment, hereby amended (the Existing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as follows:</w:t>
      </w:r>
    </w:p>
    <w:p>
      <w:pPr>
        <w:spacing w:after="0" w:line="130" w:lineRule="exact"/>
        <w:rPr>
          <w:sz w:val="20"/>
          <w:szCs w:val="20"/>
          <w:color w:val="auto"/>
        </w:rPr>
      </w:pPr>
    </w:p>
    <w:p>
      <w:pPr>
        <w:ind w:left="840"/>
        <w:spacing w:after="0"/>
        <w:tabs>
          <w:tab w:leader="none" w:pos="1220" w:val="left"/>
        </w:tabs>
        <w:rPr>
          <w:sz w:val="20"/>
          <w:szCs w:val="20"/>
          <w:color w:val="auto"/>
        </w:rPr>
      </w:pPr>
      <w:r>
        <w:rPr>
          <w:rFonts w:ascii="Times New Roman" w:cs="Times New Roman" w:eastAsia="Times New Roman" w:hAnsi="Times New Roman"/>
          <w:sz w:val="20"/>
          <w:szCs w:val="20"/>
          <w:color w:val="auto"/>
        </w:rPr>
        <w:t>(a)</w:t>
        <w:tab/>
        <w:t>The definition of “Investors” in the Existing Credit Agreement shall be replaced in its entirety with the</w:t>
      </w: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153" w:lineRule="exact"/>
        <w:rPr>
          <w:sz w:val="20"/>
          <w:szCs w:val="20"/>
          <w:color w:val="auto"/>
        </w:rPr>
      </w:pPr>
    </w:p>
    <w:p>
      <w:pPr>
        <w:jc w:val="both"/>
        <w:ind w:left="640"/>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 means each of (a) the Blackstone Funds and any of their Affiliates (other than any portfolio operating companies), (b) the CPPIB Funds and any of their Affiliates (other than any portfolio operating companies), (c) the GIC Funds and any of its Affiliates (other than any portfolio operating companies), (d) Refinitiv Holdings Ltd. (formerly known as King (Cayman) Holdings Ltd.) and any of its controlled Affiliates and any of their respective Subsidiaries, or (e) London Stock Exchange Group PLC and any of its controlled Affiliates.</w:t>
      </w:r>
    </w:p>
    <w:p>
      <w:pPr>
        <w:spacing w:after="0" w:line="14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i w:val="1"/>
          <w:iCs w:val="1"/>
          <w:color w:val="auto"/>
        </w:rPr>
        <w:t>. Representations of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hereby represents and warrants to the Consenting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that:</w:t>
      </w:r>
    </w:p>
    <w:p>
      <w:pPr>
        <w:spacing w:after="0" w:line="148" w:lineRule="exact"/>
        <w:rPr>
          <w:sz w:val="20"/>
          <w:szCs w:val="20"/>
          <w:color w:val="auto"/>
        </w:rPr>
      </w:pPr>
    </w:p>
    <w:p>
      <w:pPr>
        <w:ind w:left="560" w:firstLine="849"/>
        <w:spacing w:after="0" w:line="233" w:lineRule="auto"/>
        <w:tabs>
          <w:tab w:leader="none" w:pos="172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Amendment are within the Borrower’s corporate or other powers and have been duly authorized by all necessary corporate or other action.</w:t>
      </w:r>
    </w:p>
    <w:p>
      <w:pPr>
        <w:spacing w:after="0" w:line="147" w:lineRule="exact"/>
        <w:rPr>
          <w:rFonts w:ascii="Times New Roman" w:cs="Times New Roman" w:eastAsia="Times New Roman" w:hAnsi="Times New Roman"/>
          <w:sz w:val="20"/>
          <w:szCs w:val="20"/>
          <w:color w:val="auto"/>
        </w:rPr>
      </w:pPr>
    </w:p>
    <w:p>
      <w:pPr>
        <w:jc w:val="both"/>
        <w:ind w:left="560" w:firstLine="849"/>
        <w:spacing w:after="0" w:line="211" w:lineRule="auto"/>
        <w:tabs>
          <w:tab w:leader="none" w:pos="18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 is duly organized, validly existing and in good standing under the laws of the jurisdiction of its organization, (b) has all requisite corporate power and authority to carry on its business as now conducted except where the failure to have the same would not reasonably be expected to have Material Adverse Effect and (c) is qualified to do business in, and (where such concept exists) is in good standing (or its equivalent, if any) in, every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0" w:right="919" w:bottom="1440" w:gutter="0" w:footer="0" w:header="0"/>
        </w:sectPr>
      </w:pPr>
    </w:p>
    <w:bookmarkStart w:id="79" w:name="page80"/>
    <w:bookmarkEnd w:id="79"/>
    <w:p>
      <w:pPr>
        <w:ind w:left="560"/>
        <w:spacing w:after="0" w:line="233" w:lineRule="auto"/>
        <w:rPr>
          <w:sz w:val="20"/>
          <w:szCs w:val="20"/>
          <w:color w:val="auto"/>
        </w:rPr>
      </w:pPr>
      <w:r>
        <w:rPr>
          <w:rFonts w:ascii="Times New Roman" w:cs="Times New Roman" w:eastAsia="Times New Roman" w:hAnsi="Times New Roman"/>
          <w:sz w:val="20"/>
          <w:szCs w:val="20"/>
          <w:color w:val="auto"/>
        </w:rPr>
        <w:t>where such qualification is required except where the failure to be so qualified or to be (where such concept exists) in good standing (or its equivalent, if any) would not reasonably be expected to have a Material Adverse Effect.</w:t>
      </w:r>
    </w:p>
    <w:p>
      <w:pPr>
        <w:spacing w:after="0" w:line="147" w:lineRule="exact"/>
        <w:rPr>
          <w:sz w:val="20"/>
          <w:szCs w:val="20"/>
          <w:color w:val="auto"/>
        </w:rPr>
      </w:pPr>
    </w:p>
    <w:p>
      <w:pPr>
        <w:jc w:val="both"/>
        <w:ind w:left="560" w:firstLine="849"/>
        <w:spacing w:after="0" w:line="215" w:lineRule="auto"/>
        <w:tabs>
          <w:tab w:leader="none" w:pos="175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48" w:lineRule="exact"/>
        <w:rPr>
          <w:rFonts w:ascii="Times New Roman" w:cs="Times New Roman" w:eastAsia="Times New Roman" w:hAnsi="Times New Roman"/>
          <w:sz w:val="20"/>
          <w:szCs w:val="20"/>
          <w:color w:val="auto"/>
        </w:rPr>
      </w:pPr>
    </w:p>
    <w:p>
      <w:pPr>
        <w:jc w:val="both"/>
        <w:ind w:left="560" w:firstLine="849"/>
        <w:spacing w:after="0" w:line="204" w:lineRule="auto"/>
        <w:tabs>
          <w:tab w:leader="none" w:pos="179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Amendment by the Borrower (a) do not require any consent or approval of, registration or filing with, or any other action by, any Governmental Authority, except such as have been, or will be by the time required, obtained or made and are, or will be by the time required, in full force and effect,</w:t>
      </w:r>
    </w:p>
    <w:p>
      <w:pPr>
        <w:spacing w:after="0" w:line="2" w:lineRule="exact"/>
        <w:rPr>
          <w:rFonts w:ascii="Times New Roman" w:cs="Times New Roman" w:eastAsia="Times New Roman" w:hAnsi="Times New Roman"/>
          <w:sz w:val="20"/>
          <w:szCs w:val="20"/>
          <w:color w:val="auto"/>
        </w:rPr>
      </w:pPr>
    </w:p>
    <w:p>
      <w:pPr>
        <w:jc w:val="both"/>
        <w:ind w:left="560" w:firstLine="7"/>
        <w:spacing w:after="0" w:line="204" w:lineRule="auto"/>
        <w:tabs>
          <w:tab w:leader="none" w:pos="87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not violate the Organizational Documents of the Borrower, (c) will not violate any Requirement of Law applicable to the Borrower, (d) will not violate or result in a default under any indenture, agreement or other instrument binding upon the Borrower or its assets, or give rise to a right thereunder to require any payment to be made by the Borrower or give rise to a right of, or result in, termination, cancellation or acceleration of any obligation thereunder, and (e) will not result in the creation or imposition of any Lien on any asset of the Borrower, except Liens permitted by Section 6.02 of the Existing Credit Agreement, except,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for any such violations, defaults or rights that, would not reasonably be expected to have a Material Adverse Effect.</w:t>
      </w:r>
    </w:p>
    <w:p>
      <w:pPr>
        <w:spacing w:after="0" w:line="149" w:lineRule="exact"/>
        <w:rPr>
          <w:rFonts w:ascii="Times New Roman" w:cs="Times New Roman" w:eastAsia="Times New Roman" w:hAnsi="Times New Roman"/>
          <w:sz w:val="20"/>
          <w:szCs w:val="20"/>
          <w:color w:val="auto"/>
        </w:rPr>
      </w:pPr>
    </w:p>
    <w:p>
      <w:pPr>
        <w:jc w:val="both"/>
        <w:ind w:left="560" w:firstLine="849"/>
        <w:spacing w:after="0" w:line="211" w:lineRule="auto"/>
        <w:tabs>
          <w:tab w:leader="none" w:pos="172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contained in Article III of the Existing Credit Agreement are true and correct in all material respects (and in all respects if any such representation or warranty is already qualified by materiality) on and as of the Amendment No. 1 Effective Date, except to the extent that such representations and warranties specifically refer to an earlier date, in which case they were true and correct in all material respects (and in all respects if any such representation or warranty is already qualified by materiality) as of such earlier date.</w:t>
      </w:r>
    </w:p>
    <w:p>
      <w:pPr>
        <w:spacing w:after="0" w:line="14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i w:val="1"/>
          <w:iCs w:val="1"/>
          <w:color w:val="auto"/>
        </w:rPr>
        <w:t>. Conditions to the Amendment No. 1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become effective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date (the “</w:t>
      </w:r>
      <w:r>
        <w:rPr>
          <w:rFonts w:ascii="Times New Roman" w:cs="Times New Roman" w:eastAsia="Times New Roman" w:hAnsi="Times New Roman"/>
          <w:sz w:val="20"/>
          <w:szCs w:val="20"/>
          <w:u w:val="single" w:color="auto"/>
          <w:color w:val="auto"/>
        </w:rPr>
        <w:t>Amendment No. 1 Effective Date</w:t>
      </w:r>
      <w:r>
        <w:rPr>
          <w:rFonts w:ascii="Times New Roman" w:cs="Times New Roman" w:eastAsia="Times New Roman" w:hAnsi="Times New Roman"/>
          <w:sz w:val="20"/>
          <w:szCs w:val="20"/>
          <w:color w:val="auto"/>
        </w:rPr>
        <w:t>”) when each of the following conditions shall have been satisfied:</w:t>
      </w:r>
    </w:p>
    <w:p>
      <w:pPr>
        <w:spacing w:after="0" w:line="148" w:lineRule="exact"/>
        <w:rPr>
          <w:sz w:val="20"/>
          <w:szCs w:val="20"/>
          <w:color w:val="auto"/>
        </w:rPr>
      </w:pPr>
    </w:p>
    <w:p>
      <w:pPr>
        <w:ind w:left="560" w:firstLine="574"/>
        <w:spacing w:after="0" w:line="233" w:lineRule="auto"/>
        <w:tabs>
          <w:tab w:leader="none" w:pos="172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(i) the Borrower and (ii) each Consenting Lender an executed counterpart hereof.</w:t>
      </w:r>
    </w:p>
    <w:p>
      <w:pPr>
        <w:spacing w:after="0" w:line="147" w:lineRule="exact"/>
        <w:rPr>
          <w:rFonts w:ascii="Times New Roman" w:cs="Times New Roman" w:eastAsia="Times New Roman" w:hAnsi="Times New Roman"/>
          <w:sz w:val="20"/>
          <w:szCs w:val="20"/>
          <w:color w:val="auto"/>
        </w:rPr>
      </w:pPr>
    </w:p>
    <w:p>
      <w:pPr>
        <w:jc w:val="both"/>
        <w:ind w:left="560" w:firstLine="574"/>
        <w:spacing w:after="0" w:line="221" w:lineRule="auto"/>
        <w:tabs>
          <w:tab w:leader="none" w:pos="181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and immediately after giving effect to this Amendment, (i) the conditions set forth in Section 4.02(a) and (b) of the Existing Credit Agreement shall have been satisfied and (ii) the representations and warranties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Amendment shall be true and correct in all material respects.</w:t>
      </w:r>
    </w:p>
    <w:p>
      <w:pPr>
        <w:spacing w:after="0" w:line="144"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i w:val="1"/>
          <w:iCs w:val="1"/>
          <w:color w:val="auto"/>
        </w:rPr>
        <w:t>. Acknowledgment of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party hereto expressly acknowledges that neither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nor any of its Affiliates nor any of its respective officers, directors, employees, agents or attorneys-in-fact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party hereto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enter into this Amendment. Each</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80" w:name="page81"/>
    <w:bookmarkEnd w:id="80"/>
    <w:p>
      <w:pPr>
        <w:jc w:val="both"/>
        <w:spacing w:after="0" w:line="201" w:lineRule="auto"/>
        <w:rPr>
          <w:sz w:val="20"/>
          <w:szCs w:val="20"/>
          <w:color w:val="auto"/>
        </w:rPr>
      </w:pPr>
      <w:r>
        <w:rPr>
          <w:rFonts w:ascii="Times New Roman" w:cs="Times New Roman" w:eastAsia="Times New Roman" w:hAnsi="Times New Roman"/>
          <w:sz w:val="20"/>
          <w:szCs w:val="20"/>
          <w:color w:val="auto"/>
        </w:rPr>
        <w:t>Lender party hereto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the Amended Credit Agreement and the other Loan Documents, and to make such investigation as it deems necessary to inform itself as to the business, operations, property, financial and other condition and creditworthiness of the Loan Parties and their affiliates. Each Lender party hereto hereby (a) confirms that it has received a copy of the Amended Credit Agreement and each other Loan Document and such other documents (including financial statements) and information as it deems appropriate to make its decision to enter into this Amendment, (b) agrees that it shall be bound by the terms of the Amended Credit Agreement as a Lender thereunder and that it will perform in accordance with their terms all of the obligations which by the terms of the Loan Documents are required to be performed by it as a Lender, (c) irrevocably designates and appoints the Administrative Agent as the agent of such Lender under the Amended Credit Agreement and the other Loan Documents, and each such Lender irrevocably authorizes the Administrative Agent, in such capacity, to take such action on its behalf under the provisions of the Amended Credit Agreement and the other Loan Documents and to exercise such powers and perform such duties as are delegated to the Administrative Agent by the terms of the Amended Credit Agreement and the other Loan Documents, together with such other powers as are reasonably incidental thereto and (d) acknowledges that this Amendment is a “Loan Document” for all purposes of the Amended Credit Agreement and the other Loan Documents.</w:t>
      </w:r>
    </w:p>
    <w:p>
      <w:pPr>
        <w:spacing w:after="0" w:line="15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governed by and construed and interpreted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the State of New York.</w:t>
      </w:r>
    </w:p>
    <w:p>
      <w:pPr>
        <w:spacing w:after="0" w:line="14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i w:val="1"/>
          <w:iCs w:val="1"/>
          <w:color w:val="auto"/>
        </w:rPr>
        <w:t>. Fees &amp;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hereby reconfirms its respective obligations pursuant to Section 9.03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Amended Credit Agreement to pay all reasonable and documented out-of-pocket expenses incurred by the Administrative Agent in connection with this Amendment. In addition (and without limiting the foregoing), the Borrower agrees to reimburse the Administrative Agent for its reasonable out-of-pocket expenses in connection with this Amendment, including the reasonable fees, charges and disbursements of Cahill Gordon &amp; Reindel LLP, counsel for the Administrative Agent. The Borrower hereby confirms that the indemnification provisions set forth in Section 9.03 of the Amended Credit Agreement shall apply to this Amendment and the consummation and administration of the transactions contemplated hereby, and such liabilities, obligations, losses, damages, penalties, claims, demands, actions, judgments, suits, costs (including settlement costs) expenses and disbursements (including fees, disbursements and charges of counsel) (as more fully set forth therein as applicable) which may arise herefrom or in connection herewith.</w:t>
      </w:r>
    </w:p>
    <w:p>
      <w:pPr>
        <w:spacing w:after="0" w:line="152"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Amended Credit Agreement Governs</w:t>
      </w:r>
      <w:r>
        <w:rPr>
          <w:rFonts w:ascii="Times New Roman" w:cs="Times New Roman" w:eastAsia="Times New Roman" w:hAnsi="Times New Roman"/>
          <w:sz w:val="20"/>
          <w:szCs w:val="20"/>
          <w:color w:val="auto"/>
        </w:rPr>
        <w:t>. Except as expressly set forth herein, this Amendment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implication or otherwise limit, impair, constitute a waiver of or otherwise affect the rights and remedies of any Lender or the Administrative Agent under the Amended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Amended Credit Agreement or any other Loan Document in similar or different circumstances.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i w:val="1"/>
          <w:iCs w:val="1"/>
          <w:color w:val="auto"/>
        </w:rPr>
        <w:t>.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may be signed in any number of counterparts, each of which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original, with the same effect as if the signatures thereto and hereto were upon the same instrument. Delivery of an executed counterpart of a signature page to this Amendment by facsimile or electronic (i.e., “pdf” or “tif”) transmission shall be effective as delivery of a manually executed counterpart of this Amendment.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81" w:name="page82"/>
    <w:bookmarkEnd w:id="81"/>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10</w:t>
      </w:r>
      <w:r>
        <w:rPr>
          <w:rFonts w:ascii="Times New Roman" w:cs="Times New Roman" w:eastAsia="Times New Roman" w:hAnsi="Times New Roman"/>
          <w:sz w:val="20"/>
          <w:szCs w:val="20"/>
          <w:i w:val="1"/>
          <w:iCs w:val="1"/>
          <w:color w:val="auto"/>
        </w:rPr>
        <w:t>. 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constitute a “Loan Document” for all purposes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Credit Agreement and the other Loan Documents.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0" w:right="919" w:bottom="1440" w:gutter="0" w:footer="0" w:header="0"/>
        </w:sectPr>
      </w:pPr>
    </w:p>
    <w:bookmarkStart w:id="82" w:name="page83"/>
    <w:bookmarkEnd w:id="82"/>
    <w:p>
      <w:pPr>
        <w:ind w:firstLine="648"/>
        <w:spacing w:after="0" w:line="23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as of the date first above written.</w:t>
      </w:r>
    </w:p>
    <w:p>
      <w:pPr>
        <w:spacing w:after="0" w:line="1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TRADEWEB MARKETS LLC</w:t>
      </w:r>
    </w:p>
    <w:p>
      <w:pPr>
        <w:spacing w:after="0" w:line="30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By /s/ Douglas Friedman</w:t>
      </w:r>
    </w:p>
    <w:p>
      <w:pPr>
        <w:ind w:left="5380"/>
        <w:spacing w:after="0" w:line="197" w:lineRule="auto"/>
        <w:rPr>
          <w:sz w:val="20"/>
          <w:szCs w:val="20"/>
          <w:color w:val="auto"/>
        </w:rPr>
      </w:pPr>
      <w:r>
        <w:rPr>
          <w:rFonts w:ascii="Times New Roman" w:cs="Times New Roman" w:eastAsia="Times New Roman" w:hAnsi="Times New Roman"/>
          <w:sz w:val="20"/>
          <w:szCs w:val="20"/>
          <w:color w:val="auto"/>
        </w:rPr>
        <w:t>Name: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-118745</wp:posOffset>
            </wp:positionV>
            <wp:extent cx="2975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920" w:top="104" w:right="1319" w:bottom="1440" w:gutter="0" w:footer="0" w:header="0"/>
        </w:sectPr>
      </w:pPr>
    </w:p>
    <w:bookmarkStart w:id="83" w:name="page84"/>
    <w:bookmarkEnd w:id="83"/>
    <w:p>
      <w:pPr>
        <w:jc w:val="right"/>
        <w:ind w:right="1019"/>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Consenting Lender</w:t>
      </w:r>
    </w:p>
    <w:p>
      <w:pPr>
        <w:spacing w:after="0" w:line="3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Caesar Wyszomirski</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Caesar Wyszomirski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84" w:name="page85"/>
    <w:bookmarkEnd w:id="84"/>
    <w:p>
      <w:pPr>
        <w:ind w:left="4560"/>
        <w:spacing w:after="0"/>
        <w:rPr>
          <w:sz w:val="20"/>
          <w:szCs w:val="20"/>
          <w:color w:val="auto"/>
        </w:rPr>
      </w:pPr>
      <w:r>
        <w:rPr>
          <w:rFonts w:ascii="Times New Roman" w:cs="Times New Roman" w:eastAsia="Times New Roman" w:hAnsi="Times New Roman"/>
          <w:sz w:val="19"/>
          <w:szCs w:val="19"/>
          <w:color w:val="auto"/>
        </w:rPr>
        <w:t>JPMORGAN CHASE BANK, N.A.,</w:t>
      </w:r>
    </w:p>
    <w:p>
      <w:pPr>
        <w:ind w:left="4560"/>
        <w:spacing w:after="0"/>
        <w:rPr>
          <w:sz w:val="20"/>
          <w:szCs w:val="20"/>
          <w:color w:val="auto"/>
        </w:rPr>
      </w:pPr>
      <w:r>
        <w:rPr>
          <w:rFonts w:ascii="Times New Roman" w:cs="Times New Roman" w:eastAsia="Times New Roman" w:hAnsi="Times New Roman"/>
          <w:sz w:val="20"/>
          <w:szCs w:val="20"/>
          <w:color w:val="auto"/>
        </w:rPr>
        <w:t>as a Consenting Lender</w:t>
      </w:r>
    </w:p>
    <w:p>
      <w:pPr>
        <w:spacing w:after="0" w:line="2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Sarah Tarantino</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Sarah Tarantino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85" w:name="page86"/>
    <w:bookmarkEnd w:id="85"/>
    <w:p>
      <w:pPr>
        <w:ind w:left="4560"/>
        <w:spacing w:after="0"/>
        <w:rPr>
          <w:sz w:val="20"/>
          <w:szCs w:val="20"/>
          <w:color w:val="auto"/>
        </w:rPr>
      </w:pPr>
      <w:r>
        <w:rPr>
          <w:rFonts w:ascii="Times New Roman" w:cs="Times New Roman" w:eastAsia="Times New Roman" w:hAnsi="Times New Roman"/>
          <w:sz w:val="20"/>
          <w:szCs w:val="20"/>
          <w:color w:val="auto"/>
        </w:rPr>
        <w:t>Morgan Stanley Bank N.A.,</w:t>
      </w:r>
    </w:p>
    <w:p>
      <w:pPr>
        <w:ind w:left="4560"/>
        <w:spacing w:after="0"/>
        <w:rPr>
          <w:sz w:val="20"/>
          <w:szCs w:val="20"/>
          <w:color w:val="auto"/>
        </w:rPr>
      </w:pPr>
      <w:r>
        <w:rPr>
          <w:rFonts w:ascii="Times New Roman" w:cs="Times New Roman" w:eastAsia="Times New Roman" w:hAnsi="Times New Roman"/>
          <w:sz w:val="20"/>
          <w:szCs w:val="20"/>
          <w:color w:val="auto"/>
        </w:rPr>
        <w:t>as a Consenting Lender</w:t>
      </w:r>
    </w:p>
    <w:p>
      <w:pPr>
        <w:spacing w:after="0" w:line="2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Alice Lee</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Alice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right"/>
        <w:ind w:right="1899"/>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73" w:right="1440" w:bottom="1440" w:gutter="0" w:footer="0" w:header="0"/>
        </w:sectPr>
      </w:pPr>
    </w:p>
    <w:bookmarkStart w:id="86" w:name="page87"/>
    <w:bookmarkEnd w:id="86"/>
    <w:p>
      <w:pPr>
        <w:jc w:val="right"/>
        <w:ind w:right="339"/>
        <w:spacing w:after="0"/>
        <w:rPr>
          <w:sz w:val="20"/>
          <w:szCs w:val="20"/>
          <w:color w:val="auto"/>
        </w:rPr>
      </w:pPr>
      <w:r>
        <w:rPr>
          <w:rFonts w:ascii="Times New Roman" w:cs="Times New Roman" w:eastAsia="Times New Roman" w:hAnsi="Times New Roman"/>
          <w:sz w:val="20"/>
          <w:szCs w:val="20"/>
          <w:color w:val="auto"/>
        </w:rPr>
        <w:t>Goldman Sachs Bank USA, as a Consenting Lender</w:t>
      </w:r>
    </w:p>
    <w:p>
      <w:pPr>
        <w:spacing w:after="0" w:line="3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Jamie Minieri</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87" w:name="page88"/>
    <w:bookmarkEnd w:id="87"/>
    <w:p>
      <w:pPr>
        <w:jc w:val="right"/>
        <w:ind w:right="1139"/>
        <w:spacing w:after="0"/>
        <w:rPr>
          <w:sz w:val="20"/>
          <w:szCs w:val="20"/>
          <w:color w:val="auto"/>
        </w:rPr>
      </w:pPr>
      <w:r>
        <w:rPr>
          <w:rFonts w:ascii="Times New Roman" w:cs="Times New Roman" w:eastAsia="Times New Roman" w:hAnsi="Times New Roman"/>
          <w:sz w:val="20"/>
          <w:szCs w:val="20"/>
          <w:color w:val="auto"/>
        </w:rPr>
        <w:t>Bank of America, as a Consenting Lender</w:t>
      </w:r>
    </w:p>
    <w:p>
      <w:pPr>
        <w:spacing w:after="0" w:line="3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Sherman Wong</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Sherman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88" w:name="page89"/>
    <w:bookmarkEnd w:id="88"/>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BARCLAYS BANK PLC</w:t>
      </w:r>
      <w:r>
        <w:rPr>
          <w:rFonts w:ascii="Times New Roman" w:cs="Times New Roman" w:eastAsia="Times New Roman" w:hAnsi="Times New Roman"/>
          <w:sz w:val="20"/>
          <w:szCs w:val="20"/>
          <w:color w:val="auto"/>
        </w:rPr>
        <w:t>, as a Consenting Lender</w:t>
      </w:r>
    </w:p>
    <w:p>
      <w:pPr>
        <w:spacing w:after="0" w:line="3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Jake Lam</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Jake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Credit Suisse AG, Cayman Islands Branch </w:t>
      </w:r>
      <w:r>
        <w:rPr>
          <w:rFonts w:ascii="Times New Roman" w:cs="Times New Roman" w:eastAsia="Times New Roman" w:hAnsi="Times New Roman"/>
          <w:sz w:val="20"/>
          <w:szCs w:val="20"/>
          <w:color w:val="auto"/>
        </w:rPr>
        <w:t>as a Consenting</w:t>
      </w:r>
    </w:p>
    <w:p>
      <w:pPr>
        <w:ind w:left="4880"/>
        <w:spacing w:after="0"/>
        <w:rPr>
          <w:sz w:val="20"/>
          <w:szCs w:val="20"/>
          <w:color w:val="auto"/>
        </w:rPr>
      </w:pPr>
      <w:r>
        <w:rPr>
          <w:rFonts w:ascii="Times New Roman" w:cs="Times New Roman" w:eastAsia="Times New Roman" w:hAnsi="Times New Roman"/>
          <w:sz w:val="20"/>
          <w:szCs w:val="20"/>
          <w:color w:val="auto"/>
        </w:rPr>
        <w:t>Lender</w:t>
      </w:r>
    </w:p>
    <w:p>
      <w:pPr>
        <w:spacing w:after="0" w:line="2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Judith E. Smith</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Judith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Brady Bingham</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Brady Bingham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344805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60"/>
          </w:cols>
          <w:pgMar w:left="1440" w:top="273" w:right="999" w:bottom="1440" w:gutter="0" w:footer="0" w:header="0"/>
        </w:sectPr>
      </w:pPr>
    </w:p>
    <w:bookmarkStart w:id="90" w:name="page91"/>
    <w:bookmarkEnd w:id="90"/>
    <w:p>
      <w:pPr>
        <w:ind w:left="4560"/>
        <w:spacing w:after="0"/>
        <w:rPr>
          <w:sz w:val="20"/>
          <w:szCs w:val="20"/>
          <w:color w:val="auto"/>
        </w:rPr>
      </w:pPr>
      <w:r>
        <w:rPr>
          <w:rFonts w:ascii="Times New Roman" w:cs="Times New Roman" w:eastAsia="Times New Roman" w:hAnsi="Times New Roman"/>
          <w:sz w:val="19"/>
          <w:szCs w:val="19"/>
          <w:color w:val="auto"/>
        </w:rPr>
        <w:t>DEUTSCHE BANK AG NEW YORK BRANCH, as a</w:t>
      </w:r>
    </w:p>
    <w:p>
      <w:pPr>
        <w:ind w:left="4880"/>
        <w:spacing w:after="0"/>
        <w:rPr>
          <w:sz w:val="20"/>
          <w:szCs w:val="20"/>
          <w:color w:val="auto"/>
        </w:rPr>
      </w:pPr>
      <w:r>
        <w:rPr>
          <w:rFonts w:ascii="Times New Roman" w:cs="Times New Roman" w:eastAsia="Times New Roman" w:hAnsi="Times New Roman"/>
          <w:sz w:val="20"/>
          <w:szCs w:val="20"/>
          <w:color w:val="auto"/>
        </w:rPr>
        <w:t>Consenting Lender</w:t>
      </w:r>
    </w:p>
    <w:p>
      <w:pPr>
        <w:spacing w:after="0" w:line="2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Virginia Cosenza</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Ming K. Chu</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91" w:name="page92"/>
    <w:bookmarkEnd w:id="91"/>
    <w:p>
      <w:pPr>
        <w:ind w:left="4560"/>
        <w:spacing w:after="0"/>
        <w:rPr>
          <w:sz w:val="20"/>
          <w:szCs w:val="20"/>
          <w:color w:val="auto"/>
        </w:rPr>
      </w:pPr>
      <w:r>
        <w:rPr>
          <w:rFonts w:ascii="Times New Roman" w:cs="Times New Roman" w:eastAsia="Times New Roman" w:hAnsi="Times New Roman"/>
          <w:sz w:val="19"/>
          <w:szCs w:val="19"/>
          <w:color w:val="auto"/>
        </w:rPr>
        <w:t>Wells Fargo Bank, National Association, as a Consenting</w:t>
      </w:r>
    </w:p>
    <w:p>
      <w:pPr>
        <w:ind w:left="4880"/>
        <w:spacing w:after="0"/>
        <w:rPr>
          <w:sz w:val="20"/>
          <w:szCs w:val="20"/>
          <w:color w:val="auto"/>
        </w:rPr>
      </w:pPr>
      <w:r>
        <w:rPr>
          <w:rFonts w:ascii="Times New Roman" w:cs="Times New Roman" w:eastAsia="Times New Roman" w:hAnsi="Times New Roman"/>
          <w:sz w:val="20"/>
          <w:szCs w:val="20"/>
          <w:color w:val="auto"/>
        </w:rPr>
        <w:t>Lender</w:t>
      </w:r>
    </w:p>
    <w:p>
      <w:pPr>
        <w:spacing w:after="0" w:line="28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By:/s/ James Mastroianna</w:t>
      </w:r>
    </w:p>
    <w:p>
      <w:pPr>
        <w:ind w:left="4860"/>
        <w:spacing w:after="0" w:line="197" w:lineRule="auto"/>
        <w:rPr>
          <w:sz w:val="20"/>
          <w:szCs w:val="20"/>
          <w:color w:val="auto"/>
        </w:rPr>
      </w:pPr>
      <w:r>
        <w:rPr>
          <w:rFonts w:ascii="Times New Roman" w:cs="Times New Roman" w:eastAsia="Times New Roman" w:hAnsi="Times New Roman"/>
          <w:sz w:val="20"/>
          <w:szCs w:val="20"/>
          <w:color w:val="auto"/>
        </w:rPr>
        <w:t>Name: James Mastroianna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-118745</wp:posOffset>
            </wp:positionV>
            <wp:extent cx="29756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[Signature Page –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351790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100"/>
          </w:cols>
          <w:pgMar w:left="1440" w:top="285" w:right="13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Olesky, certify that:</w:t>
      </w:r>
    </w:p>
    <w:p>
      <w:pPr>
        <w:spacing w:after="0" w:line="171" w:lineRule="exact"/>
        <w:rPr>
          <w:sz w:val="20"/>
          <w:szCs w:val="20"/>
          <w:color w:val="auto"/>
        </w:rPr>
      </w:pPr>
    </w:p>
    <w:p>
      <w:pPr>
        <w:ind w:left="320" w:right="580" w:hanging="317"/>
        <w:spacing w:after="0" w:line="282"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2019 of Tradeweb Markets Inc.;</w:t>
      </w:r>
    </w:p>
    <w:p>
      <w:pPr>
        <w:spacing w:after="0" w:line="107" w:lineRule="exact"/>
        <w:rPr>
          <w:rFonts w:ascii="Times New Roman" w:cs="Times New Roman" w:eastAsia="Times New Roman" w:hAnsi="Times New Roman"/>
          <w:sz w:val="18"/>
          <w:szCs w:val="18"/>
          <w:color w:val="auto"/>
        </w:rPr>
      </w:pPr>
    </w:p>
    <w:p>
      <w:pPr>
        <w:jc w:val="both"/>
        <w:ind w:left="320" w:right="180" w:hanging="317"/>
        <w:spacing w:after="0" w:line="266"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320" w:right="140" w:hanging="317"/>
        <w:spacing w:after="0" w:line="266"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20" w:right="300" w:hanging="317"/>
        <w:spacing w:after="0" w:line="282"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ind w:left="660" w:right="20" w:hanging="321"/>
        <w:spacing w:after="0" w:line="261" w:lineRule="auto"/>
        <w:tabs>
          <w:tab w:leader="none" w:pos="6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680" w:hanging="341"/>
        <w:spacing w:after="0"/>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90" w:lineRule="exact"/>
        <w:rPr>
          <w:rFonts w:ascii="Times New Roman" w:cs="Times New Roman" w:eastAsia="Times New Roman" w:hAnsi="Times New Roman"/>
          <w:sz w:val="18"/>
          <w:szCs w:val="18"/>
          <w:color w:val="auto"/>
        </w:rPr>
      </w:pPr>
    </w:p>
    <w:p>
      <w:pPr>
        <w:ind w:left="660" w:right="40" w:hanging="321"/>
        <w:spacing w:after="0" w:line="266" w:lineRule="auto"/>
        <w:tabs>
          <w:tab w:leader="none" w:pos="6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ind w:left="660" w:right="160" w:hanging="321"/>
        <w:spacing w:after="0" w:line="261" w:lineRule="auto"/>
        <w:tabs>
          <w:tab w:leader="none" w:pos="6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7"/>
        <w:spacing w:after="0" w:line="266" w:lineRule="auto"/>
        <w:tabs>
          <w:tab w:leader="none" w:pos="3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660" w:right="220" w:hanging="321"/>
        <w:spacing w:after="0" w:line="266" w:lineRule="auto"/>
        <w:tabs>
          <w:tab w:leader="none" w:pos="6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660" w:right="20" w:hanging="321"/>
        <w:spacing w:after="0" w:line="282" w:lineRule="auto"/>
        <w:tabs>
          <w:tab w:leader="none" w:pos="6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Olesky</w:t>
            </w:r>
          </w:p>
        </w:tc>
      </w:tr>
      <w:tr>
        <w:trPr>
          <w:trHeight w:val="191"/>
        </w:trPr>
        <w:tc>
          <w:tcPr>
            <w:tcW w:w="45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Lee Olesky</w:t>
            </w:r>
          </w:p>
        </w:tc>
      </w:tr>
      <w:tr>
        <w:trPr>
          <w:trHeight w:val="234"/>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17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Warshaw, certify that:</w:t>
      </w:r>
    </w:p>
    <w:p>
      <w:pPr>
        <w:spacing w:after="0" w:line="171" w:lineRule="exact"/>
        <w:rPr>
          <w:sz w:val="20"/>
          <w:szCs w:val="20"/>
          <w:color w:val="auto"/>
        </w:rPr>
      </w:pPr>
    </w:p>
    <w:p>
      <w:pPr>
        <w:ind w:left="320" w:right="580" w:hanging="317"/>
        <w:spacing w:after="0" w:line="282"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2019 of Tradeweb Markets Inc.;</w:t>
      </w:r>
    </w:p>
    <w:p>
      <w:pPr>
        <w:spacing w:after="0" w:line="107" w:lineRule="exact"/>
        <w:rPr>
          <w:rFonts w:ascii="Times New Roman" w:cs="Times New Roman" w:eastAsia="Times New Roman" w:hAnsi="Times New Roman"/>
          <w:sz w:val="18"/>
          <w:szCs w:val="18"/>
          <w:color w:val="auto"/>
        </w:rPr>
      </w:pPr>
    </w:p>
    <w:p>
      <w:pPr>
        <w:jc w:val="both"/>
        <w:ind w:left="320" w:right="180" w:hanging="317"/>
        <w:spacing w:after="0" w:line="266"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320" w:right="140" w:hanging="317"/>
        <w:spacing w:after="0" w:line="266"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20" w:right="300" w:hanging="317"/>
        <w:spacing w:after="0" w:line="282"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ind w:left="660" w:right="20" w:hanging="321"/>
        <w:spacing w:after="0" w:line="261" w:lineRule="auto"/>
        <w:tabs>
          <w:tab w:leader="none" w:pos="6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680" w:hanging="341"/>
        <w:spacing w:after="0"/>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90" w:lineRule="exact"/>
        <w:rPr>
          <w:rFonts w:ascii="Times New Roman" w:cs="Times New Roman" w:eastAsia="Times New Roman" w:hAnsi="Times New Roman"/>
          <w:sz w:val="18"/>
          <w:szCs w:val="18"/>
          <w:color w:val="auto"/>
        </w:rPr>
      </w:pPr>
    </w:p>
    <w:p>
      <w:pPr>
        <w:ind w:left="660" w:right="40" w:hanging="321"/>
        <w:spacing w:after="0" w:line="266" w:lineRule="auto"/>
        <w:tabs>
          <w:tab w:leader="none" w:pos="6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ind w:left="660" w:right="160" w:hanging="321"/>
        <w:spacing w:after="0" w:line="261" w:lineRule="auto"/>
        <w:tabs>
          <w:tab w:leader="none" w:pos="67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7"/>
        <w:spacing w:after="0" w:line="266" w:lineRule="auto"/>
        <w:tabs>
          <w:tab w:leader="none" w:pos="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660" w:right="220" w:hanging="321"/>
        <w:spacing w:after="0" w:line="266" w:lineRule="auto"/>
        <w:tabs>
          <w:tab w:leader="none" w:pos="6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660" w:right="20" w:hanging="321"/>
        <w:spacing w:after="0" w:line="282" w:lineRule="auto"/>
        <w:tabs>
          <w:tab w:leader="none" w:pos="67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Warshaw</w:t>
            </w:r>
          </w:p>
        </w:tc>
      </w:tr>
      <w:tr>
        <w:trPr>
          <w:trHeight w:val="191"/>
        </w:trPr>
        <w:tc>
          <w:tcPr>
            <w:tcW w:w="45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Warshaw</w:t>
            </w:r>
          </w:p>
        </w:tc>
      </w:tr>
      <w:tr>
        <w:trPr>
          <w:trHeight w:val="234"/>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2019,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45" w:lineRule="exact"/>
        <w:rPr>
          <w:sz w:val="20"/>
          <w:szCs w:val="20"/>
          <w:color w:val="auto"/>
        </w:rPr>
      </w:pPr>
    </w:p>
    <w:p>
      <w:pPr>
        <w:ind w:left="820" w:right="580" w:hanging="448"/>
        <w:spacing w:after="0" w:line="282" w:lineRule="auto"/>
        <w:tabs>
          <w:tab w:leader="none" w:pos="8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 w:lineRule="exact"/>
        <w:rPr>
          <w:rFonts w:ascii="Times New Roman" w:cs="Times New Roman" w:eastAsia="Times New Roman" w:hAnsi="Times New Roman"/>
          <w:sz w:val="18"/>
          <w:szCs w:val="18"/>
          <w:color w:val="auto"/>
        </w:rPr>
      </w:pPr>
    </w:p>
    <w:p>
      <w:pPr>
        <w:ind w:left="820" w:right="500" w:hanging="448"/>
        <w:spacing w:after="0" w:line="282" w:lineRule="auto"/>
        <w:tabs>
          <w:tab w:leader="none" w:pos="8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Olesky</w:t>
            </w:r>
          </w:p>
        </w:tc>
      </w:tr>
      <w:tr>
        <w:trPr>
          <w:trHeight w:val="191"/>
        </w:trPr>
        <w:tc>
          <w:tcPr>
            <w:tcW w:w="45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Lee Olesky</w:t>
            </w:r>
          </w:p>
        </w:tc>
      </w:tr>
      <w:tr>
        <w:trPr>
          <w:trHeight w:val="234"/>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2019,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45" w:lineRule="exact"/>
        <w:rPr>
          <w:sz w:val="20"/>
          <w:szCs w:val="20"/>
          <w:color w:val="auto"/>
        </w:rPr>
      </w:pPr>
    </w:p>
    <w:p>
      <w:pPr>
        <w:ind w:left="820" w:right="580" w:hanging="448"/>
        <w:spacing w:after="0" w:line="282" w:lineRule="auto"/>
        <w:tabs>
          <w:tab w:leader="none" w:pos="8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 w:lineRule="exact"/>
        <w:rPr>
          <w:rFonts w:ascii="Times New Roman" w:cs="Times New Roman" w:eastAsia="Times New Roman" w:hAnsi="Times New Roman"/>
          <w:sz w:val="18"/>
          <w:szCs w:val="18"/>
          <w:color w:val="auto"/>
        </w:rPr>
      </w:pPr>
    </w:p>
    <w:p>
      <w:pPr>
        <w:ind w:left="820" w:right="500" w:hanging="448"/>
        <w:spacing w:after="0" w:line="282" w:lineRule="auto"/>
        <w:tabs>
          <w:tab w:leader="none" w:pos="8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2019</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Warshaw</w:t>
            </w:r>
          </w:p>
        </w:tc>
      </w:tr>
      <w:tr>
        <w:trPr>
          <w:trHeight w:val="191"/>
        </w:trPr>
        <w:tc>
          <w:tcPr>
            <w:tcW w:w="454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Warshaw</w:t>
            </w:r>
          </w:p>
        </w:tc>
      </w:tr>
      <w:tr>
        <w:trPr>
          <w:trHeight w:val="234"/>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lvl w:ilvl="1">
      <w:lvlJc w:val="left"/>
      <w:lvlText w:val="%2)"/>
      <w:numFmt w:val="lowerLetter"/>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2"/>
    </w:lvl>
  </w:abstractNum>
  <w:abstractNum w:abstractNumId="10">
    <w:nsid w:val="614FD4A1"/>
    <w:multiLevelType w:val="hybridMultilevel"/>
    <w:lvl w:ilvl="0">
      <w:lvlJc w:val="left"/>
      <w:lvlText w:val="%1."/>
      <w:numFmt w:val="decimal"/>
      <w:start w:val="360"/>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3"/>
    </w:lvl>
  </w:abstractNum>
  <w:abstractNum w:abstractNumId="13">
    <w:nsid w:val="440BADFC"/>
    <w:multiLevelType w:val="hybridMultilevel"/>
    <w:lvl w:ilvl="0">
      <w:lvlJc w:val="left"/>
      <w:lvlText w:val="%1."/>
      <w:numFmt w:val="decimal"/>
      <w:start w:val="4"/>
    </w:lvl>
  </w:abstractNum>
  <w:abstractNum w:abstractNumId="14">
    <w:nsid w:val="5072367"/>
    <w:multiLevelType w:val="hybridMultilevel"/>
    <w:lvl w:ilvl="0">
      <w:lvlJc w:val="left"/>
      <w:lvlText w:val="%1."/>
      <w:numFmt w:val="decimal"/>
      <w:start w:val="5"/>
    </w:lvl>
  </w:abstractNum>
  <w:abstractNum w:abstractNumId="15">
    <w:nsid w:val="3804823E"/>
    <w:multiLevelType w:val="hybridMultilevel"/>
    <w:lvl w:ilvl="0">
      <w:lvlJc w:val="left"/>
      <w:lvlText w:val="%1."/>
      <w:numFmt w:val="decimal"/>
      <w:start w:val="6"/>
    </w:lvl>
  </w:abstractNum>
  <w:abstractNum w:abstractNumId="16">
    <w:nsid w:val="77465F01"/>
    <w:multiLevelType w:val="hybridMultilevel"/>
    <w:lvl w:ilvl="0">
      <w:lvlJc w:val="left"/>
      <w:lvlText w:val="%1."/>
      <w:numFmt w:val="decimal"/>
      <w:start w:val="7"/>
    </w:lvl>
  </w:abstractNum>
  <w:abstractNum w:abstractNumId="17">
    <w:nsid w:val="7724C67E"/>
    <w:multiLevelType w:val="hybridMultilevel"/>
    <w:lvl w:ilvl="0">
      <w:lvlJc w:val="left"/>
      <w:lvlText w:val="%1."/>
      <w:numFmt w:val="decimal"/>
      <w:start w:val="8"/>
    </w:lvl>
  </w:abstractNum>
  <w:abstractNum w:abstractNumId="18">
    <w:nsid w:val="5C482A97"/>
    <w:multiLevelType w:val="hybridMultilevel"/>
    <w:lvl w:ilvl="0">
      <w:lvlJc w:val="left"/>
      <w:lvlText w:val="%1."/>
      <w:numFmt w:val="decimal"/>
      <w:start w:val="9"/>
    </w:lvl>
  </w:abstractNum>
  <w:abstractNum w:abstractNumId="19">
    <w:nsid w:val="2463B9EA"/>
    <w:multiLevelType w:val="hybridMultilevel"/>
    <w:lvl w:ilvl="0">
      <w:lvlJc w:val="left"/>
      <w:lvlText w:val="%1."/>
      <w:numFmt w:val="decimal"/>
      <w:start w:val="10"/>
    </w:lvl>
  </w:abstractNum>
  <w:abstractNum w:abstractNumId="20">
    <w:nsid w:val="5E884ADC"/>
    <w:multiLevelType w:val="hybridMultilevel"/>
    <w:lvl w:ilvl="0">
      <w:lvlJc w:val="left"/>
      <w:lvlText w:val="%1."/>
      <w:numFmt w:val="decimal"/>
      <w:start w:val="1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2"/>
    </w:lvl>
  </w:abstractNum>
  <w:abstractNum w:abstractNumId="24">
    <w:nsid w:val="153EA438"/>
    <w:multiLevelType w:val="hybridMultilevel"/>
    <w:lvl w:ilvl="0">
      <w:lvlJc w:val="left"/>
      <w:lvlText w:val="%1."/>
      <w:numFmt w:val="decimal"/>
      <w:start w:val="13"/>
    </w:lvl>
  </w:abstractNum>
  <w:abstractNum w:abstractNumId="25">
    <w:nsid w:val="3855585C"/>
    <w:multiLevelType w:val="hybridMultilevel"/>
    <w:lvl w:ilvl="0">
      <w:lvlJc w:val="left"/>
      <w:lvlText w:val="%1."/>
      <w:numFmt w:val="decimal"/>
      <w:start w:val="14"/>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4"/>
    </w:lvl>
  </w:abstractNum>
  <w:abstractNum w:abstractNumId="28">
    <w:nsid w:val="2A487CB0"/>
    <w:multiLevelType w:val="hybridMultilevel"/>
    <w:lvl w:ilvl="0">
      <w:lvlJc w:val="left"/>
      <w:lvlText w:val="%1."/>
      <w:numFmt w:val="decimal"/>
      <w:start w:val="15"/>
    </w:lvl>
  </w:abstractNum>
  <w:abstractNum w:abstractNumId="29">
    <w:nsid w:val="1D4ED43B"/>
    <w:multiLevelType w:val="hybridMultilevel"/>
    <w:lvl w:ilvl="0">
      <w:lvlJc w:val="left"/>
      <w:lvlText w:val="%1."/>
      <w:numFmt w:val="decimal"/>
      <w:start w:val="16"/>
    </w:lvl>
  </w:abstractNum>
  <w:abstractNum w:abstractNumId="30">
    <w:nsid w:val="725A06FB"/>
    <w:multiLevelType w:val="hybridMultilevel"/>
    <w:lvl w:ilvl="0">
      <w:lvlJc w:val="left"/>
      <w:lvlText w:val="%1."/>
      <w:numFmt w:val="decimal"/>
      <w:start w:val="17"/>
    </w:lvl>
  </w:abstractNum>
  <w:abstractNum w:abstractNumId="31">
    <w:nsid w:val="2CD89A32"/>
    <w:multiLevelType w:val="hybridMultilevel"/>
    <w:lvl w:ilvl="0">
      <w:lvlJc w:val="left"/>
      <w:lvlText w:val="(%1)"/>
      <w:numFmt w:val="lowerRoman"/>
      <w:start w:val="2"/>
    </w:lvl>
  </w:abstractNum>
  <w:abstractNum w:abstractNumId="32">
    <w:nsid w:val="57E4CCAF"/>
    <w:multiLevelType w:val="hybridMultilevel"/>
    <w:lvl w:ilvl="0">
      <w:lvlJc w:val="left"/>
      <w:lvlText w:val="%1."/>
      <w:numFmt w:val="decimal"/>
      <w:start w:val="18"/>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9"/>
    </w:lvl>
  </w:abstractNum>
  <w:abstractNum w:abstractNumId="35">
    <w:nsid w:val="542289EC"/>
    <w:multiLevelType w:val="hybridMultilevel"/>
    <w:lvl w:ilvl="0">
      <w:lvlJc w:val="left"/>
      <w:lvlText w:val="%1."/>
      <w:numFmt w:val="decimal"/>
      <w:start w:val="20"/>
    </w:lvl>
  </w:abstractNum>
  <w:abstractNum w:abstractNumId="36">
    <w:nsid w:val="6DE91B18"/>
    <w:multiLevelType w:val="hybridMultilevel"/>
    <w:lvl w:ilvl="0">
      <w:lvlJc w:val="left"/>
      <w:lvlText w:val="%1."/>
      <w:numFmt w:val="decimal"/>
      <w:start w:val="2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lvl w:ilvl="1">
      <w:lvlJc w:val="left"/>
      <w:lvlText w:val="%2)"/>
      <w:numFmt w:val="lowerLetter"/>
      <w:start w:val="1"/>
    </w:lvl>
  </w:abstractNum>
  <w:abstractNum w:abstractNumId="44">
    <w:nsid w:val="1BA026FA"/>
    <w:multiLevelType w:val="hybridMultilevel"/>
    <w:lvl w:ilvl="0">
      <w:lvlJc w:val="left"/>
      <w:lvlText w:val="(%1)"/>
      <w:numFmt w:val="decimal"/>
      <w:start w:val="2"/>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lvl w:ilvl="1">
      <w:lvlJc w:val="left"/>
      <w:lvlText w:val="(%2)"/>
      <w:numFmt w:val="lowerLetter"/>
      <w:start w:val="3"/>
    </w:lvl>
  </w:abstractNum>
  <w:abstractNum w:abstractNumId="51">
    <w:nsid w:val="4F4EF005"/>
    <w:multiLevelType w:val="hybridMultilevel"/>
    <w:lvl w:ilvl="0">
      <w:lvlJc w:val="left"/>
      <w:lvlText w:val="(%1)"/>
      <w:numFmt w:val="lowerLetter"/>
      <w:start w:val="2"/>
    </w:lvl>
    <w:lvl w:ilvl="1">
      <w:lvlJc w:val="left"/>
      <w:lvlText w:val="(%2)"/>
      <w:numFmt w:val="lowerLetter"/>
      <w:start w:val="5"/>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2019-12-28T02:12:59Z</dcterms:created>
  <dcterms:modified xsi:type="dcterms:W3CDTF">2019-12-28T02:12:59Z</dcterms:modified>
</cp:coreProperties>
</file>