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525145</wp:posOffset>
            </wp:positionH>
            <wp:positionV relativeFrom="page">
              <wp:posOffset>157480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200660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210185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229870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222885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Tradeweb Markets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210185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ectPr>
          <w:pgSz w:w="11900" w:h="16838" w:orient="portrait"/>
          <w:cols w:equalWidth="0" w:num="1">
            <w:col w:w="10240"/>
          </w:cols>
          <w:pgMar w:left="820" w:top="436"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1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001-38860</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83-2456358</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(I.R.S. Employer</w:t>
      </w:r>
    </w:p>
    <w:p>
      <w:pPr>
        <w:spacing w:after="0" w:line="21"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Identification No.)</w:t>
      </w:r>
    </w:p>
    <w:p>
      <w:pPr>
        <w:spacing w:after="0" w:line="222" w:lineRule="exact"/>
        <w:rPr>
          <w:sz w:val="24"/>
          <w:szCs w:val="24"/>
          <w:color w:val="auto"/>
        </w:rPr>
      </w:pPr>
    </w:p>
    <w:p>
      <w:pPr>
        <w:sectPr>
          <w:pgSz w:w="11900" w:h="16838" w:orient="portrait"/>
          <w:cols w:equalWidth="0" w:num="3">
            <w:col w:w="3920" w:space="720"/>
            <w:col w:w="2520" w:space="720"/>
            <w:col w:w="2360"/>
          </w:cols>
          <w:pgMar w:left="820" w:top="436" w:right="839" w:bottom="1440" w:gutter="0" w:footer="0" w:header="0"/>
          <w:type w:val="continuous"/>
        </w:sectPr>
      </w:pPr>
    </w:p>
    <w:p>
      <w:pPr>
        <w:spacing w:after="0" w:line="20"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1177 Avenue of the Americas</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jc w:val="center"/>
        <w:ind w:right="2160"/>
        <w:spacing w:after="0"/>
        <w:rPr>
          <w:sz w:val="20"/>
          <w:szCs w:val="20"/>
          <w:color w:val="auto"/>
        </w:rPr>
      </w:pPr>
      <w:r>
        <w:rPr>
          <w:rFonts w:ascii="Arial" w:cs="Arial" w:eastAsia="Arial" w:hAnsi="Arial"/>
          <w:sz w:val="18"/>
          <w:szCs w:val="18"/>
          <w:b w:val="1"/>
          <w:bCs w:val="1"/>
          <w:color w:val="auto"/>
        </w:rPr>
        <w:t>10036</w:t>
      </w:r>
    </w:p>
    <w:p>
      <w:pPr>
        <w:spacing w:after="0" w:line="27" w:lineRule="exact"/>
        <w:rPr>
          <w:sz w:val="24"/>
          <w:szCs w:val="24"/>
          <w:color w:val="auto"/>
        </w:rPr>
      </w:pPr>
    </w:p>
    <w:p>
      <w:pPr>
        <w:jc w:val="center"/>
        <w:ind w:right="21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560" w:space="720"/>
            <w:col w:w="2960"/>
          </w:cols>
          <w:pgMar w:left="820" w:top="436" w:right="8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430-6000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180340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80" w:hanging="377"/>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7"/>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7"/>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820" w:firstLine="3"/>
        <w:spacing w:after="0" w:line="503"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Title of each class</w:t>
            </w:r>
          </w:p>
        </w:tc>
        <w:tc>
          <w:tcPr>
            <w:tcW w:w="2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Trading Symbol(s)</w:t>
            </w:r>
          </w:p>
        </w:tc>
        <w:tc>
          <w:tcPr>
            <w:tcW w:w="328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1"/>
              </w:rPr>
              <w:t>Name of each exchange on which</w:t>
            </w:r>
          </w:p>
        </w:tc>
        <w:tc>
          <w:tcPr>
            <w:tcW w:w="0" w:type="dxa"/>
            <w:vAlign w:val="bottom"/>
          </w:tcPr>
          <w:p>
            <w:pPr>
              <w:spacing w:after="0"/>
              <w:rPr>
                <w:sz w:val="1"/>
                <w:szCs w:val="1"/>
                <w:color w:val="auto"/>
              </w:rPr>
            </w:pPr>
          </w:p>
        </w:tc>
      </w:tr>
      <w:tr>
        <w:trPr>
          <w:trHeight w:val="171"/>
        </w:trPr>
        <w:tc>
          <w:tcPr>
            <w:tcW w:w="4060" w:type="dxa"/>
            <w:vAlign w:val="bottom"/>
            <w:gridSpan w:val="2"/>
            <w:vMerge w:val="continue"/>
          </w:tcPr>
          <w:p>
            <w:pPr>
              <w:spacing w:after="0"/>
              <w:rPr>
                <w:sz w:val="14"/>
                <w:szCs w:val="14"/>
                <w:color w:val="auto"/>
              </w:rPr>
            </w:pPr>
          </w:p>
        </w:tc>
        <w:tc>
          <w:tcPr>
            <w:tcW w:w="2900" w:type="dxa"/>
            <w:vAlign w:val="bottom"/>
            <w:gridSpan w:val="2"/>
            <w:vMerge w:val="continue"/>
          </w:tcPr>
          <w:p>
            <w:pPr>
              <w:spacing w:after="0"/>
              <w:rPr>
                <w:sz w:val="14"/>
                <w:szCs w:val="14"/>
                <w:color w:val="auto"/>
              </w:rPr>
            </w:pP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0" w:type="dxa"/>
            <w:vAlign w:val="bottom"/>
          </w:tcPr>
          <w:p>
            <w:pPr>
              <w:spacing w:after="0"/>
              <w:rPr>
                <w:sz w:val="1"/>
                <w:szCs w:val="1"/>
                <w:color w:val="auto"/>
              </w:rPr>
            </w:pPr>
          </w:p>
        </w:tc>
      </w:tr>
      <w:tr>
        <w:trPr>
          <w:trHeight w:val="224"/>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par value $0.00001</w:t>
            </w:r>
          </w:p>
        </w:tc>
        <w:tc>
          <w:tcPr>
            <w:tcW w:w="20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TW</w:t>
            </w:r>
          </w:p>
        </w:tc>
        <w:tc>
          <w:tcPr>
            <w:tcW w:w="200" w:type="dxa"/>
            <w:vAlign w:val="bottom"/>
          </w:tcPr>
          <w:p>
            <w:pPr>
              <w:spacing w:after="0"/>
              <w:rPr>
                <w:sz w:val="19"/>
                <w:szCs w:val="19"/>
                <w:color w:val="auto"/>
              </w:rPr>
            </w:pPr>
          </w:p>
        </w:tc>
        <w:tc>
          <w:tcPr>
            <w:tcW w:w="3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0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8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124460</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141605</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664845</wp:posOffset>
            </wp:positionV>
            <wp:extent cx="649795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40"/>
          </w:cols>
          <w:pgMar w:left="820" w:top="436" w:right="839" w:bottom="144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left="40" w:right="199" w:firstLine="648"/>
        <w:spacing w:after="0" w:line="263" w:lineRule="auto"/>
        <w:rPr>
          <w:sz w:val="20"/>
          <w:szCs w:val="20"/>
          <w:color w:val="auto"/>
        </w:rPr>
      </w:pPr>
      <w:r>
        <w:rPr>
          <w:rFonts w:ascii="Arial" w:cs="Arial" w:eastAsia="Arial" w:hAnsi="Arial"/>
          <w:sz w:val="18"/>
          <w:szCs w:val="18"/>
          <w:color w:val="auto"/>
        </w:rPr>
        <w:t>On May 7, 2020, Tradeweb Markets Inc. (the “Company”) issued a press release, a copy of which is furnished as Exhibit 99.1 hereto and incorporated herein by reference, announcing financial results for the quarter ended March 31, 2020.</w:t>
      </w:r>
    </w:p>
    <w:p>
      <w:pPr>
        <w:spacing w:after="0" w:line="184" w:lineRule="exact"/>
        <w:rPr>
          <w:sz w:val="20"/>
          <w:szCs w:val="20"/>
          <w:color w:val="auto"/>
        </w:rPr>
      </w:pPr>
    </w:p>
    <w:p>
      <w:pPr>
        <w:ind w:left="40" w:right="199" w:firstLine="648"/>
        <w:spacing w:after="0" w:line="275" w:lineRule="auto"/>
        <w:rPr>
          <w:sz w:val="20"/>
          <w:szCs w:val="20"/>
          <w:color w:val="auto"/>
        </w:rPr>
      </w:pPr>
      <w:r>
        <w:rPr>
          <w:rFonts w:ascii="Arial" w:cs="Arial" w:eastAsia="Arial" w:hAnsi="Arial"/>
          <w:sz w:val="17"/>
          <w:szCs w:val="17"/>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40"/>
        <w:spacing w:after="0"/>
        <w:tabs>
          <w:tab w:leader="none" w:pos="4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760" w:type="dxa"/>
            <w:vAlign w:val="bottom"/>
            <w:vMerge w:val="restart"/>
          </w:tcPr>
          <w:p>
            <w:pPr>
              <w:jc w:val="right"/>
              <w:ind w:right="3196"/>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7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7760" w:type="dxa"/>
            <w:vAlign w:val="bottom"/>
            <w:tcBorders>
              <w:top w:val="single" w:sz="8" w:color="auto"/>
            </w:tcBorders>
          </w:tcPr>
          <w:p>
            <w:pPr>
              <w:jc w:val="right"/>
              <w:ind w:right="3296"/>
              <w:spacing w:after="0"/>
              <w:rPr>
                <w:rFonts w:ascii="Arial" w:cs="Arial" w:eastAsia="Arial" w:hAnsi="Arial"/>
                <w:sz w:val="18"/>
                <w:szCs w:val="18"/>
                <w:u w:val="single" w:color="auto"/>
                <w:color w:val="0000EE"/>
                <w:w w:val="89"/>
              </w:rPr>
            </w:pPr>
            <w:hyperlink w:anchor="page4">
              <w:r>
                <w:rPr>
                  <w:rFonts w:ascii="Arial" w:cs="Arial" w:eastAsia="Arial" w:hAnsi="Arial"/>
                  <w:sz w:val="18"/>
                  <w:szCs w:val="18"/>
                  <w:u w:val="single" w:color="auto"/>
                  <w:color w:val="0000EE"/>
                  <w:w w:val="89"/>
                </w:rPr>
                <w:t>Press Release of Tradeweb Markets Inc., dated May 7, 2020.</w:t>
              </w:r>
            </w:hyperlink>
          </w:p>
        </w:tc>
        <w:tc>
          <w:tcPr>
            <w:tcW w:w="0" w:type="dxa"/>
            <w:vAlign w:val="bottom"/>
          </w:tcPr>
          <w:p>
            <w:pPr>
              <w:spacing w:after="0"/>
              <w:rPr>
                <w:sz w:val="1"/>
                <w:szCs w:val="1"/>
                <w:color w:val="auto"/>
              </w:rPr>
            </w:pPr>
          </w:p>
        </w:tc>
      </w:tr>
      <w:tr>
        <w:trPr>
          <w:trHeight w:val="86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760" w:type="dxa"/>
            <w:vAlign w:val="bottom"/>
          </w:tcPr>
          <w:p>
            <w:pPr>
              <w:jc w:val="right"/>
              <w:ind w:right="433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1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40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6040" w:type="dxa"/>
            <w:vAlign w:val="bottom"/>
            <w:gridSpan w:val="2"/>
          </w:tcPr>
          <w:p>
            <w:pPr>
              <w:ind w:left="1520"/>
              <w:spacing w:after="0"/>
              <w:rPr>
                <w:sz w:val="20"/>
                <w:szCs w:val="20"/>
                <w:color w:val="auto"/>
              </w:rPr>
            </w:pPr>
            <w:r>
              <w:rPr>
                <w:rFonts w:ascii="Arial" w:cs="Arial" w:eastAsia="Arial" w:hAnsi="Arial"/>
                <w:sz w:val="18"/>
                <w:szCs w:val="18"/>
                <w:color w:val="auto"/>
              </w:rPr>
              <w:t>TRADEWEB MARKETS INC.</w:t>
            </w:r>
          </w:p>
        </w:tc>
      </w:tr>
      <w:tr>
        <w:trPr>
          <w:trHeight w:val="648"/>
        </w:trPr>
        <w:tc>
          <w:tcPr>
            <w:tcW w:w="2880" w:type="dxa"/>
            <w:vAlign w:val="bottom"/>
          </w:tcPr>
          <w:p>
            <w:pPr>
              <w:spacing w:after="0"/>
              <w:rPr>
                <w:sz w:val="20"/>
                <w:szCs w:val="20"/>
                <w:color w:val="auto"/>
              </w:rPr>
            </w:pPr>
            <w:r>
              <w:rPr>
                <w:rFonts w:ascii="Arial" w:cs="Arial" w:eastAsia="Arial" w:hAnsi="Arial"/>
                <w:sz w:val="18"/>
                <w:szCs w:val="18"/>
                <w:color w:val="auto"/>
              </w:rPr>
              <w:t>Date: May 7, 2020</w:t>
            </w:r>
          </w:p>
        </w:tc>
        <w:tc>
          <w:tcPr>
            <w:tcW w:w="6040" w:type="dxa"/>
            <w:vAlign w:val="bottom"/>
            <w:gridSpan w:val="2"/>
          </w:tcPr>
          <w:p>
            <w:pPr>
              <w:ind w:left="1520"/>
              <w:spacing w:after="0"/>
              <w:rPr>
                <w:sz w:val="20"/>
                <w:szCs w:val="20"/>
                <w:color w:val="auto"/>
              </w:rPr>
            </w:pPr>
            <w:r>
              <w:rPr>
                <w:rFonts w:ascii="Arial" w:cs="Arial" w:eastAsia="Arial" w:hAnsi="Arial"/>
                <w:sz w:val="18"/>
                <w:szCs w:val="18"/>
                <w:color w:val="auto"/>
              </w:rPr>
              <w:t>By: /s/ Douglas Friedman</w:t>
            </w:r>
          </w:p>
        </w:tc>
      </w:tr>
      <w:tr>
        <w:trPr>
          <w:trHeight w:val="195"/>
        </w:trPr>
        <w:tc>
          <w:tcPr>
            <w:tcW w:w="28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Friedman</w:t>
            </w:r>
          </w:p>
        </w:tc>
      </w:tr>
      <w:tr>
        <w:trPr>
          <w:trHeight w:val="230"/>
        </w:trPr>
        <w:tc>
          <w:tcPr>
            <w:tcW w:w="28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Title: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b w:val="1"/>
          <w:bCs w:val="1"/>
          <w:color w:val="FF0000"/>
        </w:rPr>
        <w:drawing>
          <wp:anchor simplePos="0" relativeHeight="251657728" behindDoc="1" locked="0" layoutInCell="0" allowOverlap="1">
            <wp:simplePos x="0" y="0"/>
            <wp:positionH relativeFrom="page">
              <wp:posOffset>5600065</wp:posOffset>
            </wp:positionH>
            <wp:positionV relativeFrom="page">
              <wp:posOffset>88900</wp:posOffset>
            </wp:positionV>
            <wp:extent cx="1002665"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002665" cy="308610"/>
                    </a:xfrm>
                    <a:prstGeom prst="rect">
                      <a:avLst/>
                    </a:prstGeom>
                    <a:noFill/>
                  </pic:spPr>
                </pic:pic>
              </a:graphicData>
            </a:graphic>
          </wp:anchor>
        </w:drawing>
        <w:t>[PLACEHOLDER FOR NARRATIVE]</w:t>
      </w:r>
    </w:p>
    <w:p>
      <w:pPr>
        <w:spacing w:after="0" w:line="200" w:lineRule="exact"/>
        <w:rPr>
          <w:sz w:val="20"/>
          <w:szCs w:val="20"/>
          <w:color w:val="auto"/>
        </w:rPr>
      </w:pP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620" w:type="dxa"/>
            <w:vAlign w:val="bottom"/>
            <w:vMerge w:val="restart"/>
          </w:tcPr>
          <w:p>
            <w:pPr>
              <w:spacing w:after="0"/>
              <w:rPr>
                <w:sz w:val="20"/>
                <w:szCs w:val="20"/>
                <w:color w:val="auto"/>
              </w:rPr>
            </w:pPr>
            <w:r>
              <w:rPr>
                <w:rFonts w:ascii="Arial" w:cs="Arial" w:eastAsia="Arial" w:hAnsi="Arial"/>
                <w:sz w:val="18"/>
                <w:szCs w:val="18"/>
                <w:b w:val="1"/>
                <w:bCs w:val="1"/>
                <w:color w:val="auto"/>
              </w:rPr>
              <w:t>Select Financial Results</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83"/>
        </w:trPr>
        <w:tc>
          <w:tcPr>
            <w:tcW w:w="36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r>
              <w:rPr>
                <w:rFonts w:ascii="Arial" w:cs="Arial" w:eastAsia="Arial" w:hAnsi="Arial"/>
                <w:sz w:val="18"/>
                <w:szCs w:val="18"/>
                <w:b w:val="1"/>
                <w:bCs w:val="1"/>
                <w:color w:val="auto"/>
                <w:w w:val="98"/>
              </w:rPr>
              <w:t>($ in thousands except per share amounts)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1"/>
              <w:spacing w:after="0"/>
              <w:rPr>
                <w:sz w:val="20"/>
                <w:szCs w:val="20"/>
                <w:color w:val="auto"/>
              </w:rPr>
            </w:pPr>
            <w:r>
              <w:rPr>
                <w:rFonts w:ascii="Arial" w:cs="Arial" w:eastAsia="Arial" w:hAnsi="Arial"/>
                <w:sz w:val="14"/>
                <w:szCs w:val="14"/>
                <w:b w:val="1"/>
                <w:bCs w:val="1"/>
                <w:color w:val="auto"/>
              </w:rPr>
              <w:t>1Q20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1"/>
              <w:spacing w:after="0"/>
              <w:rPr>
                <w:sz w:val="20"/>
                <w:szCs w:val="20"/>
                <w:color w:val="auto"/>
              </w:rPr>
            </w:pPr>
            <w:r>
              <w:rPr>
                <w:rFonts w:ascii="Arial" w:cs="Arial" w:eastAsia="Arial" w:hAnsi="Arial"/>
                <w:sz w:val="14"/>
                <w:szCs w:val="14"/>
                <w:b w:val="1"/>
                <w:bCs w:val="1"/>
                <w:color w:val="auto"/>
              </w:rPr>
              <w:t>1Q19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 Change</w:t>
            </w:r>
          </w:p>
        </w:tc>
        <w:tc>
          <w:tcPr>
            <w:tcW w:w="118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14"/>
                <w:szCs w:val="14"/>
                <w:b w:val="1"/>
                <w:bCs w:val="1"/>
                <w:color w:val="auto"/>
                <w:vertAlign w:val="superscript"/>
              </w:rPr>
              <w:t>(</w:t>
            </w:r>
            <w:r>
              <w:rPr>
                <w:rFonts w:ascii="Arial" w:cs="Arial" w:eastAsia="Arial" w:hAnsi="Arial"/>
                <w:sz w:val="14"/>
                <w:szCs w:val="14"/>
                <w:color w:val="auto"/>
                <w:vertAlign w:val="superscript"/>
              </w:rPr>
              <w:t>1)</w:t>
            </w:r>
          </w:p>
        </w:tc>
        <w:tc>
          <w:tcPr>
            <w:tcW w:w="0" w:type="dxa"/>
            <w:vAlign w:val="bottom"/>
          </w:tcPr>
          <w:p>
            <w:pPr>
              <w:spacing w:after="0"/>
              <w:rPr>
                <w:sz w:val="1"/>
                <w:szCs w:val="1"/>
                <w:color w:val="auto"/>
              </w:rPr>
            </w:pPr>
          </w:p>
        </w:tc>
      </w:tr>
      <w:tr>
        <w:trPr>
          <w:trHeight w:val="210"/>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revenue</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234,606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186,792</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38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620" w:type="dxa"/>
            <w:vAlign w:val="bottom"/>
          </w:tcPr>
          <w:p>
            <w:pPr>
              <w:ind w:left="120"/>
              <w:spacing w:after="0"/>
              <w:rPr>
                <w:sz w:val="20"/>
                <w:szCs w:val="20"/>
                <w:color w:val="auto"/>
              </w:rPr>
            </w:pPr>
            <w:r>
              <w:rPr>
                <w:rFonts w:ascii="Arial" w:cs="Arial" w:eastAsia="Arial" w:hAnsi="Arial"/>
                <w:sz w:val="18"/>
                <w:szCs w:val="18"/>
                <w:color w:val="auto"/>
              </w:rPr>
              <w:t>Rates</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126,039</w:t>
            </w:r>
          </w:p>
        </w:tc>
        <w:tc>
          <w:tcPr>
            <w:tcW w:w="2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104,090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21.1 %</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21.9 %</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w:t>
            </w:r>
          </w:p>
        </w:tc>
        <w:tc>
          <w:tcPr>
            <w:tcW w:w="4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36.9 %</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37.8 %</w:t>
            </w:r>
          </w:p>
        </w:tc>
        <w:tc>
          <w:tcPr>
            <w:tcW w:w="0" w:type="dxa"/>
            <w:vAlign w:val="bottom"/>
          </w:tcPr>
          <w:p>
            <w:pPr>
              <w:spacing w:after="0"/>
              <w:rPr>
                <w:sz w:val="1"/>
                <w:szCs w:val="1"/>
                <w:color w:val="auto"/>
              </w:rPr>
            </w:pPr>
          </w:p>
        </w:tc>
      </w:tr>
      <w:tr>
        <w:trPr>
          <w:trHeight w:val="216"/>
        </w:trPr>
        <w:tc>
          <w:tcPr>
            <w:tcW w:w="3620" w:type="dxa"/>
            <w:vAlign w:val="bottom"/>
          </w:tcPr>
          <w:p>
            <w:pPr>
              <w:ind w:left="120"/>
              <w:spacing w:after="0"/>
              <w:rPr>
                <w:sz w:val="20"/>
                <w:szCs w:val="20"/>
                <w:color w:val="auto"/>
              </w:rPr>
            </w:pPr>
            <w:r>
              <w:rPr>
                <w:rFonts w:ascii="Arial" w:cs="Arial" w:eastAsia="Arial" w:hAnsi="Arial"/>
                <w:sz w:val="18"/>
                <w:szCs w:val="18"/>
                <w:color w:val="auto"/>
              </w:rPr>
              <w:t>Equities</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19,434</w:t>
            </w:r>
          </w:p>
        </w:tc>
        <w:tc>
          <w:tcPr>
            <w:tcW w:w="2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11,798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64.7 %</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66.2 %</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Money Markets</w:t>
            </w:r>
          </w:p>
        </w:tc>
        <w:tc>
          <w:tcPr>
            <w:tcW w:w="4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17.2 %</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16"/>
        </w:trPr>
        <w:tc>
          <w:tcPr>
            <w:tcW w:w="3620" w:type="dxa"/>
            <w:vAlign w:val="bottom"/>
          </w:tcPr>
          <w:p>
            <w:pPr>
              <w:ind w:left="120"/>
              <w:spacing w:after="0"/>
              <w:rPr>
                <w:sz w:val="20"/>
                <w:szCs w:val="20"/>
                <w:color w:val="auto"/>
              </w:rPr>
            </w:pPr>
            <w:r>
              <w:rPr>
                <w:rFonts w:ascii="Arial" w:cs="Arial" w:eastAsia="Arial" w:hAnsi="Arial"/>
                <w:sz w:val="18"/>
                <w:szCs w:val="18"/>
                <w:color w:val="auto"/>
              </w:rPr>
              <w:t>Market Data</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18,562</w:t>
            </w:r>
          </w:p>
        </w:tc>
        <w:tc>
          <w:tcPr>
            <w:tcW w:w="2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16,903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9.8 %</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4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7.6 %</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Net income</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62,485</w:t>
            </w:r>
          </w:p>
        </w:tc>
        <w:tc>
          <w:tcPr>
            <w:tcW w:w="2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42,352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47.5 %</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w w:val="91"/>
              </w:rPr>
              <w:t>Net income attributable to Tradeweb Markets Inc.</w:t>
            </w:r>
          </w:p>
        </w:tc>
        <w:tc>
          <w:tcPr>
            <w:tcW w:w="460" w:type="dxa"/>
            <w:vAlign w:val="bottom"/>
            <w:gridSpan w:val="2"/>
            <w:vMerge w:val="restart"/>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43,928</w:t>
            </w:r>
          </w:p>
        </w:tc>
        <w:tc>
          <w:tcPr>
            <w:tcW w:w="2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35"/>
        </w:trPr>
        <w:tc>
          <w:tcPr>
            <w:tcW w:w="3620" w:type="dxa"/>
            <w:vAlign w:val="bottom"/>
            <w:shd w:val="clear" w:color="auto" w:fill="CCEEFF"/>
          </w:tcPr>
          <w:p>
            <w:pPr>
              <w:spacing w:after="0"/>
              <w:rPr>
                <w:sz w:val="20"/>
                <w:szCs w:val="20"/>
                <w:color w:val="auto"/>
              </w:rPr>
            </w:pPr>
            <w:r>
              <w:rPr>
                <w:rFonts w:ascii="Arial" w:cs="Arial" w:eastAsia="Arial" w:hAnsi="Arial"/>
                <w:sz w:val="9"/>
                <w:szCs w:val="9"/>
                <w:color w:val="auto"/>
              </w:rPr>
              <w:t>(2)</w:t>
            </w:r>
          </w:p>
        </w:tc>
        <w:tc>
          <w:tcPr>
            <w:tcW w:w="460" w:type="dxa"/>
            <w:vAlign w:val="bottom"/>
            <w:gridSpan w:val="2"/>
            <w:vMerge w:val="continue"/>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00" w:type="dxa"/>
            <w:vAlign w:val="bottom"/>
            <w:gridSpan w:val="2"/>
            <w:vMerge w:val="continue"/>
            <w:shd w:val="clear" w:color="auto" w:fill="CCEEFF"/>
          </w:tcPr>
          <w:p>
            <w:pPr>
              <w:spacing w:after="0"/>
              <w:rPr>
                <w:sz w:val="11"/>
                <w:szCs w:val="11"/>
                <w:color w:val="auto"/>
              </w:rPr>
            </w:pPr>
          </w:p>
        </w:tc>
        <w:tc>
          <w:tcPr>
            <w:tcW w:w="118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 xml:space="preserve">Diluted EPS </w:t>
            </w:r>
            <w:r>
              <w:rPr>
                <w:rFonts w:ascii="Arial" w:cs="Arial" w:eastAsia="Arial" w:hAnsi="Arial"/>
                <w:sz w:val="8"/>
                <w:szCs w:val="8"/>
                <w:color w:val="auto"/>
              </w:rPr>
              <w:t>(3)</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0.25</w:t>
            </w:r>
          </w:p>
        </w:tc>
        <w:tc>
          <w:tcPr>
            <w:tcW w:w="220" w:type="dxa"/>
            <w:vAlign w:val="bottom"/>
          </w:tcPr>
          <w:p>
            <w:pPr>
              <w:spacing w:after="0"/>
              <w:rPr>
                <w:sz w:val="20"/>
                <w:szCs w:val="20"/>
                <w:color w:val="auto"/>
              </w:rPr>
            </w:pPr>
            <w:r>
              <w:rPr>
                <w:rFonts w:ascii="Arial" w:cs="Arial" w:eastAsia="Arial" w:hAnsi="Arial"/>
                <w:sz w:val="13"/>
                <w:szCs w:val="13"/>
                <w:color w:val="auto"/>
              </w:rPr>
              <w:t>(a)</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0.19</w:t>
            </w:r>
          </w:p>
        </w:tc>
        <w:tc>
          <w:tcPr>
            <w:tcW w:w="260" w:type="dxa"/>
            <w:vAlign w:val="bottom"/>
            <w:gridSpan w:val="2"/>
          </w:tcPr>
          <w:p>
            <w:pPr>
              <w:ind w:left="20"/>
              <w:spacing w:after="0"/>
              <w:rPr>
                <w:sz w:val="20"/>
                <w:szCs w:val="20"/>
                <w:color w:val="auto"/>
              </w:rPr>
            </w:pPr>
            <w:r>
              <w:rPr>
                <w:rFonts w:ascii="Arial" w:cs="Arial" w:eastAsia="Arial" w:hAnsi="Arial"/>
                <w:sz w:val="13"/>
                <w:szCs w:val="13"/>
                <w:color w:val="auto"/>
              </w:rPr>
              <w:t>(b)</w:t>
            </w: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31.6 %</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Non-GAAP Financial Measures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2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8"/>
                <w:szCs w:val="8"/>
                <w:color w:val="auto"/>
              </w:rPr>
              <w:t>(4)</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119,650</w:t>
            </w:r>
          </w:p>
        </w:tc>
        <w:tc>
          <w:tcPr>
            <w:tcW w:w="2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80,347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48..9 %</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45.4 %</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8"/>
                <w:szCs w:val="8"/>
                <w:color w:val="auto"/>
              </w:rPr>
              <w:t>(4)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+799 bps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 bps</w:t>
            </w:r>
          </w:p>
        </w:tc>
        <w:tc>
          <w:tcPr>
            <w:tcW w:w="0" w:type="dxa"/>
            <w:vAlign w:val="bottom"/>
          </w:tcPr>
          <w:p>
            <w:pPr>
              <w:spacing w:after="0"/>
              <w:rPr>
                <w:sz w:val="1"/>
                <w:szCs w:val="1"/>
                <w:color w:val="auto"/>
              </w:rPr>
            </w:pPr>
          </w:p>
        </w:tc>
      </w:tr>
      <w:tr>
        <w:trPr>
          <w:trHeight w:val="216"/>
        </w:trPr>
        <w:tc>
          <w:tcPr>
            <w:tcW w:w="3620" w:type="dxa"/>
            <w:vAlign w:val="bottom"/>
          </w:tcPr>
          <w:p>
            <w:pPr>
              <w:ind w:left="120"/>
              <w:spacing w:after="0"/>
              <w:rPr>
                <w:sz w:val="20"/>
                <w:szCs w:val="20"/>
                <w:color w:val="auto"/>
              </w:rPr>
            </w:pPr>
            <w:r>
              <w:rPr>
                <w:rFonts w:ascii="Arial" w:cs="Arial" w:eastAsia="Arial" w:hAnsi="Arial"/>
                <w:sz w:val="18"/>
                <w:szCs w:val="18"/>
                <w:color w:val="auto"/>
              </w:rPr>
              <w:t xml:space="preserve">Adjusted EBIT </w:t>
            </w:r>
            <w:r>
              <w:rPr>
                <w:rFonts w:ascii="Arial" w:cs="Arial" w:eastAsia="Arial" w:hAnsi="Arial"/>
                <w:sz w:val="8"/>
                <w:szCs w:val="8"/>
                <w:color w:val="auto"/>
              </w:rPr>
              <w:t>(4)</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108,747</w:t>
            </w:r>
          </w:p>
        </w:tc>
        <w:tc>
          <w:tcPr>
            <w:tcW w:w="2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70,053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55.2 %</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51.9 %</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Adjusted EBIT margin </w:t>
            </w:r>
            <w:r>
              <w:rPr>
                <w:rFonts w:ascii="Arial" w:cs="Arial" w:eastAsia="Arial" w:hAnsi="Arial"/>
                <w:sz w:val="8"/>
                <w:szCs w:val="8"/>
                <w:color w:val="auto"/>
              </w:rPr>
              <w:t>(4)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+885 bps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 bps</w:t>
            </w:r>
          </w:p>
        </w:tc>
        <w:tc>
          <w:tcPr>
            <w:tcW w:w="0" w:type="dxa"/>
            <w:vAlign w:val="bottom"/>
          </w:tcPr>
          <w:p>
            <w:pPr>
              <w:spacing w:after="0"/>
              <w:rPr>
                <w:sz w:val="1"/>
                <w:szCs w:val="1"/>
                <w:color w:val="auto"/>
              </w:rPr>
            </w:pPr>
          </w:p>
        </w:tc>
      </w:tr>
      <w:tr>
        <w:trPr>
          <w:trHeight w:val="216"/>
        </w:trPr>
        <w:tc>
          <w:tcPr>
            <w:tcW w:w="3620" w:type="dxa"/>
            <w:vAlign w:val="bottom"/>
          </w:tcPr>
          <w:p>
            <w:pPr>
              <w:ind w:left="120"/>
              <w:spacing w:after="0"/>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8"/>
                <w:szCs w:val="8"/>
                <w:color w:val="auto"/>
              </w:rPr>
              <w:t>(4)</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85,368</w:t>
            </w:r>
          </w:p>
        </w:tc>
        <w:tc>
          <w:tcPr>
            <w:tcW w:w="2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52,190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63.6 %</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51.0 %</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Adjusted Diluted EPS </w:t>
            </w:r>
            <w:r>
              <w:rPr>
                <w:rFonts w:ascii="Arial" w:cs="Arial" w:eastAsia="Arial" w:hAnsi="Arial"/>
                <w:sz w:val="8"/>
                <w:szCs w:val="8"/>
                <w:color w:val="auto"/>
              </w:rPr>
              <w:t>(3)(4)(5)</w:t>
            </w:r>
          </w:p>
        </w:tc>
        <w:tc>
          <w:tcPr>
            <w:tcW w:w="4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20" w:type="dxa"/>
            <w:vAlign w:val="bottom"/>
            <w:shd w:val="clear" w:color="auto" w:fill="CCEEFF"/>
          </w:tcPr>
          <w:p>
            <w:pPr>
              <w:spacing w:after="0"/>
              <w:rPr>
                <w:sz w:val="20"/>
                <w:szCs w:val="20"/>
                <w:color w:val="auto"/>
              </w:rPr>
            </w:pPr>
            <w:r>
              <w:rPr>
                <w:rFonts w:ascii="Arial" w:cs="Arial" w:eastAsia="Arial" w:hAnsi="Arial"/>
                <w:sz w:val="13"/>
                <w:szCs w:val="13"/>
                <w:color w:val="auto"/>
              </w:rPr>
              <w:t>(a)</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13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60.9 %</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700" w:right="159" w:hanging="332"/>
        <w:spacing w:after="0" w:line="230" w:lineRule="auto"/>
        <w:tabs>
          <w:tab w:leader="none" w:pos="700" w:val="left"/>
        </w:tabs>
        <w:numPr>
          <w:ilvl w:val="0"/>
          <w:numId w:val="2"/>
        </w:numPr>
        <w:rPr>
          <w:rFonts w:ascii="Arial" w:cs="Arial" w:eastAsia="Arial" w:hAnsi="Arial"/>
          <w:sz w:val="13"/>
          <w:szCs w:val="13"/>
          <w:color w:val="auto"/>
        </w:rPr>
      </w:pPr>
      <w:r>
        <w:rPr>
          <w:rFonts w:ascii="Arial" w:cs="Arial" w:eastAsia="Arial" w:hAnsi="Arial"/>
          <w:sz w:val="13"/>
          <w:szCs w:val="13"/>
          <w:color w:val="auto"/>
        </w:rPr>
        <w:t>Constant currency growth is a non-GAAP financial measure that reflects growth for the period excluding the impact of foreign currency fluctuations. See "Non-GAAP Financial Measures" below for additional information.</w:t>
      </w:r>
    </w:p>
    <w:p>
      <w:pPr>
        <w:spacing w:after="0" w:line="37" w:lineRule="exact"/>
        <w:rPr>
          <w:rFonts w:ascii="Arial" w:cs="Arial" w:eastAsia="Arial" w:hAnsi="Arial"/>
          <w:sz w:val="13"/>
          <w:szCs w:val="13"/>
          <w:color w:val="auto"/>
        </w:rPr>
      </w:pPr>
    </w:p>
    <w:p>
      <w:pPr>
        <w:ind w:left="700" w:hanging="332"/>
        <w:spacing w:after="0"/>
        <w:tabs>
          <w:tab w:leader="none" w:pos="70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Represents net income less net income attributable to non-controlling interests.</w:t>
      </w:r>
    </w:p>
    <w:p>
      <w:pPr>
        <w:spacing w:after="0" w:line="39" w:lineRule="exact"/>
        <w:rPr>
          <w:rFonts w:ascii="Arial" w:cs="Arial" w:eastAsia="Arial" w:hAnsi="Arial"/>
          <w:sz w:val="13"/>
          <w:szCs w:val="13"/>
          <w:color w:val="auto"/>
        </w:rPr>
      </w:pPr>
    </w:p>
    <w:p>
      <w:pPr>
        <w:ind w:left="700" w:right="199" w:hanging="332"/>
        <w:spacing w:after="0" w:line="230" w:lineRule="auto"/>
        <w:tabs>
          <w:tab w:leader="none" w:pos="700" w:val="left"/>
        </w:tabs>
        <w:numPr>
          <w:ilvl w:val="0"/>
          <w:numId w:val="2"/>
        </w:numPr>
        <w:rPr>
          <w:rFonts w:ascii="Arial" w:cs="Arial" w:eastAsia="Arial" w:hAnsi="Arial"/>
          <w:sz w:val="13"/>
          <w:szCs w:val="13"/>
          <w:color w:val="auto"/>
        </w:rPr>
      </w:pPr>
      <w:r>
        <w:rPr>
          <w:rFonts w:ascii="Arial" w:cs="Arial" w:eastAsia="Arial" w:hAnsi="Arial"/>
          <w:sz w:val="13"/>
          <w:szCs w:val="13"/>
          <w:color w:val="auto"/>
        </w:rPr>
        <w:t>As a result of the Reorganization Transactions and the IPO completed in April 2019, certain earnings information is being presented separately for Tradeweb Markets LLC and Tradeweb Markets Inc.</w:t>
      </w:r>
    </w:p>
    <w:p>
      <w:pPr>
        <w:spacing w:after="0" w:line="37" w:lineRule="exact"/>
        <w:rPr>
          <w:rFonts w:ascii="Arial" w:cs="Arial" w:eastAsia="Arial" w:hAnsi="Arial"/>
          <w:sz w:val="13"/>
          <w:szCs w:val="13"/>
          <w:color w:val="auto"/>
        </w:rPr>
      </w:pPr>
    </w:p>
    <w:p>
      <w:pPr>
        <w:ind w:left="1340" w:hanging="324"/>
        <w:spacing w:after="0"/>
        <w:tabs>
          <w:tab w:leader="none" w:pos="1340" w:val="left"/>
        </w:tabs>
        <w:numPr>
          <w:ilvl w:val="1"/>
          <w:numId w:val="2"/>
        </w:numPr>
        <w:rPr>
          <w:rFonts w:ascii="Arial" w:cs="Arial" w:eastAsia="Arial" w:hAnsi="Arial"/>
          <w:sz w:val="13"/>
          <w:szCs w:val="13"/>
          <w:color w:val="auto"/>
        </w:rPr>
      </w:pPr>
      <w:r>
        <w:rPr>
          <w:rFonts w:ascii="Arial" w:cs="Arial" w:eastAsia="Arial" w:hAnsi="Arial"/>
          <w:sz w:val="13"/>
          <w:szCs w:val="13"/>
          <w:color w:val="auto"/>
        </w:rPr>
        <w:t>(a) Presents information for Tradeweb Markets Inc. (post-IPO period).</w:t>
      </w:r>
    </w:p>
    <w:p>
      <w:pPr>
        <w:spacing w:after="0" w:line="39" w:lineRule="exact"/>
        <w:rPr>
          <w:rFonts w:ascii="Arial" w:cs="Arial" w:eastAsia="Arial" w:hAnsi="Arial"/>
          <w:sz w:val="13"/>
          <w:szCs w:val="13"/>
          <w:color w:val="auto"/>
        </w:rPr>
      </w:pPr>
    </w:p>
    <w:p>
      <w:pPr>
        <w:ind w:left="1340" w:hanging="324"/>
        <w:spacing w:after="0"/>
        <w:tabs>
          <w:tab w:leader="none" w:pos="1340" w:val="left"/>
        </w:tabs>
        <w:numPr>
          <w:ilvl w:val="1"/>
          <w:numId w:val="2"/>
        </w:numPr>
        <w:rPr>
          <w:rFonts w:ascii="Arial" w:cs="Arial" w:eastAsia="Arial" w:hAnsi="Arial"/>
          <w:sz w:val="13"/>
          <w:szCs w:val="13"/>
          <w:color w:val="auto"/>
        </w:rPr>
      </w:pPr>
      <w:r>
        <w:rPr>
          <w:rFonts w:ascii="Arial" w:cs="Arial" w:eastAsia="Arial" w:hAnsi="Arial"/>
          <w:sz w:val="13"/>
          <w:szCs w:val="13"/>
          <w:color w:val="auto"/>
        </w:rPr>
        <w:t>(b) Presents information for Tradeweb Markets LLC (pre-IPO period).</w:t>
      </w:r>
    </w:p>
    <w:p>
      <w:pPr>
        <w:spacing w:after="0" w:line="39" w:lineRule="exact"/>
        <w:rPr>
          <w:rFonts w:ascii="Arial" w:cs="Arial" w:eastAsia="Arial" w:hAnsi="Arial"/>
          <w:sz w:val="13"/>
          <w:szCs w:val="13"/>
          <w:color w:val="auto"/>
        </w:rPr>
      </w:pPr>
    </w:p>
    <w:p>
      <w:pPr>
        <w:ind w:left="1340" w:right="279"/>
        <w:spacing w:after="0" w:line="230" w:lineRule="auto"/>
        <w:rPr>
          <w:rFonts w:ascii="Arial" w:cs="Arial" w:eastAsia="Arial" w:hAnsi="Arial"/>
          <w:sz w:val="13"/>
          <w:szCs w:val="13"/>
          <w:color w:val="auto"/>
        </w:rPr>
      </w:pPr>
      <w:r>
        <w:rPr>
          <w:rFonts w:ascii="Arial" w:cs="Arial" w:eastAsia="Arial" w:hAnsi="Arial"/>
          <w:sz w:val="13"/>
          <w:szCs w:val="13"/>
          <w:color w:val="auto"/>
        </w:rPr>
        <w:t>See “Basis of Presentation” elsewhere herein and “Note 18 – Earnings Per Share” to the audited consolidated financial statements of Tradeweb Markets Inc. appearing in the 2019 Form 10-K, incorporated by reference in this process</w:t>
      </w:r>
    </w:p>
    <w:p>
      <w:pPr>
        <w:spacing w:after="0" w:line="37" w:lineRule="exact"/>
        <w:rPr>
          <w:rFonts w:ascii="Arial" w:cs="Arial" w:eastAsia="Arial" w:hAnsi="Arial"/>
          <w:sz w:val="13"/>
          <w:szCs w:val="13"/>
          <w:color w:val="auto"/>
        </w:rPr>
      </w:pPr>
    </w:p>
    <w:p>
      <w:pPr>
        <w:ind w:left="700" w:right="119" w:hanging="332"/>
        <w:spacing w:after="0" w:line="225" w:lineRule="auto"/>
        <w:tabs>
          <w:tab w:leader="none" w:pos="700" w:val="left"/>
        </w:tabs>
        <w:numPr>
          <w:ilvl w:val="0"/>
          <w:numId w:val="2"/>
        </w:numPr>
        <w:rPr>
          <w:rFonts w:ascii="Arial" w:cs="Arial" w:eastAsia="Arial" w:hAnsi="Arial"/>
          <w:sz w:val="13"/>
          <w:szCs w:val="13"/>
          <w:color w:val="auto"/>
        </w:rPr>
      </w:pPr>
      <w:r>
        <w:rPr>
          <w:rFonts w:ascii="Arial" w:cs="Arial" w:eastAsia="Arial" w:hAnsi="Arial"/>
          <w:sz w:val="13"/>
          <w:szCs w:val="13"/>
          <w:color w:val="auto"/>
        </w:rPr>
        <w:t>For the definitions of Adjusted EBITDA, Adjusted EBITDA margin, Adjusted EBIT, Adjusted EBIT margin, Adjusted Net Income and Adjusted Diluted EPS, see note 6 in “- Summary Historical and Pro Forma Consolidated Financial and Other Data.” For reconciliations to their most directly comparable financial measures presented in accordance with GAAP, see the tables below.</w:t>
      </w:r>
    </w:p>
    <w:p>
      <w:pPr>
        <w:spacing w:after="0" w:line="38" w:lineRule="exact"/>
        <w:rPr>
          <w:rFonts w:ascii="Arial" w:cs="Arial" w:eastAsia="Arial" w:hAnsi="Arial"/>
          <w:sz w:val="13"/>
          <w:szCs w:val="13"/>
          <w:color w:val="auto"/>
        </w:rPr>
      </w:pPr>
    </w:p>
    <w:p>
      <w:pPr>
        <w:ind w:left="700" w:right="239" w:hanging="332"/>
        <w:spacing w:after="0" w:line="225" w:lineRule="auto"/>
        <w:tabs>
          <w:tab w:leader="none" w:pos="700" w:val="left"/>
        </w:tabs>
        <w:numPr>
          <w:ilvl w:val="0"/>
          <w:numId w:val="2"/>
        </w:numPr>
        <w:rPr>
          <w:rFonts w:ascii="Arial" w:cs="Arial" w:eastAsia="Arial" w:hAnsi="Arial"/>
          <w:sz w:val="13"/>
          <w:szCs w:val="13"/>
          <w:color w:val="auto"/>
        </w:rPr>
      </w:pPr>
      <w:r>
        <w:rPr>
          <w:rFonts w:ascii="Arial" w:cs="Arial" w:eastAsia="Arial" w:hAnsi="Arial"/>
          <w:sz w:val="13"/>
          <w:szCs w:val="13"/>
          <w:color w:val="auto"/>
        </w:rPr>
        <w:t>Adjusted Diluted EPS includes certain tax related adjustments to reflect an assumed effective tax rate for all periods presented and, for the three months ended March 31, 2020, assumes all LLC Interests are exchanged for shares of Class A or Class B common stock. As a result, we believe that Adjusted Diluted EPS for Tradeweb Markets Inc. and Tradeweb Markets LLC are comparable.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ind w:right="5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475615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4" w:name="page5"/>
    <w:bookmarkEnd w:id="4"/>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5600065</wp:posOffset>
            </wp:positionH>
            <wp:positionV relativeFrom="page">
              <wp:posOffset>88900</wp:posOffset>
            </wp:positionV>
            <wp:extent cx="100266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002665" cy="308610"/>
                    </a:xfrm>
                    <a:prstGeom prst="rect">
                      <a:avLst/>
                    </a:prstGeom>
                    <a:noFill/>
                  </pic:spPr>
                </pic:pic>
              </a:graphicData>
            </a:graphic>
          </wp:anchor>
        </w:drawing>
        <w:t>TRADEWEB MARKETS INC.</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STATEMENT</w:t>
      </w:r>
    </w:p>
    <w:p>
      <w:pPr>
        <w:ind w:left="4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jc w:val="right"/>
              <w:ind w:right="208"/>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right"/>
              <w:ind w:right="20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jc w:val="right"/>
              <w:ind w:right="388"/>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right"/>
              <w:ind w:right="388"/>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gridSpan w:val="2"/>
          </w:tcPr>
          <w:p>
            <w:pPr>
              <w:ind w:left="100"/>
              <w:spacing w:after="0"/>
              <w:rPr>
                <w:sz w:val="20"/>
                <w:szCs w:val="20"/>
                <w:color w:val="auto"/>
              </w:rPr>
            </w:pPr>
            <w:r>
              <w:rPr>
                <w:rFonts w:ascii="Arial" w:cs="Arial" w:eastAsia="Arial" w:hAnsi="Arial"/>
                <w:sz w:val="14"/>
                <w:szCs w:val="14"/>
                <w:color w:val="auto"/>
              </w:rPr>
              <w:t>Transaction fees</w:t>
            </w:r>
          </w:p>
        </w:tc>
        <w:tc>
          <w:tcPr>
            <w:tcW w:w="10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140,824</w:t>
            </w:r>
          </w:p>
        </w:tc>
        <w:tc>
          <w:tcPr>
            <w:tcW w:w="36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102,640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Subscription fees</w:t>
            </w: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34,483</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gridSpan w:val="2"/>
          </w:tcPr>
          <w:p>
            <w:pPr>
              <w:ind w:left="100"/>
              <w:spacing w:after="0"/>
              <w:rPr>
                <w:sz w:val="20"/>
                <w:szCs w:val="20"/>
                <w:color w:val="auto"/>
              </w:rPr>
            </w:pPr>
            <w:r>
              <w:rPr>
                <w:rFonts w:ascii="Arial" w:cs="Arial" w:eastAsia="Arial" w:hAnsi="Arial"/>
                <w:sz w:val="14"/>
                <w:szCs w:val="14"/>
                <w:color w:val="auto"/>
              </w:rPr>
              <w:t>Commissions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42,493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34,197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Refinitiv market data fees</w:t>
            </w: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14,628</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2,178</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gridSpan w:val="2"/>
            <w:shd w:val="clear" w:color="auto" w:fill="CCEEFF"/>
          </w:tcPr>
          <w:p>
            <w:pPr>
              <w:ind w:left="200"/>
              <w:spacing w:after="0" w:line="142" w:lineRule="exact"/>
              <w:rPr>
                <w:sz w:val="20"/>
                <w:szCs w:val="20"/>
                <w:color w:val="auto"/>
              </w:rPr>
            </w:pPr>
            <w:r>
              <w:rPr>
                <w:rFonts w:ascii="Arial" w:cs="Arial" w:eastAsia="Arial" w:hAnsi="Arial"/>
                <w:sz w:val="14"/>
                <w:szCs w:val="14"/>
                <w:b w:val="1"/>
                <w:bCs w:val="1"/>
                <w:color w:val="auto"/>
              </w:rPr>
              <w:t>Gross revenue</w:t>
            </w: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234,606</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186,792</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gridSpan w:val="2"/>
          </w:tcPr>
          <w:p>
            <w:pPr>
              <w:ind w:left="100"/>
              <w:spacing w:after="0"/>
              <w:rPr>
                <w:sz w:val="20"/>
                <w:szCs w:val="20"/>
                <w:color w:val="auto"/>
              </w:rPr>
            </w:pPr>
            <w:r>
              <w:rPr>
                <w:rFonts w:ascii="Arial" w:cs="Arial" w:eastAsia="Arial" w:hAnsi="Arial"/>
                <w:sz w:val="14"/>
                <w:szCs w:val="14"/>
                <w:color w:val="auto"/>
              </w:rPr>
              <w:t>Employee compensation and benefits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90,520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77,273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Depreciation and amortization</w:t>
            </w: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37,176</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gridSpan w:val="2"/>
          </w:tcPr>
          <w:p>
            <w:pPr>
              <w:ind w:left="100"/>
              <w:spacing w:after="0"/>
              <w:rPr>
                <w:sz w:val="20"/>
                <w:szCs w:val="20"/>
                <w:color w:val="auto"/>
              </w:rPr>
            </w:pPr>
            <w:r>
              <w:rPr>
                <w:rFonts w:ascii="Arial" w:cs="Arial" w:eastAsia="Arial" w:hAnsi="Arial"/>
                <w:sz w:val="14"/>
                <w:szCs w:val="14"/>
                <w:color w:val="auto"/>
              </w:rPr>
              <w:t>Technology and communications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10,318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10,040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General and administrative</w:t>
            </w: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8,340</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gridSpan w:val="2"/>
          </w:tcPr>
          <w:p>
            <w:pPr>
              <w:ind w:left="100"/>
              <w:spacing w:after="0"/>
              <w:rPr>
                <w:sz w:val="20"/>
                <w:szCs w:val="20"/>
                <w:color w:val="auto"/>
              </w:rPr>
            </w:pPr>
            <w:r>
              <w:rPr>
                <w:rFonts w:ascii="Arial" w:cs="Arial" w:eastAsia="Arial" w:hAnsi="Arial"/>
                <w:sz w:val="14"/>
                <w:szCs w:val="14"/>
                <w:color w:val="auto"/>
              </w:rPr>
              <w:t>Professional fees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6,911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6,971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Occupancy</w:t>
            </w:r>
          </w:p>
        </w:tc>
        <w:tc>
          <w:tcPr>
            <w:tcW w:w="8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3,726</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Borders>
              <w:bottom w:val="single" w:sz="8" w:color="CCEEFF"/>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Total expenses</w:t>
            </w:r>
          </w:p>
        </w:tc>
        <w:tc>
          <w:tcPr>
            <w:tcW w:w="8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156,991</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140,515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income</w:t>
            </w:r>
          </w:p>
        </w:tc>
        <w:tc>
          <w:tcPr>
            <w:tcW w:w="8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77,615</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46,277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Borders>
              <w:bottom w:val="single" w:sz="8" w:color="CCEEFF"/>
            </w:tcBorders>
            <w:gridSpan w:val="2"/>
          </w:tcPr>
          <w:p>
            <w:pPr>
              <w:ind w:left="100"/>
              <w:spacing w:after="0" w:line="142" w:lineRule="exact"/>
              <w:rPr>
                <w:sz w:val="20"/>
                <w:szCs w:val="20"/>
                <w:color w:val="auto"/>
              </w:rPr>
            </w:pPr>
            <w:r>
              <w:rPr>
                <w:rFonts w:ascii="Arial" w:cs="Arial" w:eastAsia="Arial" w:hAnsi="Arial"/>
                <w:sz w:val="14"/>
                <w:szCs w:val="14"/>
                <w:color w:val="auto"/>
              </w:rPr>
              <w:t>Net interest income</w:t>
            </w:r>
          </w:p>
        </w:tc>
        <w:tc>
          <w:tcPr>
            <w:tcW w:w="8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699</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Income before taxes</w:t>
            </w:r>
          </w:p>
        </w:tc>
        <w:tc>
          <w:tcPr>
            <w:tcW w:w="8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78,314</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47,135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Provision for income taxes</w:t>
            </w:r>
          </w:p>
        </w:tc>
        <w:tc>
          <w:tcPr>
            <w:tcW w:w="8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(15,829)</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Borders>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8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70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62,485</w:t>
            </w:r>
          </w:p>
        </w:tc>
        <w:tc>
          <w:tcPr>
            <w:tcW w:w="1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42,352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4"/>
                <w:szCs w:val="14"/>
                <w:color w:val="auto"/>
              </w:rPr>
              <w:t>Less: Net income attributable to non-controlling interests</w:t>
            </w:r>
          </w:p>
        </w:tc>
        <w:tc>
          <w:tcPr>
            <w:tcW w:w="8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18,557</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Borders>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income attributable to Tradeweb Markets Inc.</w:t>
            </w:r>
          </w:p>
        </w:tc>
        <w:tc>
          <w:tcPr>
            <w:tcW w:w="8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43,928</w:t>
            </w:r>
          </w:p>
        </w:tc>
        <w:tc>
          <w:tcPr>
            <w:tcW w:w="1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7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412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 xml:space="preserve">EPS calculations for post-IPO and pre-IPO periods </w:t>
            </w:r>
            <w:r>
              <w:rPr>
                <w:rFonts w:ascii="Arial" w:cs="Arial" w:eastAsia="Arial" w:hAnsi="Arial"/>
                <w:sz w:val="14"/>
                <w:szCs w:val="14"/>
                <w:b w:val="1"/>
                <w:bCs w:val="1"/>
                <w:color w:val="auto"/>
                <w:vertAlign w:val="superscript"/>
              </w:rPr>
              <w:t>(1)</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Borders>
              <w:top w:val="single" w:sz="8" w:color="auto"/>
            </w:tcBorders>
          </w:tcPr>
          <w:p>
            <w:pPr>
              <w:spacing w:after="0"/>
              <w:rPr>
                <w:sz w:val="12"/>
                <w:szCs w:val="12"/>
                <w:color w:val="auto"/>
              </w:rPr>
            </w:pPr>
          </w:p>
        </w:tc>
        <w:tc>
          <w:tcPr>
            <w:tcW w:w="314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Earnings per share</w:t>
            </w:r>
          </w:p>
        </w:tc>
        <w:tc>
          <w:tcPr>
            <w:tcW w:w="98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7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7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Basic</w:t>
            </w:r>
          </w:p>
        </w:tc>
        <w:tc>
          <w:tcPr>
            <w:tcW w:w="10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xml:space="preserve">0.26 </w:t>
            </w:r>
            <w:r>
              <w:rPr>
                <w:rFonts w:ascii="Arial" w:cs="Arial" w:eastAsia="Arial" w:hAnsi="Arial"/>
                <w:sz w:val="14"/>
                <w:szCs w:val="14"/>
                <w:color w:val="auto"/>
                <w:vertAlign w:val="superscript"/>
              </w:rPr>
              <w:t>(a)</w:t>
            </w:r>
          </w:p>
        </w:tc>
        <w:tc>
          <w:tcPr>
            <w:tcW w:w="3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 xml:space="preserve">0.19 </w:t>
            </w:r>
            <w:r>
              <w:rPr>
                <w:rFonts w:ascii="Arial" w:cs="Arial" w:eastAsia="Arial" w:hAnsi="Arial"/>
                <w:sz w:val="14"/>
                <w:szCs w:val="14"/>
                <w:color w:val="auto"/>
                <w:vertAlign w:val="superscript"/>
              </w:rPr>
              <w:t>(b)</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20" w:type="dxa"/>
            <w:vAlign w:val="bottom"/>
            <w:tcBorders>
              <w:top w:val="single" w:sz="8" w:color="CCEEFF"/>
              <w:bottom w:val="single" w:sz="8" w:color="CCEEFF"/>
            </w:tcBorders>
            <w:gridSpan w:val="2"/>
          </w:tcPr>
          <w:p>
            <w:pPr>
              <w:ind w:left="100"/>
              <w:spacing w:after="0" w:line="135" w:lineRule="exact"/>
              <w:rPr>
                <w:sz w:val="20"/>
                <w:szCs w:val="20"/>
                <w:color w:val="auto"/>
              </w:rPr>
            </w:pPr>
            <w:r>
              <w:rPr>
                <w:rFonts w:ascii="Arial" w:cs="Arial" w:eastAsia="Arial" w:hAnsi="Arial"/>
                <w:sz w:val="14"/>
                <w:szCs w:val="14"/>
                <w:color w:val="auto"/>
              </w:rPr>
              <w:t>Diluted</w:t>
            </w:r>
          </w:p>
        </w:tc>
        <w:tc>
          <w:tcPr>
            <w:tcW w:w="86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70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 xml:space="preserve">0.25 </w:t>
            </w:r>
            <w:r>
              <w:rPr>
                <w:rFonts w:ascii="Arial" w:cs="Arial" w:eastAsia="Arial" w:hAnsi="Arial"/>
                <w:sz w:val="14"/>
                <w:szCs w:val="14"/>
                <w:color w:val="auto"/>
                <w:vertAlign w:val="superscript"/>
              </w:rPr>
              <w:t>(a)</w:t>
            </w:r>
          </w:p>
        </w:tc>
        <w:tc>
          <w:tcPr>
            <w:tcW w:w="18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70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 xml:space="preserve">0.19 </w:t>
            </w:r>
            <w:r>
              <w:rPr>
                <w:rFonts w:ascii="Arial" w:cs="Arial" w:eastAsia="Arial" w:hAnsi="Arial"/>
                <w:sz w:val="14"/>
                <w:szCs w:val="14"/>
                <w:color w:val="auto"/>
                <w:vertAlign w:val="superscript"/>
              </w:rPr>
              <w:t>(b)</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 average shares outstanding</w:t>
            </w: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gridSpan w:val="2"/>
          </w:tcPr>
          <w:p>
            <w:pPr>
              <w:ind w:left="100"/>
              <w:spacing w:after="0"/>
              <w:rPr>
                <w:sz w:val="20"/>
                <w:szCs w:val="20"/>
                <w:color w:val="auto"/>
              </w:rPr>
            </w:pPr>
            <w:r>
              <w:rPr>
                <w:rFonts w:ascii="Arial" w:cs="Arial" w:eastAsia="Arial" w:hAnsi="Arial"/>
                <w:sz w:val="14"/>
                <w:szCs w:val="14"/>
                <w:color w:val="auto"/>
              </w:rPr>
              <w:t>Basic</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 xml:space="preserve">166,234,749 </w:t>
            </w:r>
            <w:r>
              <w:rPr>
                <w:rFonts w:ascii="Arial" w:cs="Arial" w:eastAsia="Arial" w:hAnsi="Arial"/>
                <w:sz w:val="14"/>
                <w:szCs w:val="14"/>
                <w:color w:val="auto"/>
                <w:vertAlign w:val="superscript"/>
              </w:rPr>
              <w:t>(a)</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 xml:space="preserve">222,222,197 </w:t>
            </w:r>
            <w:r>
              <w:rPr>
                <w:rFonts w:ascii="Arial" w:cs="Arial" w:eastAsia="Arial" w:hAnsi="Arial"/>
                <w:sz w:val="14"/>
                <w:szCs w:val="14"/>
                <w:color w:val="auto"/>
                <w:vertAlign w:val="superscript"/>
              </w:rPr>
              <w:t>(b)</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Diluted</w:t>
            </w: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xml:space="preserve">174,517,244 </w:t>
            </w:r>
            <w:r>
              <w:rPr>
                <w:rFonts w:ascii="Arial" w:cs="Arial" w:eastAsia="Arial" w:hAnsi="Arial"/>
                <w:sz w:val="14"/>
                <w:szCs w:val="14"/>
                <w:color w:val="auto"/>
                <w:vertAlign w:val="superscript"/>
              </w:rPr>
              <w:t>(a)</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xml:space="preserve">223,320,457 </w:t>
            </w:r>
            <w:r>
              <w:rPr>
                <w:rFonts w:ascii="Arial" w:cs="Arial" w:eastAsia="Arial" w:hAnsi="Arial"/>
                <w:sz w:val="14"/>
                <w:szCs w:val="14"/>
                <w:color w:val="auto"/>
                <w:vertAlign w:val="superscript"/>
              </w:rPr>
              <w:t>(b)</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700" w:right="139" w:hanging="332"/>
        <w:spacing w:after="0" w:line="223" w:lineRule="auto"/>
        <w:tabs>
          <w:tab w:leader="none" w:pos="7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 April 2019, the Company completed the Reorganization Transactions and the IPO, which, among other things, resulted in Tradeweb Markets Inc. becoming the successor of Tradeweb Markets LLC for financial reporting purposes. As a result, earnings per share information for the pre-IPO period is not comparable to the earnings per share information for the post-IPO period. Therefore, earnings per share information is being presented separately for the pre-IPO and post-IPO periods.</w:t>
      </w:r>
    </w:p>
    <w:p>
      <w:pPr>
        <w:spacing w:after="0" w:line="119" w:lineRule="exact"/>
        <w:rPr>
          <w:rFonts w:ascii="Arial" w:cs="Arial" w:eastAsia="Arial" w:hAnsi="Arial"/>
          <w:sz w:val="13"/>
          <w:szCs w:val="13"/>
          <w:color w:val="auto"/>
        </w:rPr>
      </w:pPr>
    </w:p>
    <w:p>
      <w:pPr>
        <w:ind w:left="1080" w:hanging="226"/>
        <w:spacing w:after="0"/>
        <w:tabs>
          <w:tab w:leader="none" w:pos="1080" w:val="left"/>
        </w:tabs>
        <w:numPr>
          <w:ilvl w:val="1"/>
          <w:numId w:val="3"/>
        </w:numPr>
        <w:rPr>
          <w:rFonts w:ascii="Arial" w:cs="Arial" w:eastAsia="Arial" w:hAnsi="Arial"/>
          <w:sz w:val="13"/>
          <w:szCs w:val="13"/>
          <w:color w:val="auto"/>
        </w:rPr>
      </w:pPr>
      <w:r>
        <w:rPr>
          <w:rFonts w:ascii="Arial" w:cs="Arial" w:eastAsia="Arial" w:hAnsi="Arial"/>
          <w:sz w:val="13"/>
          <w:szCs w:val="13"/>
          <w:color w:val="auto"/>
        </w:rPr>
        <w:t>Presents information for Tradeweb Markets Inc. (post-IPO period).</w:t>
      </w:r>
    </w:p>
    <w:p>
      <w:pPr>
        <w:spacing w:after="0" w:line="120" w:lineRule="exact"/>
        <w:rPr>
          <w:rFonts w:ascii="Arial" w:cs="Arial" w:eastAsia="Arial" w:hAnsi="Arial"/>
          <w:sz w:val="13"/>
          <w:szCs w:val="13"/>
          <w:color w:val="auto"/>
        </w:rPr>
      </w:pPr>
    </w:p>
    <w:p>
      <w:pPr>
        <w:ind w:left="1080" w:hanging="226"/>
        <w:spacing w:after="0"/>
        <w:tabs>
          <w:tab w:leader="none" w:pos="1080" w:val="left"/>
        </w:tabs>
        <w:numPr>
          <w:ilvl w:val="1"/>
          <w:numId w:val="3"/>
        </w:numPr>
        <w:rPr>
          <w:rFonts w:ascii="Arial" w:cs="Arial" w:eastAsia="Arial" w:hAnsi="Arial"/>
          <w:sz w:val="13"/>
          <w:szCs w:val="13"/>
          <w:color w:val="auto"/>
        </w:rPr>
      </w:pPr>
      <w:r>
        <w:rPr>
          <w:rFonts w:ascii="Arial" w:cs="Arial" w:eastAsia="Arial" w:hAnsi="Arial"/>
          <w:sz w:val="13"/>
          <w:szCs w:val="13"/>
          <w:color w:val="auto"/>
        </w:rPr>
        <w:t>Presents information for Tradeweb Markets LLC (pre-IPO period).</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3"/>
          <w:szCs w:val="13"/>
          <w:color w:val="auto"/>
        </w:rPr>
        <w:t>See “Basic and Diluted EPS Calculations” below for additional information.</w:t>
      </w:r>
    </w:p>
    <w:p>
      <w:pPr>
        <w:spacing w:after="0" w:line="189" w:lineRule="exact"/>
        <w:rPr>
          <w:sz w:val="20"/>
          <w:szCs w:val="20"/>
          <w:color w:val="auto"/>
        </w:rPr>
      </w:pPr>
    </w:p>
    <w:p>
      <w:pPr>
        <w:jc w:val="right"/>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475615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05" w:right="1440" w:bottom="1440" w:gutter="0" w:footer="0" w:header="0"/>
        </w:sectPr>
      </w:pPr>
    </w:p>
    <w:bookmarkStart w:id="5" w:name="page6"/>
    <w:bookmarkEnd w:id="5"/>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5600065</wp:posOffset>
            </wp:positionH>
            <wp:positionV relativeFrom="page">
              <wp:posOffset>88900</wp:posOffset>
            </wp:positionV>
            <wp:extent cx="1002665"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02665" cy="308610"/>
                    </a:xfrm>
                    <a:prstGeom prst="rect">
                      <a:avLst/>
                    </a:prstGeom>
                    <a:noFill/>
                  </pic:spPr>
                </pic:pic>
              </a:graphicData>
            </a:graphic>
          </wp:anchor>
        </w:drawing>
        <w:t>TRADEWEB MARKETS INC.</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RECONCILIATION OF NON-GAAP FINANCIAL MEASURES (UNAUDITED)</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Dollars in Thousands, Except per Share Data</w:t>
      </w:r>
    </w:p>
    <w:p>
      <w:pPr>
        <w:sectPr>
          <w:pgSz w:w="11900" w:h="16838" w:orient="portrait"/>
          <w:cols w:equalWidth="0" w:num="1">
            <w:col w:w="9019"/>
          </w:cols>
          <w:pgMar w:left="1440" w:top="805" w:right="1440" w:bottom="1440" w:gutter="0" w:footer="0" w:header="0"/>
        </w:sectPr>
      </w:pPr>
    </w:p>
    <w:p>
      <w:pPr>
        <w:spacing w:after="0" w:line="217" w:lineRule="exact"/>
        <w:rPr>
          <w:sz w:val="20"/>
          <w:szCs w:val="20"/>
          <w:color w:val="auto"/>
        </w:rPr>
      </w:pPr>
    </w:p>
    <w:p>
      <w:pPr>
        <w:ind w:left="40" w:right="380"/>
        <w:spacing w:after="0" w:line="297" w:lineRule="auto"/>
        <w:rPr>
          <w:sz w:val="20"/>
          <w:szCs w:val="20"/>
          <w:color w:val="auto"/>
        </w:rPr>
      </w:pPr>
      <w:r>
        <w:rPr>
          <w:rFonts w:ascii="Arial" w:cs="Arial" w:eastAsia="Arial" w:hAnsi="Arial"/>
          <w:sz w:val="13"/>
          <w:szCs w:val="13"/>
          <w:b w:val="1"/>
          <w:bCs w:val="1"/>
          <w:color w:val="auto"/>
        </w:rPr>
        <w:t>Reconciliation of Net Income to Adjusted EBITDA, Adjusted EBITDA Margin, Adjusted EBIT and Adjusted EBIT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-31115</wp:posOffset>
            </wp:positionV>
            <wp:extent cx="29489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8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interest income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Depreciation and amortization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 expense</w:t>
      </w:r>
      <w:r>
        <w:rPr>
          <w:rFonts w:ascii="Arial" w:cs="Arial" w:eastAsia="Arial" w:hAnsi="Arial"/>
          <w:sz w:val="14"/>
          <w:szCs w:val="14"/>
          <w:color w:val="auto"/>
          <w:vertAlign w:val="superscript"/>
        </w:rPr>
        <w:t>(1)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Provision for income taxes</w:t>
      </w:r>
    </w:p>
    <w:p>
      <w:pPr>
        <w:ind w:left="40"/>
        <w:spacing w:after="0" w:line="237" w:lineRule="auto"/>
        <w:rPr>
          <w:sz w:val="20"/>
          <w:szCs w:val="20"/>
          <w:color w:val="auto"/>
        </w:rPr>
      </w:pPr>
      <w:r>
        <w:rPr>
          <w:rFonts w:ascii="Arial" w:cs="Arial" w:eastAsia="Arial" w:hAnsi="Arial"/>
          <w:sz w:val="14"/>
          <w:szCs w:val="14"/>
          <w:color w:val="auto"/>
        </w:rPr>
        <w:t>Unrealized foreign exchange (gains) / losses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Loss from revaluation of foreign denominated cash</w:t>
      </w:r>
      <w:r>
        <w:rPr>
          <w:rFonts w:ascii="Arial" w:cs="Arial" w:eastAsia="Arial" w:hAnsi="Arial"/>
          <w:sz w:val="14"/>
          <w:szCs w:val="14"/>
          <w:color w:val="auto"/>
          <w:vertAlign w:val="superscript"/>
        </w:rPr>
        <w:t>(2)</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EBITDA</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Less: Depreciation and amortization</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 Acquisition and Refinitiv Transaction related D&amp;A</w:t>
      </w:r>
      <w:r>
        <w:rPr>
          <w:rFonts w:ascii="Arial" w:cs="Arial" w:eastAsia="Arial" w:hAnsi="Arial"/>
          <w:sz w:val="14"/>
          <w:szCs w:val="14"/>
          <w:color w:val="auto"/>
          <w:vertAlign w:val="superscript"/>
        </w:rPr>
        <w:t>(3)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EBIT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EBITDA margin</w:t>
      </w:r>
      <w:r>
        <w:rPr>
          <w:rFonts w:ascii="Arial" w:cs="Arial" w:eastAsia="Arial" w:hAnsi="Arial"/>
          <w:sz w:val="14"/>
          <w:szCs w:val="14"/>
          <w:color w:val="auto"/>
          <w:vertAlign w:val="superscript"/>
        </w:rPr>
        <w:t>(4)</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EBIT margin</w:t>
      </w:r>
      <w:r>
        <w:rPr>
          <w:rFonts w:ascii="Arial" w:cs="Arial" w:eastAsia="Arial" w:hAnsi="Arial"/>
          <w:sz w:val="14"/>
          <w:szCs w:val="14"/>
          <w:color w:val="auto"/>
          <w:vertAlign w:val="superscript"/>
        </w:rPr>
        <w:t>(4)</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w w:val="98"/>
              </w:rPr>
              <w:t>Three Months Ended</w:t>
            </w:r>
          </w:p>
        </w:tc>
      </w:tr>
      <w:tr>
        <w:trPr>
          <w:trHeight w:val="171"/>
        </w:trPr>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right"/>
              <w:ind w:right="508"/>
              <w:spacing w:after="0"/>
              <w:rPr>
                <w:sz w:val="20"/>
                <w:szCs w:val="20"/>
                <w:color w:val="auto"/>
              </w:rPr>
            </w:pPr>
            <w:r>
              <w:rPr>
                <w:rFonts w:ascii="Arial" w:cs="Arial" w:eastAsia="Arial" w:hAnsi="Arial"/>
                <w:sz w:val="14"/>
                <w:szCs w:val="14"/>
                <w:b w:val="1"/>
                <w:bCs w:val="1"/>
                <w:color w:val="auto"/>
              </w:rPr>
              <w:t>March 31, 2020</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right"/>
              <w:ind w:right="608"/>
              <w:spacing w:after="0"/>
              <w:rPr>
                <w:sz w:val="20"/>
                <w:szCs w:val="20"/>
                <w:color w:val="auto"/>
              </w:rPr>
            </w:pPr>
            <w:r>
              <w:rPr>
                <w:rFonts w:ascii="Arial" w:cs="Arial" w:eastAsia="Arial" w:hAnsi="Arial"/>
                <w:sz w:val="14"/>
                <w:szCs w:val="14"/>
                <w:b w:val="1"/>
                <w:bCs w:val="1"/>
                <w:color w:val="auto"/>
              </w:rPr>
              <w:t>March 31, 2019</w:t>
            </w:r>
          </w:p>
        </w:tc>
      </w:tr>
      <w:tr>
        <w:trPr>
          <w:trHeight w:val="150"/>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80" w:type="dxa"/>
            <w:vAlign w:val="bottom"/>
            <w:gridSpan w:val="6"/>
          </w:tcPr>
          <w:p>
            <w:pPr>
              <w:jc w:val="right"/>
              <w:ind w:right="1508"/>
              <w:spacing w:after="0" w:line="151" w:lineRule="exact"/>
              <w:rPr>
                <w:sz w:val="20"/>
                <w:szCs w:val="20"/>
                <w:color w:val="auto"/>
              </w:rPr>
            </w:pPr>
            <w:r>
              <w:rPr>
                <w:rFonts w:ascii="Arial" w:cs="Arial" w:eastAsia="Arial" w:hAnsi="Arial"/>
                <w:sz w:val="14"/>
                <w:szCs w:val="14"/>
                <w:b w:val="1"/>
                <w:bCs w:val="1"/>
                <w:color w:val="auto"/>
              </w:rPr>
              <w:t>(in thousands)</w:t>
            </w:r>
          </w:p>
        </w:tc>
      </w:tr>
      <w:tr>
        <w:trPr>
          <w:trHeight w:val="162"/>
        </w:trPr>
        <w:tc>
          <w:tcPr>
            <w:tcW w:w="160" w:type="dxa"/>
            <w:vAlign w:val="bottom"/>
            <w:gridSpan w:val="2"/>
          </w:tcPr>
          <w:p>
            <w:pPr>
              <w:jc w:val="right"/>
              <w:ind w:right="29"/>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62,485</w:t>
            </w:r>
          </w:p>
        </w:tc>
        <w:tc>
          <w:tcPr>
            <w:tcW w:w="180" w:type="dxa"/>
            <w:vAlign w:val="bottom"/>
          </w:tcPr>
          <w:p>
            <w:pPr>
              <w:spacing w:after="0"/>
              <w:rPr>
                <w:sz w:val="14"/>
                <w:szCs w:val="14"/>
                <w:color w:val="auto"/>
              </w:rPr>
            </w:pPr>
          </w:p>
        </w:tc>
        <w:tc>
          <w:tcPr>
            <w:tcW w:w="22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42,352</w:t>
            </w:r>
          </w:p>
        </w:tc>
        <w:tc>
          <w:tcPr>
            <w:tcW w:w="2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(699)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(858)</w:t>
            </w:r>
          </w:p>
        </w:tc>
        <w:tc>
          <w:tcPr>
            <w:tcW w:w="2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37,176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33,503</w:t>
            </w:r>
          </w:p>
        </w:tc>
        <w:tc>
          <w:tcPr>
            <w:tcW w:w="2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3,497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15,829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4,783</w:t>
            </w:r>
          </w:p>
        </w:tc>
        <w:tc>
          <w:tcPr>
            <w:tcW w:w="2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1,164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(293)</w:t>
            </w:r>
          </w:p>
        </w:tc>
        <w:tc>
          <w:tcPr>
            <w:tcW w:w="2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860</w:t>
            </w:r>
          </w:p>
        </w:tc>
        <w:tc>
          <w:tcPr>
            <w:tcW w:w="2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119,650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80,347</w:t>
            </w:r>
          </w:p>
        </w:tc>
        <w:tc>
          <w:tcPr>
            <w:tcW w:w="26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jc w:val="right"/>
              <w:spacing w:after="0" w:line="157" w:lineRule="exact"/>
              <w:rPr>
                <w:sz w:val="20"/>
                <w:szCs w:val="20"/>
                <w:color w:val="auto"/>
              </w:rPr>
            </w:pPr>
            <w:r>
              <w:rPr>
                <w:rFonts w:ascii="Arial" w:cs="Arial" w:eastAsia="Arial" w:hAnsi="Arial"/>
                <w:sz w:val="14"/>
                <w:szCs w:val="14"/>
                <w:color w:val="auto"/>
              </w:rPr>
              <w:t>(37,176)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line="157" w:lineRule="exact"/>
              <w:rPr>
                <w:sz w:val="20"/>
                <w:szCs w:val="20"/>
                <w:color w:val="auto"/>
              </w:rPr>
            </w:pPr>
            <w:r>
              <w:rPr>
                <w:rFonts w:ascii="Arial" w:cs="Arial" w:eastAsia="Arial" w:hAnsi="Arial"/>
                <w:sz w:val="14"/>
                <w:szCs w:val="14"/>
                <w:color w:val="auto"/>
              </w:rPr>
              <w:t>(33,503)</w:t>
            </w:r>
          </w:p>
        </w:tc>
        <w:tc>
          <w:tcPr>
            <w:tcW w:w="260" w:type="dxa"/>
            <w:vAlign w:val="bottom"/>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26,273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23,209</w:t>
            </w:r>
          </w:p>
        </w:tc>
        <w:tc>
          <w:tcPr>
            <w:tcW w:w="2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108,747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70,053</w:t>
            </w:r>
          </w:p>
        </w:tc>
        <w:tc>
          <w:tcPr>
            <w:tcW w:w="26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jc w:val="right"/>
              <w:spacing w:after="0" w:line="157" w:lineRule="exact"/>
              <w:rPr>
                <w:sz w:val="20"/>
                <w:szCs w:val="20"/>
                <w:color w:val="auto"/>
              </w:rPr>
            </w:pPr>
            <w:r>
              <w:rPr>
                <w:rFonts w:ascii="Arial" w:cs="Arial" w:eastAsia="Arial" w:hAnsi="Arial"/>
                <w:sz w:val="14"/>
                <w:szCs w:val="14"/>
                <w:color w:val="auto"/>
              </w:rPr>
              <w:t>51.0</w:t>
            </w:r>
          </w:p>
        </w:tc>
        <w:tc>
          <w:tcPr>
            <w:tcW w:w="180" w:type="dxa"/>
            <w:vAlign w:val="bottom"/>
          </w:tcPr>
          <w:p>
            <w:pPr>
              <w:jc w:val="right"/>
              <w:spacing w:after="0" w:line="157" w:lineRule="exact"/>
              <w:rPr>
                <w:sz w:val="20"/>
                <w:szCs w:val="20"/>
                <w:color w:val="auto"/>
              </w:rPr>
            </w:pPr>
            <w:r>
              <w:rPr>
                <w:rFonts w:ascii="Arial" w:cs="Arial" w:eastAsia="Arial" w:hAnsi="Arial"/>
                <w:sz w:val="14"/>
                <w:szCs w:val="14"/>
                <w:color w:val="auto"/>
                <w:w w:val="79"/>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line="157" w:lineRule="exact"/>
              <w:rPr>
                <w:sz w:val="20"/>
                <w:szCs w:val="20"/>
                <w:color w:val="auto"/>
              </w:rPr>
            </w:pPr>
            <w:r>
              <w:rPr>
                <w:rFonts w:ascii="Arial" w:cs="Arial" w:eastAsia="Arial" w:hAnsi="Arial"/>
                <w:sz w:val="14"/>
                <w:szCs w:val="14"/>
                <w:color w:val="auto"/>
              </w:rPr>
              <w:t>43.0</w:t>
            </w:r>
          </w:p>
        </w:tc>
        <w:tc>
          <w:tcPr>
            <w:tcW w:w="260" w:type="dxa"/>
            <w:vAlign w:val="bottom"/>
          </w:tcPr>
          <w:p>
            <w:pPr>
              <w:jc w:val="right"/>
              <w:ind w:right="68"/>
              <w:spacing w:after="0" w:line="157" w:lineRule="exact"/>
              <w:rPr>
                <w:sz w:val="20"/>
                <w:szCs w:val="20"/>
                <w:color w:val="auto"/>
              </w:rPr>
            </w:pPr>
            <w:r>
              <w:rPr>
                <w:rFonts w:ascii="Arial" w:cs="Arial" w:eastAsia="Arial" w:hAnsi="Arial"/>
                <w:sz w:val="14"/>
                <w:szCs w:val="14"/>
                <w:color w:val="auto"/>
                <w:w w:val="79"/>
              </w:rPr>
              <w:t>%</w:t>
            </w:r>
          </w:p>
        </w:tc>
      </w:tr>
      <w:tr>
        <w:trPr>
          <w:trHeight w:val="182"/>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46.4 %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2"/>
          </w:tcPr>
          <w:p>
            <w:pPr>
              <w:jc w:val="right"/>
              <w:ind w:right="68"/>
              <w:spacing w:after="0"/>
              <w:rPr>
                <w:sz w:val="20"/>
                <w:szCs w:val="20"/>
                <w:color w:val="auto"/>
              </w:rPr>
            </w:pPr>
            <w:r>
              <w:rPr>
                <w:rFonts w:ascii="Arial" w:cs="Arial" w:eastAsia="Arial" w:hAnsi="Arial"/>
                <w:sz w:val="14"/>
                <w:szCs w:val="14"/>
                <w:color w:val="auto"/>
              </w:rPr>
              <w:t>37.5 %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-3105150</wp:posOffset>
            </wp:positionH>
            <wp:positionV relativeFrom="paragraph">
              <wp:posOffset>-1380490</wp:posOffset>
            </wp:positionV>
            <wp:extent cx="5674995"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74995" cy="10287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-1174750</wp:posOffset>
            </wp:positionV>
            <wp:extent cx="5674995"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74995" cy="10287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-969010</wp:posOffset>
            </wp:positionV>
            <wp:extent cx="5674995"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74995" cy="10287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-763270</wp:posOffset>
            </wp:positionV>
            <wp:extent cx="5674995"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74995" cy="10287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-548640</wp:posOffset>
            </wp:positionV>
            <wp:extent cx="5674995" cy="1117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74995" cy="11176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-334645</wp:posOffset>
            </wp:positionV>
            <wp:extent cx="5674995" cy="1117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74995" cy="11176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-111760</wp:posOffset>
            </wp:positionV>
            <wp:extent cx="5674995"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74995" cy="10287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4220" w:space="720"/>
            <w:col w:w="4079"/>
          </w:cols>
          <w:pgMar w:left="1440" w:top="805" w:right="1440" w:bottom="1440" w:gutter="0" w:footer="0" w:header="0"/>
          <w:type w:val="continuous"/>
        </w:sectPr>
      </w:pPr>
    </w:p>
    <w:p>
      <w:pPr>
        <w:ind w:left="700" w:right="179" w:hanging="332"/>
        <w:spacing w:after="0" w:line="270" w:lineRule="auto"/>
        <w:tabs>
          <w:tab w:leader="none" w:pos="70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exercises of such options during the applicable period. Represents non-cash stock-based compensation expense associated with the Special Option Award discussed under “Management’s Discussion and Analysis of Financial Condition and Results of Operations — Critical Accounting Policies and Estimates — Stock-Based Compensation” in the 2019 Form 10-K, incorporated by reference in this prospectus, and post-IPO options awarded in 2019 and payroll taxes associated with exercises of such options during the applicable period.</w:t>
      </w:r>
    </w:p>
    <w:p>
      <w:pPr>
        <w:spacing w:after="0" w:line="101" w:lineRule="exact"/>
        <w:rPr>
          <w:rFonts w:ascii="Arial" w:cs="Arial" w:eastAsia="Arial" w:hAnsi="Arial"/>
          <w:sz w:val="12"/>
          <w:szCs w:val="12"/>
          <w:color w:val="auto"/>
        </w:rPr>
      </w:pPr>
    </w:p>
    <w:p>
      <w:pPr>
        <w:ind w:left="700" w:hanging="332"/>
        <w:spacing w:after="0"/>
        <w:tabs>
          <w:tab w:leader="none" w:pos="7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foreign exchange gain or loss from the revaluation of cash denominated in a different currency than the entity’s functional currency.</w:t>
      </w:r>
    </w:p>
    <w:p>
      <w:pPr>
        <w:spacing w:after="0" w:line="120" w:lineRule="exact"/>
        <w:rPr>
          <w:rFonts w:ascii="Arial" w:cs="Arial" w:eastAsia="Arial" w:hAnsi="Arial"/>
          <w:sz w:val="13"/>
          <w:szCs w:val="13"/>
          <w:color w:val="auto"/>
        </w:rPr>
      </w:pPr>
    </w:p>
    <w:p>
      <w:pPr>
        <w:ind w:left="700" w:right="319" w:hanging="332"/>
        <w:spacing w:after="0" w:line="225" w:lineRule="auto"/>
        <w:tabs>
          <w:tab w:leader="none" w:pos="7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119" w:lineRule="exact"/>
        <w:rPr>
          <w:rFonts w:ascii="Arial" w:cs="Arial" w:eastAsia="Arial" w:hAnsi="Arial"/>
          <w:sz w:val="13"/>
          <w:szCs w:val="13"/>
          <w:color w:val="auto"/>
        </w:rPr>
      </w:pPr>
    </w:p>
    <w:p>
      <w:pPr>
        <w:ind w:left="700" w:right="59" w:hanging="332"/>
        <w:spacing w:after="0" w:line="219" w:lineRule="auto"/>
        <w:tabs>
          <w:tab w:leader="none" w:pos="700" w:val="left"/>
        </w:tabs>
        <w:numPr>
          <w:ilvl w:val="0"/>
          <w:numId w:val="4"/>
        </w:numPr>
        <w:rPr>
          <w:rFonts w:ascii="Arial" w:cs="Arial" w:eastAsia="Arial" w:hAnsi="Arial"/>
          <w:sz w:val="13"/>
          <w:szCs w:val="13"/>
          <w:color w:val="auto"/>
        </w:rPr>
      </w:pPr>
      <w:r>
        <w:rPr>
          <w:rFonts w:ascii="Arial" w:cs="Arial" w:eastAsia="Arial" w:hAnsi="Arial"/>
          <w:sz w:val="13"/>
          <w:szCs w:val="13"/>
          <w:color w:val="auto"/>
        </w:rPr>
        <w:t>For the three months ended March 31, 2020 and 2019, Adjusted EBITDA margin increased compared to the prior year period by 799 basis points, or 678 basis points on a constant currency basis. For the three months ended March 31, 2020 and 2019, Adjusted EBIT margin increased compared to the prior year period by 885 basis points, or 767 basis points on a constant currency basis. The changes in Adjusted EBITDA margin and Adjusted EBIT margin on a constant currency basis, which are non-GAAP financial measures,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ectPr>
          <w:pgSz w:w="11900" w:h="16838" w:orient="portrait"/>
          <w:cols w:equalWidth="0" w:num="1">
            <w:col w:w="9019"/>
          </w:cols>
          <w:pgMar w:left="1440" w:top="805" w:right="1440" w:bottom="1440" w:gutter="0" w:footer="0" w:header="0"/>
          <w:type w:val="continuous"/>
        </w:sect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Reconciliation of Net Income to</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Adjusted Net Income and Adjusted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29489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4"/>
          <w:szCs w:val="14"/>
          <w:color w:val="auto"/>
        </w:rPr>
        <w:t>Earnings per diluted share</w:t>
      </w:r>
      <w:r>
        <w:rPr>
          <w:rFonts w:ascii="Arial" w:cs="Arial" w:eastAsia="Arial" w:hAnsi="Arial"/>
          <w:sz w:val="14"/>
          <w:szCs w:val="14"/>
          <w:color w:val="auto"/>
          <w:vertAlign w:val="superscript"/>
        </w:rPr>
        <w:t>(1)</w:t>
      </w:r>
    </w:p>
    <w:p>
      <w:pPr>
        <w:ind w:left="40"/>
        <w:spacing w:after="0"/>
        <w:rPr>
          <w:sz w:val="20"/>
          <w:szCs w:val="20"/>
          <w:color w:val="auto"/>
        </w:rPr>
      </w:pPr>
      <w:r>
        <w:rPr>
          <w:rFonts w:ascii="Arial" w:cs="Arial" w:eastAsia="Arial" w:hAnsi="Arial"/>
          <w:sz w:val="13"/>
          <w:szCs w:val="13"/>
          <w:color w:val="auto"/>
        </w:rPr>
        <w:t xml:space="preserve">Pre-IPO net income attributable to Tradeweb Markets LLC </w:t>
      </w:r>
      <w:r>
        <w:rPr>
          <w:rFonts w:ascii="Arial" w:cs="Arial" w:eastAsia="Arial" w:hAnsi="Arial"/>
          <w:sz w:val="13"/>
          <w:szCs w:val="13"/>
          <w:color w:val="auto"/>
          <w:vertAlign w:val="superscript"/>
        </w:rPr>
        <w:t>(1)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Net income attributable to Tradeweb Markets Inc. </w:t>
      </w:r>
      <w:r>
        <w:rPr>
          <w:rFonts w:ascii="Arial" w:cs="Arial" w:eastAsia="Arial" w:hAnsi="Arial"/>
          <w:sz w:val="14"/>
          <w:szCs w:val="14"/>
          <w:color w:val="auto"/>
          <w:vertAlign w:val="superscript"/>
        </w:rPr>
        <w:t>(1)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Net income attributable to non-controlling interests </w:t>
      </w:r>
      <w:r>
        <w:rPr>
          <w:rFonts w:ascii="Arial" w:cs="Arial" w:eastAsia="Arial" w:hAnsi="Arial"/>
          <w:sz w:val="14"/>
          <w:szCs w:val="14"/>
          <w:color w:val="auto"/>
          <w:vertAlign w:val="superscript"/>
        </w:rPr>
        <w:t>(1)(2)</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ind w:left="40"/>
        <w:spacing w:after="0" w:line="237" w:lineRule="auto"/>
        <w:rPr>
          <w:sz w:val="20"/>
          <w:szCs w:val="20"/>
          <w:color w:val="auto"/>
        </w:rPr>
      </w:pPr>
      <w:r>
        <w:rPr>
          <w:rFonts w:ascii="Arial" w:cs="Arial" w:eastAsia="Arial" w:hAnsi="Arial"/>
          <w:sz w:val="14"/>
          <w:szCs w:val="14"/>
          <w:color w:val="auto"/>
        </w:rPr>
        <w:t>Provision for income taxes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Acquisition and Refinitiv Transaction related D&amp;A</w:t>
      </w:r>
      <w:r>
        <w:rPr>
          <w:rFonts w:ascii="Arial" w:cs="Arial" w:eastAsia="Arial" w:hAnsi="Arial"/>
          <w:sz w:val="14"/>
          <w:szCs w:val="14"/>
          <w:color w:val="auto"/>
          <w:vertAlign w:val="superscript"/>
        </w:rPr>
        <w:t>(3)</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 expense</w:t>
      </w:r>
      <w:r>
        <w:rPr>
          <w:rFonts w:ascii="Arial" w:cs="Arial" w:eastAsia="Arial" w:hAnsi="Arial"/>
          <w:sz w:val="14"/>
          <w:szCs w:val="14"/>
          <w:color w:val="auto"/>
          <w:vertAlign w:val="superscript"/>
        </w:rPr>
        <w:t>(4)</w:t>
      </w:r>
    </w:p>
    <w:p>
      <w:pPr>
        <w:ind w:left="40"/>
        <w:spacing w:after="0" w:line="237" w:lineRule="auto"/>
        <w:rPr>
          <w:sz w:val="20"/>
          <w:szCs w:val="20"/>
          <w:color w:val="auto"/>
        </w:rPr>
      </w:pPr>
      <w:r>
        <w:rPr>
          <w:rFonts w:ascii="Arial" w:cs="Arial" w:eastAsia="Arial" w:hAnsi="Arial"/>
          <w:sz w:val="14"/>
          <w:szCs w:val="14"/>
          <w:color w:val="auto"/>
        </w:rPr>
        <w:t>Unrealized foreign exchange (gains) / losses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Loss from revaluation of foreign denominated cash</w:t>
      </w:r>
      <w:r>
        <w:rPr>
          <w:rFonts w:ascii="Arial" w:cs="Arial" w:eastAsia="Arial" w:hAnsi="Arial"/>
          <w:sz w:val="14"/>
          <w:szCs w:val="14"/>
          <w:color w:val="auto"/>
          <w:vertAlign w:val="superscript"/>
        </w:rPr>
        <w:t>(5)</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128"/>
              <w:spacing w:after="0"/>
              <w:rPr>
                <w:sz w:val="20"/>
                <w:szCs w:val="20"/>
                <w:color w:val="auto"/>
              </w:rPr>
            </w:pPr>
            <w:r>
              <w:rPr>
                <w:rFonts w:ascii="Arial" w:cs="Arial" w:eastAsia="Arial" w:hAnsi="Arial"/>
                <w:sz w:val="14"/>
                <w:szCs w:val="14"/>
                <w:b w:val="1"/>
                <w:bCs w:val="1"/>
                <w:color w:val="auto"/>
                <w:w w:val="98"/>
              </w:rPr>
              <w:t>Three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March 31, 2020</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March 31, 2019</w:t>
            </w:r>
          </w:p>
        </w:tc>
        <w:tc>
          <w:tcPr>
            <w:tcW w:w="80" w:type="dxa"/>
            <w:vAlign w:val="bottom"/>
          </w:tcPr>
          <w:p>
            <w:pPr>
              <w:spacing w:after="0"/>
              <w:rPr>
                <w:sz w:val="14"/>
                <w:szCs w:val="14"/>
                <w:color w:val="auto"/>
              </w:rPr>
            </w:pPr>
          </w:p>
        </w:tc>
      </w:tr>
      <w:tr>
        <w:trPr>
          <w:trHeight w:val="137"/>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0" w:type="dxa"/>
            <w:vAlign w:val="bottom"/>
            <w:gridSpan w:val="6"/>
          </w:tcPr>
          <w:p>
            <w:pPr>
              <w:jc w:val="right"/>
              <w:ind w:right="1348"/>
              <w:spacing w:after="0" w:line="137"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1"/>
                <w:szCs w:val="11"/>
                <w:color w:val="auto"/>
              </w:rPr>
            </w:pPr>
          </w:p>
        </w:tc>
      </w:tr>
      <w:tr>
        <w:trPr>
          <w:trHeight w:val="174"/>
        </w:trPr>
        <w:tc>
          <w:tcPr>
            <w:tcW w:w="140" w:type="dxa"/>
            <w:vAlign w:val="bottom"/>
            <w:gridSpan w:val="2"/>
          </w:tcPr>
          <w:p>
            <w:pPr>
              <w:jc w:val="right"/>
              <w:ind w:right="9"/>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0.25</w:t>
            </w:r>
          </w:p>
        </w:tc>
        <w:tc>
          <w:tcPr>
            <w:tcW w:w="200" w:type="dxa"/>
            <w:vAlign w:val="bottom"/>
            <w:gridSpan w:val="2"/>
          </w:tcPr>
          <w:p>
            <w:pPr>
              <w:ind w:left="20"/>
              <w:spacing w:after="0"/>
              <w:rPr>
                <w:sz w:val="20"/>
                <w:szCs w:val="20"/>
                <w:color w:val="auto"/>
              </w:rPr>
            </w:pPr>
            <w:r>
              <w:rPr>
                <w:rFonts w:ascii="Arial" w:cs="Arial" w:eastAsia="Arial" w:hAnsi="Arial"/>
                <w:sz w:val="7"/>
                <w:szCs w:val="7"/>
                <w:color w:val="auto"/>
              </w:rPr>
              <w:t>(a)</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0.19</w:t>
            </w:r>
          </w:p>
        </w:tc>
        <w:tc>
          <w:tcPr>
            <w:tcW w:w="80" w:type="dxa"/>
            <w:vAlign w:val="bottom"/>
          </w:tcPr>
          <w:p>
            <w:pPr>
              <w:spacing w:after="0"/>
              <w:rPr>
                <w:sz w:val="20"/>
                <w:szCs w:val="20"/>
                <w:color w:val="auto"/>
              </w:rPr>
            </w:pPr>
            <w:r>
              <w:rPr>
                <w:rFonts w:ascii="Arial" w:cs="Arial" w:eastAsia="Arial" w:hAnsi="Arial"/>
                <w:sz w:val="6"/>
                <w:szCs w:val="6"/>
                <w:color w:val="auto"/>
                <w:w w:val="81"/>
              </w:rPr>
              <w:t>(b)</w:t>
            </w:r>
          </w:p>
        </w:tc>
      </w:tr>
      <w:tr>
        <w:trPr>
          <w:trHeight w:val="157"/>
        </w:trPr>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42,352</w:t>
            </w:r>
          </w:p>
        </w:tc>
        <w:tc>
          <w:tcPr>
            <w:tcW w:w="8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43,928</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18,557</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r>
      <w:tr>
        <w:trPr>
          <w:trHeight w:val="137"/>
        </w:trPr>
        <w:tc>
          <w:tcPr>
            <w:tcW w:w="20" w:type="dxa"/>
            <w:vAlign w:val="bottom"/>
          </w:tcPr>
          <w:p>
            <w:pPr>
              <w:spacing w:after="0"/>
              <w:rPr>
                <w:sz w:val="11"/>
                <w:szCs w:val="11"/>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580" w:type="dxa"/>
            <w:vAlign w:val="bottom"/>
          </w:tcPr>
          <w:p>
            <w:pPr>
              <w:jc w:val="right"/>
              <w:spacing w:after="0" w:line="137" w:lineRule="exact"/>
              <w:rPr>
                <w:sz w:val="20"/>
                <w:szCs w:val="20"/>
                <w:color w:val="auto"/>
              </w:rPr>
            </w:pPr>
            <w:r>
              <w:rPr>
                <w:rFonts w:ascii="Arial" w:cs="Arial" w:eastAsia="Arial" w:hAnsi="Arial"/>
                <w:sz w:val="14"/>
                <w:szCs w:val="14"/>
                <w:color w:val="auto"/>
              </w:rPr>
              <w:t>62,485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jc w:val="right"/>
              <w:spacing w:after="0" w:line="137" w:lineRule="exact"/>
              <w:rPr>
                <w:sz w:val="20"/>
                <w:szCs w:val="20"/>
                <w:color w:val="auto"/>
              </w:rPr>
            </w:pPr>
            <w:r>
              <w:rPr>
                <w:rFonts w:ascii="Arial" w:cs="Arial" w:eastAsia="Arial" w:hAnsi="Arial"/>
                <w:sz w:val="14"/>
                <w:szCs w:val="14"/>
                <w:color w:val="auto"/>
                <w:w w:val="76"/>
              </w:rPr>
              <w:t>$</w:t>
            </w:r>
          </w:p>
        </w:tc>
        <w:tc>
          <w:tcPr>
            <w:tcW w:w="1600" w:type="dxa"/>
            <w:vAlign w:val="bottom"/>
          </w:tcPr>
          <w:p>
            <w:pPr>
              <w:jc w:val="right"/>
              <w:spacing w:after="0" w:line="137" w:lineRule="exact"/>
              <w:rPr>
                <w:sz w:val="20"/>
                <w:szCs w:val="20"/>
                <w:color w:val="auto"/>
              </w:rPr>
            </w:pPr>
            <w:r>
              <w:rPr>
                <w:rFonts w:ascii="Arial" w:cs="Arial" w:eastAsia="Arial" w:hAnsi="Arial"/>
                <w:sz w:val="14"/>
                <w:szCs w:val="14"/>
                <w:color w:val="auto"/>
              </w:rPr>
              <w:t>42,352</w:t>
            </w:r>
          </w:p>
        </w:tc>
        <w:tc>
          <w:tcPr>
            <w:tcW w:w="80" w:type="dxa"/>
            <w:vAlign w:val="bottom"/>
          </w:tcPr>
          <w:p>
            <w:pPr>
              <w:spacing w:after="0"/>
              <w:rPr>
                <w:sz w:val="11"/>
                <w:szCs w:val="11"/>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15,829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4,783</w:t>
            </w: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26,273</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23,209</w:t>
            </w: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3,497</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1,164</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(293)</w:t>
            </w:r>
          </w:p>
        </w:tc>
        <w:tc>
          <w:tcPr>
            <w:tcW w:w="8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198</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860</w:t>
            </w:r>
          </w:p>
        </w:tc>
        <w:tc>
          <w:tcPr>
            <w:tcW w:w="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-3105150</wp:posOffset>
            </wp:positionH>
            <wp:positionV relativeFrom="paragraph">
              <wp:posOffset>-1032510</wp:posOffset>
            </wp:positionV>
            <wp:extent cx="5657850"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0287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-817880</wp:posOffset>
            </wp:positionV>
            <wp:extent cx="5657850" cy="102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0287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-612140</wp:posOffset>
            </wp:positionV>
            <wp:extent cx="5657850" cy="102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0287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-406400</wp:posOffset>
            </wp:positionV>
            <wp:extent cx="5657850"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0287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-200660</wp:posOffset>
            </wp:positionV>
            <wp:extent cx="5657850"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028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220" w:space="720"/>
            <w:col w:w="4079"/>
          </w:cols>
          <w:pgMar w:left="1440" w:top="805" w:right="1440" w:bottom="1440" w:gutter="0" w:footer="0" w:header="0"/>
          <w:type w:val="continuous"/>
        </w:sectPr>
      </w:pPr>
    </w:p>
    <w:tbl>
      <w:tblPr>
        <w:tblLayout w:type="fixed"/>
        <w:tblInd w:w="40" w:type="dxa"/>
        <w:tblCellMar>
          <w:top w:w="0" w:type="dxa"/>
          <w:left w:w="0" w:type="dxa"/>
          <w:bottom w:w="0" w:type="dxa"/>
          <w:right w:w="0" w:type="dxa"/>
        </w:tblCellMar>
      </w:tblPr>
      <w:tr>
        <w:trPr>
          <w:trHeight w:val="149"/>
        </w:trPr>
        <w:tc>
          <w:tcPr>
            <w:tcW w:w="366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Adjusted Net Income before income taxes</w:t>
            </w:r>
          </w:p>
        </w:tc>
        <w:tc>
          <w:tcPr>
            <w:tcW w:w="1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109,446</w:t>
            </w:r>
          </w:p>
        </w:tc>
        <w:tc>
          <w:tcPr>
            <w:tcW w:w="260" w:type="dxa"/>
            <w:vAlign w:val="bottom"/>
            <w:tcBorders>
              <w:top w:val="single" w:sz="8" w:color="CCEEFF"/>
              <w:right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70,911</w:t>
            </w:r>
          </w:p>
        </w:tc>
        <w:tc>
          <w:tcPr>
            <w:tcW w:w="280" w:type="dxa"/>
            <w:vAlign w:val="bottom"/>
            <w:tcBorders>
              <w:top w:val="single" w:sz="8" w:color="CCEEFF"/>
            </w:tcBorders>
            <w:shd w:val="clear" w:color="auto" w:fill="CCEEFF"/>
          </w:tcPr>
          <w:p>
            <w:pPr>
              <w:spacing w:after="0"/>
              <w:rPr>
                <w:sz w:val="12"/>
                <w:szCs w:val="12"/>
                <w:color w:val="auto"/>
              </w:rPr>
            </w:pPr>
          </w:p>
        </w:tc>
      </w:tr>
      <w:tr>
        <w:trPr>
          <w:trHeight w:val="162"/>
        </w:trPr>
        <w:tc>
          <w:tcPr>
            <w:tcW w:w="36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Adjusted income taxes</w:t>
            </w:r>
            <w:r>
              <w:rPr>
                <w:rFonts w:ascii="Arial" w:cs="Arial" w:eastAsia="Arial" w:hAnsi="Arial"/>
                <w:sz w:val="14"/>
                <w:szCs w:val="14"/>
                <w:color w:val="auto"/>
                <w:vertAlign w:val="superscript"/>
              </w:rPr>
              <w:t>(6)</w:t>
            </w:r>
          </w:p>
        </w:tc>
        <w:tc>
          <w:tcPr>
            <w:tcW w:w="12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(24,078)</w:t>
            </w:r>
          </w:p>
        </w:tc>
        <w:tc>
          <w:tcPr>
            <w:tcW w:w="2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(18,721)</w:t>
            </w:r>
          </w:p>
        </w:tc>
        <w:tc>
          <w:tcPr>
            <w:tcW w:w="280" w:type="dxa"/>
            <w:vAlign w:val="bottom"/>
            <w:tcBorders>
              <w:bottom w:val="single" w:sz="8" w:color="CCEEFF"/>
            </w:tcBorders>
          </w:tcPr>
          <w:p>
            <w:pPr>
              <w:spacing w:after="0"/>
              <w:rPr>
                <w:sz w:val="14"/>
                <w:szCs w:val="14"/>
                <w:color w:val="auto"/>
              </w:rPr>
            </w:pPr>
          </w:p>
        </w:tc>
      </w:tr>
      <w:tr>
        <w:trPr>
          <w:trHeight w:val="162"/>
        </w:trPr>
        <w:tc>
          <w:tcPr>
            <w:tcW w:w="36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Adjusted Net Income</w:t>
            </w:r>
          </w:p>
        </w:tc>
        <w:tc>
          <w:tcPr>
            <w:tcW w:w="12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08"/>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85,368</w:t>
            </w:r>
          </w:p>
        </w:tc>
        <w:tc>
          <w:tcPr>
            <w:tcW w:w="260" w:type="dxa"/>
            <w:vAlign w:val="bottom"/>
            <w:tcBorders>
              <w:bottom w:val="single" w:sz="8" w:color="CCEEFF"/>
              <w:right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52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52,190</w:t>
            </w:r>
          </w:p>
        </w:tc>
        <w:tc>
          <w:tcPr>
            <w:tcW w:w="280" w:type="dxa"/>
            <w:vAlign w:val="bottom"/>
            <w:tcBorders>
              <w:bottom w:val="single" w:sz="8" w:color="CCEEFF"/>
            </w:tcBorders>
            <w:shd w:val="clear" w:color="auto" w:fill="CCEEFF"/>
          </w:tcPr>
          <w:p>
            <w:pPr>
              <w:spacing w:after="0"/>
              <w:rPr>
                <w:sz w:val="14"/>
                <w:szCs w:val="14"/>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4"/>
                <w:szCs w:val="14"/>
                <w:color w:val="auto"/>
              </w:rPr>
              <w:t xml:space="preserve">Adjusted Diluted EPS </w:t>
            </w:r>
            <w:r>
              <w:rPr>
                <w:rFonts w:ascii="Arial" w:cs="Arial" w:eastAsia="Arial" w:hAnsi="Arial"/>
                <w:sz w:val="14"/>
                <w:szCs w:val="14"/>
                <w:color w:val="auto"/>
                <w:vertAlign w:val="superscript"/>
              </w:rPr>
              <w:t>(1)(7)</w:t>
            </w:r>
          </w:p>
        </w:tc>
        <w:tc>
          <w:tcPr>
            <w:tcW w:w="1240" w:type="dxa"/>
            <w:vAlign w:val="bottom"/>
          </w:tcPr>
          <w:p>
            <w:pPr>
              <w:spacing w:after="0"/>
              <w:rPr>
                <w:sz w:val="11"/>
                <w:szCs w:val="11"/>
                <w:color w:val="auto"/>
              </w:rPr>
            </w:pPr>
          </w:p>
        </w:tc>
        <w:tc>
          <w:tcPr>
            <w:tcW w:w="660" w:type="dxa"/>
            <w:vAlign w:val="bottom"/>
          </w:tcPr>
          <w:p>
            <w:pPr>
              <w:jc w:val="right"/>
              <w:ind w:right="508"/>
              <w:spacing w:after="0" w:line="135"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35" w:lineRule="exact"/>
              <w:rPr>
                <w:sz w:val="20"/>
                <w:szCs w:val="20"/>
                <w:color w:val="auto"/>
              </w:rPr>
            </w:pPr>
            <w:r>
              <w:rPr>
                <w:rFonts w:ascii="Arial" w:cs="Arial" w:eastAsia="Arial" w:hAnsi="Arial"/>
                <w:sz w:val="14"/>
                <w:szCs w:val="14"/>
                <w:color w:val="auto"/>
              </w:rPr>
              <w:t>0.37</w:t>
            </w:r>
          </w:p>
        </w:tc>
        <w:tc>
          <w:tcPr>
            <w:tcW w:w="260" w:type="dxa"/>
            <w:vAlign w:val="bottom"/>
          </w:tcPr>
          <w:p>
            <w:pPr>
              <w:spacing w:after="0"/>
              <w:rPr>
                <w:sz w:val="20"/>
                <w:szCs w:val="20"/>
                <w:color w:val="auto"/>
              </w:rPr>
            </w:pPr>
            <w:r>
              <w:rPr>
                <w:rFonts w:ascii="Arial" w:cs="Arial" w:eastAsia="Arial" w:hAnsi="Arial"/>
                <w:sz w:val="7"/>
                <w:szCs w:val="7"/>
                <w:color w:val="auto"/>
              </w:rPr>
              <w:t>(a)</w:t>
            </w:r>
          </w:p>
        </w:tc>
        <w:tc>
          <w:tcPr>
            <w:tcW w:w="640" w:type="dxa"/>
            <w:vAlign w:val="bottom"/>
          </w:tcPr>
          <w:p>
            <w:pPr>
              <w:jc w:val="right"/>
              <w:ind w:right="52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35" w:lineRule="exact"/>
              <w:rPr>
                <w:sz w:val="20"/>
                <w:szCs w:val="20"/>
                <w:color w:val="auto"/>
              </w:rPr>
            </w:pPr>
            <w:r>
              <w:rPr>
                <w:rFonts w:ascii="Arial" w:cs="Arial" w:eastAsia="Arial" w:hAnsi="Arial"/>
                <w:sz w:val="14"/>
                <w:szCs w:val="14"/>
                <w:color w:val="auto"/>
              </w:rPr>
              <w:t>0.23</w:t>
            </w:r>
          </w:p>
        </w:tc>
        <w:tc>
          <w:tcPr>
            <w:tcW w:w="280" w:type="dxa"/>
            <w:vAlign w:val="bottom"/>
          </w:tcPr>
          <w:p>
            <w:pPr>
              <w:spacing w:after="0"/>
              <w:rPr>
                <w:sz w:val="20"/>
                <w:szCs w:val="20"/>
                <w:color w:val="auto"/>
              </w:rPr>
            </w:pPr>
            <w:r>
              <w:rPr>
                <w:rFonts w:ascii="Arial" w:cs="Arial" w:eastAsia="Arial" w:hAnsi="Arial"/>
                <w:sz w:val="7"/>
                <w:szCs w:val="7"/>
                <w:color w:val="auto"/>
              </w:rPr>
              <w:t>(b)</w:t>
            </w:r>
          </w:p>
        </w:tc>
      </w:tr>
      <w:tr>
        <w:trPr>
          <w:trHeight w:val="27"/>
        </w:trPr>
        <w:tc>
          <w:tcPr>
            <w:tcW w:w="3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100" w:type="dxa"/>
            <w:vAlign w:val="bottom"/>
            <w:tcBorders>
              <w:right w:val="single" w:sz="8" w:color="auto"/>
            </w:tcBorders>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475615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05" w:right="1440" w:bottom="1440" w:gutter="0" w:footer="0" w:header="0"/>
          <w:type w:val="continuous"/>
        </w:sectPr>
      </w:pPr>
    </w:p>
    <w:bookmarkStart w:id="6" w:name="page7"/>
    <w:bookmarkEnd w:id="6"/>
    <w:p>
      <w:pPr>
        <w:ind w:left="360" w:right="499" w:hanging="316"/>
        <w:spacing w:after="0" w:line="230" w:lineRule="auto"/>
        <w:tabs>
          <w:tab w:leader="none" w:pos="388" w:val="left"/>
        </w:tabs>
        <w:numPr>
          <w:ilvl w:val="0"/>
          <w:numId w:val="5"/>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5600065</wp:posOffset>
            </wp:positionH>
            <wp:positionV relativeFrom="page">
              <wp:posOffset>88900</wp:posOffset>
            </wp:positionV>
            <wp:extent cx="1002665"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002665" cy="308610"/>
                    </a:xfrm>
                    <a:prstGeom prst="rect">
                      <a:avLst/>
                    </a:prstGeom>
                    <a:noFill/>
                  </pic:spPr>
                </pic:pic>
              </a:graphicData>
            </a:graphic>
          </wp:anchor>
        </w:drawing>
        <w:t>As a result of the Reorganization Transactions and the IPO completed in April 2019, certain earnings information is being presented separately for Tradeweb Markets LLC and Tradeweb Markets Inc.</w:t>
      </w:r>
    </w:p>
    <w:p>
      <w:pPr>
        <w:spacing w:after="0" w:line="199" w:lineRule="exact"/>
        <w:rPr>
          <w:rFonts w:ascii="Arial" w:cs="Arial" w:eastAsia="Arial" w:hAnsi="Arial"/>
          <w:sz w:val="13"/>
          <w:szCs w:val="13"/>
          <w:color w:val="auto"/>
        </w:rPr>
      </w:pPr>
    </w:p>
    <w:p>
      <w:pPr>
        <w:ind w:left="640" w:hanging="195"/>
        <w:spacing w:after="0"/>
        <w:tabs>
          <w:tab w:leader="none" w:pos="640" w:val="left"/>
        </w:tabs>
        <w:numPr>
          <w:ilvl w:val="1"/>
          <w:numId w:val="5"/>
        </w:numPr>
        <w:rPr>
          <w:rFonts w:ascii="Arial" w:cs="Arial" w:eastAsia="Arial" w:hAnsi="Arial"/>
          <w:sz w:val="13"/>
          <w:szCs w:val="13"/>
          <w:color w:val="auto"/>
        </w:rPr>
      </w:pPr>
      <w:r>
        <w:rPr>
          <w:rFonts w:ascii="Arial" w:cs="Arial" w:eastAsia="Arial" w:hAnsi="Arial"/>
          <w:sz w:val="13"/>
          <w:szCs w:val="13"/>
          <w:color w:val="auto"/>
        </w:rPr>
        <w:t>Presents information for Tradeweb Markets Inc. (post-IPO period).</w:t>
      </w:r>
    </w:p>
    <w:p>
      <w:pPr>
        <w:spacing w:after="0" w:line="201" w:lineRule="exact"/>
        <w:rPr>
          <w:rFonts w:ascii="Arial" w:cs="Arial" w:eastAsia="Arial" w:hAnsi="Arial"/>
          <w:sz w:val="13"/>
          <w:szCs w:val="13"/>
          <w:color w:val="auto"/>
        </w:rPr>
      </w:pPr>
    </w:p>
    <w:p>
      <w:pPr>
        <w:ind w:left="640" w:hanging="195"/>
        <w:spacing w:after="0"/>
        <w:tabs>
          <w:tab w:leader="none" w:pos="640" w:val="left"/>
        </w:tabs>
        <w:numPr>
          <w:ilvl w:val="1"/>
          <w:numId w:val="5"/>
        </w:numPr>
        <w:rPr>
          <w:rFonts w:ascii="Arial" w:cs="Arial" w:eastAsia="Arial" w:hAnsi="Arial"/>
          <w:sz w:val="13"/>
          <w:szCs w:val="13"/>
          <w:color w:val="auto"/>
        </w:rPr>
      </w:pPr>
      <w:r>
        <w:rPr>
          <w:rFonts w:ascii="Arial" w:cs="Arial" w:eastAsia="Arial" w:hAnsi="Arial"/>
          <w:sz w:val="13"/>
          <w:szCs w:val="13"/>
          <w:color w:val="auto"/>
        </w:rPr>
        <w:t>Presents information for Tradeweb Markets LLC (pre-IPO period).</w:t>
      </w:r>
    </w:p>
    <w:p>
      <w:pPr>
        <w:spacing w:after="0" w:line="202" w:lineRule="exact"/>
        <w:rPr>
          <w:sz w:val="20"/>
          <w:szCs w:val="20"/>
          <w:color w:val="auto"/>
        </w:rPr>
      </w:pPr>
    </w:p>
    <w:p>
      <w:pPr>
        <w:ind w:left="440" w:right="499"/>
        <w:spacing w:after="0" w:line="230" w:lineRule="auto"/>
        <w:rPr>
          <w:sz w:val="20"/>
          <w:szCs w:val="20"/>
          <w:color w:val="auto"/>
        </w:rPr>
      </w:pPr>
      <w:r>
        <w:rPr>
          <w:rFonts w:ascii="Arial" w:cs="Arial" w:eastAsia="Arial" w:hAnsi="Arial"/>
          <w:sz w:val="13"/>
          <w:szCs w:val="13"/>
          <w:color w:val="auto"/>
        </w:rPr>
        <w:t>See “Basis of Presentation” elsewhere herein and “Note 18 — Earnings Per Share” to the audited consolidated financial statements of Tradeweb Markets Inc. appearing in the 2019 Form 10-K, incorporated by reference in this prospectus.</w:t>
      </w:r>
    </w:p>
    <w:p>
      <w:pPr>
        <w:spacing w:after="0" w:line="199" w:lineRule="exact"/>
        <w:rPr>
          <w:sz w:val="20"/>
          <w:szCs w:val="20"/>
          <w:color w:val="auto"/>
        </w:rPr>
      </w:pPr>
    </w:p>
    <w:p>
      <w:pPr>
        <w:ind w:left="440" w:right="279" w:hanging="315"/>
        <w:spacing w:after="0" w:line="230" w:lineRule="auto"/>
        <w:tabs>
          <w:tab w:leader="none" w:pos="440" w:val="left"/>
        </w:tabs>
        <w:numPr>
          <w:ilvl w:val="0"/>
          <w:numId w:val="6"/>
        </w:numPr>
        <w:rPr>
          <w:rFonts w:ascii="Arial" w:cs="Arial" w:eastAsia="Arial" w:hAnsi="Arial"/>
          <w:sz w:val="13"/>
          <w:szCs w:val="13"/>
          <w:color w:val="auto"/>
        </w:rPr>
      </w:pPr>
      <w:r>
        <w:rPr>
          <w:rFonts w:ascii="Arial" w:cs="Arial" w:eastAsia="Arial" w:hAnsi="Arial"/>
          <w:sz w:val="13"/>
          <w:szCs w:val="13"/>
          <w:color w:val="auto"/>
        </w:rPr>
        <w:t>For post-IPO periods, represents the reallocation of net income attributable to non-controlling interests from the assumed exchange of all outstanding LLC Interests held by non-controlling interests for shares of Class A or Class B common stock.</w:t>
      </w:r>
    </w:p>
    <w:p>
      <w:pPr>
        <w:spacing w:after="0" w:line="199" w:lineRule="exact"/>
        <w:rPr>
          <w:rFonts w:ascii="Arial" w:cs="Arial" w:eastAsia="Arial" w:hAnsi="Arial"/>
          <w:sz w:val="13"/>
          <w:szCs w:val="13"/>
          <w:color w:val="auto"/>
        </w:rPr>
      </w:pPr>
    </w:p>
    <w:p>
      <w:pPr>
        <w:ind w:left="440" w:right="279" w:hanging="315"/>
        <w:spacing w:after="0" w:line="225" w:lineRule="auto"/>
        <w:tabs>
          <w:tab w:leader="none" w:pos="44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200" w:lineRule="exact"/>
        <w:rPr>
          <w:rFonts w:ascii="Arial" w:cs="Arial" w:eastAsia="Arial" w:hAnsi="Arial"/>
          <w:sz w:val="13"/>
          <w:szCs w:val="13"/>
          <w:color w:val="auto"/>
        </w:rPr>
      </w:pPr>
    </w:p>
    <w:p>
      <w:pPr>
        <w:ind w:left="440" w:right="239" w:hanging="315"/>
        <w:spacing w:after="0" w:line="234" w:lineRule="auto"/>
        <w:tabs>
          <w:tab w:leader="none" w:pos="440" w:val="left"/>
        </w:tabs>
        <w:numPr>
          <w:ilvl w:val="0"/>
          <w:numId w:val="6"/>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discussed under “Management’s Discussion and Analysis of Financial Condition and Results of Operations — Critical Accounting Policies and Estimates — Stock-Based Compensation” in the</w:t>
      </w:r>
    </w:p>
    <w:p>
      <w:pPr>
        <w:ind w:left="440" w:right="339"/>
        <w:spacing w:after="0" w:line="230" w:lineRule="auto"/>
        <w:rPr>
          <w:rFonts w:ascii="Arial" w:cs="Arial" w:eastAsia="Arial" w:hAnsi="Arial"/>
          <w:sz w:val="12"/>
          <w:szCs w:val="12"/>
          <w:color w:val="auto"/>
        </w:rPr>
      </w:pPr>
      <w:r>
        <w:rPr>
          <w:rFonts w:ascii="Arial" w:cs="Arial" w:eastAsia="Arial" w:hAnsi="Arial"/>
          <w:sz w:val="13"/>
          <w:szCs w:val="13"/>
          <w:color w:val="auto"/>
        </w:rPr>
        <w:t>2019 Form 10-K, incorporated by reference in this prospectus, and post-IPO options awarded in 2019 and payroll taxes associated with exercises of such options during the applicable period.</w:t>
      </w:r>
    </w:p>
    <w:p>
      <w:pPr>
        <w:spacing w:after="0" w:line="199" w:lineRule="exact"/>
        <w:rPr>
          <w:rFonts w:ascii="Arial" w:cs="Arial" w:eastAsia="Arial" w:hAnsi="Arial"/>
          <w:sz w:val="12"/>
          <w:szCs w:val="12"/>
          <w:color w:val="auto"/>
        </w:rPr>
      </w:pPr>
    </w:p>
    <w:p>
      <w:pPr>
        <w:ind w:left="440" w:hanging="315"/>
        <w:spacing w:after="0"/>
        <w:tabs>
          <w:tab w:leader="none" w:pos="44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foreign exchange gain or loss from the revaluation of cash denominated in a different currency than the entity’s functional currency.</w:t>
      </w:r>
    </w:p>
    <w:p>
      <w:pPr>
        <w:spacing w:after="0" w:line="201" w:lineRule="exact"/>
        <w:rPr>
          <w:rFonts w:ascii="Arial" w:cs="Arial" w:eastAsia="Arial" w:hAnsi="Arial"/>
          <w:sz w:val="13"/>
          <w:szCs w:val="13"/>
          <w:color w:val="auto"/>
        </w:rPr>
      </w:pPr>
    </w:p>
    <w:p>
      <w:pPr>
        <w:ind w:left="440" w:right="259" w:hanging="315"/>
        <w:spacing w:after="0" w:line="230" w:lineRule="auto"/>
        <w:tabs>
          <w:tab w:leader="none" w:pos="44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corporate income taxes at an assumed effective tax rate of 22.0% and 26.4% applied to Adjusted Net Income before income taxes for the three months ended March 31, 2020 and March 31, 2019, respectively.</w:t>
      </w:r>
    </w:p>
    <w:p>
      <w:pPr>
        <w:spacing w:after="0" w:line="199" w:lineRule="exact"/>
        <w:rPr>
          <w:rFonts w:ascii="Arial" w:cs="Arial" w:eastAsia="Arial" w:hAnsi="Arial"/>
          <w:sz w:val="13"/>
          <w:szCs w:val="13"/>
          <w:color w:val="auto"/>
        </w:rPr>
      </w:pPr>
    </w:p>
    <w:p>
      <w:pPr>
        <w:ind w:left="440" w:right="99" w:hanging="315"/>
        <w:spacing w:after="0" w:line="223" w:lineRule="auto"/>
        <w:tabs>
          <w:tab w:leader="none" w:pos="440" w:val="left"/>
        </w:tabs>
        <w:numPr>
          <w:ilvl w:val="0"/>
          <w:numId w:val="6"/>
        </w:numPr>
        <w:rPr>
          <w:rFonts w:ascii="Arial" w:cs="Arial" w:eastAsia="Arial" w:hAnsi="Arial"/>
          <w:sz w:val="13"/>
          <w:szCs w:val="13"/>
          <w:color w:val="auto"/>
        </w:rPr>
      </w:pPr>
      <w:r>
        <w:rPr>
          <w:rFonts w:ascii="Arial" w:cs="Arial" w:eastAsia="Arial" w:hAnsi="Arial"/>
          <w:sz w:val="13"/>
          <w:szCs w:val="13"/>
          <w:color w:val="auto"/>
        </w:rPr>
        <w:t>Due to the Reorganization Transactions and the IPO completed in April 2019, shares outstanding during the three months ended March 31, 2019 represent shares of TWM LLC (pre-IPO period) and shares outstanding during the three months ended March 31, 2020 represent shares of Class A and Class B common stock of Tradeweb Markets, Inc. (post-IPO period). For a summary of the calculation of Adjusted Diluted EPS, see “Reconciliation of Diluted Weighted Average Shares Outstanding to Adjusted Diluted Weighted Average Shares Outstanding”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summarizes the calculation of Adjusted Diluted EPS for the periods presented:</w:t>
      </w: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940" w:type="dxa"/>
            <w:vAlign w:val="bottom"/>
          </w:tcPr>
          <w:p>
            <w:pPr>
              <w:spacing w:after="0"/>
              <w:rPr>
                <w:sz w:val="20"/>
                <w:szCs w:val="20"/>
                <w:color w:val="auto"/>
              </w:rPr>
            </w:pPr>
            <w:r>
              <w:rPr>
                <w:rFonts w:ascii="Arial" w:cs="Arial" w:eastAsia="Arial" w:hAnsi="Arial"/>
                <w:sz w:val="14"/>
                <w:szCs w:val="14"/>
                <w:b w:val="1"/>
                <w:bCs w:val="1"/>
                <w:color w:val="auto"/>
              </w:rPr>
              <w:t>Reconciliation of Diluted Weighted Average Shares Outstanding to</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4940" w:type="dxa"/>
            <w:vAlign w:val="bottom"/>
          </w:tcPr>
          <w:p>
            <w:pPr>
              <w:spacing w:after="0"/>
              <w:rPr>
                <w:sz w:val="20"/>
                <w:szCs w:val="20"/>
                <w:color w:val="auto"/>
              </w:rPr>
            </w:pPr>
            <w:r>
              <w:rPr>
                <w:rFonts w:ascii="Arial" w:cs="Arial" w:eastAsia="Arial" w:hAnsi="Arial"/>
                <w:sz w:val="14"/>
                <w:szCs w:val="14"/>
                <w:b w:val="1"/>
                <w:bCs w:val="1"/>
                <w:color w:val="auto"/>
              </w:rPr>
              <w:t>Adjusted Diluted Weighted Average Shares Outstanding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March 31, 2020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31, 2019</w:t>
            </w:r>
          </w:p>
        </w:tc>
      </w:tr>
      <w:tr>
        <w:trPr>
          <w:trHeight w:val="156"/>
        </w:trPr>
        <w:tc>
          <w:tcPr>
            <w:tcW w:w="49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Diluted weighted average TWM LLC shares outstanding</w:t>
            </w:r>
          </w:p>
        </w:tc>
        <w:tc>
          <w:tcPr>
            <w:tcW w:w="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223,320,457</w:t>
            </w:r>
          </w:p>
        </w:tc>
        <w:tc>
          <w:tcPr>
            <w:tcW w:w="160" w:type="dxa"/>
            <w:vAlign w:val="bottom"/>
            <w:tcBorders>
              <w:top w:val="single" w:sz="8" w:color="CCEEFF"/>
            </w:tcBorders>
            <w:shd w:val="clear" w:color="auto" w:fill="CCEEFF"/>
          </w:tcPr>
          <w:p>
            <w:pPr>
              <w:spacing w:after="0"/>
              <w:rPr>
                <w:sz w:val="13"/>
                <w:szCs w:val="13"/>
                <w:color w:val="auto"/>
              </w:rPr>
            </w:pPr>
          </w:p>
        </w:tc>
      </w:tr>
      <w:tr>
        <w:trPr>
          <w:trHeight w:val="162"/>
        </w:trPr>
        <w:tc>
          <w:tcPr>
            <w:tcW w:w="4940" w:type="dxa"/>
            <w:vAlign w:val="bottom"/>
          </w:tcPr>
          <w:p>
            <w:pPr>
              <w:spacing w:after="0"/>
              <w:rPr>
                <w:sz w:val="20"/>
                <w:szCs w:val="20"/>
                <w:color w:val="auto"/>
              </w:rPr>
            </w:pPr>
            <w:r>
              <w:rPr>
                <w:rFonts w:ascii="Arial" w:cs="Arial" w:eastAsia="Arial" w:hAnsi="Arial"/>
                <w:sz w:val="14"/>
                <w:szCs w:val="14"/>
                <w:color w:val="auto"/>
                <w:w w:val="94"/>
              </w:rPr>
              <w:t>Diluted weighted average shares of Class A and Class B common stock outstanding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174,517,244</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r>
      <w:tr>
        <w:trPr>
          <w:trHeight w:val="128"/>
        </w:trPr>
        <w:tc>
          <w:tcPr>
            <w:tcW w:w="494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w w:val="94"/>
              </w:rPr>
              <w:t>Assumed exchange of LLC interests for shares of Class A or Class B common stock</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57,644,547</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4"/>
                <w:szCs w:val="14"/>
                <w:color w:val="auto"/>
              </w:rPr>
              <w:t>—</w:t>
            </w:r>
          </w:p>
        </w:tc>
      </w:tr>
      <w:tr>
        <w:trPr>
          <w:trHeight w:val="86"/>
        </w:trPr>
        <w:tc>
          <w:tcPr>
            <w:tcW w:w="4940" w:type="dxa"/>
            <w:vAlign w:val="bottom"/>
            <w:shd w:val="clear" w:color="auto" w:fill="CCEEFF"/>
          </w:tcPr>
          <w:p>
            <w:pPr>
              <w:spacing w:after="0"/>
              <w:rPr>
                <w:sz w:val="20"/>
                <w:szCs w:val="20"/>
                <w:color w:val="auto"/>
              </w:rPr>
            </w:pPr>
            <w:r>
              <w:rPr>
                <w:rFonts w:ascii="Arial" w:cs="Arial" w:eastAsia="Arial" w:hAnsi="Arial"/>
                <w:sz w:val="7"/>
                <w:szCs w:val="7"/>
                <w:color w:val="auto"/>
              </w:rPr>
              <w:t>(1)</w:t>
            </w:r>
          </w:p>
        </w:tc>
        <w:tc>
          <w:tcPr>
            <w:tcW w:w="24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540" w:type="dxa"/>
            <w:vAlign w:val="bottom"/>
            <w:tcBorders>
              <w:bottom w:val="single" w:sz="8" w:color="auto"/>
            </w:tcBorders>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560" w:type="dxa"/>
            <w:vAlign w:val="bottom"/>
            <w:tcBorders>
              <w:bottom w:val="single" w:sz="8" w:color="auto"/>
            </w:tcBorders>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r>
      <w:tr>
        <w:trPr>
          <w:trHeight w:val="165"/>
        </w:trPr>
        <w:tc>
          <w:tcPr>
            <w:tcW w:w="4940" w:type="dxa"/>
            <w:vAlign w:val="bottom"/>
            <w:tcBorders>
              <w:bottom w:val="single" w:sz="8" w:color="CCEEFF"/>
            </w:tcBorders>
          </w:tcPr>
          <w:p>
            <w:pPr>
              <w:spacing w:after="0" w:line="158" w:lineRule="exact"/>
              <w:rPr>
                <w:sz w:val="20"/>
                <w:szCs w:val="20"/>
                <w:color w:val="auto"/>
              </w:rPr>
            </w:pPr>
            <w:r>
              <w:rPr>
                <w:rFonts w:ascii="Arial" w:cs="Arial" w:eastAsia="Arial" w:hAnsi="Arial"/>
                <w:sz w:val="14"/>
                <w:szCs w:val="14"/>
                <w:color w:val="auto"/>
              </w:rPr>
              <w:t>Adjusted diluted weighted average shares outstanding</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232,161,791</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223,320,457</w:t>
            </w:r>
          </w:p>
        </w:tc>
        <w:tc>
          <w:tcPr>
            <w:tcW w:w="160" w:type="dxa"/>
            <w:vAlign w:val="bottom"/>
            <w:tcBorders>
              <w:bottom w:val="single" w:sz="8" w:color="CCEEFF"/>
            </w:tcBorders>
          </w:tcPr>
          <w:p>
            <w:pPr>
              <w:spacing w:after="0"/>
              <w:rPr>
                <w:sz w:val="14"/>
                <w:szCs w:val="14"/>
                <w:color w:val="auto"/>
              </w:rPr>
            </w:pPr>
          </w:p>
        </w:tc>
      </w:tr>
      <w:tr>
        <w:trPr>
          <w:trHeight w:val="168"/>
        </w:trPr>
        <w:tc>
          <w:tcPr>
            <w:tcW w:w="494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Adjusted Net Income (in thousands)</w:t>
            </w:r>
          </w:p>
        </w:tc>
        <w:tc>
          <w:tcPr>
            <w:tcW w:w="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85,368</w:t>
            </w:r>
          </w:p>
        </w:tc>
        <w:tc>
          <w:tcPr>
            <w:tcW w:w="2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52,190</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43"/>
        </w:trPr>
        <w:tc>
          <w:tcPr>
            <w:tcW w:w="4940" w:type="dxa"/>
            <w:vAlign w:val="bottom"/>
          </w:tcPr>
          <w:p>
            <w:pPr>
              <w:spacing w:after="0" w:line="135" w:lineRule="exact"/>
              <w:rPr>
                <w:sz w:val="20"/>
                <w:szCs w:val="20"/>
                <w:color w:val="auto"/>
              </w:rPr>
            </w:pPr>
            <w:r>
              <w:rPr>
                <w:rFonts w:ascii="Arial" w:cs="Arial" w:eastAsia="Arial" w:hAnsi="Arial"/>
                <w:sz w:val="14"/>
                <w:szCs w:val="14"/>
                <w:color w:val="auto"/>
              </w:rPr>
              <w:t>Adjusted Diluted EPS</w:t>
            </w:r>
          </w:p>
        </w:tc>
        <w:tc>
          <w:tcPr>
            <w:tcW w:w="240" w:type="dxa"/>
            <w:vAlign w:val="bottom"/>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0.37</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0.23</w:t>
            </w:r>
          </w:p>
        </w:tc>
        <w:tc>
          <w:tcPr>
            <w:tcW w:w="160" w:type="dxa"/>
            <w:vAlign w:val="bottom"/>
          </w:tcPr>
          <w:p>
            <w:pPr>
              <w:spacing w:after="0"/>
              <w:rPr>
                <w:sz w:val="12"/>
                <w:szCs w:val="12"/>
                <w:color w:val="auto"/>
              </w:rPr>
            </w:pPr>
          </w:p>
        </w:tc>
      </w:tr>
    </w:tbl>
    <w:p>
      <w:pPr>
        <w:spacing w:after="0" w:line="210" w:lineRule="exact"/>
        <w:rPr>
          <w:sz w:val="20"/>
          <w:szCs w:val="20"/>
          <w:color w:val="auto"/>
        </w:rPr>
      </w:pPr>
    </w:p>
    <w:p>
      <w:pPr>
        <w:ind w:left="700" w:right="419" w:hanging="332"/>
        <w:spacing w:after="0" w:line="230" w:lineRule="auto"/>
        <w:tabs>
          <w:tab w:leader="none" w:pos="700" w:val="left"/>
        </w:tabs>
        <w:numPr>
          <w:ilvl w:val="0"/>
          <w:numId w:val="7"/>
        </w:numPr>
        <w:rPr>
          <w:rFonts w:ascii="Arial" w:cs="Arial" w:eastAsia="Arial" w:hAnsi="Arial"/>
          <w:sz w:val="13"/>
          <w:szCs w:val="13"/>
          <w:color w:val="auto"/>
        </w:rPr>
      </w:pPr>
      <w:r>
        <w:rPr>
          <w:rFonts w:ascii="Arial" w:cs="Arial" w:eastAsia="Arial" w:hAnsi="Arial"/>
          <w:sz w:val="13"/>
          <w:szCs w:val="13"/>
          <w:color w:val="auto"/>
        </w:rPr>
        <w:t>Assumes the exchange of all outstanding LLC Interests for shares of Class A or Class B common stock, resulting in the elimination of the non-controlling interests and recognition of the net income attributable to non-controlling interests.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right"/>
              <w:ind w:right="168"/>
              <w:spacing w:after="0"/>
              <w:rPr>
                <w:sz w:val="20"/>
                <w:szCs w:val="20"/>
                <w:color w:val="auto"/>
              </w:rPr>
            </w:pPr>
            <w:r>
              <w:rPr>
                <w:rFonts w:ascii="Arial" w:cs="Arial" w:eastAsia="Arial" w:hAnsi="Arial"/>
                <w:sz w:val="14"/>
                <w:szCs w:val="14"/>
                <w:b w:val="1"/>
                <w:bCs w:val="1"/>
                <w:color w:val="auto"/>
                <w:w w:val="98"/>
              </w:rPr>
              <w:t>Three Months Ended</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ind w:right="168"/>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4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Reconciliation of Operating Expenses to Adjusted Expenses</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March 31, 2020</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March 31, 2019</w:t>
            </w:r>
          </w:p>
        </w:tc>
      </w:tr>
      <w:tr>
        <w:trPr>
          <w:trHeight w:val="155"/>
        </w:trPr>
        <w:tc>
          <w:tcPr>
            <w:tcW w:w="4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13"/>
                <w:szCs w:val="13"/>
                <w:color w:val="auto"/>
              </w:rPr>
            </w:pPr>
          </w:p>
        </w:tc>
      </w:tr>
      <w:tr>
        <w:trPr>
          <w:trHeight w:val="162"/>
        </w:trPr>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4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156,991</w:t>
            </w:r>
          </w:p>
        </w:tc>
        <w:tc>
          <w:tcPr>
            <w:tcW w:w="64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140,515</w:t>
            </w:r>
          </w:p>
        </w:tc>
      </w:tr>
      <w:tr>
        <w:trPr>
          <w:trHeight w:val="162"/>
        </w:trPr>
        <w:tc>
          <w:tcPr>
            <w:tcW w:w="4700" w:type="dxa"/>
            <w:vAlign w:val="bottom"/>
          </w:tcPr>
          <w:p>
            <w:pPr>
              <w:spacing w:after="0"/>
              <w:rPr>
                <w:sz w:val="20"/>
                <w:szCs w:val="20"/>
                <w:color w:val="auto"/>
              </w:rPr>
            </w:pPr>
            <w:r>
              <w:rPr>
                <w:rFonts w:ascii="Arial" w:cs="Arial" w:eastAsia="Arial" w:hAnsi="Arial"/>
                <w:sz w:val="14"/>
                <w:szCs w:val="14"/>
                <w:color w:val="auto"/>
              </w:rPr>
              <w:t>Acquisition and Refinitiv Transaction related D&amp;A</w:t>
            </w:r>
            <w:r>
              <w:rPr>
                <w:rFonts w:ascii="Arial" w:cs="Arial" w:eastAsia="Arial" w:hAnsi="Arial"/>
                <w:sz w:val="14"/>
                <w:szCs w:val="14"/>
                <w:color w:val="auto"/>
                <w:vertAlign w:val="superscript"/>
              </w:rPr>
              <w:t>(1)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(26,273)</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(23,209)</w:t>
            </w:r>
          </w:p>
        </w:tc>
      </w:tr>
      <w:tr>
        <w:trPr>
          <w:trHeight w:val="162"/>
        </w:trPr>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expense</w:t>
            </w:r>
            <w:r>
              <w:rPr>
                <w:rFonts w:ascii="Arial" w:cs="Arial" w:eastAsia="Arial" w:hAnsi="Arial"/>
                <w:sz w:val="14"/>
                <w:szCs w:val="14"/>
                <w:color w:val="auto"/>
                <w:vertAlign w:val="superscript"/>
              </w:rPr>
              <w:t>(2)</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(3,497)</w:t>
            </w: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4700" w:type="dxa"/>
            <w:vAlign w:val="bottom"/>
          </w:tcPr>
          <w:p>
            <w:pPr>
              <w:spacing w:after="0"/>
              <w:rPr>
                <w:sz w:val="20"/>
                <w:szCs w:val="20"/>
                <w:color w:val="auto"/>
              </w:rPr>
            </w:pPr>
            <w:r>
              <w:rPr>
                <w:rFonts w:ascii="Arial" w:cs="Arial" w:eastAsia="Arial" w:hAnsi="Arial"/>
                <w:sz w:val="14"/>
                <w:szCs w:val="14"/>
                <w:color w:val="auto"/>
              </w:rPr>
              <w:t>Unrealized foreign exchange gains / (losses)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(1,164)</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293</w:t>
            </w:r>
          </w:p>
        </w:tc>
      </w:tr>
      <w:tr>
        <w:trPr>
          <w:trHeight w:val="162"/>
        </w:trPr>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Loss from revaluation of foreign-denominated cash</w:t>
            </w:r>
            <w:r>
              <w:rPr>
                <w:rFonts w:ascii="Arial" w:cs="Arial" w:eastAsia="Arial" w:hAnsi="Arial"/>
                <w:sz w:val="14"/>
                <w:szCs w:val="14"/>
                <w:color w:val="auto"/>
                <w:vertAlign w:val="superscript"/>
              </w:rPr>
              <w:t>(3)</w:t>
            </w:r>
          </w:p>
        </w:tc>
        <w:tc>
          <w:tcPr>
            <w:tcW w:w="2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4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(860)</w:t>
            </w:r>
          </w:p>
        </w:tc>
      </w:tr>
      <w:tr>
        <w:trPr>
          <w:trHeight w:val="149"/>
        </w:trPr>
        <w:tc>
          <w:tcPr>
            <w:tcW w:w="4700" w:type="dxa"/>
            <w:vAlign w:val="bottom"/>
          </w:tcPr>
          <w:p>
            <w:pPr>
              <w:spacing w:after="0" w:line="142" w:lineRule="exact"/>
              <w:rPr>
                <w:sz w:val="20"/>
                <w:szCs w:val="20"/>
                <w:color w:val="auto"/>
              </w:rPr>
            </w:pPr>
            <w:r>
              <w:rPr>
                <w:rFonts w:ascii="Arial" w:cs="Arial" w:eastAsia="Arial" w:hAnsi="Arial"/>
                <w:sz w:val="14"/>
                <w:szCs w:val="14"/>
                <w:color w:val="auto"/>
              </w:rPr>
              <w:t>Adjusted Expenses</w:t>
            </w:r>
          </w:p>
        </w:tc>
        <w:tc>
          <w:tcPr>
            <w:tcW w:w="24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125,859</w:t>
            </w:r>
          </w:p>
        </w:tc>
        <w:tc>
          <w:tcPr>
            <w:tcW w:w="420" w:type="dxa"/>
            <w:vAlign w:val="bottom"/>
          </w:tcPr>
          <w:p>
            <w:pPr>
              <w:spacing w:after="0"/>
              <w:rPr>
                <w:sz w:val="12"/>
                <w:szCs w:val="12"/>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116,739</w:t>
            </w:r>
          </w:p>
        </w:tc>
      </w:tr>
      <w:tr>
        <w:trPr>
          <w:trHeight w:val="380"/>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748"/>
        </w:trPr>
        <w:tc>
          <w:tcPr>
            <w:tcW w:w="4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22" w:right="1440" w:bottom="1440" w:gutter="0" w:footer="0" w:header="0"/>
        </w:sectPr>
      </w:pPr>
    </w:p>
    <w:bookmarkStart w:id="7" w:name="page8"/>
    <w:bookmarkEnd w:id="7"/>
    <w:p>
      <w:pPr>
        <w:ind w:left="700" w:right="319" w:hanging="332"/>
        <w:spacing w:after="0" w:line="225" w:lineRule="auto"/>
        <w:tabs>
          <w:tab w:leader="none" w:pos="700" w:val="left"/>
        </w:tabs>
        <w:numPr>
          <w:ilvl w:val="0"/>
          <w:numId w:val="8"/>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5600065</wp:posOffset>
            </wp:positionH>
            <wp:positionV relativeFrom="page">
              <wp:posOffset>88900</wp:posOffset>
            </wp:positionV>
            <wp:extent cx="1002665"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002665" cy="308610"/>
                    </a:xfrm>
                    <a:prstGeom prst="rect">
                      <a:avLst/>
                    </a:prstGeom>
                    <a:noFill/>
                  </pic:spPr>
                </pic:pic>
              </a:graphicData>
            </a:graphic>
          </wp:anchor>
        </w:drawing>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200" w:lineRule="exact"/>
        <w:rPr>
          <w:rFonts w:ascii="Arial" w:cs="Arial" w:eastAsia="Arial" w:hAnsi="Arial"/>
          <w:sz w:val="13"/>
          <w:szCs w:val="13"/>
          <w:color w:val="auto"/>
        </w:rPr>
      </w:pPr>
    </w:p>
    <w:p>
      <w:pPr>
        <w:ind w:left="700" w:right="299" w:hanging="332"/>
        <w:spacing w:after="0" w:line="230" w:lineRule="auto"/>
        <w:tabs>
          <w:tab w:leader="none" w:pos="70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non-cash stock-based compensation expense associated with the Special Option Award and post-IPO options awarded in 2019 and payroll taxes associated with exercises of such options during the applicable period.</w:t>
      </w:r>
    </w:p>
    <w:p>
      <w:pPr>
        <w:spacing w:after="0" w:line="199" w:lineRule="exact"/>
        <w:rPr>
          <w:rFonts w:ascii="Arial" w:cs="Arial" w:eastAsia="Arial" w:hAnsi="Arial"/>
          <w:sz w:val="13"/>
          <w:szCs w:val="13"/>
          <w:color w:val="auto"/>
        </w:rPr>
      </w:pPr>
    </w:p>
    <w:p>
      <w:pPr>
        <w:ind w:left="700" w:hanging="332"/>
        <w:spacing w:after="0"/>
        <w:tabs>
          <w:tab w:leader="none" w:pos="70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foreign exchange gain or loss from the revaluation of cash denominated in a different currency than the entity’s functional currency.</w:t>
      </w:r>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40" w:type="dxa"/>
            <w:vAlign w:val="bottom"/>
          </w:tcPr>
          <w:p>
            <w:pPr>
              <w:spacing w:after="0"/>
              <w:rPr>
                <w:sz w:val="20"/>
                <w:szCs w:val="20"/>
                <w:color w:val="auto"/>
              </w:rPr>
            </w:pPr>
            <w:r>
              <w:rPr>
                <w:rFonts w:ascii="Arial" w:cs="Arial" w:eastAsia="Arial" w:hAnsi="Arial"/>
                <w:sz w:val="14"/>
                <w:szCs w:val="14"/>
                <w:b w:val="1"/>
                <w:bCs w:val="1"/>
                <w:color w:val="auto"/>
              </w:rPr>
              <w:t>Reconciliation of Cash Flows from Operating Activities to</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Trailing Twelve Months</w:t>
            </w:r>
          </w:p>
        </w:tc>
      </w:tr>
      <w:tr>
        <w:trPr>
          <w:trHeight w:val="171"/>
        </w:trPr>
        <w:tc>
          <w:tcPr>
            <w:tcW w:w="654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March 31, 2020</w:t>
            </w:r>
          </w:p>
        </w:tc>
      </w:tr>
      <w:tr>
        <w:trPr>
          <w:trHeight w:val="142"/>
        </w:trPr>
        <w:tc>
          <w:tcPr>
            <w:tcW w:w="6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flow from operating activities</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289,245</w:t>
            </w:r>
          </w:p>
        </w:tc>
        <w:tc>
          <w:tcPr>
            <w:tcW w:w="300" w:type="dxa"/>
            <w:vAlign w:val="bottom"/>
            <w:tcBorders>
              <w:top w:val="single" w:sz="8" w:color="CCEEFF"/>
            </w:tcBorders>
            <w:shd w:val="clear" w:color="auto" w:fill="CCEEFF"/>
          </w:tcPr>
          <w:p>
            <w:pPr>
              <w:spacing w:after="0"/>
              <w:rPr>
                <w:sz w:val="12"/>
                <w:szCs w:val="12"/>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color w:val="auto"/>
              </w:rPr>
              <w:t>Less: Capitalization of software development costs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(35,744)</w:t>
            </w:r>
          </w:p>
        </w:tc>
        <w:tc>
          <w:tcPr>
            <w:tcW w:w="300" w:type="dxa"/>
            <w:vAlign w:val="bottom"/>
          </w:tcPr>
          <w:p>
            <w:pPr>
              <w:spacing w:after="0"/>
              <w:rPr>
                <w:sz w:val="14"/>
                <w:szCs w:val="14"/>
                <w:color w:val="auto"/>
              </w:rPr>
            </w:pPr>
          </w:p>
        </w:tc>
      </w:tr>
      <w:tr>
        <w:trPr>
          <w:trHeight w:val="16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Less: Purchases of furniture, equipment and leasehold improvements</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(17,079)</w:t>
            </w:r>
          </w:p>
        </w:tc>
        <w:tc>
          <w:tcPr>
            <w:tcW w:w="300" w:type="dxa"/>
            <w:vAlign w:val="bottom"/>
            <w:shd w:val="clear" w:color="auto" w:fill="CCEEFF"/>
          </w:tcPr>
          <w:p>
            <w:pPr>
              <w:spacing w:after="0"/>
              <w:rPr>
                <w:sz w:val="14"/>
                <w:szCs w:val="14"/>
                <w:color w:val="auto"/>
              </w:rPr>
            </w:pPr>
          </w:p>
        </w:tc>
      </w:tr>
      <w:tr>
        <w:trPr>
          <w:trHeight w:val="149"/>
        </w:trPr>
        <w:tc>
          <w:tcPr>
            <w:tcW w:w="6540" w:type="dxa"/>
            <w:vAlign w:val="bottom"/>
          </w:tcPr>
          <w:p>
            <w:pPr>
              <w:spacing w:after="0" w:line="142" w:lineRule="exact"/>
              <w:rPr>
                <w:sz w:val="20"/>
                <w:szCs w:val="20"/>
                <w:color w:val="auto"/>
              </w:rPr>
            </w:pPr>
            <w:r>
              <w:rPr>
                <w:rFonts w:ascii="Arial" w:cs="Arial" w:eastAsia="Arial" w:hAnsi="Arial"/>
                <w:sz w:val="14"/>
                <w:szCs w:val="14"/>
                <w:color w:val="auto"/>
              </w:rPr>
              <w:t>Free Cash Flow</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236,422</w:t>
            </w:r>
          </w:p>
        </w:tc>
        <w:tc>
          <w:tcPr>
            <w:tcW w:w="300" w:type="dxa"/>
            <w:vAlign w:val="bottom"/>
          </w:tcPr>
          <w:p>
            <w:pPr>
              <w:spacing w:after="0"/>
              <w:rPr>
                <w:sz w:val="12"/>
                <w:szCs w:val="12"/>
                <w:color w:val="auto"/>
              </w:rPr>
            </w:pPr>
          </w:p>
        </w:tc>
      </w:tr>
    </w:tbl>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TRADEWEB MARKETS INC.</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BASIC AND DILUTED EPS CALCULATIONS (UNAUDITED)</w:t>
      </w:r>
    </w:p>
    <w:p>
      <w:pPr>
        <w:ind w:left="4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4" w:lineRule="exact"/>
        <w:rPr>
          <w:sz w:val="20"/>
          <w:szCs w:val="20"/>
          <w:color w:val="auto"/>
        </w:rPr>
      </w:pPr>
    </w:p>
    <w:p>
      <w:pPr>
        <w:ind w:left="40" w:right="259"/>
        <w:spacing w:after="0" w:line="260" w:lineRule="auto"/>
        <w:rPr>
          <w:sz w:val="20"/>
          <w:szCs w:val="20"/>
          <w:color w:val="auto"/>
        </w:rPr>
      </w:pPr>
      <w:r>
        <w:rPr>
          <w:rFonts w:ascii="Arial" w:cs="Arial" w:eastAsia="Arial" w:hAnsi="Arial"/>
          <w:sz w:val="16"/>
          <w:szCs w:val="16"/>
          <w:color w:val="auto"/>
        </w:rPr>
        <w:t>The following table summarizes the basic and diluted earnings per share calculations for Tradeweb Markets LLC (pre-IPO period):</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EPS: Net income attributable to Tradeweb Markets LLC</w:t>
            </w:r>
            <w:r>
              <w:rPr>
                <w:rFonts w:ascii="Arial" w:cs="Arial" w:eastAsia="Arial" w:hAnsi="Arial"/>
                <w:sz w:val="14"/>
                <w:szCs w:val="14"/>
                <w:b w:val="1"/>
                <w:bCs w:val="1"/>
                <w:color w:val="auto"/>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right"/>
              <w:ind w:right="18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0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right"/>
              <w:ind w:right="368"/>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80" w:type="dxa"/>
            <w:vAlign w:val="bottom"/>
            <w:tcBorders>
              <w:top w:val="single" w:sz="8" w:color="auto"/>
            </w:tcBorders>
          </w:tcPr>
          <w:p>
            <w:pPr>
              <w:ind w:left="2080"/>
              <w:spacing w:after="0" w:line="142" w:lineRule="exact"/>
              <w:rPr>
                <w:sz w:val="20"/>
                <w:szCs w:val="20"/>
                <w:color w:val="auto"/>
              </w:rPr>
            </w:pPr>
            <w:r>
              <w:rPr>
                <w:rFonts w:ascii="Arial" w:cs="Arial" w:eastAsia="Arial" w:hAnsi="Arial"/>
                <w:sz w:val="14"/>
                <w:szCs w:val="14"/>
                <w:b w:val="1"/>
                <w:bCs w:val="1"/>
                <w:color w:val="auto"/>
              </w:rPr>
              <w:t>(in thousands, except share and per share amounts)</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6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Numerator:</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7060" w:type="dxa"/>
            <w:vAlign w:val="bottom"/>
            <w:gridSpan w:val="3"/>
          </w:tcPr>
          <w:p>
            <w:pPr>
              <w:spacing w:after="0" w:line="135" w:lineRule="exact"/>
              <w:rPr>
                <w:sz w:val="20"/>
                <w:szCs w:val="20"/>
                <w:color w:val="auto"/>
              </w:rPr>
            </w:pPr>
            <w:r>
              <w:rPr>
                <w:rFonts w:ascii="Arial" w:cs="Arial" w:eastAsia="Arial" w:hAnsi="Arial"/>
                <w:sz w:val="14"/>
                <w:szCs w:val="14"/>
                <w:color w:val="auto"/>
              </w:rPr>
              <w:t>Net income attributable to Tradeweb Markets LLC</w:t>
            </w:r>
          </w:p>
        </w:tc>
        <w:tc>
          <w:tcPr>
            <w:tcW w:w="160" w:type="dxa"/>
            <w:vAlign w:val="bottom"/>
            <w:gridSpan w:val="2"/>
          </w:tcPr>
          <w:p>
            <w:pPr>
              <w:jc w:val="right"/>
              <w:ind w:right="29"/>
              <w:spacing w:after="0" w:line="135" w:lineRule="exact"/>
              <w:rPr>
                <w:sz w:val="20"/>
                <w:szCs w:val="20"/>
                <w:color w:val="auto"/>
              </w:rPr>
            </w:pPr>
            <w:r>
              <w:rPr>
                <w:rFonts w:ascii="Arial" w:cs="Arial" w:eastAsia="Arial" w:hAnsi="Arial"/>
                <w:sz w:val="14"/>
                <w:szCs w:val="14"/>
                <w:color w:val="auto"/>
                <w:w w:val="76"/>
              </w:rPr>
              <w:t>$</w:t>
            </w:r>
          </w:p>
        </w:tc>
        <w:tc>
          <w:tcPr>
            <w:tcW w:w="1680" w:type="dxa"/>
            <w:vAlign w:val="bottom"/>
          </w:tcPr>
          <w:p>
            <w:pPr>
              <w:jc w:val="right"/>
              <w:spacing w:after="0" w:line="135" w:lineRule="exact"/>
              <w:rPr>
                <w:sz w:val="20"/>
                <w:szCs w:val="20"/>
                <w:color w:val="auto"/>
              </w:rPr>
            </w:pPr>
            <w:r>
              <w:rPr>
                <w:rFonts w:ascii="Arial" w:cs="Arial" w:eastAsia="Arial" w:hAnsi="Arial"/>
                <w:sz w:val="14"/>
                <w:szCs w:val="14"/>
                <w:color w:val="auto"/>
              </w:rPr>
              <w:t>42,352</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060" w:type="dxa"/>
            <w:vAlign w:val="bottom"/>
            <w:gridSpan w:val="3"/>
          </w:tcPr>
          <w:p>
            <w:pPr>
              <w:spacing w:after="0" w:line="135" w:lineRule="exact"/>
              <w:rPr>
                <w:sz w:val="20"/>
                <w:szCs w:val="20"/>
                <w:color w:val="auto"/>
              </w:rPr>
            </w:pPr>
            <w:r>
              <w:rPr>
                <w:rFonts w:ascii="Arial" w:cs="Arial" w:eastAsia="Arial" w:hAnsi="Arial"/>
                <w:sz w:val="14"/>
                <w:szCs w:val="14"/>
                <w:color w:val="auto"/>
              </w:rPr>
              <w:t>Denominator: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Weighted average LLC Interests outstanding - Basic</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222,222,197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60" w:type="dxa"/>
            <w:vAlign w:val="bottom"/>
            <w:tcBorders>
              <w:bottom w:val="single" w:sz="8" w:color="CCEEFF"/>
            </w:tcBorders>
            <w:gridSpan w:val="3"/>
          </w:tcPr>
          <w:p>
            <w:pPr>
              <w:ind w:left="100"/>
              <w:spacing w:after="0"/>
              <w:rPr>
                <w:sz w:val="20"/>
                <w:szCs w:val="20"/>
                <w:color w:val="auto"/>
              </w:rPr>
            </w:pPr>
            <w:r>
              <w:rPr>
                <w:rFonts w:ascii="Arial" w:cs="Arial" w:eastAsia="Arial" w:hAnsi="Arial"/>
                <w:sz w:val="14"/>
                <w:szCs w:val="14"/>
                <w:color w:val="auto"/>
              </w:rPr>
              <w:t>Dilutive effect of equity-settled PRSUs</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1,098,260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60" w:type="dxa"/>
            <w:vAlign w:val="bottom"/>
            <w:tcBorders>
              <w:bottom w:val="single" w:sz="8" w:color="CCEEFF"/>
            </w:tcBorders>
            <w:gridSpan w:val="3"/>
            <w:shd w:val="clear" w:color="auto" w:fill="CCEEFF"/>
          </w:tcPr>
          <w:p>
            <w:pPr>
              <w:spacing w:after="0" w:line="155" w:lineRule="exact"/>
              <w:rPr>
                <w:sz w:val="20"/>
                <w:szCs w:val="20"/>
                <w:color w:val="auto"/>
              </w:rPr>
            </w:pPr>
            <w:r>
              <w:rPr>
                <w:rFonts w:ascii="Arial" w:cs="Arial" w:eastAsia="Arial" w:hAnsi="Arial"/>
                <w:sz w:val="14"/>
                <w:szCs w:val="14"/>
                <w:color w:val="auto"/>
              </w:rPr>
              <w:t>Weighted average LLC Interests outstanding - Diluted</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223,320,457</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7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Earnings per share - Basic</w:t>
            </w:r>
          </w:p>
        </w:tc>
        <w:tc>
          <w:tcPr>
            <w:tcW w:w="1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w w:val="76"/>
              </w:rPr>
              <w:t>$</w:t>
            </w:r>
          </w:p>
        </w:tc>
        <w:tc>
          <w:tcPr>
            <w:tcW w:w="1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60" w:type="dxa"/>
            <w:vAlign w:val="bottom"/>
            <w:tcBorders>
              <w:top w:val="single" w:sz="8" w:color="CCEEFF"/>
            </w:tcBorders>
            <w:gridSpan w:val="3"/>
          </w:tcPr>
          <w:p>
            <w:pPr>
              <w:spacing w:after="0" w:line="135" w:lineRule="exact"/>
              <w:rPr>
                <w:sz w:val="20"/>
                <w:szCs w:val="20"/>
                <w:color w:val="auto"/>
              </w:rPr>
            </w:pPr>
            <w:r>
              <w:rPr>
                <w:rFonts w:ascii="Arial" w:cs="Arial" w:eastAsia="Arial" w:hAnsi="Arial"/>
                <w:sz w:val="14"/>
                <w:szCs w:val="14"/>
                <w:color w:val="auto"/>
              </w:rPr>
              <w:t>Earnings per share - Diluted</w:t>
            </w:r>
          </w:p>
        </w:tc>
        <w:tc>
          <w:tcPr>
            <w:tcW w:w="20" w:type="dxa"/>
            <w:vAlign w:val="bottom"/>
            <w:tcBorders>
              <w:top w:val="single" w:sz="8" w:color="CCEEFF"/>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6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700" w:right="139" w:hanging="332"/>
        <w:spacing w:after="0" w:line="223" w:lineRule="auto"/>
        <w:tabs>
          <w:tab w:leader="none" w:pos="700" w:val="left"/>
        </w:tabs>
        <w:numPr>
          <w:ilvl w:val="0"/>
          <w:numId w:val="9"/>
        </w:numPr>
        <w:rPr>
          <w:rFonts w:ascii="Arial" w:cs="Arial" w:eastAsia="Arial" w:hAnsi="Arial"/>
          <w:sz w:val="13"/>
          <w:szCs w:val="13"/>
          <w:color w:val="auto"/>
        </w:rPr>
      </w:pPr>
      <w:r>
        <w:rPr>
          <w:rFonts w:ascii="Arial" w:cs="Arial" w:eastAsia="Arial" w:hAnsi="Arial"/>
          <w:sz w:val="13"/>
          <w:szCs w:val="13"/>
          <w:color w:val="auto"/>
        </w:rPr>
        <w:t>Earnings per share and weighted average shares outstanding for the pre-IPO periods have been computed to give effect to the Reorganization Transactions, including the amendment and restatement of the fourth amended and restated limited liability company agreement of Tradeweb Markets LLC to, among other things, (i) provide for a new single class of common membership interests in Tradeweb Markets LLC (“LLC Interests”) and (ii) exchange all of the original members’ existing membership interests for LLC Interests.</w:t>
      </w:r>
    </w:p>
    <w:p>
      <w:pPr>
        <w:spacing w:after="0" w:line="316" w:lineRule="exact"/>
        <w:rPr>
          <w:sz w:val="20"/>
          <w:szCs w:val="20"/>
          <w:color w:val="auto"/>
        </w:rPr>
      </w:pPr>
    </w:p>
    <w:p>
      <w:pPr>
        <w:ind w:left="40" w:right="219"/>
        <w:spacing w:after="0" w:line="260" w:lineRule="auto"/>
        <w:rPr>
          <w:sz w:val="20"/>
          <w:szCs w:val="20"/>
          <w:color w:val="auto"/>
        </w:rPr>
      </w:pPr>
      <w:r>
        <w:rPr>
          <w:rFonts w:ascii="Arial" w:cs="Arial" w:eastAsia="Arial" w:hAnsi="Arial"/>
          <w:sz w:val="16"/>
          <w:szCs w:val="16"/>
          <w:color w:val="auto"/>
        </w:rPr>
        <w:t>The following table summarizes the basic and diluted earnings per share calculations for Tradeweb Markets Inc. (post-IPO period):</w:t>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EPS: Net income attributable to Tradeweb Markets Inc.</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right"/>
              <w:ind w:right="18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56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right"/>
              <w:ind w:right="368"/>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760" w:type="dxa"/>
            <w:vAlign w:val="bottom"/>
            <w:tcBorders>
              <w:top w:val="single" w:sz="8" w:color="auto"/>
            </w:tcBorders>
          </w:tcPr>
          <w:p>
            <w:pPr>
              <w:ind w:left="2080"/>
              <w:spacing w:after="0" w:line="142" w:lineRule="exact"/>
              <w:rPr>
                <w:sz w:val="20"/>
                <w:szCs w:val="20"/>
                <w:color w:val="auto"/>
              </w:rPr>
            </w:pPr>
            <w:r>
              <w:rPr>
                <w:rFonts w:ascii="Arial" w:cs="Arial" w:eastAsia="Arial" w:hAnsi="Arial"/>
                <w:sz w:val="14"/>
                <w:szCs w:val="14"/>
                <w:b w:val="1"/>
                <w:bCs w:val="1"/>
                <w:color w:val="auto"/>
              </w:rPr>
              <w:t>(in thousands, except share and per share amounts)</w:t>
            </w: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54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Numerator:</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6540" w:type="dxa"/>
            <w:vAlign w:val="bottom"/>
            <w:gridSpan w:val="3"/>
          </w:tcPr>
          <w:p>
            <w:pPr>
              <w:spacing w:after="0" w:line="135" w:lineRule="exact"/>
              <w:rPr>
                <w:sz w:val="20"/>
                <w:szCs w:val="20"/>
                <w:color w:val="auto"/>
              </w:rPr>
            </w:pPr>
            <w:r>
              <w:rPr>
                <w:rFonts w:ascii="Arial" w:cs="Arial" w:eastAsia="Arial" w:hAnsi="Arial"/>
                <w:sz w:val="14"/>
                <w:szCs w:val="14"/>
                <w:color w:val="auto"/>
              </w:rPr>
              <w:t>Net income attributable to Tradeweb Markets Inc.</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1680" w:type="dxa"/>
            <w:vAlign w:val="bottom"/>
          </w:tcPr>
          <w:p>
            <w:pPr>
              <w:jc w:val="right"/>
              <w:spacing w:after="0" w:line="135" w:lineRule="exact"/>
              <w:rPr>
                <w:sz w:val="20"/>
                <w:szCs w:val="20"/>
                <w:color w:val="auto"/>
              </w:rPr>
            </w:pPr>
            <w:r>
              <w:rPr>
                <w:rFonts w:ascii="Arial" w:cs="Arial" w:eastAsia="Arial" w:hAnsi="Arial"/>
                <w:sz w:val="14"/>
                <w:szCs w:val="14"/>
                <w:color w:val="auto"/>
              </w:rPr>
              <w:t>43,928</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7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540" w:type="dxa"/>
            <w:vAlign w:val="bottom"/>
            <w:gridSpan w:val="3"/>
          </w:tcPr>
          <w:p>
            <w:pPr>
              <w:spacing w:after="0" w:line="135" w:lineRule="exact"/>
              <w:rPr>
                <w:sz w:val="20"/>
                <w:szCs w:val="20"/>
                <w:color w:val="auto"/>
              </w:rPr>
            </w:pPr>
            <w:r>
              <w:rPr>
                <w:rFonts w:ascii="Arial" w:cs="Arial" w:eastAsia="Arial" w:hAnsi="Arial"/>
                <w:sz w:val="14"/>
                <w:szCs w:val="14"/>
                <w:color w:val="auto"/>
              </w:rPr>
              <w:t>Denominator:</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54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color w:val="auto"/>
              </w:rPr>
              <w:t>Weighted average shares of Class A and Class B common stock outstanding - Basic</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166,234,749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Dilutive effect of equity-settled PRSUs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Arial" w:cs="Arial" w:eastAsia="Arial" w:hAnsi="Arial"/>
                <w:sz w:val="14"/>
                <w:szCs w:val="14"/>
                <w:color w:val="auto"/>
              </w:rPr>
              <w:t>2,038,422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Dilutive effect of options</w:t>
            </w: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6,221,549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40" w:type="dxa"/>
            <w:vAlign w:val="bottom"/>
            <w:gridSpan w:val="3"/>
          </w:tcPr>
          <w:p>
            <w:pPr>
              <w:ind w:left="100"/>
              <w:spacing w:after="0"/>
              <w:rPr>
                <w:sz w:val="20"/>
                <w:szCs w:val="20"/>
                <w:color w:val="auto"/>
              </w:rPr>
            </w:pPr>
            <w:r>
              <w:rPr>
                <w:rFonts w:ascii="Arial" w:cs="Arial" w:eastAsia="Arial" w:hAnsi="Arial"/>
                <w:sz w:val="14"/>
                <w:szCs w:val="14"/>
                <w:color w:val="auto"/>
              </w:rPr>
              <w:t>Dilutive effect of RSUs</w:t>
            </w: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22,524</w:t>
            </w: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748"/>
        </w:trPr>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038" w:right="1440"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5600065</wp:posOffset>
            </wp:positionH>
            <wp:positionV relativeFrom="page">
              <wp:posOffset>88900</wp:posOffset>
            </wp:positionV>
            <wp:extent cx="1002665"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002665" cy="30861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Weighted average shares of Class A and Class B common stock outstanding - Diluted</w:t>
            </w:r>
          </w:p>
        </w:tc>
        <w:tc>
          <w:tcPr>
            <w:tcW w:w="10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174,517,244</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Earnings per share - Basic</w:t>
            </w:r>
          </w:p>
        </w:tc>
        <w:tc>
          <w:tcPr>
            <w:tcW w:w="1640" w:type="dxa"/>
            <w:vAlign w:val="bottom"/>
            <w:gridSpan w:val="2"/>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980" w:type="dxa"/>
            <w:vAlign w:val="bottom"/>
            <w:tcBorders>
              <w:top w:val="single" w:sz="8" w:color="CCEEFF"/>
            </w:tcBorders>
          </w:tcPr>
          <w:p>
            <w:pPr>
              <w:spacing w:after="0" w:line="135" w:lineRule="exact"/>
              <w:rPr>
                <w:sz w:val="20"/>
                <w:szCs w:val="20"/>
                <w:color w:val="auto"/>
              </w:rPr>
            </w:pPr>
            <w:r>
              <w:rPr>
                <w:rFonts w:ascii="Arial" w:cs="Arial" w:eastAsia="Arial" w:hAnsi="Arial"/>
                <w:sz w:val="14"/>
                <w:szCs w:val="14"/>
                <w:color w:val="auto"/>
              </w:rPr>
              <w:t>Earnings per share - Diluted</w:t>
            </w:r>
          </w:p>
        </w:tc>
        <w:tc>
          <w:tcPr>
            <w:tcW w:w="1080" w:type="dxa"/>
            <w:vAlign w:val="bottom"/>
            <w:tcBorders>
              <w:top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408"/>
              <w:spacing w:after="0" w:line="135"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748"/>
        </w:trPr>
        <w:tc>
          <w:tcPr>
            <w:tcW w:w="20" w:type="dxa"/>
            <w:vAlign w:val="bottom"/>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16" w:right="1440"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5600065</wp:posOffset>
            </wp:positionH>
            <wp:positionV relativeFrom="page">
              <wp:posOffset>88900</wp:posOffset>
            </wp:positionV>
            <wp:extent cx="1002665" cy="308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002665" cy="308610"/>
                    </a:xfrm>
                    <a:prstGeom prst="rect">
                      <a:avLst/>
                    </a:prstGeom>
                    <a:noFill/>
                  </pic:spPr>
                </pic:pic>
              </a:graphicData>
            </a:graphic>
          </wp:anchor>
        </w:drawing>
        <w:t>TRADEWEB MARKETS INC.</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GROSS REVENUES BY ASSET CLASS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vMerge w:val="restart"/>
          </w:tcPr>
          <w:p>
            <w:pPr>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4"/>
                <w:szCs w:val="14"/>
                <w:color w:val="auto"/>
              </w:rPr>
            </w:pPr>
          </w:p>
        </w:tc>
        <w:tc>
          <w:tcPr>
            <w:tcW w:w="136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4"/>
                <w:szCs w:val="14"/>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Variable</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8"/>
              </w:rPr>
              <w:t>Fixed</w:t>
            </w:r>
          </w:p>
        </w:tc>
        <w:tc>
          <w:tcPr>
            <w:tcW w:w="1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Variable</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8"/>
              </w:rPr>
              <w:t>Fixed</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Variable</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8"/>
              </w:rPr>
              <w:t>Fixed</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Variable</w:t>
            </w: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Fixed</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580" w:type="dxa"/>
            <w:vAlign w:val="bottom"/>
            <w:gridSpan w:val="6"/>
            <w:shd w:val="clear" w:color="auto" w:fill="CCEEFF"/>
          </w:tcPr>
          <w:p>
            <w:pPr>
              <w:jc w:val="right"/>
              <w:ind w:right="68"/>
              <w:spacing w:after="0" w:line="155" w:lineRule="exact"/>
              <w:rPr>
                <w:sz w:val="20"/>
                <w:szCs w:val="20"/>
                <w:color w:val="auto"/>
              </w:rPr>
            </w:pPr>
            <w:r>
              <w:rPr>
                <w:rFonts w:ascii="Arial" w:cs="Arial" w:eastAsia="Arial" w:hAnsi="Arial"/>
                <w:sz w:val="14"/>
                <w:szCs w:val="14"/>
                <w:b w:val="1"/>
                <w:bCs w:val="1"/>
                <w:color w:val="auto"/>
                <w:w w:val="97"/>
              </w:rPr>
              <w:t>(dollars in thousands)</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40" w:type="dxa"/>
            <w:vAlign w:val="bottom"/>
          </w:tcPr>
          <w:p>
            <w:pPr>
              <w:spacing w:after="0"/>
              <w:rPr>
                <w:sz w:val="20"/>
                <w:szCs w:val="20"/>
                <w:color w:val="auto"/>
              </w:rPr>
            </w:pPr>
            <w:r>
              <w:rPr>
                <w:rFonts w:ascii="Arial" w:cs="Arial" w:eastAsia="Arial" w:hAnsi="Arial"/>
                <w:sz w:val="14"/>
                <w:szCs w:val="14"/>
                <w:color w:val="auto"/>
              </w:rPr>
              <w:t>Rates</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75,541</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7"/>
              </w:rPr>
              <w:t>50,498</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  53,650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7"/>
              </w:rPr>
              <w:t>50,440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21,891</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58</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40.8</w:t>
            </w:r>
          </w:p>
        </w:tc>
        <w:tc>
          <w:tcPr>
            <w:tcW w:w="18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Credit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48,575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34,358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20"/>
                <w:szCs w:val="20"/>
                <w:color w:val="auto"/>
              </w:rPr>
            </w:pPr>
            <w:r>
              <w:rPr>
                <w:rFonts w:ascii="Arial" w:cs="Arial" w:eastAsia="Arial" w:hAnsi="Arial"/>
                <w:sz w:val="14"/>
                <w:szCs w:val="14"/>
                <w:color w:val="auto"/>
              </w:rPr>
              <w:t>Equities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17,100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2,334</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10,152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1,646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6,948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688</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68.4</w:t>
            </w:r>
          </w:p>
        </w:tc>
        <w:tc>
          <w:tcPr>
            <w:tcW w:w="18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41.8</w:t>
            </w:r>
          </w:p>
        </w:tc>
        <w:tc>
          <w:tcPr>
            <w:tcW w:w="12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Money Markets</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5,823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20"/>
                <w:szCs w:val="20"/>
                <w:color w:val="auto"/>
              </w:rPr>
            </w:pPr>
            <w:r>
              <w:rPr>
                <w:rFonts w:ascii="Arial" w:cs="Arial" w:eastAsia="Arial" w:hAnsi="Arial"/>
                <w:sz w:val="14"/>
                <w:szCs w:val="14"/>
                <w:color w:val="auto"/>
              </w:rPr>
              <w:t>Market Data</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18,562</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16,903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1,659</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9.8 %</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5,385</w:t>
            </w:r>
          </w:p>
        </w:tc>
        <w:tc>
          <w:tcPr>
            <w:tcW w:w="14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7.6 %</w:t>
            </w:r>
          </w:p>
        </w:tc>
        <w:tc>
          <w:tcPr>
            <w:tcW w:w="0" w:type="dxa"/>
            <w:vAlign w:val="bottom"/>
          </w:tcPr>
          <w:p>
            <w:pPr>
              <w:spacing w:after="0"/>
              <w:rPr>
                <w:sz w:val="1"/>
                <w:szCs w:val="1"/>
                <w:color w:val="auto"/>
              </w:rPr>
            </w:pPr>
          </w:p>
        </w:tc>
      </w:tr>
      <w:tr>
        <w:trPr>
          <w:trHeight w:val="149"/>
        </w:trPr>
        <w:tc>
          <w:tcPr>
            <w:tcW w:w="2840" w:type="dxa"/>
            <w:vAlign w:val="bottom"/>
          </w:tcPr>
          <w:p>
            <w:pPr>
              <w:spacing w:after="0" w:line="142" w:lineRule="exact"/>
              <w:rPr>
                <w:sz w:val="20"/>
                <w:szCs w:val="20"/>
                <w:color w:val="auto"/>
              </w:rPr>
            </w:pPr>
            <w:r>
              <w:rPr>
                <w:rFonts w:ascii="Arial" w:cs="Arial" w:eastAsia="Arial" w:hAnsi="Arial"/>
                <w:sz w:val="14"/>
                <w:szCs w:val="14"/>
                <w:color w:val="auto"/>
              </w:rPr>
              <w:t>Gross revenue</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148,353</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86,253</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$ 103,983</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82,809</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44,370</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3,444</w:t>
            </w:r>
          </w:p>
        </w:tc>
        <w:tc>
          <w:tcPr>
            <w:tcW w:w="1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42.7</w:t>
            </w:r>
          </w:p>
        </w:tc>
        <w:tc>
          <w:tcPr>
            <w:tcW w:w="180" w:type="dxa"/>
            <w:vAlign w:val="bottom"/>
          </w:tcPr>
          <w:p>
            <w:pPr>
              <w:jc w:val="center"/>
              <w:spacing w:after="0" w:line="142" w:lineRule="exact"/>
              <w:rPr>
                <w:sz w:val="20"/>
                <w:szCs w:val="20"/>
                <w:color w:val="auto"/>
              </w:rPr>
            </w:pPr>
            <w:r>
              <w:rPr>
                <w:rFonts w:ascii="Arial" w:cs="Arial" w:eastAsia="Arial" w:hAnsi="Arial"/>
                <w:sz w:val="14"/>
                <w:szCs w:val="14"/>
                <w:color w:val="auto"/>
                <w:w w:val="96"/>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TRADEWEB MARKETS INC.</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AVERAGE VARIABLE FEES PER MILLION DOLLARS OF VOLUME</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200" w:type="dxa"/>
            <w:vAlign w:val="bottom"/>
          </w:tcPr>
          <w:p>
            <w:pPr>
              <w:spacing w:after="0"/>
              <w:rPr>
                <w:sz w:val="14"/>
                <w:szCs w:val="14"/>
                <w:color w:val="auto"/>
              </w:rPr>
            </w:pPr>
          </w:p>
        </w:tc>
        <w:tc>
          <w:tcPr>
            <w:tcW w:w="15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680" w:type="dxa"/>
            <w:vAlign w:val="bottom"/>
          </w:tcPr>
          <w:p>
            <w:pPr>
              <w:jc w:val="right"/>
              <w:ind w:right="128"/>
              <w:spacing w:after="0"/>
              <w:rPr>
                <w:sz w:val="20"/>
                <w:szCs w:val="20"/>
                <w:color w:val="auto"/>
              </w:rPr>
            </w:pPr>
            <w:r>
              <w:rPr>
                <w:rFonts w:ascii="Arial" w:cs="Arial" w:eastAsia="Arial" w:hAnsi="Arial"/>
                <w:sz w:val="14"/>
                <w:szCs w:val="14"/>
                <w:b w:val="1"/>
                <w:bCs w:val="1"/>
                <w:color w:val="auto"/>
              </w:rPr>
              <w:t>YoY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March 31, 2019</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4"/>
              </w:rPr>
              <w:t>% Change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6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Rates</w:t>
            </w:r>
          </w:p>
        </w:tc>
        <w:tc>
          <w:tcPr>
            <w:tcW w:w="4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2.05</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2.04</w:t>
            </w: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0.5</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r>
      <w:tr>
        <w:trPr>
          <w:trHeight w:val="162"/>
        </w:trPr>
        <w:tc>
          <w:tcPr>
            <w:tcW w:w="4600" w:type="dxa"/>
            <w:vAlign w:val="bottom"/>
          </w:tcPr>
          <w:p>
            <w:pPr>
              <w:ind w:left="120"/>
              <w:spacing w:after="0"/>
              <w:rPr>
                <w:sz w:val="20"/>
                <w:szCs w:val="20"/>
                <w:color w:val="auto"/>
              </w:rPr>
            </w:pPr>
            <w:r>
              <w:rPr>
                <w:rFonts w:ascii="Arial" w:cs="Arial" w:eastAsia="Arial" w:hAnsi="Arial"/>
                <w:sz w:val="14"/>
                <w:szCs w:val="14"/>
                <w:color w:val="auto"/>
              </w:rPr>
              <w:t>Rates - excluding short-tenor swaps (less than 1 year)</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2.39</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2.09</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14.4</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r>
      <w:tr>
        <w:trPr>
          <w:trHeight w:val="162"/>
        </w:trPr>
        <w:tc>
          <w:tcPr>
            <w:tcW w:w="4600" w:type="dxa"/>
            <w:vAlign w:val="bottom"/>
            <w:shd w:val="clear" w:color="auto" w:fill="CCEEFF"/>
          </w:tcPr>
          <w:p>
            <w:pPr>
              <w:spacing w:after="0"/>
              <w:rPr>
                <w:sz w:val="20"/>
                <w:szCs w:val="20"/>
                <w:color w:val="auto"/>
              </w:rPr>
            </w:pPr>
            <w:r>
              <w:rPr>
                <w:rFonts w:ascii="Arial" w:cs="Arial" w:eastAsia="Arial" w:hAnsi="Arial"/>
                <w:sz w:val="14"/>
                <w:szCs w:val="14"/>
                <w:color w:val="auto"/>
              </w:rPr>
              <w:t>Credit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34.02</w:t>
            </w:r>
          </w:p>
        </w:tc>
        <w:tc>
          <w:tcPr>
            <w:tcW w:w="2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(31.0)%</w:t>
            </w:r>
          </w:p>
        </w:tc>
      </w:tr>
      <w:tr>
        <w:trPr>
          <w:trHeight w:val="162"/>
        </w:trPr>
        <w:tc>
          <w:tcPr>
            <w:tcW w:w="4600" w:type="dxa"/>
            <w:vAlign w:val="bottom"/>
          </w:tcPr>
          <w:p>
            <w:pPr>
              <w:spacing w:after="0"/>
              <w:rPr>
                <w:sz w:val="20"/>
                <w:szCs w:val="20"/>
                <w:color w:val="auto"/>
              </w:rPr>
            </w:pPr>
            <w:r>
              <w:rPr>
                <w:rFonts w:ascii="Arial" w:cs="Arial" w:eastAsia="Arial" w:hAnsi="Arial"/>
                <w:sz w:val="14"/>
                <w:szCs w:val="14"/>
                <w:color w:val="auto"/>
              </w:rPr>
              <w:t>Equities</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15.39</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21.15</w:t>
            </w:r>
          </w:p>
        </w:tc>
        <w:tc>
          <w:tcPr>
            <w:tcW w:w="20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(27.2)%</w:t>
            </w:r>
          </w:p>
        </w:tc>
      </w:tr>
      <w:tr>
        <w:trPr>
          <w:trHeight w:val="162"/>
        </w:trPr>
        <w:tc>
          <w:tcPr>
            <w:tcW w:w="4600" w:type="dxa"/>
            <w:vAlign w:val="bottom"/>
            <w:shd w:val="clear" w:color="auto" w:fill="CCEEFF"/>
          </w:tcPr>
          <w:p>
            <w:pPr>
              <w:spacing w:after="0"/>
              <w:rPr>
                <w:sz w:val="20"/>
                <w:szCs w:val="20"/>
                <w:color w:val="auto"/>
              </w:rPr>
            </w:pPr>
            <w:r>
              <w:rPr>
                <w:rFonts w:ascii="Arial" w:cs="Arial" w:eastAsia="Arial" w:hAnsi="Arial"/>
                <w:sz w:val="14"/>
                <w:szCs w:val="14"/>
                <w:color w:val="auto"/>
              </w:rPr>
              <w:t>Money Markets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0.49</w:t>
            </w:r>
          </w:p>
        </w:tc>
        <w:tc>
          <w:tcPr>
            <w:tcW w:w="2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(8.2)%</w:t>
            </w:r>
          </w:p>
        </w:tc>
      </w:tr>
      <w:tr>
        <w:trPr>
          <w:trHeight w:val="162"/>
        </w:trPr>
        <w:tc>
          <w:tcPr>
            <w:tcW w:w="4600" w:type="dxa"/>
            <w:vAlign w:val="bottom"/>
          </w:tcPr>
          <w:p>
            <w:pPr>
              <w:spacing w:after="0"/>
              <w:rPr>
                <w:sz w:val="20"/>
                <w:szCs w:val="20"/>
                <w:color w:val="auto"/>
              </w:rPr>
            </w:pPr>
            <w:r>
              <w:rPr>
                <w:rFonts w:ascii="Arial" w:cs="Arial" w:eastAsia="Arial" w:hAnsi="Arial"/>
                <w:sz w:val="14"/>
                <w:szCs w:val="14"/>
                <w:color w:val="auto"/>
              </w:rPr>
              <w:t>Total Fees per Million</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2.65</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2.62</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r>
      <w:tr>
        <w:trPr>
          <w:trHeight w:val="162"/>
        </w:trPr>
        <w:tc>
          <w:tcPr>
            <w:tcW w:w="4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Fees per Million - excluding short-tenor swaps (less than 1 year)</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r>
    </w:tbl>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TRADEWEB MARKETS INC.</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AVERAGE DAILY VOLUME</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ADV</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4"/>
          </w:tcPr>
          <w:p>
            <w:pPr>
              <w:jc w:val="center"/>
              <w:ind w:right="97"/>
              <w:spacing w:after="0" w:line="129" w:lineRule="exact"/>
              <w:rPr>
                <w:sz w:val="20"/>
                <w:szCs w:val="20"/>
                <w:color w:val="auto"/>
              </w:rPr>
            </w:pPr>
            <w:r>
              <w:rPr>
                <w:rFonts w:ascii="Arial" w:cs="Arial" w:eastAsia="Arial" w:hAnsi="Arial"/>
                <w:sz w:val="13"/>
                <w:szCs w:val="13"/>
                <w:b w:val="1"/>
                <w:bCs w:val="1"/>
                <w:color w:val="auto"/>
                <w:w w:val="90"/>
              </w:rPr>
              <w:t>March 31, 2020</w:t>
            </w: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4"/>
          </w:tcPr>
          <w:p>
            <w:pPr>
              <w:jc w:val="center"/>
              <w:ind w:right="97"/>
              <w:spacing w:after="0" w:line="129" w:lineRule="exact"/>
              <w:rPr>
                <w:sz w:val="20"/>
                <w:szCs w:val="20"/>
                <w:color w:val="auto"/>
              </w:rPr>
            </w:pPr>
            <w:r>
              <w:rPr>
                <w:rFonts w:ascii="Arial" w:cs="Arial" w:eastAsia="Arial" w:hAnsi="Arial"/>
                <w:sz w:val="13"/>
                <w:szCs w:val="13"/>
                <w:b w:val="1"/>
                <w:bCs w:val="1"/>
                <w:color w:val="auto"/>
                <w:w w:val="88"/>
              </w:rPr>
              <w:t>March 31, 2019</w:t>
            </w:r>
          </w:p>
        </w:tc>
        <w:tc>
          <w:tcPr>
            <w:tcW w:w="1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97"/>
              <w:spacing w:after="0" w:line="129" w:lineRule="exact"/>
              <w:rPr>
                <w:sz w:val="20"/>
                <w:szCs w:val="20"/>
                <w:color w:val="auto"/>
              </w:rPr>
            </w:pPr>
            <w:r>
              <w:rPr>
                <w:rFonts w:ascii="Arial" w:cs="Arial" w:eastAsia="Arial" w:hAnsi="Arial"/>
                <w:sz w:val="13"/>
                <w:szCs w:val="13"/>
                <w:b w:val="1"/>
                <w:bCs w:val="1"/>
                <w:color w:val="auto"/>
              </w:rPr>
              <w:t>ADV</w:t>
            </w: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37"/>
              <w:spacing w:after="0" w:line="129" w:lineRule="exact"/>
              <w:rPr>
                <w:sz w:val="20"/>
                <w:szCs w:val="20"/>
                <w:color w:val="auto"/>
              </w:rPr>
            </w:pPr>
            <w:r>
              <w:rPr>
                <w:rFonts w:ascii="Arial" w:cs="Arial" w:eastAsia="Arial" w:hAnsi="Arial"/>
                <w:sz w:val="13"/>
                <w:szCs w:val="13"/>
                <w:b w:val="1"/>
                <w:bCs w:val="1"/>
                <w:color w:val="auto"/>
              </w:rPr>
              <w:t>Volume</w:t>
            </w: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97"/>
              <w:spacing w:after="0" w:line="129" w:lineRule="exact"/>
              <w:rPr>
                <w:sz w:val="20"/>
                <w:szCs w:val="20"/>
                <w:color w:val="auto"/>
              </w:rPr>
            </w:pPr>
            <w:r>
              <w:rPr>
                <w:rFonts w:ascii="Arial" w:cs="Arial" w:eastAsia="Arial" w:hAnsi="Arial"/>
                <w:sz w:val="13"/>
                <w:szCs w:val="13"/>
                <w:b w:val="1"/>
                <w:bCs w:val="1"/>
                <w:color w:val="auto"/>
              </w:rPr>
              <w:t>ADV</w:t>
            </w: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37"/>
              <w:spacing w:after="0" w:line="129" w:lineRule="exact"/>
              <w:rPr>
                <w:sz w:val="20"/>
                <w:szCs w:val="20"/>
                <w:color w:val="auto"/>
              </w:rPr>
            </w:pPr>
            <w:r>
              <w:rPr>
                <w:rFonts w:ascii="Arial" w:cs="Arial" w:eastAsia="Arial" w:hAnsi="Arial"/>
                <w:sz w:val="13"/>
                <w:szCs w:val="13"/>
                <w:b w:val="1"/>
                <w:bCs w:val="1"/>
                <w:color w:val="auto"/>
              </w:rPr>
              <w:t>Volume</w:t>
            </w:r>
          </w:p>
        </w:tc>
        <w:tc>
          <w:tcPr>
            <w:tcW w:w="18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8"/>
              </w:rPr>
              <w:t>% Change</w:t>
            </w:r>
          </w:p>
        </w:tc>
        <w:tc>
          <w:tcPr>
            <w:tcW w:w="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0" w:type="dxa"/>
            <w:vAlign w:val="bottom"/>
            <w:gridSpan w:val="4"/>
          </w:tcPr>
          <w:p>
            <w:pPr>
              <w:jc w:val="right"/>
              <w:ind w:right="297"/>
              <w:spacing w:after="0" w:line="129" w:lineRule="exact"/>
              <w:rPr>
                <w:sz w:val="20"/>
                <w:szCs w:val="20"/>
                <w:color w:val="auto"/>
              </w:rPr>
            </w:pPr>
            <w:r>
              <w:rPr>
                <w:rFonts w:ascii="Arial" w:cs="Arial" w:eastAsia="Arial" w:hAnsi="Arial"/>
                <w:sz w:val="13"/>
                <w:szCs w:val="13"/>
                <w:b w:val="1"/>
                <w:bCs w:val="1"/>
                <w:color w:val="auto"/>
              </w:rPr>
              <w:t>(dollars in millions)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Rates</w:t>
            </w:r>
          </w:p>
        </w:tc>
        <w:tc>
          <w:tcPr>
            <w:tcW w:w="1600" w:type="dxa"/>
            <w:vAlign w:val="bottom"/>
            <w:gridSpan w:val="2"/>
            <w:shd w:val="clear" w:color="auto" w:fill="CCEEFF"/>
          </w:tcPr>
          <w:p>
            <w:pPr>
              <w:jc w:val="right"/>
              <w:ind w:right="48"/>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590,773</w:t>
            </w:r>
          </w:p>
        </w:tc>
        <w:tc>
          <w:tcPr>
            <w:tcW w:w="36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36,867,838</w:t>
            </w:r>
          </w:p>
        </w:tc>
        <w:tc>
          <w:tcPr>
            <w:tcW w:w="340" w:type="dxa"/>
            <w:vAlign w:val="bottom"/>
            <w:gridSpan w:val="2"/>
            <w:shd w:val="clear" w:color="auto" w:fill="CCEEFF"/>
          </w:tcPr>
          <w:p>
            <w:pPr>
              <w:jc w:val="right"/>
              <w:ind w:right="48"/>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429,226</w:t>
            </w:r>
          </w:p>
        </w:tc>
        <w:tc>
          <w:tcPr>
            <w:tcW w:w="36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26,357,344</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37.6</w:t>
            </w:r>
          </w:p>
        </w:tc>
        <w:tc>
          <w:tcPr>
            <w:tcW w:w="1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Arial" w:cs="Arial" w:eastAsia="Arial" w:hAnsi="Arial"/>
                <w:sz w:val="13"/>
                <w:szCs w:val="13"/>
                <w:color w:val="auto"/>
              </w:rPr>
              <w:t>Credit</w:t>
            </w: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32,997</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2,070,811</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16,386</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1,010,037</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101.4</w:t>
            </w:r>
          </w:p>
        </w:tc>
        <w:tc>
          <w:tcPr>
            <w:tcW w:w="1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Equities</w:t>
            </w:r>
          </w:p>
        </w:tc>
        <w:tc>
          <w:tcPr>
            <w:tcW w:w="1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17,793</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1,111,272</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7,771</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479,937</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129.0</w:t>
            </w:r>
          </w:p>
        </w:tc>
        <w:tc>
          <w:tcPr>
            <w:tcW w:w="1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26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Money Markets</w:t>
            </w:r>
          </w:p>
        </w:tc>
        <w:tc>
          <w:tcPr>
            <w:tcW w:w="14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256,193</w:t>
            </w: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15,948,560</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192,264</w:t>
            </w: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11,771,636</w:t>
            </w:r>
          </w:p>
        </w:tc>
        <w:tc>
          <w:tcPr>
            <w:tcW w:w="880" w:type="dxa"/>
            <w:vAlign w:val="bottom"/>
            <w:tcBorders>
              <w:bottom w:val="single" w:sz="8" w:color="CCEEFF"/>
            </w:tcBorders>
            <w:gridSpan w:val="2"/>
          </w:tcPr>
          <w:p>
            <w:pPr>
              <w:jc w:val="right"/>
              <w:spacing w:after="0" w:line="135" w:lineRule="exact"/>
              <w:rPr>
                <w:sz w:val="20"/>
                <w:szCs w:val="20"/>
                <w:color w:val="auto"/>
              </w:rPr>
            </w:pPr>
            <w:r>
              <w:rPr>
                <w:rFonts w:ascii="Arial" w:cs="Arial" w:eastAsia="Arial" w:hAnsi="Arial"/>
                <w:sz w:val="13"/>
                <w:szCs w:val="13"/>
                <w:color w:val="auto"/>
              </w:rPr>
              <w:t>33.3</w:t>
            </w:r>
          </w:p>
        </w:tc>
        <w:tc>
          <w:tcPr>
            <w:tcW w:w="180" w:type="dxa"/>
            <w:vAlign w:val="bottom"/>
            <w:tcBorders>
              <w:bottom w:val="single" w:sz="8" w:color="CCEEFF"/>
            </w:tcBorders>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26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Total</w:t>
            </w:r>
          </w:p>
        </w:tc>
        <w:tc>
          <w:tcPr>
            <w:tcW w:w="14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897,756</w:t>
            </w:r>
          </w:p>
        </w:tc>
        <w:tc>
          <w:tcPr>
            <w:tcW w:w="1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center"/>
              <w:ind w:right="57"/>
              <w:spacing w:after="0" w:line="129" w:lineRule="exact"/>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55,998,481</w:t>
            </w: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645,647</w:t>
            </w:r>
          </w:p>
        </w:tc>
        <w:tc>
          <w:tcPr>
            <w:tcW w:w="1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center"/>
              <w:ind w:right="57"/>
              <w:spacing w:after="0" w:line="129" w:lineRule="exact"/>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39,618,954</w:t>
            </w:r>
          </w:p>
        </w:tc>
        <w:tc>
          <w:tcPr>
            <w:tcW w:w="880" w:type="dxa"/>
            <w:vAlign w:val="bottom"/>
            <w:tcBorders>
              <w:bottom w:val="single" w:sz="8" w:color="CCEEFF"/>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39.0</w:t>
            </w:r>
          </w:p>
        </w:tc>
        <w:tc>
          <w:tcPr>
            <w:tcW w:w="180" w:type="dxa"/>
            <w:vAlign w:val="bottom"/>
            <w:tcBorders>
              <w:bottom w:val="single" w:sz="8" w:color="CCEEFF"/>
            </w:tcBorders>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66"/>
        </w:trPr>
        <w:tc>
          <w:tcPr>
            <w:tcW w:w="2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748"/>
        </w:trPr>
        <w:tc>
          <w:tcPr>
            <w:tcW w:w="2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05" w:right="1440"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5600065</wp:posOffset>
            </wp:positionH>
            <wp:positionV relativeFrom="page">
              <wp:posOffset>88900</wp:posOffset>
            </wp:positionV>
            <wp:extent cx="1002665" cy="308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002665" cy="308610"/>
                    </a:xfrm>
                    <a:prstGeom prst="rect">
                      <a:avLst/>
                    </a:prstGeom>
                    <a:noFill/>
                  </pic:spPr>
                </pic:pic>
              </a:graphicData>
            </a:graphic>
          </wp:anchor>
        </w:drawing>
        <w:t>TRADEWEB MARKETS INC.</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AVERAGE DAILY VOLUME</w:t>
      </w:r>
    </w:p>
    <w:p>
      <w:pPr>
        <w:spacing w:after="0" w:line="395" w:lineRule="exact"/>
        <w:rPr>
          <w:sz w:val="20"/>
          <w:szCs w:val="20"/>
          <w:color w:val="auto"/>
        </w:rPr>
      </w:pPr>
    </w:p>
    <w:tbl>
      <w:tblPr>
        <w:tblLayout w:type="fixed"/>
        <w:tblInd w:w="50" w:type="dxa"/>
        <w:tblCellMar>
          <w:top w:w="0" w:type="dxa"/>
          <w:left w:w="0" w:type="dxa"/>
          <w:bottom w:w="0" w:type="dxa"/>
          <w:right w:w="0" w:type="dxa"/>
        </w:tblCellMar>
      </w:tblPr>
      <w:tr>
        <w:trPr>
          <w:trHeight w:val="20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2540" w:type="dxa"/>
            <w:vAlign w:val="bottom"/>
            <w:tcBorders>
              <w:top w:val="single" w:sz="8" w:color="auto"/>
              <w:right w:val="single" w:sz="8" w:color="auto"/>
            </w:tcBorders>
            <w:gridSpan w:val="2"/>
          </w:tcPr>
          <w:p>
            <w:pPr>
              <w:jc w:val="right"/>
              <w:ind w:right="919"/>
              <w:spacing w:after="0"/>
              <w:rPr>
                <w:sz w:val="20"/>
                <w:szCs w:val="20"/>
                <w:color w:val="auto"/>
              </w:rPr>
            </w:pPr>
            <w:r>
              <w:rPr>
                <w:rFonts w:ascii="Arial" w:cs="Arial" w:eastAsia="Arial" w:hAnsi="Arial"/>
                <w:sz w:val="16"/>
                <w:szCs w:val="16"/>
                <w:color w:val="auto"/>
              </w:rPr>
              <w:t>2020 Q1</w:t>
            </w:r>
          </w:p>
        </w:tc>
        <w:tc>
          <w:tcPr>
            <w:tcW w:w="2520" w:type="dxa"/>
            <w:vAlign w:val="bottom"/>
            <w:tcBorders>
              <w:top w:val="single" w:sz="8" w:color="auto"/>
              <w:right w:val="single" w:sz="8" w:color="auto"/>
            </w:tcBorders>
            <w:gridSpan w:val="2"/>
          </w:tcPr>
          <w:p>
            <w:pPr>
              <w:jc w:val="right"/>
              <w:ind w:right="919"/>
              <w:spacing w:after="0"/>
              <w:rPr>
                <w:sz w:val="20"/>
                <w:szCs w:val="20"/>
                <w:color w:val="auto"/>
              </w:rPr>
            </w:pPr>
            <w:r>
              <w:rPr>
                <w:rFonts w:ascii="Arial" w:cs="Arial" w:eastAsia="Arial" w:hAnsi="Arial"/>
                <w:sz w:val="16"/>
                <w:szCs w:val="16"/>
                <w:color w:val="auto"/>
              </w:rPr>
              <w:t>2019 Q1</w:t>
            </w:r>
          </w:p>
        </w:tc>
        <w:tc>
          <w:tcPr>
            <w:tcW w:w="740" w:type="dxa"/>
            <w:vAlign w:val="bottom"/>
            <w:tcBorders>
              <w:top w:val="single" w:sz="8" w:color="auto"/>
              <w:right w:val="single" w:sz="8" w:color="auto"/>
            </w:tcBorders>
          </w:tcPr>
          <w:p>
            <w:pPr>
              <w:jc w:val="right"/>
              <w:ind w:right="159"/>
              <w:spacing w:after="0"/>
              <w:rPr>
                <w:sz w:val="20"/>
                <w:szCs w:val="20"/>
                <w:color w:val="auto"/>
              </w:rPr>
            </w:pPr>
            <w:r>
              <w:rPr>
                <w:rFonts w:ascii="Arial" w:cs="Arial" w:eastAsia="Arial" w:hAnsi="Arial"/>
                <w:sz w:val="16"/>
                <w:szCs w:val="16"/>
                <w:color w:val="auto"/>
              </w:rPr>
              <w:t>YoY</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ADV (USD</w:t>
            </w:r>
          </w:p>
        </w:tc>
        <w:tc>
          <w:tcPr>
            <w:tcW w:w="1420" w:type="dxa"/>
            <w:vAlign w:val="bottom"/>
            <w:tcBorders>
              <w:right w:val="single" w:sz="8" w:color="auto"/>
            </w:tcBorders>
          </w:tcPr>
          <w:p>
            <w:pPr>
              <w:spacing w:after="0"/>
              <w:rPr>
                <w:sz w:val="17"/>
                <w:szCs w:val="17"/>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ADV (USD</w:t>
            </w:r>
          </w:p>
        </w:tc>
        <w:tc>
          <w:tcPr>
            <w:tcW w:w="14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Asset Class</w:t>
            </w:r>
          </w:p>
        </w:tc>
        <w:tc>
          <w:tcPr>
            <w:tcW w:w="22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6"/>
                <w:szCs w:val="16"/>
                <w:color w:val="auto"/>
              </w:rPr>
              <w:t>Product</w:t>
            </w:r>
          </w:p>
        </w:tc>
        <w:tc>
          <w:tcPr>
            <w:tcW w:w="11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mm)</w:t>
            </w:r>
          </w:p>
        </w:tc>
        <w:tc>
          <w:tcPr>
            <w:tcW w:w="142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w w:val="96"/>
              </w:rPr>
              <w:t>Volume (USD mm)</w:t>
            </w:r>
          </w:p>
        </w:tc>
        <w:tc>
          <w:tcPr>
            <w:tcW w:w="11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mm)</w:t>
            </w:r>
          </w:p>
        </w:tc>
        <w:tc>
          <w:tcPr>
            <w:tcW w:w="142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w w:val="96"/>
              </w:rPr>
              <w:t>Volume (USD mm)</w:t>
            </w:r>
          </w:p>
        </w:tc>
        <w:tc>
          <w:tcPr>
            <w:tcW w:w="740" w:type="dxa"/>
            <w:vAlign w:val="bottom"/>
            <w:tcBorders>
              <w:bottom w:val="single" w:sz="8" w:color="auto"/>
              <w:right w:val="single" w:sz="8" w:color="auto"/>
            </w:tcBorders>
          </w:tcPr>
          <w:p>
            <w:pPr>
              <w:jc w:val="right"/>
              <w:ind w:right="119"/>
              <w:spacing w:after="0"/>
              <w:rPr>
                <w:sz w:val="20"/>
                <w:szCs w:val="20"/>
                <w:color w:val="auto"/>
              </w:rPr>
            </w:pPr>
            <w:r>
              <w:rPr>
                <w:rFonts w:ascii="Arial" w:cs="Arial" w:eastAsia="Arial" w:hAnsi="Arial"/>
                <w:sz w:val="16"/>
                <w:szCs w:val="16"/>
                <w:color w:val="auto"/>
              </w:rPr>
              <w:t>ADV</w:t>
            </w:r>
          </w:p>
        </w:tc>
        <w:tc>
          <w:tcPr>
            <w:tcW w:w="0" w:type="dxa"/>
            <w:vAlign w:val="bottom"/>
          </w:tcPr>
          <w:p>
            <w:pPr>
              <w:spacing w:after="0"/>
              <w:rPr>
                <w:sz w:val="1"/>
                <w:szCs w:val="1"/>
                <w:color w:val="auto"/>
              </w:rPr>
            </w:pPr>
          </w:p>
        </w:tc>
      </w:tr>
      <w:tr>
        <w:trPr>
          <w:trHeight w:val="199"/>
        </w:trPr>
        <w:tc>
          <w:tcPr>
            <w:tcW w:w="88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Rates</w:t>
            </w:r>
          </w:p>
        </w:tc>
        <w:tc>
          <w:tcPr>
            <w:tcW w:w="140" w:type="dxa"/>
            <w:vAlign w:val="bottom"/>
            <w:tcBorders>
              <w:right w:val="single" w:sz="8" w:color="auto"/>
            </w:tcBorders>
            <w:shd w:val="clear" w:color="auto" w:fill="CCEEFF"/>
          </w:tcPr>
          <w:p>
            <w:pPr>
              <w:spacing w:after="0"/>
              <w:rPr>
                <w:sz w:val="17"/>
                <w:szCs w:val="17"/>
                <w:color w:val="auto"/>
              </w:rPr>
            </w:pPr>
          </w:p>
        </w:tc>
        <w:tc>
          <w:tcPr>
            <w:tcW w:w="21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Cash</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341,556</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21,229,545</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274,976</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16,819,267</w:t>
            </w: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24.21%</w:t>
            </w:r>
          </w:p>
        </w:tc>
        <w:tc>
          <w:tcPr>
            <w:tcW w:w="0" w:type="dxa"/>
            <w:vAlign w:val="bottom"/>
          </w:tcPr>
          <w:p>
            <w:pPr>
              <w:spacing w:after="0"/>
              <w:rPr>
                <w:sz w:val="1"/>
                <w:szCs w:val="1"/>
                <w:color w:val="auto"/>
              </w:rPr>
            </w:pPr>
          </w:p>
        </w:tc>
      </w:tr>
      <w:tr>
        <w:trPr>
          <w:trHeight w:val="203"/>
        </w:trPr>
        <w:tc>
          <w:tcPr>
            <w:tcW w:w="88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jc w:val="right"/>
              <w:spacing w:after="0"/>
              <w:rPr>
                <w:sz w:val="20"/>
                <w:szCs w:val="20"/>
                <w:color w:val="auto"/>
              </w:rPr>
            </w:pPr>
            <w:r>
              <w:rPr>
                <w:rFonts w:ascii="Arial" w:cs="Arial" w:eastAsia="Arial" w:hAnsi="Arial"/>
                <w:sz w:val="16"/>
                <w:szCs w:val="16"/>
                <w:i w:val="1"/>
                <w:iCs w:val="1"/>
                <w:color w:val="auto"/>
              </w:rPr>
              <w:t>U.S. Government Bonds</w:t>
            </w:r>
          </w:p>
        </w:tc>
        <w:tc>
          <w:tcPr>
            <w:tcW w:w="1120" w:type="dxa"/>
            <w:vAlign w:val="bottom"/>
          </w:tcPr>
          <w:p>
            <w:pPr>
              <w:jc w:val="right"/>
              <w:spacing w:after="0"/>
              <w:rPr>
                <w:sz w:val="20"/>
                <w:szCs w:val="20"/>
                <w:color w:val="auto"/>
              </w:rPr>
            </w:pPr>
            <w:r>
              <w:rPr>
                <w:rFonts w:ascii="Arial" w:cs="Arial" w:eastAsia="Arial" w:hAnsi="Arial"/>
                <w:sz w:val="16"/>
                <w:szCs w:val="16"/>
                <w:color w:val="auto"/>
              </w:rPr>
              <w:t>93,517</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5,798,066</w:t>
            </w:r>
          </w:p>
        </w:tc>
        <w:tc>
          <w:tcPr>
            <w:tcW w:w="1100" w:type="dxa"/>
            <w:vAlign w:val="bottom"/>
          </w:tcPr>
          <w:p>
            <w:pPr>
              <w:jc w:val="right"/>
              <w:spacing w:after="0"/>
              <w:rPr>
                <w:sz w:val="20"/>
                <w:szCs w:val="20"/>
                <w:color w:val="auto"/>
              </w:rPr>
            </w:pPr>
            <w:r>
              <w:rPr>
                <w:rFonts w:ascii="Arial" w:cs="Arial" w:eastAsia="Arial" w:hAnsi="Arial"/>
                <w:sz w:val="16"/>
                <w:szCs w:val="16"/>
                <w:color w:val="auto"/>
              </w:rPr>
              <w:t>82,128</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5,009,806</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13.87%</w:t>
            </w:r>
          </w:p>
        </w:tc>
        <w:tc>
          <w:tcPr>
            <w:tcW w:w="0" w:type="dxa"/>
            <w:vAlign w:val="bottom"/>
          </w:tcPr>
          <w:p>
            <w:pPr>
              <w:spacing w:after="0"/>
              <w:rPr>
                <w:sz w:val="1"/>
                <w:szCs w:val="1"/>
                <w:color w:val="auto"/>
              </w:rPr>
            </w:pPr>
          </w:p>
        </w:tc>
      </w:tr>
      <w:tr>
        <w:trPr>
          <w:trHeight w:val="203"/>
        </w:trPr>
        <w:tc>
          <w:tcPr>
            <w:tcW w:w="880" w:type="dxa"/>
            <w:vAlign w:val="bottom"/>
            <w:tcBorders>
              <w:left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2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w w:val="95"/>
              </w:rPr>
              <w:t>European Government Bonds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28,116</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1,799,420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23,033</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1,451,106</w:t>
            </w: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22.07%</w:t>
            </w:r>
          </w:p>
        </w:tc>
        <w:tc>
          <w:tcPr>
            <w:tcW w:w="0" w:type="dxa"/>
            <w:vAlign w:val="bottom"/>
          </w:tcPr>
          <w:p>
            <w:pPr>
              <w:spacing w:after="0"/>
              <w:rPr>
                <w:sz w:val="1"/>
                <w:szCs w:val="1"/>
                <w:color w:val="auto"/>
              </w:rPr>
            </w:pPr>
          </w:p>
        </w:tc>
      </w:tr>
      <w:tr>
        <w:trPr>
          <w:trHeight w:val="203"/>
        </w:trPr>
        <w:tc>
          <w:tcPr>
            <w:tcW w:w="88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jc w:val="right"/>
              <w:spacing w:after="0"/>
              <w:rPr>
                <w:sz w:val="20"/>
                <w:szCs w:val="20"/>
                <w:color w:val="auto"/>
              </w:rPr>
            </w:pPr>
            <w:r>
              <w:rPr>
                <w:rFonts w:ascii="Arial" w:cs="Arial" w:eastAsia="Arial" w:hAnsi="Arial"/>
                <w:sz w:val="16"/>
                <w:szCs w:val="16"/>
                <w:i w:val="1"/>
                <w:iCs w:val="1"/>
                <w:color w:val="auto"/>
              </w:rPr>
              <w:t>Mortgages</w:t>
            </w:r>
          </w:p>
        </w:tc>
        <w:tc>
          <w:tcPr>
            <w:tcW w:w="1120" w:type="dxa"/>
            <w:vAlign w:val="bottom"/>
          </w:tcPr>
          <w:p>
            <w:pPr>
              <w:jc w:val="right"/>
              <w:spacing w:after="0"/>
              <w:rPr>
                <w:sz w:val="20"/>
                <w:szCs w:val="20"/>
                <w:color w:val="auto"/>
              </w:rPr>
            </w:pPr>
            <w:r>
              <w:rPr>
                <w:rFonts w:ascii="Arial" w:cs="Arial" w:eastAsia="Arial" w:hAnsi="Arial"/>
                <w:sz w:val="16"/>
                <w:szCs w:val="16"/>
                <w:color w:val="auto"/>
              </w:rPr>
              <w:t>214,946</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13,326,659</w:t>
            </w:r>
          </w:p>
        </w:tc>
        <w:tc>
          <w:tcPr>
            <w:tcW w:w="1100" w:type="dxa"/>
            <w:vAlign w:val="bottom"/>
          </w:tcPr>
          <w:p>
            <w:pPr>
              <w:jc w:val="right"/>
              <w:spacing w:after="0"/>
              <w:rPr>
                <w:sz w:val="20"/>
                <w:szCs w:val="20"/>
                <w:color w:val="auto"/>
              </w:rPr>
            </w:pPr>
            <w:r>
              <w:rPr>
                <w:rFonts w:ascii="Arial" w:cs="Arial" w:eastAsia="Arial" w:hAnsi="Arial"/>
                <w:sz w:val="16"/>
                <w:szCs w:val="16"/>
                <w:color w:val="auto"/>
              </w:rPr>
              <w:t>166,277</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10,142,913</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29.27%</w:t>
            </w:r>
          </w:p>
        </w:tc>
        <w:tc>
          <w:tcPr>
            <w:tcW w:w="0" w:type="dxa"/>
            <w:vAlign w:val="bottom"/>
          </w:tcPr>
          <w:p>
            <w:pPr>
              <w:spacing w:after="0"/>
              <w:rPr>
                <w:sz w:val="1"/>
                <w:szCs w:val="1"/>
                <w:color w:val="auto"/>
              </w:rPr>
            </w:pPr>
          </w:p>
        </w:tc>
      </w:tr>
      <w:tr>
        <w:trPr>
          <w:trHeight w:val="203"/>
        </w:trPr>
        <w:tc>
          <w:tcPr>
            <w:tcW w:w="880" w:type="dxa"/>
            <w:vAlign w:val="bottom"/>
            <w:tcBorders>
              <w:left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2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Other Government Bonds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4,976</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305,401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3,537</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215,442</w:t>
            </w: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40.70%</w:t>
            </w:r>
          </w:p>
        </w:tc>
        <w:tc>
          <w:tcPr>
            <w:tcW w:w="0" w:type="dxa"/>
            <w:vAlign w:val="bottom"/>
          </w:tcPr>
          <w:p>
            <w:pPr>
              <w:spacing w:after="0"/>
              <w:rPr>
                <w:sz w:val="1"/>
                <w:szCs w:val="1"/>
                <w:color w:val="auto"/>
              </w:rPr>
            </w:pPr>
          </w:p>
        </w:tc>
      </w:tr>
      <w:tr>
        <w:trPr>
          <w:trHeight w:val="203"/>
        </w:trPr>
        <w:tc>
          <w:tcPr>
            <w:tcW w:w="88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Derivatives</w:t>
            </w:r>
          </w:p>
        </w:tc>
        <w:tc>
          <w:tcPr>
            <w:tcW w:w="1120" w:type="dxa"/>
            <w:vAlign w:val="bottom"/>
          </w:tcPr>
          <w:p>
            <w:pPr>
              <w:jc w:val="right"/>
              <w:spacing w:after="0"/>
              <w:rPr>
                <w:sz w:val="20"/>
                <w:szCs w:val="20"/>
                <w:color w:val="auto"/>
              </w:rPr>
            </w:pPr>
            <w:r>
              <w:rPr>
                <w:rFonts w:ascii="Arial" w:cs="Arial" w:eastAsia="Arial" w:hAnsi="Arial"/>
                <w:sz w:val="16"/>
                <w:szCs w:val="16"/>
                <w:color w:val="auto"/>
              </w:rPr>
              <w:t>249,217</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15,638,292</w:t>
            </w:r>
          </w:p>
        </w:tc>
        <w:tc>
          <w:tcPr>
            <w:tcW w:w="1100" w:type="dxa"/>
            <w:vAlign w:val="bottom"/>
          </w:tcPr>
          <w:p>
            <w:pPr>
              <w:jc w:val="right"/>
              <w:spacing w:after="0"/>
              <w:rPr>
                <w:sz w:val="20"/>
                <w:szCs w:val="20"/>
                <w:color w:val="auto"/>
              </w:rPr>
            </w:pPr>
            <w:r>
              <w:rPr>
                <w:rFonts w:ascii="Arial" w:cs="Arial" w:eastAsia="Arial" w:hAnsi="Arial"/>
                <w:sz w:val="16"/>
                <w:szCs w:val="16"/>
                <w:color w:val="auto"/>
              </w:rPr>
              <w:t>154,251</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9,538,077</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61.57%</w:t>
            </w:r>
          </w:p>
        </w:tc>
        <w:tc>
          <w:tcPr>
            <w:tcW w:w="0" w:type="dxa"/>
            <w:vAlign w:val="bottom"/>
          </w:tcPr>
          <w:p>
            <w:pPr>
              <w:spacing w:after="0"/>
              <w:rPr>
                <w:sz w:val="1"/>
                <w:szCs w:val="1"/>
                <w:color w:val="auto"/>
              </w:rPr>
            </w:pPr>
          </w:p>
        </w:tc>
      </w:tr>
      <w:tr>
        <w:trPr>
          <w:trHeight w:val="203"/>
        </w:trPr>
        <w:tc>
          <w:tcPr>
            <w:tcW w:w="880" w:type="dxa"/>
            <w:vAlign w:val="bottom"/>
            <w:tcBorders>
              <w:left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2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 xml:space="preserve">Swaps/Swaptions </w:t>
            </w:r>
            <w:r>
              <w:rPr>
                <w:rFonts w:ascii="Arial" w:cs="Arial" w:eastAsia="Arial" w:hAnsi="Arial"/>
                <w:sz w:val="16"/>
                <w:szCs w:val="16"/>
                <w:color w:val="auto"/>
              </w:rPr>
              <w:t>≥</w:t>
            </w:r>
            <w:r>
              <w:rPr>
                <w:rFonts w:ascii="Arial" w:cs="Arial" w:eastAsia="Arial" w:hAnsi="Arial"/>
                <w:sz w:val="16"/>
                <w:szCs w:val="16"/>
                <w:i w:val="1"/>
                <w:iCs w:val="1"/>
                <w:color w:val="auto"/>
              </w:rPr>
              <w:t xml:space="preserve"> 1Y</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159,515</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10,013,269</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142,263</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8,794,997</w:t>
            </w: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w:t>
            </w:r>
          </w:p>
        </w:tc>
        <w:tc>
          <w:tcPr>
            <w:tcW w:w="0" w:type="dxa"/>
            <w:vAlign w:val="bottom"/>
          </w:tcPr>
          <w:p>
            <w:pPr>
              <w:spacing w:after="0"/>
              <w:rPr>
                <w:sz w:val="1"/>
                <w:szCs w:val="1"/>
                <w:color w:val="auto"/>
              </w:rPr>
            </w:pPr>
          </w:p>
        </w:tc>
      </w:tr>
      <w:tr>
        <w:trPr>
          <w:trHeight w:val="203"/>
        </w:trPr>
        <w:tc>
          <w:tcPr>
            <w:tcW w:w="88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jc w:val="right"/>
              <w:spacing w:after="0"/>
              <w:rPr>
                <w:sz w:val="20"/>
                <w:szCs w:val="20"/>
                <w:color w:val="auto"/>
              </w:rPr>
            </w:pPr>
            <w:r>
              <w:rPr>
                <w:rFonts w:ascii="Arial" w:cs="Arial" w:eastAsia="Arial" w:hAnsi="Arial"/>
                <w:sz w:val="16"/>
                <w:szCs w:val="16"/>
                <w:i w:val="1"/>
                <w:iCs w:val="1"/>
                <w:color w:val="auto"/>
              </w:rPr>
              <w:t>Swaps/Swaptions &lt; 1Y</w:t>
            </w:r>
          </w:p>
        </w:tc>
        <w:tc>
          <w:tcPr>
            <w:tcW w:w="1120" w:type="dxa"/>
            <w:vAlign w:val="bottom"/>
          </w:tcPr>
          <w:p>
            <w:pPr>
              <w:jc w:val="right"/>
              <w:spacing w:after="0"/>
              <w:rPr>
                <w:sz w:val="20"/>
                <w:szCs w:val="20"/>
                <w:color w:val="auto"/>
              </w:rPr>
            </w:pPr>
            <w:r>
              <w:rPr>
                <w:rFonts w:ascii="Arial" w:cs="Arial" w:eastAsia="Arial" w:hAnsi="Arial"/>
                <w:sz w:val="16"/>
                <w:szCs w:val="16"/>
                <w:color w:val="auto"/>
              </w:rPr>
              <w:t>89,092</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5,587,159</w:t>
            </w:r>
          </w:p>
        </w:tc>
        <w:tc>
          <w:tcPr>
            <w:tcW w:w="1100" w:type="dxa"/>
            <w:vAlign w:val="bottom"/>
          </w:tcPr>
          <w:p>
            <w:pPr>
              <w:jc w:val="right"/>
              <w:spacing w:after="0"/>
              <w:rPr>
                <w:sz w:val="20"/>
                <w:szCs w:val="20"/>
                <w:color w:val="auto"/>
              </w:rPr>
            </w:pPr>
            <w:r>
              <w:rPr>
                <w:rFonts w:ascii="Arial" w:cs="Arial" w:eastAsia="Arial" w:hAnsi="Arial"/>
                <w:sz w:val="16"/>
                <w:szCs w:val="16"/>
                <w:color w:val="auto"/>
              </w:rPr>
              <w:t>11,486</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712,441</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675.68%</w:t>
            </w:r>
          </w:p>
        </w:tc>
        <w:tc>
          <w:tcPr>
            <w:tcW w:w="0" w:type="dxa"/>
            <w:vAlign w:val="bottom"/>
          </w:tcPr>
          <w:p>
            <w:pPr>
              <w:spacing w:after="0"/>
              <w:rPr>
                <w:sz w:val="1"/>
                <w:szCs w:val="1"/>
                <w:color w:val="auto"/>
              </w:rPr>
            </w:pPr>
          </w:p>
        </w:tc>
      </w:tr>
      <w:tr>
        <w:trPr>
          <w:trHeight w:val="203"/>
        </w:trPr>
        <w:tc>
          <w:tcPr>
            <w:tcW w:w="880" w:type="dxa"/>
            <w:vAlign w:val="bottom"/>
            <w:tcBorders>
              <w:left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2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Futures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37,865</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30,638</w:t>
            </w: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21.60%</w:t>
            </w:r>
          </w:p>
        </w:tc>
        <w:tc>
          <w:tcPr>
            <w:tcW w:w="0" w:type="dxa"/>
            <w:vAlign w:val="bottom"/>
          </w:tcPr>
          <w:p>
            <w:pPr>
              <w:spacing w:after="0"/>
              <w:rPr>
                <w:sz w:val="1"/>
                <w:szCs w:val="1"/>
                <w:color w:val="auto"/>
              </w:rPr>
            </w:pPr>
          </w:p>
        </w:tc>
      </w:tr>
      <w:tr>
        <w:trPr>
          <w:trHeight w:val="203"/>
        </w:trPr>
        <w:tc>
          <w:tcPr>
            <w:tcW w:w="88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590,773</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36,867,838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429,226</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26,357,344</w:t>
            </w: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37.64%</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Borders>
              <w:right w:val="single" w:sz="8" w:color="auto"/>
            </w:tcBorders>
            <w:shd w:val="clear" w:color="auto" w:fill="CCEEFF"/>
          </w:tcPr>
          <w:p>
            <w:pPr>
              <w:spacing w:after="0"/>
              <w:rPr>
                <w:sz w:val="17"/>
                <w:szCs w:val="17"/>
                <w:color w:val="auto"/>
              </w:rPr>
            </w:pPr>
          </w:p>
        </w:tc>
        <w:tc>
          <w:tcPr>
            <w:tcW w:w="21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Cash</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7,255</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449,797</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5,631</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343,725</w:t>
            </w: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28.84%</w:t>
            </w:r>
          </w:p>
        </w:tc>
        <w:tc>
          <w:tcPr>
            <w:tcW w:w="0" w:type="dxa"/>
            <w:vAlign w:val="bottom"/>
          </w:tcPr>
          <w:p>
            <w:pPr>
              <w:spacing w:after="0"/>
              <w:rPr>
                <w:sz w:val="1"/>
                <w:szCs w:val="1"/>
                <w:color w:val="auto"/>
              </w:rPr>
            </w:pPr>
          </w:p>
        </w:tc>
      </w:tr>
      <w:tr>
        <w:trPr>
          <w:trHeight w:val="203"/>
        </w:trPr>
        <w:tc>
          <w:tcPr>
            <w:tcW w:w="88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jc w:val="right"/>
              <w:spacing w:after="0"/>
              <w:rPr>
                <w:sz w:val="20"/>
                <w:szCs w:val="20"/>
                <w:color w:val="auto"/>
              </w:rPr>
            </w:pPr>
            <w:r>
              <w:rPr>
                <w:rFonts w:ascii="Arial" w:cs="Arial" w:eastAsia="Arial" w:hAnsi="Arial"/>
                <w:sz w:val="16"/>
                <w:szCs w:val="16"/>
                <w:i w:val="1"/>
                <w:iCs w:val="1"/>
                <w:color w:val="auto"/>
              </w:rPr>
              <w:t>U.S. High-Grade</w:t>
            </w:r>
          </w:p>
        </w:tc>
        <w:tc>
          <w:tcPr>
            <w:tcW w:w="1120" w:type="dxa"/>
            <w:vAlign w:val="bottom"/>
          </w:tcPr>
          <w:p>
            <w:pPr>
              <w:jc w:val="right"/>
              <w:spacing w:after="0"/>
              <w:rPr>
                <w:sz w:val="20"/>
                <w:szCs w:val="20"/>
                <w:color w:val="auto"/>
              </w:rPr>
            </w:pPr>
            <w:r>
              <w:rPr>
                <w:rFonts w:ascii="Arial" w:cs="Arial" w:eastAsia="Arial" w:hAnsi="Arial"/>
                <w:sz w:val="16"/>
                <w:szCs w:val="16"/>
                <w:color w:val="auto"/>
              </w:rPr>
              <w:t>3,903</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241,959</w:t>
            </w:r>
          </w:p>
        </w:tc>
        <w:tc>
          <w:tcPr>
            <w:tcW w:w="1100" w:type="dxa"/>
            <w:vAlign w:val="bottom"/>
          </w:tcPr>
          <w:p>
            <w:pPr>
              <w:jc w:val="right"/>
              <w:spacing w:after="0"/>
              <w:rPr>
                <w:sz w:val="20"/>
                <w:szCs w:val="20"/>
                <w:color w:val="auto"/>
              </w:rPr>
            </w:pPr>
            <w:r>
              <w:rPr>
                <w:rFonts w:ascii="Arial" w:cs="Arial" w:eastAsia="Arial" w:hAnsi="Arial"/>
                <w:sz w:val="16"/>
                <w:szCs w:val="16"/>
                <w:color w:val="auto"/>
              </w:rPr>
              <w:t>2,812</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171,553</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38.77%</w:t>
            </w:r>
          </w:p>
        </w:tc>
        <w:tc>
          <w:tcPr>
            <w:tcW w:w="0" w:type="dxa"/>
            <w:vAlign w:val="bottom"/>
          </w:tcPr>
          <w:p>
            <w:pPr>
              <w:spacing w:after="0"/>
              <w:rPr>
                <w:sz w:val="1"/>
                <w:szCs w:val="1"/>
                <w:color w:val="auto"/>
              </w:rPr>
            </w:pPr>
          </w:p>
        </w:tc>
      </w:tr>
      <w:tr>
        <w:trPr>
          <w:trHeight w:val="203"/>
        </w:trPr>
        <w:tc>
          <w:tcPr>
            <w:tcW w:w="880" w:type="dxa"/>
            <w:vAlign w:val="bottom"/>
            <w:tcBorders>
              <w:left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2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U.S. High-Yield</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30,167</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20,090</w:t>
            </w: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47.74%</w:t>
            </w:r>
          </w:p>
        </w:tc>
        <w:tc>
          <w:tcPr>
            <w:tcW w:w="0" w:type="dxa"/>
            <w:vAlign w:val="bottom"/>
          </w:tcPr>
          <w:p>
            <w:pPr>
              <w:spacing w:after="0"/>
              <w:rPr>
                <w:sz w:val="1"/>
                <w:szCs w:val="1"/>
                <w:color w:val="auto"/>
              </w:rPr>
            </w:pPr>
          </w:p>
        </w:tc>
      </w:tr>
      <w:tr>
        <w:trPr>
          <w:trHeight w:val="203"/>
        </w:trPr>
        <w:tc>
          <w:tcPr>
            <w:tcW w:w="88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jc w:val="right"/>
              <w:spacing w:after="0"/>
              <w:rPr>
                <w:sz w:val="20"/>
                <w:szCs w:val="20"/>
                <w:color w:val="auto"/>
              </w:rPr>
            </w:pPr>
            <w:r>
              <w:rPr>
                <w:rFonts w:ascii="Arial" w:cs="Arial" w:eastAsia="Arial" w:hAnsi="Arial"/>
                <w:sz w:val="16"/>
                <w:szCs w:val="16"/>
                <w:i w:val="1"/>
                <w:iCs w:val="1"/>
                <w:color w:val="auto"/>
              </w:rPr>
              <w:t>European Credit</w:t>
            </w:r>
          </w:p>
        </w:tc>
        <w:tc>
          <w:tcPr>
            <w:tcW w:w="1120" w:type="dxa"/>
            <w:vAlign w:val="bottom"/>
          </w:tcPr>
          <w:p>
            <w:pPr>
              <w:jc w:val="right"/>
              <w:spacing w:after="0"/>
              <w:rPr>
                <w:sz w:val="20"/>
                <w:szCs w:val="20"/>
                <w:color w:val="auto"/>
              </w:rPr>
            </w:pPr>
            <w:r>
              <w:rPr>
                <w:rFonts w:ascii="Arial" w:cs="Arial" w:eastAsia="Arial" w:hAnsi="Arial"/>
                <w:sz w:val="16"/>
                <w:szCs w:val="16"/>
                <w:color w:val="auto"/>
              </w:rPr>
              <w:t>1,658</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106,115</w:t>
            </w:r>
          </w:p>
        </w:tc>
        <w:tc>
          <w:tcPr>
            <w:tcW w:w="1100" w:type="dxa"/>
            <w:vAlign w:val="bottom"/>
          </w:tcPr>
          <w:p>
            <w:pPr>
              <w:jc w:val="right"/>
              <w:spacing w:after="0"/>
              <w:rPr>
                <w:sz w:val="20"/>
                <w:szCs w:val="20"/>
                <w:color w:val="auto"/>
              </w:rPr>
            </w:pPr>
            <w:r>
              <w:rPr>
                <w:rFonts w:ascii="Arial" w:cs="Arial" w:eastAsia="Arial" w:hAnsi="Arial"/>
                <w:sz w:val="16"/>
                <w:szCs w:val="16"/>
                <w:color w:val="auto"/>
              </w:rPr>
              <w:t>1,321</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83,203</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25.54%</w:t>
            </w:r>
          </w:p>
        </w:tc>
        <w:tc>
          <w:tcPr>
            <w:tcW w:w="0" w:type="dxa"/>
            <w:vAlign w:val="bottom"/>
          </w:tcPr>
          <w:p>
            <w:pPr>
              <w:spacing w:after="0"/>
              <w:rPr>
                <w:sz w:val="1"/>
                <w:szCs w:val="1"/>
                <w:color w:val="auto"/>
              </w:rPr>
            </w:pPr>
          </w:p>
        </w:tc>
      </w:tr>
      <w:tr>
        <w:trPr>
          <w:trHeight w:val="203"/>
        </w:trPr>
        <w:tc>
          <w:tcPr>
            <w:tcW w:w="880" w:type="dxa"/>
            <w:vAlign w:val="bottom"/>
            <w:tcBorders>
              <w:left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2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Municipal Bonds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17,902</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17,027</w:t>
            </w: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03"/>
        </w:trPr>
        <w:tc>
          <w:tcPr>
            <w:tcW w:w="88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jc w:val="right"/>
              <w:spacing w:after="0"/>
              <w:rPr>
                <w:sz w:val="20"/>
                <w:szCs w:val="20"/>
                <w:color w:val="auto"/>
              </w:rPr>
            </w:pPr>
            <w:r>
              <w:rPr>
                <w:rFonts w:ascii="Arial" w:cs="Arial" w:eastAsia="Arial" w:hAnsi="Arial"/>
                <w:sz w:val="16"/>
                <w:szCs w:val="16"/>
                <w:i w:val="1"/>
                <w:iCs w:val="1"/>
                <w:color w:val="auto"/>
              </w:rPr>
              <w:t>Chinese Bonds</w:t>
            </w:r>
          </w:p>
        </w:tc>
        <w:tc>
          <w:tcPr>
            <w:tcW w:w="1120" w:type="dxa"/>
            <w:vAlign w:val="bottom"/>
          </w:tcPr>
          <w:p>
            <w:pPr>
              <w:jc w:val="right"/>
              <w:spacing w:after="0"/>
              <w:rPr>
                <w:sz w:val="20"/>
                <w:szCs w:val="20"/>
                <w:color w:val="auto"/>
              </w:rPr>
            </w:pPr>
            <w:r>
              <w:rPr>
                <w:rFonts w:ascii="Arial" w:cs="Arial" w:eastAsia="Arial" w:hAnsi="Arial"/>
                <w:sz w:val="16"/>
                <w:szCs w:val="16"/>
                <w:color w:val="auto"/>
              </w:rPr>
              <w:t>857</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49,715</w:t>
            </w:r>
          </w:p>
        </w:tc>
        <w:tc>
          <w:tcPr>
            <w:tcW w:w="1100" w:type="dxa"/>
            <w:vAlign w:val="bottom"/>
          </w:tcPr>
          <w:p>
            <w:pPr>
              <w:jc w:val="right"/>
              <w:spacing w:after="0"/>
              <w:rPr>
                <w:sz w:val="20"/>
                <w:szCs w:val="20"/>
                <w:color w:val="auto"/>
              </w:rPr>
            </w:pPr>
            <w:r>
              <w:rPr>
                <w:rFonts w:ascii="Arial" w:cs="Arial" w:eastAsia="Arial" w:hAnsi="Arial"/>
                <w:sz w:val="16"/>
                <w:szCs w:val="16"/>
                <w:color w:val="auto"/>
              </w:rPr>
              <w:t>833</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48,293</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03"/>
        </w:trPr>
        <w:tc>
          <w:tcPr>
            <w:tcW w:w="880" w:type="dxa"/>
            <w:vAlign w:val="bottom"/>
            <w:tcBorders>
              <w:left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2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Other Credit Bonds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3,939</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3,560</w:t>
            </w: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203"/>
        </w:trPr>
        <w:tc>
          <w:tcPr>
            <w:tcW w:w="88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Derivatives</w:t>
            </w:r>
          </w:p>
        </w:tc>
        <w:tc>
          <w:tcPr>
            <w:tcW w:w="1120" w:type="dxa"/>
            <w:vAlign w:val="bottom"/>
          </w:tcPr>
          <w:p>
            <w:pPr>
              <w:jc w:val="right"/>
              <w:spacing w:after="0"/>
              <w:rPr>
                <w:sz w:val="20"/>
                <w:szCs w:val="20"/>
                <w:color w:val="auto"/>
              </w:rPr>
            </w:pPr>
            <w:r>
              <w:rPr>
                <w:rFonts w:ascii="Arial" w:cs="Arial" w:eastAsia="Arial" w:hAnsi="Arial"/>
                <w:sz w:val="16"/>
                <w:szCs w:val="16"/>
                <w:color w:val="auto"/>
              </w:rPr>
              <w:t>25,741</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1,621,014</w:t>
            </w:r>
          </w:p>
        </w:tc>
        <w:tc>
          <w:tcPr>
            <w:tcW w:w="1100" w:type="dxa"/>
            <w:vAlign w:val="bottom"/>
          </w:tcPr>
          <w:p>
            <w:pPr>
              <w:jc w:val="right"/>
              <w:spacing w:after="0"/>
              <w:rPr>
                <w:sz w:val="20"/>
                <w:szCs w:val="20"/>
                <w:color w:val="auto"/>
              </w:rPr>
            </w:pPr>
            <w:r>
              <w:rPr>
                <w:rFonts w:ascii="Arial" w:cs="Arial" w:eastAsia="Arial" w:hAnsi="Arial"/>
                <w:sz w:val="16"/>
                <w:szCs w:val="16"/>
                <w:color w:val="auto"/>
              </w:rPr>
              <w:t>10,755</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666,312</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139.34%</w:t>
            </w:r>
          </w:p>
        </w:tc>
        <w:tc>
          <w:tcPr>
            <w:tcW w:w="0" w:type="dxa"/>
            <w:vAlign w:val="bottom"/>
          </w:tcPr>
          <w:p>
            <w:pPr>
              <w:spacing w:after="0"/>
              <w:rPr>
                <w:sz w:val="1"/>
                <w:szCs w:val="1"/>
                <w:color w:val="auto"/>
              </w:rPr>
            </w:pPr>
          </w:p>
        </w:tc>
      </w:tr>
      <w:tr>
        <w:trPr>
          <w:trHeight w:val="203"/>
        </w:trPr>
        <w:tc>
          <w:tcPr>
            <w:tcW w:w="880" w:type="dxa"/>
            <w:vAlign w:val="bottom"/>
            <w:tcBorders>
              <w:left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2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Swaps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25,741</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1,621,014</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10,755</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666,312</w:t>
            </w: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139.34%</w:t>
            </w:r>
          </w:p>
        </w:tc>
        <w:tc>
          <w:tcPr>
            <w:tcW w:w="0" w:type="dxa"/>
            <w:vAlign w:val="bottom"/>
          </w:tcPr>
          <w:p>
            <w:pPr>
              <w:spacing w:after="0"/>
              <w:rPr>
                <w:sz w:val="1"/>
                <w:szCs w:val="1"/>
                <w:color w:val="auto"/>
              </w:rPr>
            </w:pPr>
          </w:p>
        </w:tc>
      </w:tr>
      <w:tr>
        <w:trPr>
          <w:trHeight w:val="202"/>
        </w:trPr>
        <w:tc>
          <w:tcPr>
            <w:tcW w:w="88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32,997</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2,070,811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16,386</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1,010,037</w:t>
            </w: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101.37%</w:t>
            </w:r>
          </w:p>
        </w:tc>
        <w:tc>
          <w:tcPr>
            <w:tcW w:w="0" w:type="dxa"/>
            <w:vAlign w:val="bottom"/>
          </w:tcPr>
          <w:p>
            <w:pPr>
              <w:spacing w:after="0"/>
              <w:rPr>
                <w:sz w:val="1"/>
                <w:szCs w:val="1"/>
                <w:color w:val="auto"/>
              </w:rPr>
            </w:pPr>
          </w:p>
        </w:tc>
      </w:tr>
      <w:tr>
        <w:trPr>
          <w:trHeight w:val="186"/>
        </w:trPr>
        <w:tc>
          <w:tcPr>
            <w:tcW w:w="88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Money</w:t>
            </w:r>
          </w:p>
        </w:tc>
        <w:tc>
          <w:tcPr>
            <w:tcW w:w="140" w:type="dxa"/>
            <w:vAlign w:val="bottom"/>
            <w:tcBorders>
              <w:right w:val="single" w:sz="8" w:color="auto"/>
            </w:tcBorders>
            <w:shd w:val="clear" w:color="auto" w:fill="CCEEFF"/>
          </w:tcPr>
          <w:p>
            <w:pPr>
              <w:spacing w:after="0"/>
              <w:rPr>
                <w:sz w:val="16"/>
                <w:szCs w:val="16"/>
                <w:color w:val="auto"/>
              </w:rPr>
            </w:pPr>
          </w:p>
        </w:tc>
        <w:tc>
          <w:tcPr>
            <w:tcW w:w="21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Cash</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256,193</w:t>
            </w:r>
          </w:p>
        </w:tc>
        <w:tc>
          <w:tcPr>
            <w:tcW w:w="14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15,948,560</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192,264</w:t>
            </w:r>
          </w:p>
        </w:tc>
        <w:tc>
          <w:tcPr>
            <w:tcW w:w="14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11,771,636</w:t>
            </w:r>
          </w:p>
        </w:tc>
        <w:tc>
          <w:tcPr>
            <w:tcW w:w="7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33.25%</w:t>
            </w:r>
          </w:p>
        </w:tc>
        <w:tc>
          <w:tcPr>
            <w:tcW w:w="0" w:type="dxa"/>
            <w:vAlign w:val="bottom"/>
          </w:tcPr>
          <w:p>
            <w:pPr>
              <w:spacing w:after="0"/>
              <w:rPr>
                <w:sz w:val="1"/>
                <w:szCs w:val="1"/>
                <w:color w:val="auto"/>
              </w:rPr>
            </w:pPr>
          </w:p>
        </w:tc>
      </w:tr>
      <w:tr>
        <w:trPr>
          <w:trHeight w:val="98"/>
        </w:trPr>
        <w:tc>
          <w:tcPr>
            <w:tcW w:w="880" w:type="dxa"/>
            <w:vAlign w:val="bottom"/>
            <w:tcBorders>
              <w:lef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Markets</w:t>
            </w:r>
          </w:p>
        </w:tc>
        <w:tc>
          <w:tcPr>
            <w:tcW w:w="140" w:type="dxa"/>
            <w:vAlign w:val="bottom"/>
            <w:tcBorders>
              <w:right w:val="single" w:sz="8" w:color="auto"/>
            </w:tcBorders>
            <w:shd w:val="clear" w:color="auto" w:fill="CCEEFF"/>
          </w:tcPr>
          <w:p>
            <w:pPr>
              <w:spacing w:after="0"/>
              <w:rPr>
                <w:sz w:val="8"/>
                <w:szCs w:val="8"/>
                <w:color w:val="auto"/>
              </w:rPr>
            </w:pPr>
          </w:p>
        </w:tc>
        <w:tc>
          <w:tcPr>
            <w:tcW w:w="2120" w:type="dxa"/>
            <w:vAlign w:val="bottom"/>
            <w:tcBorders>
              <w:right w:val="single" w:sz="8" w:color="auto"/>
            </w:tcBorders>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420" w:type="dxa"/>
            <w:vAlign w:val="bottom"/>
            <w:tcBorders>
              <w:right w:val="single" w:sz="8" w:color="auto"/>
            </w:tcBorders>
            <w:vMerge w:val="continue"/>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1420" w:type="dxa"/>
            <w:vAlign w:val="bottom"/>
            <w:tcBorders>
              <w:right w:val="single" w:sz="8" w:color="auto"/>
            </w:tcBorders>
            <w:vMerge w:val="continue"/>
            <w:shd w:val="clear" w:color="auto" w:fill="CCEEFF"/>
          </w:tcPr>
          <w:p>
            <w:pPr>
              <w:spacing w:after="0"/>
              <w:rPr>
                <w:sz w:val="8"/>
                <w:szCs w:val="8"/>
                <w:color w:val="auto"/>
              </w:rPr>
            </w:pPr>
          </w:p>
        </w:tc>
        <w:tc>
          <w:tcPr>
            <w:tcW w:w="74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880" w:type="dxa"/>
            <w:vAlign w:val="bottom"/>
            <w:tcBorders>
              <w:left w:val="single" w:sz="8" w:color="auto"/>
            </w:tcBorders>
            <w:vMerge w:val="continue"/>
            <w:shd w:val="clear" w:color="auto" w:fill="CCEEFF"/>
          </w:tcPr>
          <w:p>
            <w:pPr>
              <w:spacing w:after="0"/>
              <w:rPr>
                <w:sz w:val="9"/>
                <w:szCs w:val="9"/>
                <w:color w:val="auto"/>
              </w:rPr>
            </w:pPr>
          </w:p>
        </w:tc>
        <w:tc>
          <w:tcPr>
            <w:tcW w:w="140" w:type="dxa"/>
            <w:vAlign w:val="bottom"/>
            <w:tcBorders>
              <w:right w:val="single" w:sz="8" w:color="auto"/>
            </w:tcBorders>
            <w:shd w:val="clear" w:color="auto" w:fill="CCEEFF"/>
          </w:tcPr>
          <w:p>
            <w:pPr>
              <w:spacing w:after="0"/>
              <w:rPr>
                <w:sz w:val="9"/>
                <w:szCs w:val="9"/>
                <w:color w:val="auto"/>
              </w:rPr>
            </w:pPr>
          </w:p>
        </w:tc>
        <w:tc>
          <w:tcPr>
            <w:tcW w:w="2120" w:type="dxa"/>
            <w:vAlign w:val="bottom"/>
            <w:tcBorders>
              <w:right w:val="single" w:sz="8" w:color="auto"/>
            </w:tcBorders>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420" w:type="dxa"/>
            <w:vAlign w:val="bottom"/>
            <w:tcBorders>
              <w:right w:val="single" w:sz="8" w:color="auto"/>
            </w:tcBorders>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420" w:type="dxa"/>
            <w:vAlign w:val="bottom"/>
            <w:tcBorders>
              <w:right w:val="single" w:sz="8" w:color="auto"/>
            </w:tcBorders>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8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jc w:val="right"/>
              <w:spacing w:after="0"/>
              <w:rPr>
                <w:sz w:val="20"/>
                <w:szCs w:val="20"/>
                <w:color w:val="auto"/>
              </w:rPr>
            </w:pPr>
            <w:r>
              <w:rPr>
                <w:rFonts w:ascii="Arial" w:cs="Arial" w:eastAsia="Arial" w:hAnsi="Arial"/>
                <w:sz w:val="16"/>
                <w:szCs w:val="16"/>
                <w:i w:val="1"/>
                <w:iCs w:val="1"/>
                <w:color w:val="auto"/>
                <w:w w:val="87"/>
              </w:rPr>
              <w:t>Repurchase Agreements (Repo)</w:t>
            </w:r>
          </w:p>
        </w:tc>
        <w:tc>
          <w:tcPr>
            <w:tcW w:w="1120" w:type="dxa"/>
            <w:vAlign w:val="bottom"/>
          </w:tcPr>
          <w:p>
            <w:pPr>
              <w:jc w:val="right"/>
              <w:spacing w:after="0"/>
              <w:rPr>
                <w:sz w:val="20"/>
                <w:szCs w:val="20"/>
                <w:color w:val="auto"/>
              </w:rPr>
            </w:pPr>
            <w:r>
              <w:rPr>
                <w:rFonts w:ascii="Arial" w:cs="Arial" w:eastAsia="Arial" w:hAnsi="Arial"/>
                <w:sz w:val="16"/>
                <w:szCs w:val="16"/>
                <w:color w:val="auto"/>
              </w:rPr>
              <w:t>237,211</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14,769,141</w:t>
            </w:r>
          </w:p>
        </w:tc>
        <w:tc>
          <w:tcPr>
            <w:tcW w:w="1100" w:type="dxa"/>
            <w:vAlign w:val="bottom"/>
          </w:tcPr>
          <w:p>
            <w:pPr>
              <w:jc w:val="right"/>
              <w:spacing w:after="0"/>
              <w:rPr>
                <w:sz w:val="20"/>
                <w:szCs w:val="20"/>
                <w:color w:val="auto"/>
              </w:rPr>
            </w:pPr>
            <w:r>
              <w:rPr>
                <w:rFonts w:ascii="Arial" w:cs="Arial" w:eastAsia="Arial" w:hAnsi="Arial"/>
                <w:sz w:val="16"/>
                <w:szCs w:val="16"/>
                <w:color w:val="auto"/>
              </w:rPr>
              <w:t>173,522</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10,626,099</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36.70%</w:t>
            </w:r>
          </w:p>
        </w:tc>
        <w:tc>
          <w:tcPr>
            <w:tcW w:w="0" w:type="dxa"/>
            <w:vAlign w:val="bottom"/>
          </w:tcPr>
          <w:p>
            <w:pPr>
              <w:spacing w:after="0"/>
              <w:rPr>
                <w:sz w:val="1"/>
                <w:szCs w:val="1"/>
                <w:color w:val="auto"/>
              </w:rPr>
            </w:pPr>
          </w:p>
        </w:tc>
      </w:tr>
      <w:tr>
        <w:trPr>
          <w:trHeight w:val="203"/>
        </w:trPr>
        <w:tc>
          <w:tcPr>
            <w:tcW w:w="880" w:type="dxa"/>
            <w:vAlign w:val="bottom"/>
            <w:tcBorders>
              <w:left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2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Other Money Markets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18,982</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1,179,419</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18,742</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1,145,538</w:t>
            </w: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3"/>
        </w:trPr>
        <w:tc>
          <w:tcPr>
            <w:tcW w:w="88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256,193</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15,948,560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192,264</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11,771,636</w:t>
            </w: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33.25%</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Equities</w:t>
            </w:r>
          </w:p>
        </w:tc>
        <w:tc>
          <w:tcPr>
            <w:tcW w:w="140" w:type="dxa"/>
            <w:vAlign w:val="bottom"/>
            <w:tcBorders>
              <w:right w:val="single" w:sz="8" w:color="auto"/>
            </w:tcBorders>
            <w:shd w:val="clear" w:color="auto" w:fill="CCEEFF"/>
          </w:tcPr>
          <w:p>
            <w:pPr>
              <w:spacing w:after="0"/>
              <w:rPr>
                <w:sz w:val="17"/>
                <w:szCs w:val="17"/>
                <w:color w:val="auto"/>
              </w:rPr>
            </w:pPr>
          </w:p>
        </w:tc>
        <w:tc>
          <w:tcPr>
            <w:tcW w:w="21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Cash</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9,218</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576,880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4,479</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276,207</w:t>
            </w: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105.81%</w:t>
            </w:r>
          </w:p>
        </w:tc>
        <w:tc>
          <w:tcPr>
            <w:tcW w:w="0" w:type="dxa"/>
            <w:vAlign w:val="bottom"/>
          </w:tcPr>
          <w:p>
            <w:pPr>
              <w:spacing w:after="0"/>
              <w:rPr>
                <w:sz w:val="1"/>
                <w:szCs w:val="1"/>
                <w:color w:val="auto"/>
              </w:rPr>
            </w:pPr>
          </w:p>
        </w:tc>
      </w:tr>
      <w:tr>
        <w:trPr>
          <w:trHeight w:val="203"/>
        </w:trPr>
        <w:tc>
          <w:tcPr>
            <w:tcW w:w="88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jc w:val="right"/>
              <w:spacing w:after="0"/>
              <w:rPr>
                <w:sz w:val="20"/>
                <w:szCs w:val="20"/>
                <w:color w:val="auto"/>
              </w:rPr>
            </w:pPr>
            <w:r>
              <w:rPr>
                <w:rFonts w:ascii="Arial" w:cs="Arial" w:eastAsia="Arial" w:hAnsi="Arial"/>
                <w:sz w:val="16"/>
                <w:szCs w:val="16"/>
                <w:i w:val="1"/>
                <w:iCs w:val="1"/>
                <w:color w:val="auto"/>
              </w:rPr>
              <w:t>U.S. ETFs</w:t>
            </w:r>
          </w:p>
        </w:tc>
        <w:tc>
          <w:tcPr>
            <w:tcW w:w="1120" w:type="dxa"/>
            <w:vAlign w:val="bottom"/>
          </w:tcPr>
          <w:p>
            <w:pPr>
              <w:jc w:val="right"/>
              <w:spacing w:after="0"/>
              <w:rPr>
                <w:sz w:val="20"/>
                <w:szCs w:val="20"/>
                <w:color w:val="auto"/>
              </w:rPr>
            </w:pPr>
            <w:r>
              <w:rPr>
                <w:rFonts w:ascii="Arial" w:cs="Arial" w:eastAsia="Arial" w:hAnsi="Arial"/>
                <w:sz w:val="16"/>
                <w:szCs w:val="16"/>
                <w:color w:val="auto"/>
              </w:rPr>
              <w:t>6,527</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404,656</w:t>
            </w:r>
          </w:p>
        </w:tc>
        <w:tc>
          <w:tcPr>
            <w:tcW w:w="1100" w:type="dxa"/>
            <w:vAlign w:val="bottom"/>
          </w:tcPr>
          <w:p>
            <w:pPr>
              <w:jc w:val="right"/>
              <w:spacing w:after="0"/>
              <w:rPr>
                <w:sz w:val="20"/>
                <w:szCs w:val="20"/>
                <w:color w:val="auto"/>
              </w:rPr>
            </w:pPr>
            <w:r>
              <w:rPr>
                <w:rFonts w:ascii="Arial" w:cs="Arial" w:eastAsia="Arial" w:hAnsi="Arial"/>
                <w:sz w:val="16"/>
                <w:szCs w:val="16"/>
                <w:color w:val="auto"/>
              </w:rPr>
              <w:t>2,979</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181,745</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119.06%</w:t>
            </w:r>
          </w:p>
        </w:tc>
        <w:tc>
          <w:tcPr>
            <w:tcW w:w="0" w:type="dxa"/>
            <w:vAlign w:val="bottom"/>
          </w:tcPr>
          <w:p>
            <w:pPr>
              <w:spacing w:after="0"/>
              <w:rPr>
                <w:sz w:val="1"/>
                <w:szCs w:val="1"/>
                <w:color w:val="auto"/>
              </w:rPr>
            </w:pPr>
          </w:p>
        </w:tc>
      </w:tr>
      <w:tr>
        <w:trPr>
          <w:trHeight w:val="203"/>
        </w:trPr>
        <w:tc>
          <w:tcPr>
            <w:tcW w:w="880" w:type="dxa"/>
            <w:vAlign w:val="bottom"/>
            <w:tcBorders>
              <w:left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2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Europe ETFs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2,691</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172,223</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94,462</w:t>
            </w: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79.47%</w:t>
            </w:r>
          </w:p>
        </w:tc>
        <w:tc>
          <w:tcPr>
            <w:tcW w:w="0" w:type="dxa"/>
            <w:vAlign w:val="bottom"/>
          </w:tcPr>
          <w:p>
            <w:pPr>
              <w:spacing w:after="0"/>
              <w:rPr>
                <w:sz w:val="1"/>
                <w:szCs w:val="1"/>
                <w:color w:val="auto"/>
              </w:rPr>
            </w:pPr>
          </w:p>
        </w:tc>
      </w:tr>
      <w:tr>
        <w:trPr>
          <w:trHeight w:val="203"/>
        </w:trPr>
        <w:tc>
          <w:tcPr>
            <w:tcW w:w="88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Derivatives</w:t>
            </w:r>
          </w:p>
        </w:tc>
        <w:tc>
          <w:tcPr>
            <w:tcW w:w="1120" w:type="dxa"/>
            <w:vAlign w:val="bottom"/>
          </w:tcPr>
          <w:p>
            <w:pPr>
              <w:jc w:val="right"/>
              <w:spacing w:after="0"/>
              <w:rPr>
                <w:sz w:val="20"/>
                <w:szCs w:val="20"/>
                <w:color w:val="auto"/>
              </w:rPr>
            </w:pPr>
            <w:r>
              <w:rPr>
                <w:rFonts w:ascii="Arial" w:cs="Arial" w:eastAsia="Arial" w:hAnsi="Arial"/>
                <w:sz w:val="16"/>
                <w:szCs w:val="16"/>
                <w:color w:val="auto"/>
              </w:rPr>
              <w:t>8,576</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534,392</w:t>
            </w:r>
          </w:p>
        </w:tc>
        <w:tc>
          <w:tcPr>
            <w:tcW w:w="1100" w:type="dxa"/>
            <w:vAlign w:val="bottom"/>
          </w:tcPr>
          <w:p>
            <w:pPr>
              <w:jc w:val="right"/>
              <w:spacing w:after="0"/>
              <w:rPr>
                <w:sz w:val="20"/>
                <w:szCs w:val="20"/>
                <w:color w:val="auto"/>
              </w:rPr>
            </w:pPr>
            <w:r>
              <w:rPr>
                <w:rFonts w:ascii="Arial" w:cs="Arial" w:eastAsia="Arial" w:hAnsi="Arial"/>
                <w:sz w:val="16"/>
                <w:szCs w:val="16"/>
                <w:color w:val="auto"/>
              </w:rPr>
              <w:t>3,292</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203,730</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160.51%</w:t>
            </w:r>
          </w:p>
        </w:tc>
        <w:tc>
          <w:tcPr>
            <w:tcW w:w="0" w:type="dxa"/>
            <w:vAlign w:val="bottom"/>
          </w:tcPr>
          <w:p>
            <w:pPr>
              <w:spacing w:after="0"/>
              <w:rPr>
                <w:sz w:val="1"/>
                <w:szCs w:val="1"/>
                <w:color w:val="auto"/>
              </w:rPr>
            </w:pPr>
          </w:p>
        </w:tc>
      </w:tr>
      <w:tr>
        <w:trPr>
          <w:trHeight w:val="203"/>
        </w:trPr>
        <w:tc>
          <w:tcPr>
            <w:tcW w:w="880" w:type="dxa"/>
            <w:vAlign w:val="bottom"/>
            <w:tcBorders>
              <w:left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2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Options/Convertibles/Swaps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3,973</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248,646</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90,194</w:t>
            </w: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176.30%</w:t>
            </w:r>
          </w:p>
        </w:tc>
        <w:tc>
          <w:tcPr>
            <w:tcW w:w="0" w:type="dxa"/>
            <w:vAlign w:val="bottom"/>
          </w:tcPr>
          <w:p>
            <w:pPr>
              <w:spacing w:after="0"/>
              <w:rPr>
                <w:sz w:val="1"/>
                <w:szCs w:val="1"/>
                <w:color w:val="auto"/>
              </w:rPr>
            </w:pPr>
          </w:p>
        </w:tc>
      </w:tr>
      <w:tr>
        <w:trPr>
          <w:trHeight w:val="203"/>
        </w:trPr>
        <w:tc>
          <w:tcPr>
            <w:tcW w:w="88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jc w:val="right"/>
              <w:spacing w:after="0"/>
              <w:rPr>
                <w:sz w:val="20"/>
                <w:szCs w:val="20"/>
                <w:color w:val="auto"/>
              </w:rPr>
            </w:pPr>
            <w:r>
              <w:rPr>
                <w:rFonts w:ascii="Arial" w:cs="Arial" w:eastAsia="Arial" w:hAnsi="Arial"/>
                <w:sz w:val="16"/>
                <w:szCs w:val="16"/>
                <w:i w:val="1"/>
                <w:iCs w:val="1"/>
                <w:color w:val="auto"/>
              </w:rPr>
              <w:t>Futures</w:t>
            </w:r>
          </w:p>
        </w:tc>
        <w:tc>
          <w:tcPr>
            <w:tcW w:w="1120" w:type="dxa"/>
            <w:vAlign w:val="bottom"/>
          </w:tcPr>
          <w:p>
            <w:pPr>
              <w:jc w:val="right"/>
              <w:spacing w:after="0"/>
              <w:rPr>
                <w:sz w:val="20"/>
                <w:szCs w:val="20"/>
                <w:color w:val="auto"/>
              </w:rPr>
            </w:pPr>
            <w:r>
              <w:rPr>
                <w:rFonts w:ascii="Arial" w:cs="Arial" w:eastAsia="Arial" w:hAnsi="Arial"/>
                <w:sz w:val="16"/>
                <w:szCs w:val="16"/>
                <w:color w:val="auto"/>
              </w:rPr>
              <w:t>4,602</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285,746</w:t>
            </w:r>
          </w:p>
        </w:tc>
        <w:tc>
          <w:tcPr>
            <w:tcW w:w="1100" w:type="dxa"/>
            <w:vAlign w:val="bottom"/>
          </w:tcPr>
          <w:p>
            <w:pPr>
              <w:jc w:val="right"/>
              <w:spacing w:after="0"/>
              <w:rPr>
                <w:sz w:val="20"/>
                <w:szCs w:val="20"/>
                <w:color w:val="auto"/>
              </w:rPr>
            </w:pPr>
            <w:r>
              <w:rPr>
                <w:rFonts w:ascii="Arial" w:cs="Arial" w:eastAsia="Arial" w:hAnsi="Arial"/>
                <w:sz w:val="16"/>
                <w:szCs w:val="16"/>
                <w:color w:val="auto"/>
              </w:rPr>
              <w:t>1,854</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113,535</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148.27%</w:t>
            </w:r>
          </w:p>
        </w:tc>
        <w:tc>
          <w:tcPr>
            <w:tcW w:w="0" w:type="dxa"/>
            <w:vAlign w:val="bottom"/>
          </w:tcPr>
          <w:p>
            <w:pPr>
              <w:spacing w:after="0"/>
              <w:rPr>
                <w:sz w:val="1"/>
                <w:szCs w:val="1"/>
                <w:color w:val="auto"/>
              </w:rPr>
            </w:pPr>
          </w:p>
        </w:tc>
      </w:tr>
      <w:tr>
        <w:trPr>
          <w:trHeight w:val="203"/>
        </w:trPr>
        <w:tc>
          <w:tcPr>
            <w:tcW w:w="880" w:type="dxa"/>
            <w:vAlign w:val="bottom"/>
            <w:tcBorders>
              <w:left w:val="single" w:sz="8" w:color="auto"/>
              <w:bottom w:val="single" w:sz="8" w:color="auto"/>
            </w:tcBorders>
            <w:shd w:val="clear" w:color="auto" w:fill="CCEEFF"/>
          </w:tcPr>
          <w:p>
            <w:pPr>
              <w:spacing w:after="0"/>
              <w:rPr>
                <w:sz w:val="17"/>
                <w:szCs w:val="17"/>
                <w:color w:val="auto"/>
              </w:rPr>
            </w:pPr>
          </w:p>
        </w:tc>
        <w:tc>
          <w:tcPr>
            <w:tcW w:w="140" w:type="dxa"/>
            <w:vAlign w:val="bottom"/>
            <w:tcBorders>
              <w:bottom w:val="single" w:sz="8" w:color="auto"/>
              <w:right w:val="single" w:sz="8" w:color="auto"/>
            </w:tcBorders>
            <w:shd w:val="clear" w:color="auto" w:fill="CCEEFF"/>
          </w:tcPr>
          <w:p>
            <w:pPr>
              <w:spacing w:after="0"/>
              <w:rPr>
                <w:sz w:val="17"/>
                <w:szCs w:val="17"/>
                <w:color w:val="auto"/>
              </w:rPr>
            </w:pPr>
          </w:p>
        </w:tc>
        <w:tc>
          <w:tcPr>
            <w:tcW w:w="21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17,793</w:t>
            </w: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1,111,272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7,771</w:t>
            </w: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479,937</w:t>
            </w: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146050</wp:posOffset>
            </wp:positionV>
            <wp:extent cx="5657850" cy="265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5430"/>
                    </a:xfrm>
                    <a:prstGeom prst="rect">
                      <a:avLst/>
                    </a:prstGeom>
                    <a:noFill/>
                  </pic:spPr>
                </pic:pic>
              </a:graphicData>
            </a:graphic>
          </wp:anchor>
        </w:drawing>
      </w:r>
    </w:p>
    <w:p>
      <w:pPr>
        <w:sectPr>
          <w:pgSz w:w="11900" w:h="16838" w:orient="portrait"/>
          <w:cols w:equalWidth="0" w:num="1">
            <w:col w:w="9019"/>
          </w:cols>
          <w:pgMar w:left="1440" w:top="121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6"/>
        </w:trPr>
        <w:tc>
          <w:tcPr>
            <w:tcW w:w="122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16"/>
                <w:szCs w:val="16"/>
                <w:color w:val="auto"/>
              </w:rPr>
              <w:t>ADV (USD</w:t>
            </w:r>
          </w:p>
        </w:tc>
        <w:tc>
          <w:tcPr>
            <w:tcW w:w="1340" w:type="dxa"/>
            <w:vAlign w:val="bottom"/>
            <w:tcBorders>
              <w:top w:val="single" w:sz="8" w:color="auto"/>
              <w:right w:val="single" w:sz="8" w:color="auto"/>
            </w:tcBorders>
          </w:tcPr>
          <w:p>
            <w:pPr>
              <w:jc w:val="center"/>
              <w:ind w:right="39"/>
              <w:spacing w:after="0"/>
              <w:rPr>
                <w:sz w:val="20"/>
                <w:szCs w:val="20"/>
                <w:color w:val="auto"/>
              </w:rPr>
            </w:pPr>
            <w:r>
              <w:rPr>
                <w:rFonts w:ascii="Arial" w:cs="Arial" w:eastAsia="Arial" w:hAnsi="Arial"/>
                <w:sz w:val="16"/>
                <w:szCs w:val="16"/>
                <w:color w:val="auto"/>
                <w:w w:val="94"/>
              </w:rPr>
              <w:t>Average Daily</w:t>
            </w: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ADV (USD</w:t>
            </w:r>
          </w:p>
        </w:tc>
        <w:tc>
          <w:tcPr>
            <w:tcW w:w="1460" w:type="dxa"/>
            <w:vAlign w:val="bottom"/>
            <w:tcBorders>
              <w:top w:val="single" w:sz="8" w:color="auto"/>
              <w:right w:val="single" w:sz="8" w:color="auto"/>
            </w:tcBorders>
          </w:tcPr>
          <w:p>
            <w:pPr>
              <w:spacing w:after="0"/>
              <w:rPr>
                <w:sz w:val="17"/>
                <w:szCs w:val="17"/>
                <w:color w:val="auto"/>
              </w:rPr>
            </w:pPr>
          </w:p>
        </w:tc>
        <w:tc>
          <w:tcPr>
            <w:tcW w:w="740" w:type="dxa"/>
            <w:vAlign w:val="bottom"/>
            <w:tcBorders>
              <w:top w:val="single" w:sz="8" w:color="auto"/>
              <w:right w:val="single" w:sz="8" w:color="auto"/>
            </w:tcBorders>
          </w:tcPr>
          <w:p>
            <w:pPr>
              <w:spacing w:after="0"/>
              <w:rPr>
                <w:sz w:val="17"/>
                <w:szCs w:val="17"/>
                <w:color w:val="auto"/>
              </w:rPr>
            </w:pPr>
          </w:p>
        </w:tc>
      </w:tr>
      <w:tr>
        <w:trPr>
          <w:trHeight w:val="226"/>
        </w:trPr>
        <w:tc>
          <w:tcPr>
            <w:tcW w:w="1220" w:type="dxa"/>
            <w:vAlign w:val="bottom"/>
            <w:tcBorders>
              <w:left w:val="single" w:sz="8" w:color="auto"/>
            </w:tcBorders>
          </w:tcPr>
          <w:p>
            <w:pPr>
              <w:jc w:val="center"/>
              <w:spacing w:after="0"/>
              <w:rPr>
                <w:sz w:val="20"/>
                <w:szCs w:val="20"/>
                <w:color w:val="auto"/>
              </w:rPr>
            </w:pPr>
            <w:r>
              <w:rPr>
                <w:rFonts w:ascii="Arial" w:cs="Arial" w:eastAsia="Arial" w:hAnsi="Arial"/>
                <w:sz w:val="16"/>
                <w:szCs w:val="16"/>
                <w:color w:val="auto"/>
                <w:w w:val="93"/>
              </w:rPr>
              <w:t>mm)</w:t>
            </w:r>
          </w:p>
        </w:tc>
        <w:tc>
          <w:tcPr>
            <w:tcW w:w="1340" w:type="dxa"/>
            <w:vAlign w:val="bottom"/>
            <w:tcBorders>
              <w:right w:val="single" w:sz="8" w:color="auto"/>
            </w:tcBorders>
          </w:tcPr>
          <w:p>
            <w:pPr>
              <w:jc w:val="center"/>
              <w:ind w:right="59"/>
              <w:spacing w:after="0"/>
              <w:rPr>
                <w:sz w:val="20"/>
                <w:szCs w:val="20"/>
                <w:color w:val="auto"/>
              </w:rPr>
            </w:pPr>
            <w:r>
              <w:rPr>
                <w:rFonts w:ascii="Arial" w:cs="Arial" w:eastAsia="Arial" w:hAnsi="Arial"/>
                <w:sz w:val="16"/>
                <w:szCs w:val="16"/>
                <w:color w:val="auto"/>
                <w:w w:val="88"/>
              </w:rPr>
              <w:t>Trades</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mm)</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92"/>
              </w:rPr>
              <w:t>Average Daily Trades</w:t>
            </w:r>
          </w:p>
        </w:tc>
        <w:tc>
          <w:tcPr>
            <w:tcW w:w="74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YoY</w:t>
            </w:r>
          </w:p>
        </w:tc>
      </w:tr>
      <w:tr>
        <w:trPr>
          <w:trHeight w:val="196"/>
        </w:trPr>
        <w:tc>
          <w:tcPr>
            <w:tcW w:w="1220" w:type="dxa"/>
            <w:vAlign w:val="bottom"/>
            <w:tcBorders>
              <w:left w:val="single" w:sz="8" w:color="auto"/>
            </w:tcBorders>
          </w:tcPr>
          <w:p>
            <w:pPr>
              <w:jc w:val="right"/>
              <w:ind w:right="79"/>
              <w:spacing w:after="0"/>
              <w:rPr>
                <w:sz w:val="20"/>
                <w:szCs w:val="20"/>
                <w:color w:val="auto"/>
              </w:rPr>
            </w:pPr>
            <w:r>
              <w:rPr>
                <w:rFonts w:ascii="Arial" w:cs="Arial" w:eastAsia="Arial" w:hAnsi="Arial"/>
                <w:sz w:val="16"/>
                <w:szCs w:val="16"/>
                <w:color w:val="auto"/>
              </w:rPr>
              <w:t>897,756</w:t>
            </w:r>
          </w:p>
        </w:tc>
        <w:tc>
          <w:tcPr>
            <w:tcW w:w="1340" w:type="dxa"/>
            <w:vAlign w:val="bottom"/>
          </w:tcPr>
          <w:p>
            <w:pPr>
              <w:jc w:val="right"/>
              <w:spacing w:after="0"/>
              <w:rPr>
                <w:sz w:val="20"/>
                <w:szCs w:val="20"/>
                <w:color w:val="auto"/>
              </w:rPr>
            </w:pPr>
            <w:r>
              <w:rPr>
                <w:rFonts w:ascii="Arial" w:cs="Arial" w:eastAsia="Arial" w:hAnsi="Arial"/>
                <w:sz w:val="16"/>
                <w:szCs w:val="16"/>
                <w:color w:val="auto"/>
              </w:rPr>
              <w:t>63,079</w:t>
            </w:r>
          </w:p>
        </w:tc>
        <w:tc>
          <w:tcPr>
            <w:tcW w:w="1060" w:type="dxa"/>
            <w:vAlign w:val="bottom"/>
          </w:tcPr>
          <w:p>
            <w:pPr>
              <w:jc w:val="right"/>
              <w:spacing w:after="0"/>
              <w:rPr>
                <w:sz w:val="20"/>
                <w:szCs w:val="20"/>
                <w:color w:val="auto"/>
              </w:rPr>
            </w:pPr>
            <w:r>
              <w:rPr>
                <w:rFonts w:ascii="Arial" w:cs="Arial" w:eastAsia="Arial" w:hAnsi="Arial"/>
                <w:sz w:val="16"/>
                <w:szCs w:val="16"/>
                <w:color w:val="auto"/>
              </w:rPr>
              <w:t>645,647</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50,951</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39.05%</w:t>
            </w:r>
          </w:p>
        </w:tc>
      </w:tr>
      <w:tr>
        <w:trPr>
          <w:trHeight w:val="33"/>
        </w:trPr>
        <w:tc>
          <w:tcPr>
            <w:tcW w:w="1220" w:type="dxa"/>
            <w:vAlign w:val="bottom"/>
            <w:tcBorders>
              <w:left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60" w:type="dxa"/>
            <w:vAlign w:val="bottom"/>
            <w:tcBorders>
              <w:right w:val="single" w:sz="8" w:color="auto"/>
            </w:tcBorders>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-153670</wp:posOffset>
            </wp:positionV>
            <wp:extent cx="504063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40630" cy="154305"/>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2440" w:space="720"/>
            <w:col w:w="5859"/>
          </w:cols>
          <w:pgMar w:left="1440" w:top="1210" w:right="1440" w:bottom="1440" w:gutter="0" w:footer="0" w:header="0"/>
          <w:type w:val="continuous"/>
        </w:sectPr>
      </w:pPr>
    </w:p>
    <w:p>
      <w:pPr>
        <w:ind w:left="8900"/>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504825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0" w:right="1440" w:bottom="1440" w:gutter="0" w:footer="0" w:header="0"/>
          <w:type w:val="continuous"/>
        </w:sectPr>
      </w:pPr>
    </w:p>
    <w:bookmarkStart w:id="11" w:name="page12"/>
    <w:bookmarkEnd w:id="11"/>
    <w:p>
      <w:pPr>
        <w:ind w:lef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5600065</wp:posOffset>
            </wp:positionH>
            <wp:positionV relativeFrom="page">
              <wp:posOffset>88900</wp:posOffset>
            </wp:positionV>
            <wp:extent cx="1002665" cy="308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002665" cy="308610"/>
                    </a:xfrm>
                    <a:prstGeom prst="rect">
                      <a:avLst/>
                    </a:prstGeom>
                    <a:noFill/>
                  </pic:spPr>
                </pic:pic>
              </a:graphicData>
            </a:graphic>
          </wp:anchor>
        </w:drawing>
        <w:t>To access historical traded volumes, go to https://www.tradeweb.com/newsroom/monthly-activity-reports/.</w:t>
      </w:r>
    </w:p>
    <w:p>
      <w:pPr>
        <w:spacing w:after="0" w:line="221" w:lineRule="exact"/>
        <w:rPr>
          <w:sz w:val="20"/>
          <w:szCs w:val="20"/>
          <w:color w:val="auto"/>
        </w:rPr>
      </w:pPr>
    </w:p>
    <w:p>
      <w:pPr>
        <w:jc w:val="right"/>
        <w:ind w:right="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475615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0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lvl w:ilvl="1">
      <w:lvlJc w:val="left"/>
      <w:lvlText w:val="%2."/>
      <w:numFmt w:val="lowerLetter"/>
      <w:start w:val="1"/>
    </w:lvl>
  </w:abstractNum>
  <w:abstractNum w:abstractNumId="2">
    <w:nsid w:val="507ED7AB"/>
    <w:multiLevelType w:val="hybridMultilevel"/>
    <w:lvl w:ilvl="0">
      <w:lvlJc w:val="left"/>
      <w:lvlText w:val="(%1)"/>
      <w:numFmt w:val="decimal"/>
      <w:start w:val="1"/>
    </w:lvl>
    <w:lvl w:ilvl="1">
      <w:lvlJc w:val="left"/>
      <w:lvlText w:val="%2)"/>
      <w:numFmt w:val="lowerLetter"/>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lvl w:ilvl="1">
      <w:lvlJc w:val="left"/>
      <w:lvlText w:val="(%2)"/>
      <w:numFmt w:val="lowerLetter"/>
      <w:start w:val="1"/>
    </w:lvl>
  </w:abstractNum>
  <w:abstractNum w:abstractNumId="5">
    <w:nsid w:val="79E2A9E3"/>
    <w:multiLevelType w:val="hybridMultilevel"/>
    <w:lvl w:ilvl="0">
      <w:lvlJc w:val="left"/>
      <w:lvlText w:val="(%1)"/>
      <w:numFmt w:val="decimal"/>
      <w:start w:val="2"/>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2020-05-07T06:34:16Z</dcterms:created>
  <dcterms:modified xsi:type="dcterms:W3CDTF">2020-05-07T06:34:16Z</dcterms:modified>
</cp:coreProperties>
</file>