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5"/>
              </w:rPr>
              <w:t>1,536</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72.75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66,570</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4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84"/>
                <w:vertAlign w:val="subscript"/>
              </w:rPr>
              <w:t>6</w:t>
            </w:r>
            <w:r>
              <w:rPr>
                <w:rFonts w:ascii="Arial" w:cs="Arial" w:eastAsia="Arial" w:hAnsi="Arial"/>
                <w:sz w:val="11"/>
                <w:szCs w:val="11"/>
                <w:color w:val="008000"/>
                <w:w w:val="84"/>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66,576</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72.8475</w:t>
            </w:r>
            <w:r>
              <w:rPr>
                <w:rFonts w:ascii="Arial" w:cs="Arial" w:eastAsia="Arial" w:hAnsi="Arial"/>
                <w:sz w:val="22"/>
                <w:szCs w:val="22"/>
                <w:color w:val="008000"/>
                <w:w w:val="87"/>
                <w:vertAlign w:val="superscript"/>
              </w:rPr>
              <w:t>(5)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65,776</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671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73.6732</w:t>
            </w:r>
            <w:r>
              <w:rPr>
                <w:rFonts w:ascii="Arial" w:cs="Arial" w:eastAsia="Arial" w:hAnsi="Arial"/>
                <w:sz w:val="22"/>
                <w:szCs w:val="22"/>
                <w:color w:val="008000"/>
                <w:w w:val="87"/>
                <w:vertAlign w:val="superscript"/>
              </w:rPr>
              <w:t>(6)</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65,105</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16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33,004 unvested RSUs in respect of Class A Common Stock which are scheduled to vest on January 1, 2022, (ii) 6,003 unvested RSUs in respect of Class A Common Stock which are scheduled to vest in equal installments on each of March 17, 2022, and March 17, 2023, (iii) 18,008 unvested RSUs in respect of Class A Common Stock which are scheduled to vest on January 1, 2023, and (iv) 5,090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11, 2020.</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$72.26 to $73.23,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and 6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$73.49 to $73.92, inclusive.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2021-03-22T20:25:31Z</dcterms:created>
  <dcterms:modified xsi:type="dcterms:W3CDTF">2021-03-22T20:25:31Z</dcterms:modified>
</cp:coreProperties>
</file>