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12,265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50,936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168</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51,104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RSUs in respect of Class A Common Stock which are scheduled to vest on March 17, 2023, (ii) 6,742 RSUs in respect of Class A Common Stock which are scheduled to vest in equal installments on each of March 15, 2023 and March 15, 2024, (iii) 14,832 RSUs in respect of Class A Common Stock which are scheduled to vest on January 1, 2024, and (iv)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2023-01-04T19:36:30Z</dcterms:created>
  <dcterms:modified xsi:type="dcterms:W3CDTF">2023-01-04T19:36:30Z</dcterms:modified>
</cp:coreProperties>
</file>