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621030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587375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6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June 17, 2024</w:t>
      </w:r>
    </w:p>
    <w:p>
      <w:pPr>
        <w:spacing w:after="0" w:line="2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Tradeweb Markets Inc.</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w:t>
      </w:r>
    </w:p>
    <w:p>
      <w:pPr>
        <w:spacing w:after="0" w:line="264" w:lineRule="exact"/>
        <w:rPr>
          <w:sz w:val="24"/>
          <w:szCs w:val="24"/>
          <w:color w:val="auto"/>
        </w:rPr>
      </w:pPr>
    </w:p>
    <w:tbl>
      <w:tblPr>
        <w:tblLayout w:type="fixed"/>
        <w:tblInd w:w="1120" w:type="dxa"/>
        <w:tblCellMar>
          <w:top w:w="0" w:type="dxa"/>
          <w:left w:w="0" w:type="dxa"/>
          <w:bottom w:w="0" w:type="dxa"/>
          <w:right w:w="0" w:type="dxa"/>
        </w:tblCellMar>
      </w:tblPr>
      <w:tr>
        <w:trPr>
          <w:trHeight w:val="204"/>
        </w:trPr>
        <w:tc>
          <w:tcPr>
            <w:tcW w:w="3980" w:type="dxa"/>
            <w:vAlign w:val="bottom"/>
          </w:tcPr>
          <w:p>
            <w:pPr>
              <w:jc w:val="center"/>
              <w:ind w:right="23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60" w:type="dxa"/>
            <w:vAlign w:val="bottom"/>
          </w:tcPr>
          <w:p>
            <w:pPr>
              <w:jc w:val="center"/>
              <w:ind w:right="1189"/>
              <w:spacing w:after="0"/>
              <w:rPr>
                <w:sz w:val="20"/>
                <w:szCs w:val="20"/>
                <w:color w:val="auto"/>
              </w:rPr>
            </w:pPr>
            <w:r>
              <w:rPr>
                <w:rFonts w:ascii="Times New Roman" w:cs="Times New Roman" w:eastAsia="Times New Roman" w:hAnsi="Times New Roman"/>
                <w:sz w:val="14"/>
                <w:szCs w:val="14"/>
                <w:b w:val="1"/>
                <w:bCs w:val="1"/>
                <w:color w:val="auto"/>
              </w:rPr>
              <w:t>001-38860</w:t>
            </w:r>
          </w:p>
        </w:tc>
        <w:tc>
          <w:tcPr>
            <w:tcW w:w="24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83-2456358</w:t>
            </w:r>
          </w:p>
        </w:tc>
        <w:tc>
          <w:tcPr>
            <w:tcW w:w="0" w:type="dxa"/>
            <w:vAlign w:val="bottom"/>
          </w:tcPr>
          <w:p>
            <w:pPr>
              <w:spacing w:after="0"/>
              <w:rPr>
                <w:sz w:val="1"/>
                <w:szCs w:val="1"/>
                <w:color w:val="auto"/>
              </w:rPr>
            </w:pPr>
          </w:p>
        </w:tc>
      </w:tr>
      <w:tr>
        <w:trPr>
          <w:trHeight w:val="159"/>
        </w:trPr>
        <w:tc>
          <w:tcPr>
            <w:tcW w:w="3980" w:type="dxa"/>
            <w:vAlign w:val="bottom"/>
          </w:tcPr>
          <w:p>
            <w:pPr>
              <w:jc w:val="center"/>
              <w:ind w:right="2369"/>
              <w:spacing w:after="0" w:line="15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2360" w:type="dxa"/>
            <w:vAlign w:val="bottom"/>
          </w:tcPr>
          <w:p>
            <w:pPr>
              <w:jc w:val="center"/>
              <w:ind w:right="1189"/>
              <w:spacing w:after="0" w:line="159" w:lineRule="exact"/>
              <w:rPr>
                <w:sz w:val="20"/>
                <w:szCs w:val="20"/>
                <w:color w:val="auto"/>
              </w:rPr>
            </w:pPr>
            <w:r>
              <w:rPr>
                <w:rFonts w:ascii="Times New Roman" w:cs="Times New Roman" w:eastAsia="Times New Roman" w:hAnsi="Times New Roman"/>
                <w:sz w:val="14"/>
                <w:szCs w:val="14"/>
                <w:color w:val="auto"/>
              </w:rPr>
              <w:t>(Commission</w:t>
            </w:r>
          </w:p>
        </w:tc>
        <w:tc>
          <w:tcPr>
            <w:tcW w:w="2480" w:type="dxa"/>
            <w:vAlign w:val="bottom"/>
          </w:tcPr>
          <w:p>
            <w:pPr>
              <w:jc w:val="center"/>
              <w:ind w:left="1329"/>
              <w:spacing w:after="0" w:line="15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95"/>
        </w:trPr>
        <w:tc>
          <w:tcPr>
            <w:tcW w:w="3980" w:type="dxa"/>
            <w:vAlign w:val="bottom"/>
          </w:tcPr>
          <w:p>
            <w:pPr>
              <w:jc w:val="center"/>
              <w:ind w:right="2369"/>
              <w:spacing w:after="0"/>
              <w:rPr>
                <w:sz w:val="20"/>
                <w:szCs w:val="20"/>
                <w:color w:val="auto"/>
              </w:rPr>
            </w:pPr>
            <w:r>
              <w:rPr>
                <w:rFonts w:ascii="Times New Roman" w:cs="Times New Roman" w:eastAsia="Times New Roman" w:hAnsi="Times New Roman"/>
                <w:sz w:val="14"/>
                <w:szCs w:val="14"/>
                <w:color w:val="auto"/>
              </w:rPr>
              <w:t>of Incorporation)</w:t>
            </w:r>
          </w:p>
        </w:tc>
        <w:tc>
          <w:tcPr>
            <w:tcW w:w="236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File Number)</w:t>
            </w:r>
          </w:p>
        </w:tc>
        <w:tc>
          <w:tcPr>
            <w:tcW w:w="2480" w:type="dxa"/>
            <w:vAlign w:val="bottom"/>
          </w:tcPr>
          <w:p>
            <w:pPr>
              <w:jc w:val="center"/>
              <w:ind w:left="134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96"/>
        </w:trPr>
        <w:tc>
          <w:tcPr>
            <w:tcW w:w="3980" w:type="dxa"/>
            <w:vAlign w:val="bottom"/>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w w:val="99"/>
              </w:rPr>
              <w:t>1177 Avenue of the Americas</w:t>
            </w:r>
          </w:p>
        </w:tc>
        <w:tc>
          <w:tcPr>
            <w:tcW w:w="2360" w:type="dxa"/>
            <w:vAlign w:val="bottom"/>
          </w:tcPr>
          <w:p>
            <w:pPr>
              <w:spacing w:after="0"/>
              <w:rPr>
                <w:sz w:val="17"/>
                <w:szCs w:val="17"/>
                <w:color w:val="auto"/>
              </w:rPr>
            </w:pPr>
          </w:p>
        </w:tc>
        <w:tc>
          <w:tcPr>
            <w:tcW w:w="248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10036</w:t>
            </w:r>
          </w:p>
        </w:tc>
        <w:tc>
          <w:tcPr>
            <w:tcW w:w="0" w:type="dxa"/>
            <w:vAlign w:val="bottom"/>
          </w:tcPr>
          <w:p>
            <w:pPr>
              <w:spacing w:after="0"/>
              <w:rPr>
                <w:sz w:val="1"/>
                <w:szCs w:val="1"/>
                <w:color w:val="auto"/>
              </w:rPr>
            </w:pPr>
          </w:p>
        </w:tc>
      </w:tr>
      <w:tr>
        <w:trPr>
          <w:trHeight w:val="186"/>
        </w:trPr>
        <w:tc>
          <w:tcPr>
            <w:tcW w:w="3980" w:type="dxa"/>
            <w:vAlign w:val="bottom"/>
          </w:tcPr>
          <w:p>
            <w:pPr>
              <w:jc w:val="center"/>
              <w:ind w:left="1229"/>
              <w:spacing w:after="0"/>
              <w:rPr>
                <w:sz w:val="20"/>
                <w:szCs w:val="20"/>
                <w:color w:val="auto"/>
              </w:rPr>
            </w:pPr>
            <w:r>
              <w:rPr>
                <w:rFonts w:ascii="Times New Roman" w:cs="Times New Roman" w:eastAsia="Times New Roman" w:hAnsi="Times New Roman"/>
                <w:sz w:val="14"/>
                <w:szCs w:val="14"/>
                <w:b w:val="1"/>
                <w:bCs w:val="1"/>
                <w:color w:val="auto"/>
                <w:w w:val="99"/>
              </w:rPr>
              <w:t>New York, New York</w:t>
            </w:r>
          </w:p>
        </w:tc>
        <w:tc>
          <w:tcPr>
            <w:tcW w:w="2360" w:type="dxa"/>
            <w:vAlign w:val="bottom"/>
          </w:tcPr>
          <w:p>
            <w:pPr>
              <w:spacing w:after="0"/>
              <w:rPr>
                <w:sz w:val="16"/>
                <w:szCs w:val="16"/>
                <w:color w:val="auto"/>
              </w:rPr>
            </w:pP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tcPr>
          <w:p>
            <w:pPr>
              <w:spacing w:after="0"/>
              <w:rPr>
                <w:sz w:val="16"/>
                <w:szCs w:val="16"/>
                <w:color w:val="auto"/>
              </w:rPr>
            </w:pPr>
          </w:p>
        </w:tc>
        <w:tc>
          <w:tcPr>
            <w:tcW w:w="2480" w:type="dxa"/>
            <w:vAlign w:val="bottom"/>
          </w:tcPr>
          <w:p>
            <w:pPr>
              <w:jc w:val="center"/>
              <w:ind w:left="134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(646) 430-6000</w:t>
      </w:r>
    </w:p>
    <w:p>
      <w:pPr>
        <w:spacing w:after="0" w:line="2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280" w:hanging="261"/>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51" w:lineRule="exact"/>
        <w:rPr>
          <w:rFonts w:ascii="MS PGothic" w:cs="MS PGothic" w:eastAsia="MS PGothic" w:hAnsi="MS PGothic"/>
          <w:sz w:val="14"/>
          <w:szCs w:val="14"/>
          <w:color w:val="auto"/>
        </w:rPr>
      </w:pPr>
    </w:p>
    <w:p>
      <w:pPr>
        <w:ind w:left="280" w:hanging="261"/>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51" w:lineRule="exact"/>
        <w:rPr>
          <w:rFonts w:ascii="MS PGothic" w:cs="MS PGothic" w:eastAsia="MS PGothic" w:hAnsi="MS PGothic"/>
          <w:sz w:val="14"/>
          <w:szCs w:val="14"/>
          <w:color w:val="auto"/>
        </w:rPr>
      </w:pPr>
    </w:p>
    <w:p>
      <w:pPr>
        <w:ind w:left="280" w:hanging="261"/>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51" w:lineRule="exact"/>
        <w:rPr>
          <w:rFonts w:ascii="MS PGothic" w:cs="MS PGothic" w:eastAsia="MS PGothic" w:hAnsi="MS PGothic"/>
          <w:sz w:val="14"/>
          <w:szCs w:val="14"/>
          <w:color w:val="auto"/>
        </w:rPr>
      </w:pPr>
    </w:p>
    <w:p>
      <w:pPr>
        <w:ind w:left="280" w:hanging="261"/>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gridSpan w:val="2"/>
            <w:vMerge w:val="continue"/>
          </w:tcPr>
          <w:p>
            <w:pPr>
              <w:spacing w:after="0"/>
              <w:rPr>
                <w:sz w:val="16"/>
                <w:szCs w:val="16"/>
                <w:color w:val="auto"/>
              </w:rPr>
            </w:pPr>
          </w:p>
        </w:tc>
        <w:tc>
          <w:tcPr>
            <w:tcW w:w="3280" w:type="dxa"/>
            <w:vAlign w:val="bottom"/>
            <w:gridSpan w:val="2"/>
            <w:vMerge w:val="continue"/>
          </w:tcPr>
          <w:p>
            <w:pPr>
              <w:spacing w:after="0"/>
              <w:rPr>
                <w:sz w:val="16"/>
                <w:szCs w:val="16"/>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40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TW</w:t>
            </w:r>
          </w:p>
        </w:tc>
        <w:tc>
          <w:tcPr>
            <w:tcW w:w="42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226" w:lineRule="exact"/>
        <w:rPr>
          <w:sz w:val="24"/>
          <w:szCs w:val="24"/>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0" w:lineRule="exact"/>
        <w:rPr>
          <w:sz w:val="24"/>
          <w:szCs w:val="24"/>
          <w:color w:val="auto"/>
        </w:rPr>
      </w:pPr>
    </w:p>
    <w:p>
      <w:pPr>
        <w:ind w:right="18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506095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wp:posOffset>
            </wp:positionV>
            <wp:extent cx="714819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40"/>
          </w:cols>
          <w:pgMar w:left="300" w:top="121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In connection with organizational changes, on June 17, 2024, Tradeweb Markets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determined that the employment of Thomas Pluta, President of the Company, will terminate effective as of September 30, 2024. In connection with the termination of his employment, Mr. Pluta will also resign from the Board of Directors of the Company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effective as of September 30, 2024. Mr. Pluta's resignation from the Board is not due to any disagreement with the Company. Mr. Pluta is entitled to receive severance payments and benefits pursuant to the Company's Executive Severance Policy and vesting and settlement of his equity awards granted under the Company's 2019 Omnibus Equity Incentive Plan, each as consistent with a termination other than for cause and as described in the Company's 2024 Proxy Statement on DEF 14A, filed on March 28, 2024 or relevant equity award agreements filed as exhibits to the Company's periodic report on Form 10-Q on April 25,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202"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On June 20, 2024, the Company issued a press release announcing the organizational changes. A copy of the press release is attached as Exhibit 99.1 hereto and is incorporated herein by reference.</w:t>
      </w:r>
    </w:p>
    <w:p>
      <w:pPr>
        <w:spacing w:after="0" w:line="145"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this Item 7.01 of this Current Report on Form 8-K, including Exhibit 99.1 attached hereto, shall not be deemed “filed” for the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43" w:lineRule="exact"/>
        <w:rPr>
          <w:sz w:val="20"/>
          <w:szCs w:val="20"/>
          <w:color w:val="auto"/>
        </w:rPr>
      </w:pPr>
    </w:p>
    <w:p>
      <w:pPr>
        <w:ind w:left="20"/>
        <w:spacing w:after="0"/>
        <w:tabs>
          <w:tab w:leader="none" w:pos="6000" w:val="left"/>
        </w:tabs>
        <w:rPr>
          <w:sz w:val="20"/>
          <w:szCs w:val="20"/>
          <w:color w:val="auto"/>
        </w:rPr>
      </w:pPr>
      <w:r>
        <w:rPr>
          <w:rFonts w:ascii="Times New Roman" w:cs="Times New Roman" w:eastAsia="Times New Roman" w:hAnsi="Times New Roman"/>
          <w:sz w:val="13"/>
          <w:szCs w:val="13"/>
          <w:b w:val="1"/>
          <w:bCs w:val="1"/>
          <w:color w:val="auto"/>
        </w:rPr>
        <w:t>Exhibit Number</w:t>
      </w:r>
      <w:r>
        <w:rPr>
          <w:sz w:val="20"/>
          <w:szCs w:val="20"/>
          <w:color w:val="auto"/>
        </w:rPr>
        <w:tab/>
      </w:r>
      <w:r>
        <w:rPr>
          <w:rFonts w:ascii="Times New Roman" w:cs="Times New Roman" w:eastAsia="Times New Roman" w:hAnsi="Times New Roman"/>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 w:lineRule="exact"/>
        <w:rPr>
          <w:sz w:val="20"/>
          <w:szCs w:val="20"/>
          <w:color w:val="auto"/>
        </w:rPr>
      </w:pPr>
    </w:p>
    <w:p>
      <w:pPr>
        <w:ind w:left="1500"/>
        <w:spacing w:after="0"/>
        <w:tabs>
          <w:tab w:leader="none" w:pos="184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4"/>
          <w:szCs w:val="14"/>
          <w:u w:val="single" w:color="auto"/>
          <w:color w:val="0000FF"/>
        </w:rPr>
        <w:t>Press Release of Tradeweb Markets Inc., dated June 20, 2024.</w:t>
      </w:r>
    </w:p>
    <w:p>
      <w:pPr>
        <w:spacing w:after="0" w:line="23" w:lineRule="exact"/>
        <w:rPr>
          <w:sz w:val="20"/>
          <w:szCs w:val="20"/>
          <w:color w:val="auto"/>
        </w:rPr>
      </w:pPr>
    </w:p>
    <w:p>
      <w:pPr>
        <w:ind w:left="1520"/>
        <w:spacing w:after="0"/>
        <w:tabs>
          <w:tab w:leader="none" w:pos="1840" w:val="left"/>
        </w:tabs>
        <w:rPr>
          <w:sz w:val="20"/>
          <w:szCs w:val="20"/>
          <w:color w:val="auto"/>
        </w:rPr>
      </w:pPr>
      <w:r>
        <w:rPr>
          <w:rFonts w:ascii="Times New Roman" w:cs="Times New Roman" w:eastAsia="Times New Roman" w:hAnsi="Times New Roman"/>
          <w:sz w:val="14"/>
          <w:szCs w:val="14"/>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6880" w:type="dxa"/>
            <w:vAlign w:val="bottom"/>
            <w:gridSpan w:val="2"/>
          </w:tcPr>
          <w:p>
            <w:pPr>
              <w:ind w:left="2460"/>
              <w:spacing w:after="0"/>
              <w:rPr>
                <w:sz w:val="20"/>
                <w:szCs w:val="20"/>
                <w:color w:val="auto"/>
              </w:rPr>
            </w:pPr>
            <w:r>
              <w:rPr>
                <w:rFonts w:ascii="Times New Roman" w:cs="Times New Roman" w:eastAsia="Times New Roman" w:hAnsi="Times New Roman"/>
                <w:sz w:val="14"/>
                <w:szCs w:val="14"/>
                <w:color w:val="auto"/>
              </w:rPr>
              <w:t>TRADEWEB MARKETS INC.</w:t>
            </w:r>
          </w:p>
        </w:tc>
      </w:tr>
      <w:tr>
        <w:trPr>
          <w:trHeight w:val="414"/>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Date: June 20, 2024</w:t>
            </w:r>
          </w:p>
        </w:tc>
        <w:tc>
          <w:tcPr>
            <w:tcW w:w="6880" w:type="dxa"/>
            <w:vAlign w:val="bottom"/>
            <w:gridSpan w:val="2"/>
          </w:tcPr>
          <w:p>
            <w:pPr>
              <w:ind w:left="2460"/>
              <w:spacing w:after="0"/>
              <w:rPr>
                <w:sz w:val="20"/>
                <w:szCs w:val="20"/>
                <w:color w:val="auto"/>
              </w:rPr>
            </w:pPr>
            <w:r>
              <w:rPr>
                <w:rFonts w:ascii="Times New Roman" w:cs="Times New Roman" w:eastAsia="Times New Roman" w:hAnsi="Times New Roman"/>
                <w:sz w:val="14"/>
                <w:szCs w:val="14"/>
                <w:color w:val="auto"/>
              </w:rPr>
              <w:t>By:    /s/ Douglas Friedman</w:t>
            </w:r>
          </w:p>
        </w:tc>
      </w:tr>
      <w:tr>
        <w:trPr>
          <w:trHeight w:val="22"/>
        </w:trPr>
        <w:tc>
          <w:tcPr>
            <w:tcW w:w="3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75"/>
        </w:trPr>
        <w:tc>
          <w:tcPr>
            <w:tcW w:w="36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Douglas Friedman</w:t>
            </w:r>
          </w:p>
        </w:tc>
      </w:tr>
      <w:tr>
        <w:trPr>
          <w:trHeight w:val="198"/>
        </w:trPr>
        <w:tc>
          <w:tcPr>
            <w:tcW w:w="36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General Counsel</w:t>
            </w:r>
          </w:p>
        </w:tc>
      </w:tr>
    </w:tbl>
    <w:p>
      <w:pPr>
        <w:sectPr>
          <w:pgSz w:w="11900" w:h="16838" w:orient="portrait"/>
          <w:cols w:equalWidth="0" w:num="1">
            <w:col w:w="10480"/>
          </w:cols>
          <w:pgMar w:left="820" w:top="728" w:right="5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2024-06-20T08:08:25Z</dcterms:created>
  <dcterms:modified xsi:type="dcterms:W3CDTF">2024-06-20T08:08:25Z</dcterms:modified>
</cp:coreProperties>
</file>