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01/03/2022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18,614</w:t>
            </w:r>
            <w:r>
              <w:rPr>
                <w:rFonts w:ascii="Arial" w:cs="Arial" w:eastAsia="Arial" w:hAnsi="Arial"/>
                <w:sz w:val="22"/>
                <w:szCs w:val="22"/>
                <w:color w:val="008000"/>
                <w:w w:val="97"/>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100.14</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61,333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01/03/2022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ind w:right="72"/>
              <w:spacing w:after="0"/>
              <w:rPr>
                <w:sz w:val="20"/>
                <w:szCs w:val="20"/>
                <w:color w:val="auto"/>
              </w:rPr>
            </w:pPr>
            <w:r>
              <w:rPr>
                <w:rFonts w:ascii="Arial" w:cs="Arial" w:eastAsia="Arial" w:hAnsi="Arial"/>
                <w:sz w:val="17"/>
                <w:szCs w:val="17"/>
                <w:color w:val="0000FF"/>
              </w:rPr>
              <w:t>341</w:t>
            </w:r>
            <w:r>
              <w:rPr>
                <w:rFonts w:ascii="Arial" w:cs="Arial" w:eastAsia="Arial" w:hAnsi="Arial"/>
                <w:sz w:val="22"/>
                <w:szCs w:val="22"/>
                <w:color w:val="008000"/>
                <w:vertAlign w:val="superscript"/>
              </w:rPr>
              <w:t>(3)</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61,674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32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6,860 unvested RSUs in respect of Class A Common Stock which are scheduled to vest in equal installments on each of March 17, 2022 and March 17, 2023, (ii) 20,580 unvested RSUs in respect of Class A Common Stock which are scheduled to vest on January 1, 2023, and (iii) 5,825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8" w:lineRule="exact"/>
        <w:rPr>
          <w:rFonts w:ascii="Arial" w:cs="Arial" w:eastAsia="Arial" w:hAnsi="Arial"/>
          <w:sz w:val="12"/>
          <w:szCs w:val="12"/>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01/05/2022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2022-01-05T19:47:14Z</dcterms:created>
  <dcterms:modified xsi:type="dcterms:W3CDTF">2022-01-05T19:47:14Z</dcterms:modified>
</cp:coreProperties>
</file>