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23495</wp:posOffset>
            </wp:positionV>
            <wp:extent cx="6993255" cy="5456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45655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60" w:space="28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Friedman Douglas</w:t>
        </w:r>
      </w:hyperlink>
    </w:p>
    <w:p>
      <w:pPr>
        <w:spacing w:after="0" w:line="29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16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TRADEWEB MARKETS INC.</w:t>
            </w:r>
          </w:p>
        </w:tc>
        <w:tc>
          <w:tcPr>
            <w:tcW w:w="1340" w:type="dxa"/>
            <w:vAlign w:val="bottom"/>
          </w:tcPr>
          <w:p>
            <w:pPr>
              <w:spacing w:after="0"/>
              <w:rPr>
                <w:sz w:val="23"/>
                <w:szCs w:val="23"/>
                <w:color w:val="auto"/>
              </w:rPr>
            </w:pPr>
          </w:p>
        </w:tc>
      </w:tr>
      <w:tr>
        <w:trPr>
          <w:trHeight w:val="259"/>
        </w:trPr>
        <w:tc>
          <w:tcPr>
            <w:tcW w:w="20" w:type="dxa"/>
            <w:vAlign w:val="bottom"/>
          </w:tcPr>
          <w:p>
            <w:pPr>
              <w:spacing w:after="0"/>
              <w:rPr>
                <w:sz w:val="22"/>
                <w:szCs w:val="22"/>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1177 AVENUE OF THE AMERICAS</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60"/>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16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Times New Roman" w:cs="Times New Roman" w:eastAsia="Times New Roman" w:hAnsi="Times New Roman"/>
                <w:sz w:val="15"/>
                <w:szCs w:val="15"/>
                <w:color w:val="0000EE"/>
              </w:rPr>
            </w:pPr>
            <w:hyperlink r:id="rId13">
              <w:r>
                <w:rPr>
                  <w:rFonts w:ascii="Times New Roman" w:cs="Times New Roman" w:eastAsia="Times New Roman" w:hAnsi="Times New Roman"/>
                  <w:sz w:val="15"/>
                  <w:szCs w:val="15"/>
                  <w:color w:val="0000EE"/>
                </w:rPr>
                <w:t xml:space="preserve">Tradeweb Markets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TW</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2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02/23/2024</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General Counsel and Secretary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1"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3" w:lineRule="exact"/>
        <w:rPr>
          <w:sz w:val="24"/>
          <w:szCs w:val="24"/>
          <w:color w:val="auto"/>
        </w:rPr>
      </w:pPr>
    </w:p>
    <w:p>
      <w:pPr>
        <w:ind w:left="360" w:right="580" w:hanging="237"/>
        <w:spacing w:after="0" w:line="183"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jc w:val="center"/>
              <w:ind w:right="84"/>
              <w:spacing w:after="0"/>
              <w:rPr>
                <w:sz w:val="20"/>
                <w:szCs w:val="20"/>
                <w:color w:val="auto"/>
              </w:rPr>
            </w:pPr>
            <w:r>
              <w:rPr>
                <w:rFonts w:ascii="Arial" w:cs="Arial" w:eastAsia="Arial" w:hAnsi="Arial"/>
                <w:sz w:val="12"/>
                <w:szCs w:val="12"/>
                <w:b w:val="1"/>
                <w:bCs w:val="1"/>
                <w:color w:val="auto"/>
                <w:w w:val="99"/>
              </w:rPr>
              <w:t>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02/23/2024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26,232</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62,390</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02/23/2024</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3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right"/>
              <w:ind w:right="133"/>
              <w:spacing w:after="0"/>
              <w:rPr>
                <w:sz w:val="20"/>
                <w:szCs w:val="20"/>
                <w:color w:val="auto"/>
              </w:rPr>
            </w:pPr>
            <w:r>
              <w:rPr>
                <w:rFonts w:ascii="Times New Roman" w:cs="Times New Roman" w:eastAsia="Times New Roman" w:hAnsi="Times New Roman"/>
                <w:sz w:val="17"/>
                <w:szCs w:val="17"/>
                <w:color w:val="0000FF"/>
              </w:rPr>
              <w:t>26,232</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104.8455</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36,158</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14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5"/>
              </w:rPr>
              <w:t>5. Number</w:t>
            </w:r>
          </w:p>
        </w:tc>
        <w:tc>
          <w:tcPr>
            <w:tcW w:w="1620" w:type="dxa"/>
            <w:vAlign w:val="bottom"/>
            <w:gridSpan w:val="3"/>
          </w:tcPr>
          <w:p>
            <w:pPr>
              <w:ind w:left="2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22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620" w:type="dxa"/>
            <w:vAlign w:val="bottom"/>
            <w:gridSpan w:val="3"/>
          </w:tcPr>
          <w:p>
            <w:pPr>
              <w:ind w:left="2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 (Instr.</w:t>
            </w: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w w:val="95"/>
              </w:rPr>
              <w:t>3, 4 and 5)</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2"/>
              </w:rPr>
              <w:t>Date</w:t>
            </w:r>
          </w:p>
        </w:tc>
        <w:tc>
          <w:tcPr>
            <w:tcW w:w="300" w:type="dxa"/>
            <w:vAlign w:val="bottom"/>
          </w:tcPr>
          <w:p>
            <w:pPr>
              <w:spacing w:after="0"/>
              <w:rPr>
                <w:sz w:val="11"/>
                <w:szCs w:val="11"/>
                <w:color w:val="auto"/>
              </w:rPr>
            </w:pPr>
          </w:p>
        </w:tc>
        <w:tc>
          <w:tcPr>
            <w:tcW w:w="84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3"/>
          </w:tcPr>
          <w:p>
            <w:pPr>
              <w:ind w:left="22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restart"/>
          </w:tcPr>
          <w:p>
            <w:pPr>
              <w:ind w:left="100"/>
              <w:spacing w:after="0" w:line="207"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vMerge w:val="restart"/>
          </w:tcPr>
          <w:p>
            <w:pPr>
              <w:jc w:val="right"/>
              <w:ind w:right="124"/>
              <w:spacing w:after="0"/>
              <w:rPr>
                <w:sz w:val="20"/>
                <w:szCs w:val="20"/>
                <w:color w:val="auto"/>
              </w:rPr>
            </w:pPr>
            <w:r>
              <w:rPr>
                <w:rFonts w:ascii="Times New Roman" w:cs="Times New Roman" w:eastAsia="Times New Roman" w:hAnsi="Times New Roman"/>
                <w:sz w:val="11"/>
                <w:szCs w:val="11"/>
                <w:color w:val="008000"/>
                <w:w w:val="77"/>
              </w:rPr>
              <w:t>(4)</w:t>
            </w:r>
          </w:p>
        </w:tc>
        <w:tc>
          <w:tcPr>
            <w:tcW w:w="8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26,232</w:t>
            </w: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20.59</w:t>
            </w:r>
          </w:p>
        </w:tc>
        <w:tc>
          <w:tcPr>
            <w:tcW w:w="1040" w:type="dxa"/>
            <w:vAlign w:val="bottom"/>
            <w:vMerge w:val="restart"/>
          </w:tcPr>
          <w:p>
            <w:pPr>
              <w:jc w:val="right"/>
              <w:ind w:right="140"/>
              <w:spacing w:after="0" w:line="143" w:lineRule="exact"/>
              <w:rPr>
                <w:sz w:val="20"/>
                <w:szCs w:val="20"/>
                <w:color w:val="auto"/>
              </w:rPr>
            </w:pPr>
            <w:r>
              <w:rPr>
                <w:rFonts w:ascii="Times New Roman" w:cs="Times New Roman" w:eastAsia="Times New Roman" w:hAnsi="Times New Roman"/>
                <w:sz w:val="13"/>
                <w:szCs w:val="13"/>
                <w:color w:val="0000FF"/>
              </w:rPr>
              <w:t>02/23/2024</w:t>
            </w:r>
          </w:p>
        </w:tc>
        <w:tc>
          <w:tcPr>
            <w:tcW w:w="114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gridSpan w:val="2"/>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26,232</w:t>
            </w:r>
          </w:p>
        </w:tc>
        <w:tc>
          <w:tcPr>
            <w:tcW w:w="300" w:type="dxa"/>
            <w:vAlign w:val="bottom"/>
            <w:vMerge w:val="continue"/>
          </w:tcPr>
          <w:p>
            <w:pPr>
              <w:spacing w:after="0"/>
              <w:rPr>
                <w:sz w:val="6"/>
                <w:szCs w:val="6"/>
                <w:color w:val="auto"/>
              </w:rPr>
            </w:pPr>
          </w:p>
        </w:tc>
        <w:tc>
          <w:tcPr>
            <w:tcW w:w="84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10/26/2028</w:t>
            </w:r>
          </w:p>
        </w:tc>
        <w:tc>
          <w:tcPr>
            <w:tcW w:w="680" w:type="dxa"/>
            <w:vAlign w:val="bottom"/>
            <w:gridSpan w:val="2"/>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6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4"/>
              </w:rPr>
              <w:t>stock</w:t>
            </w: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-2107565</wp:posOffset>
            </wp:positionV>
            <wp:extent cx="29210" cy="211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26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November 24, 2023.</w:t>
      </w:r>
    </w:p>
    <w:p>
      <w:pPr>
        <w:spacing w:after="0" w:line="44" w:lineRule="exact"/>
        <w:rPr>
          <w:rFonts w:ascii="Times New Roman" w:cs="Times New Roman" w:eastAsia="Times New Roman" w:hAnsi="Times New Roman"/>
          <w:sz w:val="13"/>
          <w:szCs w:val="13"/>
          <w:color w:val="008000"/>
        </w:rPr>
      </w:pPr>
    </w:p>
    <w:p>
      <w:pPr>
        <w:ind w:left="40" w:right="20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1,697 unvested restricted stock units ("RSUs") in respect of the issuer's Class A common stock ("Class A Common Stock") which are scheduled to vest on March 15, 2024, (ii) 3,483 unvested RSUs in respect of Class A Common Stock which are scheduled to vest in equal installments on March 15, 2024 and March 15, 2025, (iii) 6,749 unvested RSUs in respect of Class A Common Stock that are scheduled to vest on January 1, 2025, and (iv) 7,547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28" w:lineRule="exact"/>
        <w:rPr>
          <w:rFonts w:ascii="Times New Roman" w:cs="Times New Roman" w:eastAsia="Times New Roman" w:hAnsi="Times New Roman"/>
          <w:sz w:val="13"/>
          <w:szCs w:val="13"/>
          <w:color w:val="008000"/>
        </w:rPr>
      </w:pPr>
    </w:p>
    <w:p>
      <w:pPr>
        <w:ind w:left="40" w:right="2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$104.36 to $105.46,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Douglas Friedman</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02/27/2024</w:t>
            </w: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2024-02-27T15:23:13Z</dcterms:created>
  <dcterms:modified xsi:type="dcterms:W3CDTF">2024-02-27T15:23:13Z</dcterms:modified>
</cp:coreProperties>
</file>