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Friedman Douglas</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03/15/2022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05"/>
        <w:spacing w:after="0"/>
        <w:rPr>
          <w:sz w:val="20"/>
          <w:szCs w:val="20"/>
          <w:color w:val="auto"/>
        </w:rPr>
      </w:pPr>
      <w:r>
        <w:rPr>
          <w:rFonts w:ascii="Arial" w:cs="Arial" w:eastAsia="Arial" w:hAnsi="Arial"/>
          <w:sz w:val="17"/>
          <w:szCs w:val="17"/>
          <w:color w:val="0000FF"/>
        </w:rPr>
        <w:t>General Counsel and Secretary</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440" w:type="dxa"/>
            <w:vAlign w:val="bottom"/>
            <w:tcBorders>
              <w:bottom w:val="single" w:sz="8" w:color="2C2C2C"/>
            </w:tcBorders>
            <w:gridSpan w:val="5"/>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tcBorders>
              <w:bottom w:val="single" w:sz="8" w:color="2C2C2C"/>
            </w:tcBorders>
            <w:gridSpan w:val="3"/>
          </w:tcPr>
          <w:p>
            <w:pPr>
              <w:ind w:left="920"/>
              <w:spacing w:after="0"/>
              <w:rPr>
                <w:sz w:val="20"/>
                <w:szCs w:val="20"/>
                <w:color w:val="auto"/>
              </w:rPr>
            </w:pPr>
            <w:r>
              <w:rPr>
                <w:rFonts w:ascii="Arial" w:cs="Arial" w:eastAsia="Arial" w:hAnsi="Arial"/>
                <w:sz w:val="17"/>
                <w:szCs w:val="17"/>
                <w:color w:val="0000FF"/>
              </w:rPr>
              <w:t>03/15/2022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5,224</w:t>
            </w:r>
          </w:p>
        </w:tc>
        <w:tc>
          <w:tcPr>
            <w:tcW w:w="4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47,505</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0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transaction is an award of restricted stock units ("RSUs") in respect of the issuer's Class A common stock ("Class A Common Stock"). Subject to the reporting person's continued employment through the applicable vesting date, these RSUs are scheduled to vest in equal installments on each of the first, second and third anniversaries of March 15, 2022.</w:t>
      </w:r>
    </w:p>
    <w:p>
      <w:pPr>
        <w:jc w:val="both"/>
        <w:ind w:left="40" w:right="300" w:firstLine="7"/>
        <w:spacing w:after="0" w:line="27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3,001 unvested RSUs in respect of Class A Common Stock which are scheduled to vest on March 17, 2023, (ii) 18,008 unvested RSUs in respect of Class A Common Stock which are scheduled to vest on January 1, 2023, (iii) 3,394 unvested RSUs in respect of Class A Common Stock which are scheduled to vest in equal installments on each of March 15, 2023 and March 15, 2024, (iv) 10,180 unvested RSUs in respect of Class A Common Stock which are scheduled to vest on January 1, 2024, and (v) 5,224 unvested RSUs in respect of Class A Common Stock which are scheduled to vest as described in footnote 1 to this Form 4, in each case subject to the reporting person's continued employment through the applicable vesting date.</w:t>
      </w:r>
    </w:p>
    <w:p>
      <w:pPr>
        <w:spacing w:after="0" w:line="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03/17/2022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Douglas Friedman</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8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3"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2022-03-17T20:56:38Z</dcterms:created>
  <dcterms:modified xsi:type="dcterms:W3CDTF">2022-03-17T20:56:38Z</dcterms:modified>
</cp:coreProperties>
</file>