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Maisey Simon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Managing Director, Corp. Dev.</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jc w:val="right"/>
              <w:ind w:right="251"/>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04/18/2022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318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83.044</w:t>
            </w:r>
            <w:r>
              <w:rPr>
                <w:rFonts w:ascii="Times New Roman" w:cs="Times New Roman" w:eastAsia="Times New Roman" w:hAnsi="Times New Roman"/>
                <w:sz w:val="22"/>
                <w:szCs w:val="22"/>
                <w:color w:val="008000"/>
                <w:w w:val="98"/>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68,357</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04/18/2022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682</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84.1223</w:t>
            </w:r>
            <w:r>
              <w:rPr>
                <w:rFonts w:ascii="Times New Roman" w:cs="Times New Roman" w:eastAsia="Times New Roman" w:hAnsi="Times New Roman"/>
                <w:sz w:val="22"/>
                <w:szCs w:val="22"/>
                <w:color w:val="008000"/>
                <w:w w:val="92"/>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67,675</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15, 2021.</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$82.85 to $83.26,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and 4 to this Form 4.</w:t>
      </w:r>
    </w:p>
    <w:p>
      <w:pPr>
        <w:spacing w:after="0" w:line="20"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3,430 unvested restricted stock units ("RSUs") in respect of the issuer's Class A common stock ("Class A Common Stock") which are scheduled to vest on March 17, 2023, (ii) 20,580 unvested RSUs in respect of Class A Common Stock which are scheduled to vest on January 1, 2023, (iii) 3,883 unvested RSUs in respect of Class A Common Stock which are scheduled to vest in equal installments on each of March 15, 2023 and March 15, 2024, (iv) 11,650 unvested RSUs in respect of Class A Common Stock which are scheduled to vest on January 1, 2024, and (v) 5,612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$83.91 to $84.31, inclusive.</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04/20/2022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2022-04-20T17:52:47Z</dcterms:created>
  <dcterms:modified xsi:type="dcterms:W3CDTF">2022-04-20T17:52:47Z</dcterms:modified>
</cp:coreProperties>
</file>