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Refinitiv US PME LLC</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12/31/2023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Tradeweb Markets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28 LIBERTY PLACE, 58TH FLOOR</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10005</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02/08/2021</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60" w:right="320" w:hanging="304"/>
        <w:spacing w:after="0" w:line="180" w:lineRule="auto"/>
        <w:tabs>
          <w:tab w:leader="none" w:pos="460"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476" w:lineRule="exact"/>
        <w:rPr>
          <w:sz w:val="24"/>
          <w:szCs w:val="24"/>
          <w:color w:val="auto"/>
        </w:rPr>
      </w:pPr>
    </w:p>
    <w:p>
      <w:pPr>
        <w:sectPr>
          <w:pgSz w:w="11900" w:h="16838" w:orient="portrait"/>
          <w:cols w:equalWidth="0" w:num="3">
            <w:col w:w="4277" w:space="720"/>
            <w:col w:w="3003" w:space="260"/>
            <w:col w:w="268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3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300" w:type="dxa"/>
            <w:vAlign w:val="bottom"/>
          </w:tcPr>
          <w:p>
            <w:pPr>
              <w:ind w:left="1360"/>
              <w:spacing w:after="0"/>
              <w:rPr>
                <w:sz w:val="20"/>
                <w:szCs w:val="20"/>
                <w:color w:val="auto"/>
              </w:rPr>
            </w:pPr>
            <w:r>
              <w:rPr>
                <w:rFonts w:ascii="Arial" w:cs="Arial" w:eastAsia="Arial" w:hAnsi="Arial"/>
                <w:sz w:val="15"/>
                <w:szCs w:val="15"/>
                <w:b w:val="1"/>
                <w:bCs w:val="1"/>
                <w:color w:val="auto"/>
              </w:rPr>
              <w:t>2. Amount of Securities</w:t>
            </w:r>
          </w:p>
        </w:tc>
        <w:tc>
          <w:tcPr>
            <w:tcW w:w="1400" w:type="dxa"/>
            <w:vAlign w:val="bottom"/>
          </w:tcPr>
          <w:p>
            <w:pPr>
              <w:ind w:left="100"/>
              <w:spacing w:after="0"/>
              <w:rPr>
                <w:sz w:val="20"/>
                <w:szCs w:val="20"/>
                <w:color w:val="auto"/>
              </w:rPr>
            </w:pPr>
            <w:r>
              <w:rPr>
                <w:rFonts w:ascii="Arial" w:cs="Arial" w:eastAsia="Arial" w:hAnsi="Arial"/>
                <w:sz w:val="15"/>
                <w:szCs w:val="15"/>
                <w:b w:val="1"/>
                <w:bCs w:val="1"/>
                <w:color w:val="auto"/>
              </w:rPr>
              <w:t>3. Ownership</w:t>
            </w:r>
          </w:p>
        </w:tc>
        <w:tc>
          <w:tcPr>
            <w:tcW w:w="2840" w:type="dxa"/>
            <w:vAlign w:val="bottom"/>
          </w:tcPr>
          <w:p>
            <w:pPr>
              <w:ind w:left="14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360" w:type="dxa"/>
            <w:vAlign w:val="bottom"/>
          </w:tcPr>
          <w:p>
            <w:pPr>
              <w:spacing w:after="0"/>
              <w:rPr>
                <w:sz w:val="14"/>
                <w:szCs w:val="14"/>
                <w:color w:val="auto"/>
              </w:rPr>
            </w:pPr>
          </w:p>
        </w:tc>
        <w:tc>
          <w:tcPr>
            <w:tcW w:w="3300" w:type="dxa"/>
            <w:vAlign w:val="bottom"/>
          </w:tcPr>
          <w:p>
            <w:pPr>
              <w:ind w:left="13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4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Form: Direct (D)</w:t>
            </w:r>
          </w:p>
        </w:tc>
        <w:tc>
          <w:tcPr>
            <w:tcW w:w="284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360" w:type="dxa"/>
            <w:vAlign w:val="bottom"/>
          </w:tcPr>
          <w:p>
            <w:pPr>
              <w:spacing w:after="0"/>
              <w:rPr>
                <w:sz w:val="14"/>
                <w:szCs w:val="14"/>
                <w:color w:val="auto"/>
              </w:rPr>
            </w:pPr>
          </w:p>
        </w:tc>
        <w:tc>
          <w:tcPr>
            <w:tcW w:w="3300" w:type="dxa"/>
            <w:vAlign w:val="bottom"/>
          </w:tcPr>
          <w:p>
            <w:pPr>
              <w:ind w:left="1360"/>
              <w:spacing w:after="0" w:line="165" w:lineRule="exact"/>
              <w:rPr>
                <w:sz w:val="20"/>
                <w:szCs w:val="20"/>
                <w:color w:val="auto"/>
              </w:rPr>
            </w:pPr>
            <w:r>
              <w:rPr>
                <w:rFonts w:ascii="Arial" w:cs="Arial" w:eastAsia="Arial" w:hAnsi="Arial"/>
                <w:sz w:val="15"/>
                <w:szCs w:val="15"/>
                <w:b w:val="1"/>
                <w:bCs w:val="1"/>
                <w:color w:val="auto"/>
              </w:rPr>
              <w:t>4)</w:t>
            </w:r>
          </w:p>
        </w:tc>
        <w:tc>
          <w:tcPr>
            <w:tcW w:w="14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or Indirect (I)</w:t>
            </w:r>
          </w:p>
        </w:tc>
        <w:tc>
          <w:tcPr>
            <w:tcW w:w="2840" w:type="dxa"/>
            <w:vAlign w:val="bottom"/>
          </w:tcPr>
          <w:p>
            <w:pPr>
              <w:spacing w:after="0"/>
              <w:rPr>
                <w:sz w:val="14"/>
                <w:szCs w:val="14"/>
                <w:color w:val="auto"/>
              </w:rPr>
            </w:pPr>
          </w:p>
        </w:tc>
      </w:tr>
      <w:tr>
        <w:trPr>
          <w:trHeight w:val="206"/>
        </w:trPr>
        <w:tc>
          <w:tcPr>
            <w:tcW w:w="3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00" w:type="dxa"/>
            <w:vAlign w:val="bottom"/>
          </w:tcPr>
          <w:p>
            <w:pPr>
              <w:ind w:left="100"/>
              <w:spacing w:after="0"/>
              <w:rPr>
                <w:sz w:val="20"/>
                <w:szCs w:val="20"/>
                <w:color w:val="auto"/>
              </w:rPr>
            </w:pPr>
            <w:r>
              <w:rPr>
                <w:rFonts w:ascii="Arial" w:cs="Arial" w:eastAsia="Arial" w:hAnsi="Arial"/>
                <w:sz w:val="15"/>
                <w:szCs w:val="15"/>
                <w:b w:val="1"/>
                <w:bCs w:val="1"/>
                <w:color w:val="auto"/>
              </w:rPr>
              <w:t>(Instr. 5)</w:t>
            </w:r>
          </w:p>
        </w:tc>
        <w:tc>
          <w:tcPr>
            <w:tcW w:w="2840" w:type="dxa"/>
            <w:vAlign w:val="bottom"/>
          </w:tcPr>
          <w:p>
            <w:pPr>
              <w:spacing w:after="0"/>
              <w:rPr>
                <w:sz w:val="17"/>
                <w:szCs w:val="17"/>
                <w:color w:val="auto"/>
              </w:rPr>
            </w:pPr>
          </w:p>
        </w:tc>
      </w:tr>
      <w:tr>
        <w:trPr>
          <w:trHeight w:val="44"/>
        </w:trPr>
        <w:tc>
          <w:tcPr>
            <w:tcW w:w="3360" w:type="dxa"/>
            <w:vAlign w:val="bottom"/>
            <w:tcBorders>
              <w:bottom w:val="single" w:sz="8" w:color="2C2C2C"/>
            </w:tcBorders>
          </w:tcPr>
          <w:p>
            <w:pPr>
              <w:spacing w:after="0"/>
              <w:rPr>
                <w:sz w:val="3"/>
                <w:szCs w:val="3"/>
                <w:color w:val="auto"/>
              </w:rPr>
            </w:pPr>
          </w:p>
        </w:tc>
        <w:tc>
          <w:tcPr>
            <w:tcW w:w="33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gridSpan w:val="6"/>
          </w:tcPr>
          <w:p>
            <w:pPr>
              <w:ind w:left="80"/>
              <w:spacing w:after="0"/>
              <w:rPr>
                <w:sz w:val="20"/>
                <w:szCs w:val="20"/>
                <w:color w:val="auto"/>
              </w:rPr>
            </w:pPr>
            <w:r>
              <w:rPr>
                <w:rFonts w:ascii="Times New Roman" w:cs="Times New Roman" w:eastAsia="Times New Roman" w:hAnsi="Times New Roman"/>
                <w:sz w:val="20"/>
                <w:szCs w:val="20"/>
                <w:color w:val="0000FF"/>
              </w:rPr>
              <w:t>Class C Common Stock</w:t>
            </w:r>
            <w:r>
              <w:rPr>
                <w:rFonts w:ascii="Times New Roman" w:cs="Times New Roman" w:eastAsia="Times New Roman" w:hAnsi="Times New Roman"/>
                <w:sz w:val="25"/>
                <w:szCs w:val="25"/>
                <w:color w:val="008000"/>
                <w:vertAlign w:val="superscript"/>
              </w:rPr>
              <w:t>(2)</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rPr>
              <w:t>18,000,000</w:t>
            </w:r>
          </w:p>
        </w:tc>
        <w:tc>
          <w:tcPr>
            <w:tcW w:w="2100" w:type="dxa"/>
            <w:vAlign w:val="bottom"/>
            <w:tcBorders>
              <w:bottom w:val="single" w:sz="8" w:color="2C2C2C"/>
            </w:tcBorders>
            <w:gridSpan w:val="3"/>
          </w:tcPr>
          <w:p>
            <w:pPr>
              <w:ind w:left="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(5)(6)(7)(8)(9)(10)(11)</w:t>
            </w:r>
          </w:p>
        </w:tc>
        <w:tc>
          <w:tcPr>
            <w:tcW w:w="20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480" w:type="dxa"/>
            <w:vAlign w:val="bottom"/>
            <w:tcBorders>
              <w:top w:val="single" w:sz="8" w:color="2C2C2C"/>
            </w:tcBorders>
            <w:gridSpan w:val="7"/>
          </w:tcPr>
          <w:p>
            <w:pPr>
              <w:ind w:left="740"/>
              <w:spacing w:after="0"/>
              <w:rPr>
                <w:sz w:val="20"/>
                <w:szCs w:val="20"/>
                <w:color w:val="auto"/>
              </w:rPr>
            </w:pPr>
            <w:r>
              <w:rPr>
                <w:rFonts w:ascii="Arial" w:cs="Arial" w:eastAsia="Arial" w:hAnsi="Arial"/>
                <w:sz w:val="20"/>
                <w:szCs w:val="20"/>
                <w:b w:val="1"/>
                <w:bCs w:val="1"/>
                <w:color w:val="auto"/>
                <w:w w:val="99"/>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20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20" w:type="dxa"/>
            <w:vAlign w:val="bottom"/>
            <w:gridSpan w:val="8"/>
          </w:tcPr>
          <w:p>
            <w:pPr>
              <w:ind w:left="34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Derivative Security</w:t>
            </w:r>
          </w:p>
        </w:tc>
        <w:tc>
          <w:tcPr>
            <w:tcW w:w="192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40"/>
              <w:spacing w:after="0"/>
              <w:rPr>
                <w:sz w:val="20"/>
                <w:szCs w:val="20"/>
                <w:color w:val="auto"/>
              </w:rPr>
            </w:pPr>
            <w:r>
              <w:rPr>
                <w:rFonts w:ascii="Arial" w:cs="Arial" w:eastAsia="Arial" w:hAnsi="Arial"/>
                <w:sz w:val="15"/>
                <w:szCs w:val="15"/>
                <w:b w:val="1"/>
                <w:bCs w:val="1"/>
                <w:color w:val="auto"/>
              </w:rPr>
              <w:t>3. Title and Amount of Securities</w:t>
            </w:r>
          </w:p>
        </w:tc>
        <w:tc>
          <w:tcPr>
            <w:tcW w:w="1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20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20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Beneficial Ownership</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20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(Instr. 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8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 or</w:t>
            </w: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0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Number of</w:t>
            </w:r>
          </w:p>
        </w:tc>
        <w:tc>
          <w:tcPr>
            <w:tcW w:w="1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Date</w:t>
            </w:r>
          </w:p>
        </w:tc>
        <w:tc>
          <w:tcPr>
            <w:tcW w:w="15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20" w:type="dxa"/>
            <w:vAlign w:val="bottom"/>
            <w:gridSpan w:val="6"/>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20" w:type="dxa"/>
            <w:vAlign w:val="bottom"/>
          </w:tcPr>
          <w:p>
            <w:pPr>
              <w:spacing w:after="0"/>
              <w:rPr>
                <w:sz w:val="24"/>
                <w:szCs w:val="24"/>
                <w:color w:val="auto"/>
              </w:rPr>
            </w:pPr>
          </w:p>
        </w:tc>
        <w:tc>
          <w:tcPr>
            <w:tcW w:w="152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Class A Common</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96,933,192</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208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32"/>
                <w:szCs w:val="32"/>
                <w:color w:val="0000FF"/>
                <w:vertAlign w:val="subscript"/>
              </w:rPr>
              <w:t>See Footnotes</w:t>
            </w:r>
            <w:r>
              <w:rPr>
                <w:rFonts w:ascii="Times New Roman" w:cs="Times New Roman" w:eastAsia="Times New Roman" w:hAnsi="Times New Roman"/>
                <w:sz w:val="11"/>
                <w:szCs w:val="11"/>
                <w:color w:val="008000"/>
              </w:rPr>
              <w:t>(4)(6)(7)(8)(9)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gridSpan w:val="6"/>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106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(10)(11)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20" w:type="dxa"/>
            <w:vAlign w:val="bottom"/>
            <w:gridSpan w:val="6"/>
            <w:vMerge w:val="restart"/>
          </w:tcPr>
          <w:p>
            <w:pPr>
              <w:ind w:left="80"/>
              <w:spacing w:after="0"/>
              <w:rPr>
                <w:sz w:val="20"/>
                <w:szCs w:val="20"/>
                <w:color w:val="auto"/>
              </w:rPr>
            </w:pPr>
            <w:r>
              <w:rPr>
                <w:rFonts w:ascii="Times New Roman" w:cs="Times New Roman" w:eastAsia="Times New Roman" w:hAnsi="Times New Roman"/>
                <w:sz w:val="20"/>
                <w:szCs w:val="20"/>
                <w:color w:val="0000FF"/>
              </w:rPr>
              <w:t>Class D Common Stock</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(2)(3)</w:t>
            </w:r>
          </w:p>
        </w:tc>
        <w:tc>
          <w:tcPr>
            <w:tcW w:w="120" w:type="dxa"/>
            <w:vAlign w:val="bottom"/>
          </w:tcPr>
          <w:p>
            <w:pPr>
              <w:spacing w:after="0"/>
              <w:rPr>
                <w:sz w:val="24"/>
                <w:szCs w:val="24"/>
                <w:color w:val="auto"/>
              </w:rPr>
            </w:pPr>
          </w:p>
        </w:tc>
        <w:tc>
          <w:tcPr>
            <w:tcW w:w="152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Class C Common</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4,988,329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8"/>
              </w:rPr>
              <w:t>(2)(3)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208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32"/>
                <w:szCs w:val="32"/>
                <w:color w:val="0000FF"/>
                <w:vertAlign w:val="subscript"/>
              </w:rPr>
              <w:t>See Footnotes</w:t>
            </w:r>
            <w:r>
              <w:rPr>
                <w:rFonts w:ascii="Times New Roman" w:cs="Times New Roman" w:eastAsia="Times New Roman" w:hAnsi="Times New Roman"/>
                <w:sz w:val="11"/>
                <w:szCs w:val="11"/>
                <w:color w:val="008000"/>
              </w:rPr>
              <w:t>(5)(6)(7)(8)(9)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gridSpan w:val="6"/>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106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(10)(11)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0000FF"/>
                <w:w w:val="99"/>
              </w:rPr>
              <w:t>Non-voting common units of</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20" w:type="dxa"/>
            <w:vAlign w:val="bottom"/>
          </w:tcPr>
          <w:p>
            <w:pPr>
              <w:spacing w:after="0"/>
              <w:rPr>
                <w:sz w:val="24"/>
                <w:szCs w:val="24"/>
                <w:color w:val="auto"/>
              </w:rPr>
            </w:pPr>
          </w:p>
        </w:tc>
        <w:tc>
          <w:tcPr>
            <w:tcW w:w="152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Class A Common</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22,988,329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208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32"/>
                <w:szCs w:val="32"/>
                <w:color w:val="0000FF"/>
                <w:vertAlign w:val="subscript"/>
              </w:rPr>
              <w:t>See Footnotes</w:t>
            </w:r>
            <w:r>
              <w:rPr>
                <w:rFonts w:ascii="Times New Roman" w:cs="Times New Roman" w:eastAsia="Times New Roman" w:hAnsi="Times New Roman"/>
                <w:sz w:val="11"/>
                <w:szCs w:val="11"/>
                <w:color w:val="008000"/>
              </w:rPr>
              <w:t>(5)(6)(7)(8)(9)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gridSpan w:val="6"/>
            <w:vMerge w:val="restart"/>
          </w:tcPr>
          <w:p>
            <w:pPr>
              <w:ind w:left="80"/>
              <w:spacing w:after="0"/>
              <w:rPr>
                <w:sz w:val="20"/>
                <w:szCs w:val="20"/>
                <w:color w:val="auto"/>
              </w:rPr>
            </w:pPr>
            <w:r>
              <w:rPr>
                <w:rFonts w:ascii="Times New Roman" w:cs="Times New Roman" w:eastAsia="Times New Roman" w:hAnsi="Times New Roman"/>
                <w:sz w:val="20"/>
                <w:szCs w:val="20"/>
                <w:color w:val="0000FF"/>
              </w:rPr>
              <w:t>Tradeweb Markets LLC</w:t>
            </w: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restart"/>
          </w:tcPr>
          <w:p>
            <w:pPr>
              <w:jc w:val="center"/>
              <w:spacing w:after="0" w:line="316" w:lineRule="exact"/>
              <w:rPr>
                <w:sz w:val="20"/>
                <w:szCs w:val="20"/>
                <w:color w:val="auto"/>
              </w:rPr>
            </w:pPr>
            <w:r>
              <w:rPr>
                <w:rFonts w:ascii="Times New Roman" w:cs="Times New Roman" w:eastAsia="Times New Roman" w:hAnsi="Times New Roman"/>
                <w:sz w:val="36"/>
                <w:szCs w:val="36"/>
                <w:color w:val="0000FF"/>
                <w:w w:val="89"/>
                <w:vertAlign w:val="subscript"/>
              </w:rPr>
              <w:t>Stock</w:t>
            </w:r>
            <w:r>
              <w:rPr>
                <w:rFonts w:ascii="Times New Roman" w:cs="Times New Roman" w:eastAsia="Times New Roman" w:hAnsi="Times New Roman"/>
                <w:sz w:val="12"/>
                <w:szCs w:val="12"/>
                <w:color w:val="008000"/>
                <w:w w:val="89"/>
              </w:rPr>
              <w:t>(2)(3)</w:t>
            </w:r>
          </w:p>
        </w:tc>
        <w:tc>
          <w:tcPr>
            <w:tcW w:w="106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(10)(11)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420" w:type="dxa"/>
            <w:vAlign w:val="bottom"/>
            <w:tcBorders>
              <w:bottom w:val="single" w:sz="8" w:color="2C2C2C"/>
            </w:tcBorders>
            <w:gridSpan w:val="6"/>
            <w:vMerge w:val="continue"/>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520" w:type="dxa"/>
            <w:vAlign w:val="bottom"/>
            <w:tcBorders>
              <w:bottom w:val="single" w:sz="8" w:color="2C2C2C"/>
            </w:tcBorders>
            <w:vMerge w:val="continue"/>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2060" w:type="dxa"/>
            <w:vAlign w:val="bottom"/>
            <w:tcBorders>
              <w:bottom w:val="single" w:sz="8" w:color="2C2C2C"/>
            </w:tcBorders>
            <w:vMerge w:val="continue"/>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46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7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4"/>
          </w:tcPr>
          <w:p>
            <w:pPr>
              <w:spacing w:after="0" w:line="255" w:lineRule="exact"/>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Refinitiv US PME LLC</w:t>
              </w:r>
            </w:hyperlink>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56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1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040" w:type="dxa"/>
            <w:vAlign w:val="bottom"/>
          </w:tcPr>
          <w:p>
            <w:pPr>
              <w:ind w:left="460"/>
              <w:spacing w:after="0"/>
              <w:rPr>
                <w:sz w:val="20"/>
                <w:szCs w:val="20"/>
                <w:color w:val="auto"/>
              </w:rPr>
            </w:pPr>
            <w:r>
              <w:rPr>
                <w:rFonts w:ascii="Arial" w:cs="Arial" w:eastAsia="Arial" w:hAnsi="Arial"/>
                <w:sz w:val="15"/>
                <w:szCs w:val="15"/>
                <w:color w:val="auto"/>
              </w:rPr>
              <w:t>(Middle)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28 LIBERTY PLACE, 58TH FLOOR</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04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10005</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10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040" w:type="dxa"/>
            <w:vAlign w:val="bottom"/>
          </w:tcPr>
          <w:p>
            <w:pPr>
              <w:ind w:left="460"/>
              <w:spacing w:after="0"/>
              <w:rPr>
                <w:sz w:val="20"/>
                <w:szCs w:val="20"/>
                <w:color w:val="auto"/>
              </w:rPr>
            </w:pPr>
            <w:r>
              <w:rPr>
                <w:rFonts w:ascii="Arial" w:cs="Arial" w:eastAsia="Arial" w:hAnsi="Arial"/>
                <w:sz w:val="15"/>
                <w:szCs w:val="15"/>
                <w:color w:val="auto"/>
              </w:rPr>
              <w:t>(Zip)</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46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4"/>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Refinitiv US LLC</w:t>
              </w:r>
            </w:hyperlink>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1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040" w:type="dxa"/>
            <w:vAlign w:val="bottom"/>
          </w:tcPr>
          <w:p>
            <w:pPr>
              <w:ind w:left="460"/>
              <w:spacing w:after="0"/>
              <w:rPr>
                <w:sz w:val="20"/>
                <w:szCs w:val="20"/>
                <w:color w:val="auto"/>
              </w:rPr>
            </w:pPr>
            <w:r>
              <w:rPr>
                <w:rFonts w:ascii="Arial" w:cs="Arial" w:eastAsia="Arial" w:hAnsi="Arial"/>
                <w:sz w:val="15"/>
                <w:szCs w:val="15"/>
                <w:color w:val="auto"/>
              </w:rPr>
              <w:t>(Middle)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28 LIBERTY PLACE, 58TH FLOOR</w:t>
      </w:r>
    </w:p>
    <w:p>
      <w:pPr>
        <w:spacing w:after="0" w:line="38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0" w:gutter="0" w:footer="0" w:header="0"/>
          <w:type w:val="continuous"/>
        </w:sectPr>
      </w:pPr>
    </w:p>
    <w:p>
      <w:pPr>
        <w:spacing w:after="0" w:line="37" w:lineRule="exact"/>
        <w:rPr>
          <w:sz w:val="20"/>
          <w:szCs w:val="20"/>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NEW YORK</w:t>
      </w:r>
      <w:r>
        <w:rPr>
          <w:sz w:val="20"/>
          <w:szCs w:val="20"/>
          <w:color w:val="auto"/>
        </w:rPr>
        <w:tab/>
      </w:r>
      <w:r>
        <w:rPr>
          <w:rFonts w:ascii="Times New Roman" w:cs="Times New Roman" w:eastAsia="Times New Roman" w:hAnsi="Times New Roman"/>
          <w:sz w:val="20"/>
          <w:szCs w:val="20"/>
          <w:color w:val="0000FF"/>
        </w:rPr>
        <w:t>NY</w:t>
      </w:r>
      <w:r>
        <w:rPr>
          <w:sz w:val="20"/>
          <w:szCs w:val="20"/>
          <w:color w:val="auto"/>
        </w:rPr>
        <w:tab/>
      </w:r>
      <w:r>
        <w:rPr>
          <w:rFonts w:ascii="Times New Roman" w:cs="Times New Roman" w:eastAsia="Times New Roman" w:hAnsi="Times New Roman"/>
          <w:sz w:val="18"/>
          <w:szCs w:val="18"/>
          <w:color w:val="0000FF"/>
        </w:rPr>
        <w:t>10005</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3"/>
          </w:tcPr>
          <w:p>
            <w:pPr>
              <w:ind w:left="12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Borders>
              <w:bottom w:val="single" w:sz="8" w:color="0000EE"/>
            </w:tcBorders>
          </w:tcPr>
          <w:p>
            <w:pPr>
              <w:spacing w:after="0" w:line="255" w:lineRule="exact"/>
              <w:rPr>
                <w:rFonts w:ascii="Times New Roman" w:cs="Times New Roman" w:eastAsia="Times New Roman" w:hAnsi="Times New Roman"/>
                <w:sz w:val="24"/>
                <w:szCs w:val="24"/>
                <w:color w:val="0000EE"/>
                <w:w w:val="98"/>
              </w:rPr>
            </w:pPr>
            <w:hyperlink r:id="rId13">
              <w:r>
                <w:rPr>
                  <w:rFonts w:ascii="Times New Roman" w:cs="Times New Roman" w:eastAsia="Times New Roman" w:hAnsi="Times New Roman"/>
                  <w:sz w:val="24"/>
                  <w:szCs w:val="24"/>
                  <w:color w:val="0000EE"/>
                  <w:w w:val="98"/>
                </w:rPr>
                <w:t>LSEGA, Inc.</w:t>
              </w:r>
            </w:hyperlink>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3"/>
          </w:tcPr>
          <w:p>
            <w:pPr>
              <w:ind w:left="120"/>
              <w:spacing w:after="0"/>
              <w:rPr>
                <w:sz w:val="20"/>
                <w:szCs w:val="20"/>
                <w:color w:val="auto"/>
              </w:rPr>
            </w:pPr>
            <w:r>
              <w:rPr>
                <w:rFonts w:ascii="Arial" w:cs="Arial" w:eastAsia="Arial" w:hAnsi="Arial"/>
                <w:sz w:val="15"/>
                <w:szCs w:val="15"/>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28 LIBERTY PLACE, 58TH FLOOR</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NY</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10005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3"/>
          </w:tcPr>
          <w:p>
            <w:pPr>
              <w:ind w:left="12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4"/>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LSEG US Holdco, Inc.</w:t>
              </w:r>
            </w:hyperlink>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3"/>
          </w:tcPr>
          <w:p>
            <w:pPr>
              <w:ind w:left="120"/>
              <w:spacing w:after="0"/>
              <w:rPr>
                <w:sz w:val="20"/>
                <w:szCs w:val="20"/>
                <w:color w:val="auto"/>
              </w:rPr>
            </w:pPr>
            <w:r>
              <w:rPr>
                <w:rFonts w:ascii="Arial" w:cs="Arial" w:eastAsia="Arial" w:hAnsi="Arial"/>
                <w:sz w:val="15"/>
                <w:szCs w:val="15"/>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28 LIBERTY PLACE, 58TH FLOOR</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NY</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10005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3"/>
          </w:tcPr>
          <w:p>
            <w:pPr>
              <w:ind w:left="12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4"/>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Refinitiv TW Holdings Ltd.</w:t>
              </w:r>
            </w:hyperlink>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3"/>
          </w:tcPr>
          <w:p>
            <w:pPr>
              <w:ind w:left="120"/>
              <w:spacing w:after="0"/>
              <w:rPr>
                <w:sz w:val="20"/>
                <w:szCs w:val="20"/>
                <w:color w:val="auto"/>
              </w:rPr>
            </w:pPr>
            <w:r>
              <w:rPr>
                <w:rFonts w:ascii="Arial" w:cs="Arial" w:eastAsia="Arial" w:hAnsi="Arial"/>
                <w:sz w:val="15"/>
                <w:szCs w:val="15"/>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9618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2798445" cy="961834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0"/>
          <w:szCs w:val="20"/>
          <w:color w:val="0000FF"/>
        </w:rPr>
        <w:t>FIVE CANADA SQUARE, CANARY WHARF</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0000FF"/>
              </w:rPr>
              <w:t>LONDON</w:t>
            </w: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0000FF"/>
              </w:rPr>
              <w:t>X0</w:t>
            </w:r>
          </w:p>
        </w:tc>
        <w:tc>
          <w:tcPr>
            <w:tcW w:w="18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0000FF"/>
              </w:rPr>
              <w:t>E14 5AQ</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2"/>
          </w:tcPr>
          <w:p>
            <w:pPr>
              <w:ind w:left="280"/>
              <w:spacing w:after="0"/>
              <w:rPr>
                <w:sz w:val="20"/>
                <w:szCs w:val="20"/>
                <w:color w:val="auto"/>
              </w:rPr>
            </w:pPr>
            <w:r>
              <w:rPr>
                <w:rFonts w:ascii="Arial" w:cs="Arial" w:eastAsia="Arial" w:hAnsi="Arial"/>
                <w:sz w:val="15"/>
                <w:szCs w:val="15"/>
                <w:color w:val="auto"/>
              </w:rPr>
              <w:t>(State)</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2"/>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Refinitiv Parent Ltd</w:t>
              </w:r>
            </w:hyperlink>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82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2"/>
          </w:tcPr>
          <w:p>
            <w:pPr>
              <w:ind w:left="280"/>
              <w:spacing w:after="0"/>
              <w:rPr>
                <w:sz w:val="20"/>
                <w:szCs w:val="20"/>
                <w:color w:val="auto"/>
              </w:rPr>
            </w:pPr>
            <w:r>
              <w:rPr>
                <w:rFonts w:ascii="Arial" w:cs="Arial" w:eastAsia="Arial" w:hAnsi="Arial"/>
                <w:sz w:val="15"/>
                <w:szCs w:val="15"/>
                <w:color w:val="auto"/>
              </w:rPr>
              <w:t>(First)</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FIVE CANADA SQUARE, CANARY WHARF</w:t>
      </w: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1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LONDON</w:t>
            </w:r>
          </w:p>
        </w:tc>
        <w:tc>
          <w:tcPr>
            <w:tcW w:w="120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X0</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E14 5AQ</w:t>
            </w:r>
          </w:p>
        </w:tc>
      </w:tr>
      <w:tr>
        <w:trPr>
          <w:trHeight w:val="177"/>
        </w:trPr>
        <w:tc>
          <w:tcPr>
            <w:tcW w:w="2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London Stock Exchange Group plc</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(Last)</w:t>
            </w:r>
          </w:p>
        </w:tc>
        <w:tc>
          <w:tcPr>
            <w:tcW w:w="1480" w:type="dxa"/>
            <w:vAlign w:val="bottom"/>
          </w:tcPr>
          <w:p>
            <w:pPr>
              <w:ind w:left="280"/>
              <w:spacing w:after="0"/>
              <w:rPr>
                <w:sz w:val="20"/>
                <w:szCs w:val="20"/>
                <w:color w:val="auto"/>
              </w:rPr>
            </w:pPr>
            <w:r>
              <w:rPr>
                <w:rFonts w:ascii="Arial" w:cs="Arial" w:eastAsia="Arial" w:hAnsi="Arial"/>
                <w:sz w:val="15"/>
                <w:szCs w:val="15"/>
                <w:color w:val="auto"/>
              </w:rPr>
              <w:t>(First)</w:t>
            </w:r>
          </w:p>
        </w:tc>
        <w:tc>
          <w:tcPr>
            <w:tcW w:w="1520" w:type="dxa"/>
            <w:vAlign w:val="bottom"/>
          </w:tcPr>
          <w:p>
            <w:pPr>
              <w:ind w:left="18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10 PATERNOSTER SQUARE</w:t>
            </w:r>
          </w:p>
        </w:tc>
        <w:tc>
          <w:tcPr>
            <w:tcW w:w="15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48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r>
      <w:tr>
        <w:trPr>
          <w:trHeight w:val="303"/>
        </w:trPr>
        <w:tc>
          <w:tcPr>
            <w:tcW w:w="11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LONDON</w:t>
            </w:r>
          </w:p>
        </w:tc>
        <w:tc>
          <w:tcPr>
            <w:tcW w:w="14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X0</w:t>
            </w: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EC4M 7LS</w:t>
            </w:r>
          </w:p>
        </w:tc>
      </w:tr>
      <w:tr>
        <w:trPr>
          <w:trHeight w:val="177"/>
        </w:trPr>
        <w:tc>
          <w:tcPr>
            <w:tcW w:w="2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480" w:type="dxa"/>
            <w:vAlign w:val="bottom"/>
          </w:tcPr>
          <w:p>
            <w:pPr>
              <w:ind w:left="280"/>
              <w:spacing w:after="0"/>
              <w:rPr>
                <w:sz w:val="20"/>
                <w:szCs w:val="20"/>
                <w:color w:val="auto"/>
              </w:rPr>
            </w:pPr>
            <w:r>
              <w:rPr>
                <w:rFonts w:ascii="Arial" w:cs="Arial" w:eastAsia="Arial" w:hAnsi="Arial"/>
                <w:sz w:val="15"/>
                <w:szCs w:val="15"/>
                <w:color w:val="auto"/>
              </w:rPr>
              <w:t>(State)</w:t>
            </w:r>
          </w:p>
        </w:tc>
        <w:tc>
          <w:tcPr>
            <w:tcW w:w="1520" w:type="dxa"/>
            <w:vAlign w:val="bottom"/>
          </w:tcPr>
          <w:p>
            <w:pPr>
              <w:ind w:left="18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firstLine="5"/>
        <w:spacing w:after="0" w:line="259"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ten votes per share and are exchangeable for shares of the Issuer's Class A common stock ("Class A Common Stock") on a one-for-one basis at the discretion of the holder. These exchange rights do not expire.</w:t>
      </w:r>
    </w:p>
    <w:p>
      <w:pPr>
        <w:spacing w:after="0" w:line="17" w:lineRule="exact"/>
        <w:rPr>
          <w:rFonts w:ascii="Times New Roman" w:cs="Times New Roman" w:eastAsia="Times New Roman" w:hAnsi="Times New Roman"/>
          <w:sz w:val="15"/>
          <w:szCs w:val="15"/>
          <w:color w:val="008000"/>
        </w:rPr>
      </w:pPr>
    </w:p>
    <w:p>
      <w:pPr>
        <w:ind w:left="20" w:right="20" w:firstLine="5"/>
        <w:spacing w:after="0" w:line="244"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Class D common stock of the Issuer ("Class D Common Stock") have ten votes per share but no economic rights (including rights to dividends or, other than their par value, distributions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w:t>
      </w:r>
    </w:p>
    <w:p>
      <w:pPr>
        <w:sectPr>
          <w:pgSz w:w="11900" w:h="16838" w:orient="portrait"/>
          <w:cols w:equalWidth="0" w:num="1">
            <w:col w:w="10760"/>
          </w:cols>
          <w:pgMar w:left="500" w:top="320" w:right="639" w:bottom="0" w:gutter="0" w:footer="0" w:header="0"/>
        </w:sectPr>
      </w:pPr>
    </w:p>
    <w:bookmarkStart w:id="2" w:name="page3"/>
    <w:bookmarkEnd w:id="2"/>
    <w:p>
      <w:pPr>
        <w:ind w:right="80"/>
        <w:spacing w:after="0" w:line="259" w:lineRule="auto"/>
        <w:rPr>
          <w:sz w:val="20"/>
          <w:szCs w:val="20"/>
          <w:color w:val="auto"/>
        </w:rPr>
      </w:pPr>
      <w:r>
        <w:rPr>
          <w:rFonts w:ascii="Times New Roman" w:cs="Times New Roman" w:eastAsia="Times New Roman" w:hAnsi="Times New Roman"/>
          <w:sz w:val="15"/>
          <w:szCs w:val="15"/>
          <w:color w:val="008000"/>
        </w:rPr>
        <w:t>no economic rights (other than their par value upon liquidation), on a one-for-one basis at the discretion of the holder. These exchange rights do not expire. On December 29, 2023, Refinitiv US PME LLC elected to exchange 18,000,000 shares of Class D Common Stock for 18,000,000 shares of Class C Common Stock.</w:t>
      </w:r>
    </w:p>
    <w:p>
      <w:pPr>
        <w:spacing w:after="0" w:line="18" w:lineRule="exact"/>
        <w:rPr>
          <w:sz w:val="20"/>
          <w:szCs w:val="20"/>
          <w:color w:val="auto"/>
        </w:rPr>
      </w:pPr>
    </w:p>
    <w:p>
      <w:pPr>
        <w:ind w:right="40" w:firstLine="5"/>
        <w:spacing w:after="0" w:line="270" w:lineRule="auto"/>
        <w:tabs>
          <w:tab w:leader="none" w:pos="150" w:val="left"/>
        </w:tabs>
        <w:numPr>
          <w:ilvl w:val="0"/>
          <w:numId w:val="6"/>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the terms of the limited liability company agreement for Tradeweb Markets LLC, LLC Units may be exchanged for shares of Class A Common Stock or Class B Common Stock, in each case, on a one-for-one basis at the discretion of the holder. Upon such an exchange, a corresponding number of shares of Class D Common Stock (or shares of Class C Common Stock, in the event the holder exchanged its shares of Class D Common Stock as described above) will be canceled. These exchange rights do not expire.</w:t>
      </w:r>
    </w:p>
    <w:p>
      <w:pPr>
        <w:spacing w:after="0" w:line="11" w:lineRule="exact"/>
        <w:rPr>
          <w:rFonts w:ascii="Times New Roman" w:cs="Times New Roman" w:eastAsia="Times New Roman" w:hAnsi="Times New Roman"/>
          <w:sz w:val="14"/>
          <w:szCs w:val="14"/>
          <w:color w:val="008000"/>
        </w:rPr>
      </w:pPr>
    </w:p>
    <w:p>
      <w:pPr>
        <w:ind w:left="160" w:hanging="155"/>
        <w:spacing w:after="0"/>
        <w:tabs>
          <w:tab w:leader="none" w:pos="16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directly held by Refinitiv TW Holdings Ltd.</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directly held by Refinitiv US PME LLC.</w:t>
      </w:r>
    </w:p>
    <w:p>
      <w:pPr>
        <w:spacing w:after="0" w:line="52" w:lineRule="exact"/>
        <w:rPr>
          <w:rFonts w:ascii="Times New Roman" w:cs="Times New Roman" w:eastAsia="Times New Roman" w:hAnsi="Times New Roman"/>
          <w:sz w:val="15"/>
          <w:szCs w:val="15"/>
          <w:color w:val="008000"/>
        </w:rPr>
      </w:pPr>
    </w:p>
    <w:p>
      <w:pPr>
        <w:ind w:right="20" w:firstLine="5"/>
        <w:spacing w:after="0" w:line="244" w:lineRule="auto"/>
        <w:tabs>
          <w:tab w:leader="none" w:pos="15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Refinitiv US LLC is the controlling member of Refinitiv US PME LLC. LSEGA, Inc. is the sole member of Refinitiv US LLC. Refinitiv Parent Limited is the sole shareholder of LSEG US Holdco, Inc., which is the sole shareholder of LSEGA, Inc. IAG US LLC is a member of Refinitiv US PME LLC. Refinitiv International Holdings S.a r.l. is the sole member of IAG US LLC. Refinitiv Netherlands Holdings BV is the sole shareholder of Refinitiv International Holdings S.a r.l.</w:t>
      </w:r>
    </w:p>
    <w:p>
      <w:pPr>
        <w:spacing w:after="0" w:line="29" w:lineRule="exact"/>
        <w:rPr>
          <w:rFonts w:ascii="Times New Roman" w:cs="Times New Roman" w:eastAsia="Times New Roman" w:hAnsi="Times New Roman"/>
          <w:sz w:val="15"/>
          <w:szCs w:val="15"/>
          <w:color w:val="008000"/>
        </w:rPr>
      </w:pPr>
    </w:p>
    <w:p>
      <w:pPr>
        <w:ind w:right="140" w:firstLine="5"/>
        <w:spacing w:after="0" w:line="239" w:lineRule="auto"/>
        <w:tabs>
          <w:tab w:leader="none" w:pos="15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w:t>
      </w:r>
    </w:p>
    <w:p>
      <w:pPr>
        <w:spacing w:after="0" w:line="33" w:lineRule="exact"/>
        <w:rPr>
          <w:rFonts w:ascii="Times New Roman" w:cs="Times New Roman" w:eastAsia="Times New Roman" w:hAnsi="Times New Roman"/>
          <w:sz w:val="15"/>
          <w:szCs w:val="15"/>
          <w:color w:val="008000"/>
        </w:rPr>
      </w:pPr>
    </w:p>
    <w:p>
      <w:pPr>
        <w:ind w:right="80" w:firstLine="5"/>
        <w:spacing w:after="0" w:line="259" w:lineRule="auto"/>
        <w:tabs>
          <w:tab w:leader="none" w:pos="15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17" w:lineRule="exact"/>
        <w:rPr>
          <w:rFonts w:ascii="Times New Roman" w:cs="Times New Roman" w:eastAsia="Times New Roman" w:hAnsi="Times New Roman"/>
          <w:sz w:val="15"/>
          <w:szCs w:val="15"/>
          <w:color w:val="008000"/>
        </w:rPr>
      </w:pPr>
    </w:p>
    <w:p>
      <w:pPr>
        <w:ind w:firstLine="5"/>
        <w:spacing w:after="0" w:line="237" w:lineRule="auto"/>
        <w:tabs>
          <w:tab w:leader="none" w:pos="15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 stock purchase agreement (the "Stock Purchase Agreement") entered into by, among others, London Stock Exchange Group plc ("LSEG") and Refinitiv Holdings Limited ("Refinitiv Holdings") originally entered into on August 1, 2019, amended on August 23, 2019, and amended and restated on November 4, 2019, LSEG (directly and through certain wholly owned subsidiaries) acquired the entire issued and to be issued share capital of Refinitiv Parent Limited ("Refinitiv Parent") from the Refinitiv Sellers (consisting of certain subsidiaries of Refinitiv Holdings) and, in exchange, LSEG will issue 204,225,968 consideration shares (the "Consideration Shares"), such Consideration Shares comprised of: (i) LSEG ordinary shares; and (ii) LSEG limited-voting ordinary shares.</w:t>
      </w:r>
    </w:p>
    <w:p>
      <w:pPr>
        <w:spacing w:after="0" w:line="33" w:lineRule="exact"/>
        <w:rPr>
          <w:rFonts w:ascii="Times New Roman" w:cs="Times New Roman" w:eastAsia="Times New Roman" w:hAnsi="Times New Roman"/>
          <w:sz w:val="15"/>
          <w:szCs w:val="15"/>
          <w:color w:val="008000"/>
        </w:rPr>
      </w:pPr>
    </w:p>
    <w:p>
      <w:pPr>
        <w:ind w:firstLine="5"/>
        <w:spacing w:after="0" w:line="237" w:lineRule="auto"/>
        <w:tabs>
          <w:tab w:leader="none" w:pos="225"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As a result of its acquisition of the share capital of Refinitiv Parent, LSEG acquired 96,933,192 shares of Class B Common Stock, 22,988,329 LLC Units and 22,988,329 shares of Class D Common Stock. The transaction closed on January 29, 2021 (the "Closing"). Of the total number of Consideration Shares expected to be issued, 179,610,123 LSEG shares were issued to the Refinitiv Sellers at Closing. In addition, 24,615,845 LSEG ordinary shares were issued on March 1, 2021 to ConsortiumCo, a company owned by affiliates of Blackstone (the "Deferred Issue Shares"). The issue of the Deferred Issue Shares to ConsortiumCo was in connection with the settlement of certain existing payment-in-kind shares in Refinitiv Holdings' capital structure.</w:t>
      </w:r>
    </w:p>
    <w:p>
      <w:pPr>
        <w:spacing w:after="0" w:line="33" w:lineRule="exact"/>
        <w:rPr>
          <w:rFonts w:ascii="Times New Roman" w:cs="Times New Roman" w:eastAsia="Times New Roman" w:hAnsi="Times New Roman"/>
          <w:sz w:val="15"/>
          <w:szCs w:val="15"/>
          <w:color w:val="008000"/>
        </w:rPr>
      </w:pPr>
    </w:p>
    <w:p>
      <w:pPr>
        <w:ind w:right="120" w:firstLine="5"/>
        <w:spacing w:after="0" w:line="239" w:lineRule="auto"/>
        <w:tabs>
          <w:tab w:leader="none" w:pos="22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5"/>
          <w:szCs w:val="15"/>
          <w:color w:val="008000"/>
        </w:rPr>
        <w:t>This Form 3/A amends the Form 3 filed on behalf of Refinitiv US PME LLC, Refinitiv US LLC, LSEGA, Inc., Refinitiv TW Holdings Ltd., Refinitiv Parent Limited and London Stock Exchange Group plc on February 8, 2021 to reflect that, as a result of an intragroup reorganization, LSEG US Holdco, Inc. became the sole shareholder of LSEGA, Inc. LSEG US Holdco, Inc. is a wholly-owned subsidiary of Refinitiv Parent Limited. Exhibit 24.1 - Power of Attorney for Reporting Persons (other than LSEG US Holdco, Inc.) Exhibit 24.2 - Power of Attorney for LSEG US Holdco, Inc.</w:t>
      </w:r>
    </w:p>
    <w:p>
      <w:pPr>
        <w:sectPr>
          <w:pgSz w:w="11900" w:h="16838" w:orient="portrait"/>
          <w:cols w:equalWidth="0" w:num="1">
            <w:col w:w="10860"/>
          </w:cols>
          <w:pgMar w:left="520" w:top="125" w:right="519" w:bottom="1440" w:gutter="0" w:footer="0" w:header="0"/>
        </w:sectPr>
      </w:pPr>
    </w:p>
    <w:p>
      <w:pPr>
        <w:spacing w:after="0" w:line="6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Teresa Hogan Teresa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300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Hogan,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REFINITIV US PME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556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Teresa Hogan Teresa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300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Hogan,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REFINITIV 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Teresa Hogan Teresa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300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Hogan,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LSEGA,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0548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0548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Teresa Hogan Teresa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300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Hogan,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LSEG US HOLDCO,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255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52550"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Teresa Hogan Teresa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300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Hogan,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REFINITIV 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456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92456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Teresa Hogan Teresa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300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Hogan,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REFINITIV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680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068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50927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50927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Teresa Hogan Teresa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300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Hogan,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LONDON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758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9575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EXCHANGE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2733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22733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8660" w:space="60"/>
            <w:col w:w="2140"/>
          </w:cols>
          <w:pgMar w:left="520" w:top="125" w:right="5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200" w:firstLine="5"/>
        <w:spacing w:after="0" w:line="335" w:lineRule="auto"/>
        <w:tabs>
          <w:tab w:leader="none" w:pos="159"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20" w:top="125" w:right="51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Lisa Condron, Teresa Hogan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Timothy Knowland, and with full power of substitution, as the undersigned's true and lawful attorney-in-fact to:</w:t>
      </w:r>
    </w:p>
    <w:p>
      <w:pPr>
        <w:spacing w:after="0" w:line="230" w:lineRule="exact"/>
        <w:rPr>
          <w:sz w:val="20"/>
          <w:szCs w:val="20"/>
          <w:color w:val="auto"/>
        </w:rPr>
      </w:pPr>
    </w:p>
    <w:p>
      <w:pPr>
        <w:ind w:right="400" w:firstLine="916"/>
        <w:spacing w:after="0" w:line="261" w:lineRule="auto"/>
        <w:tabs>
          <w:tab w:leader="none" w:pos="165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connection with the undersigned’s beneficial ownership of securities beneficially owned, directly or indirectly, of Tradeweb Markets Inc., a Delaware corporation (the “Company”), forms and documents related specifically to Section 13 and Section 16 of the Securities Exchange Act of 1934 and the rules thereunder (the “Exchange Act”), and any joint filing agreement in connection with the foregoing;</w:t>
      </w:r>
    </w:p>
    <w:p>
      <w:pPr>
        <w:spacing w:after="0" w:line="200" w:lineRule="exact"/>
        <w:rPr>
          <w:rFonts w:ascii="Times New Roman" w:cs="Times New Roman" w:eastAsia="Times New Roman" w:hAnsi="Times New Roman"/>
          <w:sz w:val="20"/>
          <w:szCs w:val="20"/>
          <w:color w:val="auto"/>
        </w:rPr>
      </w:pPr>
    </w:p>
    <w:p>
      <w:pPr>
        <w:ind w:right="200" w:firstLine="916"/>
        <w:spacing w:after="0" w:line="261" w:lineRule="auto"/>
        <w:tabs>
          <w:tab w:leader="none" w:pos="165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and documents related specifically to Section 13 and Section 16 of the Exchange Act, complete and execute any amendment or amendments thereto, and timely file such forms and documents with the U.S. Securities and Exchange Commission (the “SEC”) and any stock exchange or similar authority; and</w:t>
      </w:r>
    </w:p>
    <w:p>
      <w:pPr>
        <w:spacing w:after="0" w:line="200" w:lineRule="exact"/>
        <w:rPr>
          <w:rFonts w:ascii="Times New Roman" w:cs="Times New Roman" w:eastAsia="Times New Roman" w:hAnsi="Times New Roman"/>
          <w:sz w:val="20"/>
          <w:szCs w:val="20"/>
          <w:color w:val="auto"/>
        </w:rPr>
      </w:pPr>
    </w:p>
    <w:p>
      <w:pPr>
        <w:ind w:right="120" w:firstLine="916"/>
        <w:spacing w:after="0" w:line="261" w:lineRule="auto"/>
        <w:tabs>
          <w:tab w:leader="none" w:pos="165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lawful action of any type whatsoever in connection with the foregoing which, in the opinion of any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any such attorney-in-fact’s discretion.</w:t>
      </w:r>
    </w:p>
    <w:p>
      <w:pPr>
        <w:spacing w:after="0" w:line="200" w:lineRule="exact"/>
        <w:rPr>
          <w:sz w:val="20"/>
          <w:szCs w:val="20"/>
          <w:color w:val="auto"/>
        </w:rPr>
      </w:pPr>
    </w:p>
    <w:p>
      <w:pPr>
        <w:ind w:right="120" w:firstLine="916"/>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All lawful acts done by the attorney-in-fact in this regard shall be deemed to have been done by the undersigned. The undersigned acknowledges that the foregoing attorneys-in-fact, in serving in such capacity at the request of the undersigned, are not assuming, nor is the Company assuming, any of the undersigned's responsibilities to comply with Section 13 or Section 16 of the Exchange Act.</w:t>
      </w:r>
    </w:p>
    <w:p>
      <w:pPr>
        <w:spacing w:after="0" w:line="209" w:lineRule="exact"/>
        <w:rPr>
          <w:sz w:val="20"/>
          <w:szCs w:val="20"/>
          <w:color w:val="auto"/>
        </w:rPr>
      </w:pPr>
    </w:p>
    <w:p>
      <w:pPr>
        <w:ind w:right="160"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and documents related specifically to Section 13 and Section 16 of the Exchange Act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94690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4" w:name="page5"/>
    <w:bookmarkEnd w:id="4"/>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8</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February,</w:t>
      </w:r>
    </w:p>
    <w:p>
      <w:pPr>
        <w:spacing w:after="0"/>
        <w:rPr>
          <w:sz w:val="20"/>
          <w:szCs w:val="20"/>
          <w:color w:val="auto"/>
        </w:rPr>
      </w:pPr>
      <w:r>
        <w:rPr>
          <w:rFonts w:ascii="Times New Roman" w:cs="Times New Roman" w:eastAsia="Times New Roman" w:hAnsi="Times New Roman"/>
          <w:sz w:val="20"/>
          <w:szCs w:val="20"/>
          <w:color w:val="auto"/>
        </w:rPr>
        <w:t>2021</w:t>
      </w:r>
    </w:p>
    <w:p>
      <w:pPr>
        <w:spacing w:after="0" w:line="2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REFINITIV US PME LLC</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Mark Irving</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REFINITIV US LLC</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Mark Irving</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LSEGA, INC.</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Patricia Wolff</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Patricia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REFINITIV TW HOLDINGS LTD.</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Timothy Knowland</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Timothy Knowland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REFINITIV PARENT LIMITED</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Timothy Knowland</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Timothy Knowland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LONDON STOCK EXCHANGE GROUP PLC</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Lisa Condron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Lisa Condron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917" w:right="4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4"/>
          <w:szCs w:val="24"/>
          <w:b w:val="1"/>
          <w:bCs w:val="1"/>
          <w:color w:val="auto"/>
        </w:rPr>
        <w:t>Exhibit 24.2</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Lisa Condron, Teresa Hogan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Timothy Knowland, and with full power of substitution, as the undersigned's true and lawful attorney-in-fact to:</w:t>
      </w:r>
    </w:p>
    <w:p>
      <w:pPr>
        <w:spacing w:after="0" w:line="230" w:lineRule="exact"/>
        <w:rPr>
          <w:sz w:val="20"/>
          <w:szCs w:val="20"/>
          <w:color w:val="auto"/>
        </w:rPr>
      </w:pPr>
    </w:p>
    <w:p>
      <w:pPr>
        <w:jc w:val="both"/>
        <w:ind w:left="1260" w:hanging="360"/>
        <w:spacing w:after="0" w:line="266" w:lineRule="auto"/>
        <w:tabs>
          <w:tab w:leader="none" w:pos="1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 Form ID (including amendment thereto), or any other forms prescribed by the Securities and Exchange Commission (the “SEC”), that may be necessary to obtain codes and passwords enabling the undersigned to make electronic filings with the SEC of the forms referenced in clause (2) below;</w:t>
      </w:r>
    </w:p>
    <w:p>
      <w:pPr>
        <w:spacing w:after="0" w:line="195" w:lineRule="exact"/>
        <w:rPr>
          <w:rFonts w:ascii="Times New Roman" w:cs="Times New Roman" w:eastAsia="Times New Roman" w:hAnsi="Times New Roman"/>
          <w:sz w:val="20"/>
          <w:szCs w:val="20"/>
          <w:color w:val="auto"/>
        </w:rPr>
      </w:pPr>
    </w:p>
    <w:p>
      <w:pPr>
        <w:jc w:val="both"/>
        <w:ind w:left="1260" w:hanging="360"/>
        <w:spacing w:after="0" w:line="261" w:lineRule="auto"/>
        <w:tabs>
          <w:tab w:leader="none" w:pos="1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connection with the undersigned’s beneficial ownership of securities beneficially owned, directly or indirectly, of Tradeweb Markets Inc., a Delaware corporation (the “Company”), forms and documents related specifically to Section 13 and Section 16 of the Securities Exchange Act of 1934 and the rules thereunder (the “Exchange Act”), and any joint filing agreement in connection with the foregoing;</w:t>
      </w:r>
    </w:p>
    <w:p>
      <w:pPr>
        <w:spacing w:after="0" w:line="200" w:lineRule="exact"/>
        <w:rPr>
          <w:rFonts w:ascii="Times New Roman" w:cs="Times New Roman" w:eastAsia="Times New Roman" w:hAnsi="Times New Roman"/>
          <w:sz w:val="20"/>
          <w:szCs w:val="20"/>
          <w:color w:val="auto"/>
        </w:rPr>
      </w:pPr>
    </w:p>
    <w:p>
      <w:pPr>
        <w:jc w:val="both"/>
        <w:ind w:left="1260" w:hanging="360"/>
        <w:spacing w:after="0" w:line="261" w:lineRule="auto"/>
        <w:tabs>
          <w:tab w:leader="none" w:pos="1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and documents related specifically to Section 13 and Section 16 of the Exchange Act, complete and execute any amendment or amendments thereto, and timely file such forms and documents with the SEC and any stock exchange or similar authority; and</w:t>
      </w:r>
    </w:p>
    <w:p>
      <w:pPr>
        <w:spacing w:after="0" w:line="200" w:lineRule="exact"/>
        <w:rPr>
          <w:rFonts w:ascii="Times New Roman" w:cs="Times New Roman" w:eastAsia="Times New Roman" w:hAnsi="Times New Roman"/>
          <w:sz w:val="20"/>
          <w:szCs w:val="20"/>
          <w:color w:val="auto"/>
        </w:rPr>
      </w:pPr>
    </w:p>
    <w:p>
      <w:pPr>
        <w:jc w:val="both"/>
        <w:ind w:left="1260" w:hanging="360"/>
        <w:spacing w:after="0" w:line="258" w:lineRule="auto"/>
        <w:tabs>
          <w:tab w:leader="none" w:pos="1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lawful action of any type whatsoever in connection with the foregoing which, in the opinion of any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any such attorney-in-fact’s discretion.</w:t>
      </w:r>
    </w:p>
    <w:p>
      <w:pPr>
        <w:spacing w:after="0" w:line="205" w:lineRule="exact"/>
        <w:rPr>
          <w:sz w:val="20"/>
          <w:szCs w:val="20"/>
          <w:color w:val="auto"/>
        </w:rPr>
      </w:pPr>
    </w:p>
    <w:p>
      <w:pPr>
        <w:jc w:val="both"/>
        <w:ind w:firstLine="922"/>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All lawful acts done by the attorney-in-fact in this regard shall be deemed to have been done by the undersigned. The undersigned acknowledges that the foregoing attorneys-in-fact, in serving in such capacity at the request of the undersigned, are not assuming, nor is the Company assuming, any of the undersigned's responsibilities to comply with Section 13 or Section 16 of the Exchange Act.</w:t>
      </w:r>
    </w:p>
    <w:p>
      <w:pPr>
        <w:spacing w:after="0" w:line="209" w:lineRule="exact"/>
        <w:rPr>
          <w:sz w:val="20"/>
          <w:szCs w:val="20"/>
          <w:color w:val="auto"/>
        </w:rPr>
      </w:pPr>
    </w:p>
    <w:p>
      <w:pPr>
        <w:jc w:val="both"/>
        <w:ind w:firstLine="922"/>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and documents related specifically to Section 13 and Section 16 of the Exchange Act with respect to the undersigned’s holdings of and transactions in securities issued by the Company, unless earlier revoked by the undersigned in a signed writing delivered to each of the foregoing attorneys-in-fact.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6" w:name="page7"/>
    <w:bookmarkEnd w:id="6"/>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December</w:t>
      </w:r>
    </w:p>
    <w:p>
      <w:pPr>
        <w:spacing w:after="0"/>
        <w:rPr>
          <w:sz w:val="20"/>
          <w:szCs w:val="20"/>
          <w:color w:val="auto"/>
        </w:rPr>
      </w:pPr>
      <w:r>
        <w:rPr>
          <w:rFonts w:ascii="Times New Roman" w:cs="Times New Roman" w:eastAsia="Times New Roman" w:hAnsi="Times New Roman"/>
          <w:sz w:val="20"/>
          <w:szCs w:val="20"/>
          <w:color w:val="auto"/>
        </w:rPr>
        <w:t>2023</w:t>
      </w:r>
    </w:p>
    <w:p>
      <w:pPr>
        <w:spacing w:after="0" w:line="2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LSEG US HOLDCO INC.</w:t>
      </w:r>
    </w:p>
    <w:p>
      <w:pPr>
        <w:spacing w:after="0" w:line="250" w:lineRule="exact"/>
        <w:rPr>
          <w:sz w:val="20"/>
          <w:szCs w:val="20"/>
          <w:color w:val="auto"/>
        </w:rPr>
      </w:pPr>
    </w:p>
    <w:p>
      <w:pPr>
        <w:ind w:left="5300"/>
        <w:spacing w:after="0"/>
        <w:tabs>
          <w:tab w:leader="none" w:pos="59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Cara Taylor</w:t>
      </w:r>
    </w:p>
    <w:p>
      <w:pPr>
        <w:spacing w:after="0" w:line="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Name: Cara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-145415</wp:posOffset>
            </wp:positionV>
            <wp:extent cx="317309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3173095" cy="9525"/>
                    </a:xfrm>
                    <a:prstGeom prst="rect">
                      <a:avLst/>
                    </a:prstGeom>
                    <a:noFill/>
                  </pic:spPr>
                </pic:pic>
              </a:graphicData>
            </a:graphic>
          </wp:anchor>
        </w:drawing>
      </w:r>
    </w:p>
    <w:p>
      <w:pPr>
        <w:spacing w:after="0" w:line="5" w:lineRule="exact"/>
        <w:rPr>
          <w:sz w:val="20"/>
          <w:szCs w:val="20"/>
          <w:color w:val="auto"/>
        </w:rPr>
      </w:pPr>
    </w:p>
    <w:p>
      <w:pPr>
        <w:ind w:left="5300"/>
        <w:spacing w:after="0"/>
        <w:tabs>
          <w:tab w:leader="none" w:pos="5920" w:val="left"/>
        </w:tabs>
        <w:rPr>
          <w:sz w:val="20"/>
          <w:szCs w:val="20"/>
          <w:color w:val="auto"/>
        </w:rPr>
      </w:pPr>
      <w:r>
        <w:rPr>
          <w:rFonts w:ascii="Times New Roman" w:cs="Times New Roman" w:eastAsia="Times New Roman" w:hAnsi="Times New Roman"/>
          <w:sz w:val="20"/>
          <w:szCs w:val="20"/>
          <w:color w:val="auto"/>
        </w:rPr>
        <w:t>Title:</w:t>
        <w:tab/>
        <w:t>Director</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Power of Attorney for Exchange Act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20"/>
      </w:cols>
      <w:pgMar w:left="480" w:top="9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
    </w:lvl>
  </w:abstractNum>
  <w:abstractNum w:abstractNumId="1">
    <w:nsid w:val="3D1B58BA"/>
    <w:multiLevelType w:val="hybridMultilevel"/>
    <w:lvl w:ilvl="0">
      <w:lvlJc w:val="left"/>
      <w:lvlText w:val="%1."/>
      <w:numFmt w:val="decimal"/>
      <w:start w:val="5"/>
    </w:lvl>
  </w:abstractNum>
  <w:abstractNum w:abstractNumId="2">
    <w:nsid w:val="507ED7AB"/>
    <w:multiLevelType w:val="hybridMultilevel"/>
    <w:lvl w:ilvl="0">
      <w:lvlJc w:val="left"/>
      <w:lvlText w:val="%1."/>
      <w:numFmt w:val="decimal"/>
      <w:start w:val="6"/>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6"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10" Type="http://schemas.openxmlformats.org/officeDocument/2006/relationships/hyperlink" Target="http://www.sec.gov/cgi-bin/browse-edgar?action=getcompany&amp;CIK=0001772075" TargetMode="External"/><Relationship Id="rId11" Type="http://schemas.openxmlformats.org/officeDocument/2006/relationships/hyperlink" Target="http://www.sec.gov/cgi-bin/browse-edgar?action=getcompany&amp;CIK=0001758730" TargetMode="External"/><Relationship Id="rId12" Type="http://schemas.openxmlformats.org/officeDocument/2006/relationships/hyperlink" Target="http://www.sec.gov/cgi-bin/browse-edgar?action=getcompany&amp;CIK=0001772073" TargetMode="External"/><Relationship Id="rId13" Type="http://schemas.openxmlformats.org/officeDocument/2006/relationships/hyperlink" Target="http://www.sec.gov/cgi-bin/browse-edgar?action=getcompany&amp;CIK=0001842891" TargetMode="External"/><Relationship Id="rId14" Type="http://schemas.openxmlformats.org/officeDocument/2006/relationships/hyperlink" Target="http://www.sec.gov/cgi-bin/browse-edgar?action=getcompany&amp;CIK=0002006452" TargetMode="External"/><Relationship Id="rId15" Type="http://schemas.openxmlformats.org/officeDocument/2006/relationships/hyperlink" Target="http://www.sec.gov/cgi-bin/browse-edgar?action=getcompany&amp;CIK=0001772096" TargetMode="External"/><Relationship Id="rId17" Type="http://schemas.openxmlformats.org/officeDocument/2006/relationships/hyperlink" Target="http://www.sec.gov/cgi-bin/browse-edgar?action=getcompany&amp;CIK=0001771967" TargetMode="External"/><Relationship Id="rId18" Type="http://schemas.openxmlformats.org/officeDocument/2006/relationships/hyperlink" Target="http://www.sec.gov/cgi-bin/browse-edgar?action=getcompany&amp;CIK=0001842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2024-01-03T15:37:45Z</dcterms:created>
  <dcterms:modified xsi:type="dcterms:W3CDTF">2024-01-03T15:37:45Z</dcterms:modified>
</cp:coreProperties>
</file>