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Bruni Enrico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Managing Director, Europe/Asia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74,358</w:t>
            </w:r>
          </w:p>
        </w:tc>
        <w:tc>
          <w:tcPr>
            <w:tcW w:w="80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820" w:type="dxa"/>
            <w:vAlign w:val="bottom"/>
            <w:gridSpan w:val="6"/>
          </w:tcPr>
          <w:p>
            <w:pPr>
              <w:ind w:left="2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Class D common stock</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w w:val="96"/>
              </w:rPr>
              <w:t>(2)(3)</w:t>
            </w:r>
          </w:p>
        </w:tc>
        <w:tc>
          <w:tcPr>
            <w:tcW w:w="8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1980" w:type="dxa"/>
            <w:vAlign w:val="bottom"/>
          </w:tcPr>
          <w:p>
            <w:pPr>
              <w:ind w:left="220"/>
              <w:spacing w:after="0"/>
              <w:rPr>
                <w:sz w:val="20"/>
                <w:szCs w:val="20"/>
                <w:color w:val="auto"/>
              </w:rPr>
            </w:pPr>
            <w:r>
              <w:rPr>
                <w:rFonts w:ascii="Arial" w:cs="Arial" w:eastAsia="Arial" w:hAnsi="Arial"/>
                <w:sz w:val="18"/>
                <w:szCs w:val="18"/>
                <w:color w:val="0000FF"/>
                <w:w w:val="94"/>
              </w:rPr>
              <w:t>Class C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7"/>
              </w:rPr>
              <w:t>47,813</w:t>
            </w:r>
          </w:p>
        </w:tc>
        <w:tc>
          <w:tcPr>
            <w:tcW w:w="88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w w:val="96"/>
              </w:rPr>
              <w:t>Non-voting common units of Tradeweb</w:t>
            </w:r>
          </w:p>
        </w:tc>
        <w:tc>
          <w:tcPr>
            <w:tcW w:w="1360" w:type="dxa"/>
            <w:vAlign w:val="bottom"/>
            <w:gridSpan w:val="2"/>
            <w:vMerge w:val="restart"/>
          </w:tcPr>
          <w:p>
            <w:pPr>
              <w:jc w:val="center"/>
              <w:ind w:left="396"/>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80" w:type="dxa"/>
            <w:vAlign w:val="bottom"/>
            <w:vMerge w:val="restart"/>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vMerge w:val="restart"/>
          </w:tcPr>
          <w:p>
            <w:pPr>
              <w:jc w:val="center"/>
              <w:ind w:left="3"/>
              <w:spacing w:after="0"/>
              <w:rPr>
                <w:sz w:val="20"/>
                <w:szCs w:val="20"/>
                <w:color w:val="auto"/>
              </w:rPr>
            </w:pPr>
            <w:r>
              <w:rPr>
                <w:rFonts w:ascii="Arial" w:cs="Arial" w:eastAsia="Arial" w:hAnsi="Arial"/>
                <w:sz w:val="18"/>
                <w:szCs w:val="18"/>
                <w:color w:val="0000FF"/>
                <w:w w:val="87"/>
              </w:rPr>
              <w:t>47,813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Markets LLC</w:t>
            </w:r>
          </w:p>
        </w:tc>
        <w:tc>
          <w:tcPr>
            <w:tcW w:w="13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10/26/2028</w:t>
            </w:r>
          </w:p>
        </w:tc>
        <w:tc>
          <w:tcPr>
            <w:tcW w:w="1980" w:type="dxa"/>
            <w:vAlign w:val="bottom"/>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6"/>
              </w:rPr>
              <w:t>407,609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20.59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3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was granted two awards of restricted stock units under the terms of the Amended and Restated Tradeweb Markets Inc. PRSU Plan consisting of (i) a grant of 32,140 restricted stock units which will vest on January 1, 2020, and (ii) a grant of 42,218 restricted stock units which will vest on January 1, 2021, each subject to the reporting person's continued employment on such date. Each grant of restricted stock units represents a contingent right to receive one share of Class A common stock of the issuer ("Class A Common Stock").</w:t>
      </w:r>
    </w:p>
    <w:p>
      <w:pPr>
        <w:spacing w:after="0" w:line="2" w:lineRule="exact"/>
        <w:rPr>
          <w:rFonts w:ascii="Arial" w:cs="Arial" w:eastAsia="Arial" w:hAnsi="Arial"/>
          <w:sz w:val="12"/>
          <w:szCs w:val="12"/>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2 to this Form 3) will be canceled. These exchange rights do not expire.</w:t>
      </w:r>
    </w:p>
    <w:p>
      <w:pPr>
        <w:spacing w:after="0" w:line="2"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owns an option to purchase 407,609 shares of Class A Common Stock, which is vested as to 326,087 of the shares subject thereto as of the date hereof. The remainder of the option will vest on January 1, 2020, subject to the reporting person's continued employment on such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04/04/2019</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Enrico Bruni</w:t>
            </w:r>
          </w:p>
        </w:tc>
        <w:tc>
          <w:tcPr>
            <w:tcW w:w="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16" w:lineRule="exact"/>
        <w:rPr>
          <w:sz w:val="20"/>
          <w:szCs w:val="20"/>
          <w:color w:val="auto"/>
        </w:rPr>
      </w:pPr>
    </w:p>
    <w:p>
      <w:pPr>
        <w:ind w:left="1300" w:right="4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executive officer, director and/or beneficial owner of equity securities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(i) any forms required to be filed by the undersigned pursuant to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266"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297"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9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20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Enrico Bruni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14605</wp:posOffset>
            </wp:positionV>
            <wp:extent cx="25215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Enrico Bruni</w:t>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71187"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2019-12-24T08:08:42Z</dcterms:created>
  <dcterms:modified xsi:type="dcterms:W3CDTF">2019-12-24T08:08:42Z</dcterms:modified>
</cp:coreProperties>
</file>