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399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940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06/09/2022</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06/09/2022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73,201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06/09/2022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8,882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68.6837</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64,319</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Times New Roman" w:cs="Times New Roman" w:eastAsia="Times New Roman" w:hAnsi="Times New Roman"/>
                <w:sz w:val="17"/>
                <w:szCs w:val="17"/>
                <w:color w:val="0000FF"/>
              </w:rPr>
              <w:t>06/09/2022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1,118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69.1304</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63,201</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88,550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10, 2022.</w:t>
      </w:r>
    </w:p>
    <w:p>
      <w:pPr>
        <w:spacing w:after="0" w:line="44" w:lineRule="exact"/>
        <w:rPr>
          <w:rFonts w:ascii="Times New Roman" w:cs="Times New Roman" w:eastAsia="Times New Roman" w:hAnsi="Times New Roman"/>
          <w:sz w:val="13"/>
          <w:szCs w:val="13"/>
          <w:color w:val="008000"/>
        </w:rPr>
      </w:pPr>
    </w:p>
    <w:p>
      <w:pPr>
        <w:ind w:left="40" w:right="2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4,288 unvested restricted stock units ("RSUs") in respect of the issuer's Class A common stock ("Class A Common Stock") which are scheduled to vest on March 17, 2023, (ii) 25,726 RSUs in respect of Class A Common Stock which are scheduled to vest on January 1, 2023, (iii) 6,742 RSUs in respect of Class A Common Stock which are scheduled to vest in equal installments on each of March 15, 2023 and March 15, 2024, (iv) 14,832 RSUs in respect of Class A Common Stock which are scheduled to vest on January 1, 2024, and (v) 9,613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$68.07 to $69.06,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$69.08 to $69.19,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06/10/2022</w:t>
            </w:r>
          </w:p>
        </w:tc>
        <w:tc>
          <w:tcPr>
            <w:tcW w:w="0" w:type="dxa"/>
            <w:vAlign w:val="bottom"/>
          </w:tcPr>
          <w:p>
            <w:pPr>
              <w:spacing w:after="0"/>
              <w:rPr>
                <w:sz w:val="1"/>
                <w:szCs w:val="1"/>
                <w:color w:val="auto"/>
              </w:rPr>
            </w:pPr>
          </w:p>
        </w:tc>
      </w:tr>
      <w:tr>
        <w:trPr>
          <w:trHeight w:val="84"/>
        </w:trPr>
        <w:tc>
          <w:tcPr>
            <w:tcW w:w="1600" w:type="dxa"/>
            <w:vAlign w:val="bottom"/>
            <w:tcBorders>
              <w:top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Justin Peterson</w:t>
            </w:r>
          </w:p>
        </w:tc>
        <w:tc>
          <w:tcPr>
            <w:tcW w:w="3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2022-06-10T16:35:48Z</dcterms:created>
  <dcterms:modified xsi:type="dcterms:W3CDTF">2022-06-10T16:35:48Z</dcterms:modified>
</cp:coreProperties>
</file>