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-600075</wp:posOffset>
            </wp:positionV>
            <wp:extent cx="8255"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-607695</wp:posOffset>
            </wp:positionV>
            <wp:extent cx="825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-583565</wp:posOffset>
            </wp:positionV>
            <wp:extent cx="1265555" cy="56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00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8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847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Bruni Enrico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02/05/2021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60"/>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0"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00"/>
        <w:spacing w:after="0"/>
        <w:rPr>
          <w:sz w:val="20"/>
          <w:szCs w:val="20"/>
          <w:color w:val="auto"/>
        </w:rPr>
      </w:pPr>
      <w:r>
        <w:rPr>
          <w:rFonts w:ascii="Arial" w:cs="Arial" w:eastAsia="Arial" w:hAnsi="Arial"/>
          <w:sz w:val="16"/>
          <w:szCs w:val="16"/>
          <w:color w:val="0000FF"/>
        </w:rPr>
        <w:t>Managing Director, Europe/Asia</w:t>
      </w:r>
    </w:p>
    <w:p>
      <w:pPr>
        <w:spacing w:after="0" w:line="395" w:lineRule="exact"/>
        <w:rPr>
          <w:sz w:val="24"/>
          <w:szCs w:val="24"/>
          <w:color w:val="auto"/>
        </w:rPr>
      </w:pPr>
    </w:p>
    <w:p>
      <w:pPr>
        <w:sectPr>
          <w:pgSz w:w="11900" w:h="16838" w:orient="portrait"/>
          <w:cols w:equalWidth="0" w:num="3">
            <w:col w:w="3180" w:space="720"/>
            <w:col w:w="3100" w:space="720"/>
            <w:col w:w="3360"/>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5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20"/>
              <w:spacing w:after="0" w:line="13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780" w:type="dxa"/>
            <w:vAlign w:val="bottom"/>
            <w:gridSpan w:val="11"/>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8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580"/>
              <w:spacing w:after="0" w:line="125"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60" w:type="dxa"/>
            <w:vAlign w:val="bottom"/>
            <w:gridSpan w:val="3"/>
          </w:tcPr>
          <w:p>
            <w:pPr>
              <w:ind w:left="58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02/05/2021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43"/>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32,158</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0000FF"/>
                <w:w w:val="83"/>
              </w:rPr>
              <w:t>115,392</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02/09/2021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119,710</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0000FF"/>
                <w:w w:val="83"/>
              </w:rPr>
              <w:t>235,102</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02/09/2021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142,861</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67.6621</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0000FF"/>
                <w:w w:val="83"/>
              </w:rPr>
              <w:t>92,241</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80"/>
              <w:spacing w:after="0"/>
              <w:rPr>
                <w:sz w:val="20"/>
                <w:szCs w:val="20"/>
                <w:color w:val="auto"/>
              </w:rPr>
            </w:pPr>
            <w:r>
              <w:rPr>
                <w:rFonts w:ascii="Arial" w:cs="Arial" w:eastAsia="Arial" w:hAnsi="Arial"/>
                <w:sz w:val="13"/>
                <w:szCs w:val="13"/>
                <w:color w:val="0000FF"/>
                <w:w w:val="98"/>
              </w:rPr>
              <w:t>Class 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gridSpan w:val="2"/>
            <w:vMerge w:val="restart"/>
          </w:tcPr>
          <w:p>
            <w:pPr>
              <w:ind w:left="10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(3)</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w w:val="94"/>
              </w:rPr>
              <w:t>119,710</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60" w:type="dxa"/>
            <w:vAlign w:val="bottom"/>
            <w:vMerge w:val="restart"/>
          </w:tcPr>
          <w:p>
            <w:pPr>
              <w:ind w:left="260"/>
              <w:spacing w:after="0" w:line="141" w:lineRule="exact"/>
              <w:rPr>
                <w:sz w:val="20"/>
                <w:szCs w:val="20"/>
                <w:color w:val="auto"/>
              </w:rPr>
            </w:pPr>
            <w:r>
              <w:rPr>
                <w:rFonts w:ascii="Arial" w:cs="Arial" w:eastAsia="Arial" w:hAnsi="Arial"/>
                <w:sz w:val="13"/>
                <w:szCs w:val="13"/>
                <w:color w:val="0000FF"/>
              </w:rPr>
              <w:t>02/09/2021</w:t>
            </w:r>
          </w:p>
        </w:tc>
        <w:tc>
          <w:tcPr>
            <w:tcW w:w="11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ind w:left="300"/>
              <w:spacing w:after="0" w:line="141" w:lineRule="exact"/>
              <w:rPr>
                <w:sz w:val="20"/>
                <w:szCs w:val="20"/>
                <w:color w:val="auto"/>
              </w:rPr>
            </w:pPr>
            <w:r>
              <w:rPr>
                <w:rFonts w:ascii="Arial" w:cs="Arial" w:eastAsia="Arial" w:hAnsi="Arial"/>
                <w:sz w:val="13"/>
                <w:szCs w:val="13"/>
                <w:color w:val="0000FF"/>
                <w:w w:val="89"/>
              </w:rPr>
              <w:t>119,710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2"/>
              </w:rPr>
              <w:t>common</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0000FF"/>
              </w:rPr>
              <w:t>119,710</w:t>
            </w: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-3293110</wp:posOffset>
            </wp:positionV>
            <wp:extent cx="7034530" cy="3334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333438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1"/>
        <w:spacing w:after="0" w:line="26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17, 2020, subject to the achievement of certain performance goals in respect of calendar year 2020. Those performance goals were deemed achieved at the maximum performance level on February 5, 2021. These RSUs remain unvested and are scheduled to vest on January 1, 2023, subject to the reporting person's continued employment through such date.</w:t>
      </w:r>
    </w:p>
    <w:p>
      <w:pPr>
        <w:spacing w:after="0" w:line="15" w:lineRule="exact"/>
        <w:rPr>
          <w:rFonts w:ascii="Arial" w:cs="Arial" w:eastAsia="Arial" w:hAnsi="Arial"/>
          <w:sz w:val="12"/>
          <w:szCs w:val="12"/>
          <w:color w:val="008000"/>
        </w:rPr>
      </w:pPr>
    </w:p>
    <w:p>
      <w:pPr>
        <w:jc w:val="both"/>
        <w:ind w:left="40" w:right="14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44,004 unvested RSUs in respect of the issuer's Class A Common Stock which are scheduled to vest on January 1, 2022, (ii) 16,079 unvested RSUs in respect of Class A Common Stock which are scheduled to vest in equal installments on each of the first, second and third anniversaries of March 17, 2020, and (iii) 32,158 unvested RSUs in respect of Class A Common Stock which are scheduled to vest on January 1, 2023,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 2020.</w:t>
      </w:r>
    </w:p>
    <w:p>
      <w:pPr>
        <w:spacing w:after="0" w:line="42" w:lineRule="exact"/>
        <w:rPr>
          <w:rFonts w:ascii="Arial" w:cs="Arial" w:eastAsia="Arial" w:hAnsi="Arial"/>
          <w:sz w:val="13"/>
          <w:szCs w:val="13"/>
          <w:color w:val="008000"/>
        </w:rPr>
      </w:pPr>
    </w:p>
    <w:p>
      <w:pPr>
        <w:ind w:left="40" w:right="18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$67.50 to $67.90,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 4.</w:t>
      </w:r>
    </w:p>
    <w:p>
      <w:pPr>
        <w:spacing w:after="0" w:line="29"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4"/>
              </w:rPr>
              <w:t>02/09/2021</w:t>
            </w:r>
          </w:p>
        </w:tc>
        <w:tc>
          <w:tcPr>
            <w:tcW w:w="0" w:type="dxa"/>
            <w:vAlign w:val="bottom"/>
          </w:tcPr>
          <w:p>
            <w:pPr>
              <w:spacing w:after="0"/>
              <w:rPr>
                <w:sz w:val="1"/>
                <w:szCs w:val="1"/>
                <w:color w:val="auto"/>
              </w:rPr>
            </w:pPr>
          </w:p>
        </w:tc>
      </w:tr>
      <w:tr>
        <w:trPr>
          <w:trHeight w:val="82"/>
        </w:trPr>
        <w:tc>
          <w:tcPr>
            <w:tcW w:w="208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Enrico Bruni</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2021-02-09T19:45:14Z</dcterms:created>
  <dcterms:modified xsi:type="dcterms:W3CDTF">2021-02-09T19:45:14Z</dcterms:modified>
</cp:coreProperties>
</file>