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02/09/2024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Managing Director, Europe/Asia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32,305</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85,021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15, 2023, subject to the achievement of certain performance goals in respect of calendar year 2023. The level of achievement of those performance goals was determined on February 9, 2024. These RSUs remain unvested and are scheduled to vest on January 1, 2026,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3,146 unvested RSUs in respect of Class A Common Stock which are scheduled to vest on March 15, 2024, (ii) 7,364 unvested RSUs in respect of Class A Common Stock which are scheduled to vest in equal installments on March 15, 2024 and March 15, 2025, (iii) 14,271 unvested RSUs in respect of Class A Common Stock that are scheduled to vest on January 1, 2025 and (iv) 17,819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2024-02-12T15:31:55Z</dcterms:created>
  <dcterms:modified xsi:type="dcterms:W3CDTF">2024-02-12T15:31:55Z</dcterms:modified>
</cp:coreProperties>
</file>