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Admin. and Risk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01/04/2024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6,474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94.4131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19,539</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September 1, 2023.</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$90.04 to $95.34,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1,697 unvested restricted stock units ("RSUs") in respect of the issuer's Class A common stock ("Class A Common Stock") which are scheduled to vest on March 15, 2024, (ii) 2,985 unvested RSUs in respect of Class A Common Stock which are scheduled to vest in equal installments on March 15, 2024 and March 15, 2025, (iii) 5,785 unvested RSUs in respect of Class A Common Stock that are scheduled to vest on January 1, 2025, and (iv) 5,822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01/08/2024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Zucker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2024-01-08T15:52:34Z</dcterms:created>
  <dcterms:modified xsi:type="dcterms:W3CDTF">2024-01-08T15:52:34Z</dcterms:modified>
</cp:coreProperties>
</file>