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-222885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jc w:val="center"/>
              <w:ind w:right="34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1"/>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5184775</wp:posOffset>
            </wp:positionH>
            <wp:positionV relativeFrom="paragraph">
              <wp:posOffset>-593725</wp:posOffset>
            </wp:positionV>
            <wp:extent cx="56515" cy="60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24130</wp:posOffset>
            </wp:positionV>
            <wp:extent cx="7000875" cy="945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94551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40" w:space="560"/>
            <w:col w:w="8380"/>
          </w:cols>
          <w:pgMar w:left="460" w:top="212"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Refinitiv US PME LLC</w:t>
        </w:r>
      </w:hyperlink>
    </w:p>
    <w:p>
      <w:pPr>
        <w:spacing w:after="0" w:line="27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tcPr>
          <w:p>
            <w:pPr>
              <w:ind w:left="180"/>
              <w:spacing w:after="0"/>
              <w:rPr>
                <w:sz w:val="20"/>
                <w:szCs w:val="20"/>
                <w:color w:val="auto"/>
              </w:rPr>
            </w:pPr>
            <w:r>
              <w:rPr>
                <w:rFonts w:ascii="Arial" w:cs="Arial" w:eastAsia="Arial" w:hAnsi="Arial"/>
                <w:sz w:val="12"/>
                <w:szCs w:val="12"/>
                <w:color w:val="auto"/>
              </w:rPr>
              <w:t>(First)</w:t>
            </w:r>
          </w:p>
        </w:tc>
        <w:tc>
          <w:tcPr>
            <w:tcW w:w="1200" w:type="dxa"/>
            <w:vAlign w:val="bottom"/>
          </w:tcPr>
          <w:p>
            <w:pPr>
              <w:ind w:left="20"/>
              <w:spacing w:after="0"/>
              <w:rPr>
                <w:sz w:val="20"/>
                <w:szCs w:val="20"/>
                <w:color w:val="auto"/>
              </w:rPr>
            </w:pPr>
            <w:r>
              <w:rPr>
                <w:rFonts w:ascii="Arial" w:cs="Arial" w:eastAsia="Arial" w:hAnsi="Arial"/>
                <w:sz w:val="12"/>
                <w:szCs w:val="12"/>
                <w:color w:val="auto"/>
              </w:rPr>
              <w:t>(Middle)</w:t>
            </w:r>
          </w:p>
        </w:tc>
      </w:tr>
      <w:tr>
        <w:trPr>
          <w:trHeight w:val="254"/>
        </w:trPr>
        <w:tc>
          <w:tcPr>
            <w:tcW w:w="2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28 LIBERTY PLACE, 58TH FLOOR</w:t>
            </w:r>
          </w:p>
        </w:tc>
        <w:tc>
          <w:tcPr>
            <w:tcW w:w="120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r>
      <w:tr>
        <w:trPr>
          <w:trHeight w:val="246"/>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10005</w:t>
            </w:r>
          </w:p>
        </w:tc>
      </w:tr>
      <w:tr>
        <w:trPr>
          <w:trHeight w:val="140"/>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tcPr>
          <w:p>
            <w:pPr>
              <w:ind w:left="180"/>
              <w:spacing w:after="0"/>
              <w:rPr>
                <w:sz w:val="20"/>
                <w:szCs w:val="20"/>
                <w:color w:val="auto"/>
              </w:rPr>
            </w:pPr>
            <w:r>
              <w:rPr>
                <w:rFonts w:ascii="Arial" w:cs="Arial" w:eastAsia="Arial" w:hAnsi="Arial"/>
                <w:sz w:val="12"/>
                <w:szCs w:val="12"/>
                <w:color w:val="auto"/>
              </w:rPr>
              <w:t>(State)</w:t>
            </w:r>
          </w:p>
        </w:tc>
        <w:tc>
          <w:tcPr>
            <w:tcW w:w="1200" w:type="dxa"/>
            <w:vAlign w:val="bottom"/>
          </w:tcPr>
          <w:p>
            <w:pPr>
              <w:ind w:left="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40" w:type="dxa"/>
            <w:vAlign w:val="bottom"/>
            <w:gridSpan w:val="3"/>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4"/>
          </w:tcPr>
          <w:p>
            <w:pPr>
              <w:ind w:left="60"/>
              <w:spacing w:after="0" w:line="135"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660" w:type="dxa"/>
            <w:vAlign w:val="bottom"/>
            <w:vMerge w:val="restart"/>
          </w:tcPr>
          <w:p>
            <w:pPr>
              <w:ind w:left="180"/>
              <w:spacing w:after="0" w:line="150"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60" w:type="dxa"/>
            <w:vAlign w:val="bottom"/>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8"/>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12/29/2023</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below)</w:t>
            </w:r>
          </w:p>
        </w:tc>
        <w:tc>
          <w:tcPr>
            <w:tcW w:w="1660" w:type="dxa"/>
            <w:vAlign w:val="bottom"/>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4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40" w:type="dxa"/>
            <w:vAlign w:val="bottom"/>
            <w:gridSpan w:val="3"/>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8" w:lineRule="exact"/>
        <w:rPr>
          <w:sz w:val="24"/>
          <w:szCs w:val="24"/>
          <w:color w:val="auto"/>
        </w:rPr>
      </w:pPr>
    </w:p>
    <w:p>
      <w:pPr>
        <w:ind w:left="300" w:right="480"/>
        <w:spacing w:after="0" w:line="26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740" w:space="100"/>
            <w:col w:w="7240"/>
          </w:cols>
          <w:pgMar w:left="460" w:top="212"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60" w:type="dxa"/>
            <w:vAlign w:val="bottom"/>
            <w:gridSpan w:val="7"/>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2. Transaction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2"/>
                <w:szCs w:val="12"/>
                <w:color w:val="auto"/>
              </w:rPr>
            </w:pPr>
          </w:p>
        </w:tc>
        <w:tc>
          <w:tcPr>
            <w:tcW w:w="15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8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20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420"/>
              <w:spacing w:after="0" w:line="122" w:lineRule="exact"/>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jc w:val="right"/>
              <w:ind w:right="129"/>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w w:val="91"/>
              </w:rPr>
              <w:t>(D)</w:t>
            </w:r>
          </w:p>
        </w:tc>
        <w:tc>
          <w:tcPr>
            <w:tcW w:w="2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460" w:type="dxa"/>
            <w:vAlign w:val="bottom"/>
            <w:tcBorders>
              <w:bottom w:val="single" w:sz="8" w:color="2C2C2C"/>
            </w:tcBorders>
            <w:gridSpan w:val="7"/>
          </w:tcPr>
          <w:p>
            <w:pPr>
              <w:ind w:left="80"/>
              <w:spacing w:after="0"/>
              <w:rPr>
                <w:sz w:val="20"/>
                <w:szCs w:val="20"/>
                <w:color w:val="auto"/>
              </w:rPr>
            </w:pPr>
            <w:r>
              <w:rPr>
                <w:rFonts w:ascii="Times New Roman" w:cs="Times New Roman" w:eastAsia="Times New Roman" w:hAnsi="Times New Roman"/>
                <w:sz w:val="16"/>
                <w:szCs w:val="16"/>
                <w:color w:val="0000FF"/>
              </w:rPr>
              <w:t>Class C Common Stock</w:t>
            </w: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12/29/2023</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18,000,000</w:t>
            </w:r>
          </w:p>
        </w:tc>
        <w:tc>
          <w:tcPr>
            <w:tcW w:w="3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0"/>
                <w:szCs w:val="10"/>
                <w:color w:val="008000"/>
                <w:w w:val="85"/>
              </w:rPr>
              <w:t>(1)</w:t>
            </w:r>
          </w:p>
        </w:tc>
        <w:tc>
          <w:tcPr>
            <w:tcW w:w="128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18,000,000</w:t>
            </w:r>
          </w:p>
        </w:tc>
        <w:tc>
          <w:tcPr>
            <w:tcW w:w="940" w:type="dxa"/>
            <w:vAlign w:val="bottom"/>
            <w:tcBorders>
              <w:bottom w:val="single" w:sz="8" w:color="2C2C2C"/>
            </w:tcBorders>
            <w:gridSpan w:val="2"/>
          </w:tcPr>
          <w:p>
            <w:pPr>
              <w:ind w:left="80"/>
              <w:spacing w:after="0" w:line="293" w:lineRule="exact"/>
              <w:rPr>
                <w:sz w:val="20"/>
                <w:szCs w:val="20"/>
                <w:color w:val="auto"/>
              </w:rPr>
            </w:pPr>
            <w:r>
              <w:rPr>
                <w:rFonts w:ascii="Times New Roman" w:cs="Times New Roman" w:eastAsia="Times New Roman" w:hAnsi="Times New Roman"/>
                <w:sz w:val="31"/>
                <w:szCs w:val="31"/>
                <w:color w:val="0000FF"/>
                <w:vertAlign w:val="subscript"/>
              </w:rPr>
              <w:t>D</w:t>
            </w:r>
            <w:r>
              <w:rPr>
                <w:rFonts w:ascii="Times New Roman" w:cs="Times New Roman" w:eastAsia="Times New Roman" w:hAnsi="Times New Roman"/>
                <w:sz w:val="10"/>
                <w:szCs w:val="10"/>
                <w:color w:val="008000"/>
              </w:rPr>
              <w:t>(2)(3)(4)(5)(6)</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gridSpan w:val="17"/>
          </w:tcPr>
          <w:p>
            <w:pPr>
              <w:jc w:val="center"/>
              <w:ind w:right="45"/>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gridSpan w:val="14"/>
          </w:tcPr>
          <w:p>
            <w:pPr>
              <w:jc w:val="center"/>
              <w:ind w:left="794"/>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5"/>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2"/>
          </w:tcPr>
          <w:p>
            <w:pPr>
              <w:ind w:left="2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8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2"/>
          </w:tcPr>
          <w:p>
            <w:pPr>
              <w:ind w:left="20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1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8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52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Form: Direct   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8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9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 or</w:t>
            </w:r>
          </w:p>
        </w:tc>
        <w:tc>
          <w:tcPr>
            <w:tcW w:w="840" w:type="dxa"/>
            <w:vAlign w:val="bottom"/>
            <w:tcBorders>
              <w:right w:val="single" w:sz="8" w:color="2C2C2C"/>
            </w:tcBorders>
            <w:gridSpan w:val="2"/>
          </w:tcPr>
          <w:p>
            <w:pPr>
              <w:ind w:left="20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Indirect (I)</w:t>
            </w:r>
          </w:p>
        </w:tc>
        <w:tc>
          <w:tcPr>
            <w:tcW w:w="840" w:type="dxa"/>
            <w:vAlign w:val="bottom"/>
            <w:tcBorders>
              <w:right w:val="single" w:sz="8" w:color="2C2C2C"/>
            </w:tcBorders>
            <w:gridSpan w:val="2"/>
          </w:tcPr>
          <w:p>
            <w:pPr>
              <w:ind w:left="20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(Instr. 3, 4 and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81"/>
              </w:rPr>
              <w:t>5)</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D</w:t>
            </w:r>
          </w:p>
        </w:tc>
        <w:tc>
          <w:tcPr>
            <w:tcW w:w="4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6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18,000,000</w:t>
            </w:r>
          </w:p>
        </w:tc>
        <w:tc>
          <w:tcPr>
            <w:tcW w:w="700" w:type="dxa"/>
            <w:vAlign w:val="bottom"/>
            <w:gridSpan w:val="2"/>
            <w:vMerge w:val="restart"/>
          </w:tcPr>
          <w:p>
            <w:pPr>
              <w:ind w:left="220"/>
              <w:spacing w:after="0"/>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(2)(3)(4)(5)(6)</w:t>
            </w: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2"/>
                <w:szCs w:val="12"/>
                <w:color w:val="0000FF"/>
              </w:rPr>
              <w:t>12/29/2023</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right"/>
              <w:ind w:right="5"/>
              <w:spacing w:after="0" w:line="135" w:lineRule="exact"/>
              <w:rPr>
                <w:sz w:val="20"/>
                <w:szCs w:val="20"/>
                <w:color w:val="auto"/>
              </w:rPr>
            </w:pPr>
            <w:r>
              <w:rPr>
                <w:rFonts w:ascii="Times New Roman" w:cs="Times New Roman" w:eastAsia="Times New Roman" w:hAnsi="Times New Roman"/>
                <w:sz w:val="12"/>
                <w:szCs w:val="12"/>
                <w:color w:val="0000FF"/>
              </w:rPr>
              <w:t>18,000,000</w:t>
            </w:r>
          </w:p>
        </w:tc>
        <w:tc>
          <w:tcPr>
            <w:tcW w:w="680" w:type="dxa"/>
            <w:vAlign w:val="bottom"/>
            <w:gridSpan w:val="2"/>
          </w:tcPr>
          <w:p>
            <w:pPr>
              <w:jc w:val="center"/>
              <w:ind w:left="4"/>
              <w:spacing w:after="0" w:line="135" w:lineRule="exact"/>
              <w:rPr>
                <w:sz w:val="20"/>
                <w:szCs w:val="20"/>
                <w:color w:val="auto"/>
              </w:rPr>
            </w:pPr>
            <w:r>
              <w:rPr>
                <w:rFonts w:ascii="Times New Roman" w:cs="Times New Roman" w:eastAsia="Times New Roman" w:hAnsi="Times New Roman"/>
                <w:sz w:val="12"/>
                <w:szCs w:val="12"/>
                <w:color w:val="0000FF"/>
                <w:w w:val="98"/>
              </w:rPr>
              <w:t>01/29/2021</w:t>
            </w: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color w:val="0000FF"/>
              </w:rPr>
              <w:t>4,988,329</w:t>
            </w:r>
          </w:p>
        </w:tc>
        <w:tc>
          <w:tcPr>
            <w:tcW w:w="15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gridSpan w:val="7"/>
          </w:tcPr>
          <w:p>
            <w:pPr>
              <w:ind w:left="80"/>
              <w:spacing w:after="0" w:line="21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60" w:type="dxa"/>
            <w:vAlign w:val="bottom"/>
            <w:gridSpan w:val="6"/>
          </w:tcPr>
          <w:p>
            <w:pPr>
              <w:spacing w:after="0" w:line="208"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Refinitiv US PME LLC</w:t>
              </w:r>
            </w:hyperlink>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940" w:type="dxa"/>
            <w:vAlign w:val="bottom"/>
          </w:tcPr>
          <w:p>
            <w:pPr>
              <w:ind w:left="46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33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 LIBERTY PLACE, 58TH FLOOR</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10005</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940" w:type="dxa"/>
            <w:vAlign w:val="bottom"/>
          </w:tcPr>
          <w:p>
            <w:pPr>
              <w:ind w:left="4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60" w:type="dxa"/>
            <w:vAlign w:val="bottom"/>
            <w:gridSpan w:val="7"/>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60" w:type="dxa"/>
            <w:vAlign w:val="bottom"/>
            <w:gridSpan w:val="6"/>
          </w:tcPr>
          <w:p>
            <w:pPr>
              <w:spacing w:after="0" w:line="20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Refinitiv US LLC</w:t>
              </w:r>
            </w:hyperlink>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940" w:type="dxa"/>
            <w:vAlign w:val="bottom"/>
          </w:tcPr>
          <w:p>
            <w:pPr>
              <w:ind w:left="46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33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 LIBERTY PLACE, 58TH FLOOR</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10005</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940" w:type="dxa"/>
            <w:vAlign w:val="bottom"/>
          </w:tcPr>
          <w:p>
            <w:pPr>
              <w:ind w:left="4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60" w:type="dxa"/>
            <w:vAlign w:val="bottom"/>
            <w:gridSpan w:val="7"/>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300" w:type="dxa"/>
            <w:vAlign w:val="bottom"/>
            <w:gridSpan w:val="3"/>
          </w:tcPr>
          <w:p>
            <w:pPr>
              <w:spacing w:after="0" w:line="208"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LSEGA, Inc.</w:t>
              </w:r>
            </w:hyperlink>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940" w:type="dxa"/>
            <w:vAlign w:val="bottom"/>
          </w:tcPr>
          <w:p>
            <w:pPr>
              <w:ind w:left="46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33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 LIBERTY PLACE, 58TH FLOOR</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10005</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940" w:type="dxa"/>
            <w:vAlign w:val="bottom"/>
          </w:tcPr>
          <w:p>
            <w:pPr>
              <w:ind w:left="4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-6087745</wp:posOffset>
            </wp:positionV>
            <wp:extent cx="27940" cy="160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940" cy="1600200"/>
                    </a:xfrm>
                    <a:prstGeom prst="rect">
                      <a:avLst/>
                    </a:prstGeom>
                    <a:noFill/>
                  </pic:spPr>
                </pic:pic>
              </a:graphicData>
            </a:graphic>
          </wp:anchor>
        </w:drawing>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LSEG US Holdco, Inc.</w:t>
        </w:r>
      </w:hyperlink>
    </w:p>
    <w:p>
      <w:pPr>
        <w:sectPr>
          <w:pgSz w:w="11900" w:h="16838" w:orient="portrait"/>
          <w:cols w:equalWidth="0" w:num="1">
            <w:col w:w="11080"/>
          </w:cols>
          <w:pgMar w:left="460" w:top="212" w:right="359" w:bottom="0" w:gutter="0" w:footer="0" w:header="0"/>
          <w:type w:val="continuous"/>
        </w:sectPr>
      </w:pPr>
    </w:p>
    <w:p>
      <w:pPr>
        <w:spacing w:after="0" w:line="274"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2"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t>28 LIBERTY STREET, 58TH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2810510" cy="5451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0510" cy="545147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10005</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90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800" w:type="dxa"/>
            <w:vAlign w:val="bottom"/>
            <w:gridSpan w:val="5"/>
          </w:tcPr>
          <w:p>
            <w:pPr>
              <w:spacing w:after="0" w:line="208"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Refinitiv TW Holdings Ltd.</w:t>
              </w:r>
            </w:hyperlink>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FIVE CANADA SQUARE, CANARY WHARF</w:t>
            </w:r>
          </w:p>
        </w:tc>
      </w:tr>
      <w:tr>
        <w:trPr>
          <w:trHeight w:val="189"/>
        </w:trPr>
        <w:tc>
          <w:tcPr>
            <w:tcW w:w="10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2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LONDON</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0000FF"/>
              </w:rPr>
              <w:t>X0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E14 5AQ</w:t>
            </w:r>
          </w:p>
        </w:tc>
      </w:tr>
      <w:tr>
        <w:trPr>
          <w:trHeight w:val="140"/>
        </w:trPr>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90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800" w:type="dxa"/>
            <w:vAlign w:val="bottom"/>
            <w:gridSpan w:val="5"/>
          </w:tcPr>
          <w:p>
            <w:pPr>
              <w:spacing w:after="0" w:line="208"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Refinitiv Parent Ltd</w:t>
              </w:r>
            </w:hyperlink>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FIVE CANADA SQUARE, CANARY WHARF</w:t>
            </w:r>
          </w:p>
        </w:tc>
      </w:tr>
      <w:tr>
        <w:trPr>
          <w:trHeight w:val="189"/>
        </w:trPr>
        <w:tc>
          <w:tcPr>
            <w:tcW w:w="10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2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LONDON</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0000FF"/>
              </w:rPr>
              <w:t>X0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E14 5AQ</w:t>
            </w:r>
          </w:p>
        </w:tc>
      </w:tr>
      <w:tr>
        <w:trPr>
          <w:trHeight w:val="140"/>
        </w:trPr>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90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800" w:type="dxa"/>
            <w:vAlign w:val="bottom"/>
            <w:gridSpan w:val="5"/>
          </w:tcPr>
          <w:p>
            <w:pPr>
              <w:spacing w:after="0" w:line="208" w:lineRule="exact"/>
              <w:rPr>
                <w:rFonts w:ascii="Times New Roman" w:cs="Times New Roman" w:eastAsia="Times New Roman" w:hAnsi="Times New Roman"/>
                <w:sz w:val="20"/>
                <w:szCs w:val="20"/>
                <w:color w:val="0000EE"/>
                <w:w w:val="98"/>
              </w:rPr>
            </w:pPr>
            <w:hyperlink r:id="rId21">
              <w:r>
                <w:rPr>
                  <w:rFonts w:ascii="Times New Roman" w:cs="Times New Roman" w:eastAsia="Times New Roman" w:hAnsi="Times New Roman"/>
                  <w:sz w:val="20"/>
                  <w:szCs w:val="20"/>
                  <w:color w:val="0000EE"/>
                  <w:w w:val="98"/>
                </w:rPr>
                <w:t>London Stock Exchange Group plc</w:t>
              </w:r>
            </w:hyperlink>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 PATERNOSTER SQUARE</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10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2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LONDON</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0000FF"/>
              </w:rPr>
              <w:t>X0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EC4M 7LS</w:t>
            </w:r>
          </w:p>
        </w:tc>
      </w:tr>
      <w:tr>
        <w:trPr>
          <w:trHeight w:val="140"/>
        </w:trPr>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4"/>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120" w:hanging="6"/>
        <w:spacing w:after="0" w:line="245"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Class D common stock of the Issuer ("Class D Common Stock") have ten votes per share but no economic rights (including rights to dividends or, other than their par value, distributions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23"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Refinitiv US PME LLC.</w:t>
      </w:r>
    </w:p>
    <w:p>
      <w:pPr>
        <w:spacing w:after="0" w:line="45" w:lineRule="exact"/>
        <w:rPr>
          <w:rFonts w:ascii="Times New Roman" w:cs="Times New Roman" w:eastAsia="Times New Roman" w:hAnsi="Times New Roman"/>
          <w:sz w:val="12"/>
          <w:szCs w:val="12"/>
          <w:color w:val="008000"/>
        </w:rPr>
      </w:pPr>
    </w:p>
    <w:p>
      <w:pPr>
        <w:ind w:left="40" w:right="2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Refinitiv US LLC is the controlling member of Refinitiv US PME LLC. LSEGA, Inc. is the sole member of Refinitiv US LLC. Refinitiv Parent Limited is the sole shareholder of LSEG US Holdco, Inc., which is the sole shareholder of LSEGA, Inc. IAG US LLC is a member of Refinitiv US PME LLC. Refinitiv International Holdings S.a r.l. is the sole member of IAG US LLC. Refinitiv Netherlands Holdings BV is the sole shareholder of Refinitiv International Holdings S.a r.l.</w:t>
      </w:r>
    </w:p>
    <w:p>
      <w:pPr>
        <w:spacing w:after="0" w:line="19" w:lineRule="exact"/>
        <w:rPr>
          <w:rFonts w:ascii="Times New Roman" w:cs="Times New Roman" w:eastAsia="Times New Roman" w:hAnsi="Times New Roman"/>
          <w:sz w:val="12"/>
          <w:szCs w:val="12"/>
          <w:color w:val="008000"/>
        </w:rPr>
      </w:pPr>
    </w:p>
    <w:p>
      <w:pPr>
        <w:ind w:left="40" w:hanging="6"/>
        <w:spacing w:after="0" w:line="246"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w:t>
      </w:r>
    </w:p>
    <w:p>
      <w:pPr>
        <w:spacing w:after="0" w:line="162" w:lineRule="exact"/>
        <w:rPr>
          <w:rFonts w:ascii="Times New Roman" w:cs="Times New Roman" w:eastAsia="Times New Roman" w:hAnsi="Times New Roman"/>
          <w:sz w:val="12"/>
          <w:szCs w:val="12"/>
          <w:color w:val="008000"/>
        </w:rPr>
      </w:pPr>
    </w:p>
    <w:p>
      <w:pPr>
        <w:ind w:left="40" w:right="380" w:hanging="6"/>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7" w:lineRule="exact"/>
        <w:rPr>
          <w:rFonts w:ascii="Times New Roman" w:cs="Times New Roman" w:eastAsia="Times New Roman" w:hAnsi="Times New Roman"/>
          <w:sz w:val="12"/>
          <w:szCs w:val="12"/>
          <w:color w:val="008000"/>
        </w:rPr>
      </w:pPr>
    </w:p>
    <w:p>
      <w:pPr>
        <w:ind w:left="40" w:right="4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ectPr>
          <w:pgSz w:w="11900" w:h="16838" w:orient="portrait"/>
          <w:cols w:equalWidth="0" w:num="1">
            <w:col w:w="10920"/>
          </w:cols>
          <w:pgMar w:left="460" w:top="139" w:right="519" w:bottom="39" w:gutter="0" w:footer="0" w:header="0"/>
        </w:sectPr>
      </w:pP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REFINITIV US PME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38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3825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REFINITIV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0058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0584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LSEGA,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7169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LSEG US HOLDCO,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439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43965"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for REFINITIV TW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-7620</wp:posOffset>
            </wp:positionV>
            <wp:extent cx="13582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2120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1209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REFINITIV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0439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4146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414655"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Teresa Hogan,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0</wp:posOffset>
            </wp:positionV>
            <wp:extent cx="13538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LONDON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9226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9226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EXCHANGE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1322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322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40" w:space="60"/>
            <w:col w:w="2120"/>
          </w:cols>
          <w:pgMar w:left="460" w:top="139" w:right="519" w:bottom="39"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840" w:hanging="6"/>
        <w:spacing w:after="0" w:line="318"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60" w:top="139" w:right="519" w:bottom="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12" Type="http://schemas.openxmlformats.org/officeDocument/2006/relationships/hyperlink" Target="http://www.sec.gov/cgi-bin/browse-edgar?action=getcompany&amp;CIK=0001772075" TargetMode="External"/><Relationship Id="rId13" Type="http://schemas.openxmlformats.org/officeDocument/2006/relationships/hyperlink" Target="http://www.sec.gov/cgi-bin/browse-edgar?action=getcompany&amp;CIK=0001758730" TargetMode="External"/><Relationship Id="rId14" Type="http://schemas.openxmlformats.org/officeDocument/2006/relationships/hyperlink" Target="http://www.sec.gov/cgi-bin/browse-edgar?action=getcompany&amp;CIK=0001772073" TargetMode="External"/><Relationship Id="rId15" Type="http://schemas.openxmlformats.org/officeDocument/2006/relationships/hyperlink" Target="http://www.sec.gov/cgi-bin/browse-edgar?action=getcompany&amp;CIK=0001842891" TargetMode="External"/><Relationship Id="rId17" Type="http://schemas.openxmlformats.org/officeDocument/2006/relationships/hyperlink" Target="http://www.sec.gov/cgi-bin/browse-edgar?action=getcompany&amp;CIK=0002006452" TargetMode="External"/><Relationship Id="rId19" Type="http://schemas.openxmlformats.org/officeDocument/2006/relationships/hyperlink" Target="http://www.sec.gov/cgi-bin/browse-edgar?action=getcompany&amp;CIK=0001772096" TargetMode="External"/><Relationship Id="rId20" Type="http://schemas.openxmlformats.org/officeDocument/2006/relationships/hyperlink" Target="http://www.sec.gov/cgi-bin/browse-edgar?action=getcompany&amp;CIK=0001771967" TargetMode="External"/><Relationship Id="rId21" Type="http://schemas.openxmlformats.org/officeDocument/2006/relationships/hyperlink" Target="http://www.sec.gov/cgi-bin/browse-edgar?action=getcompany&amp;CIK=0001842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2024-01-03T15:39:50Z</dcterms:created>
  <dcterms:modified xsi:type="dcterms:W3CDTF">2024-01-03T15:39:50Z</dcterms:modified>
</cp:coreProperties>
</file>