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3"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0" w:lineRule="exact"/>
        <w:rPr>
          <w:sz w:val="24"/>
          <w:szCs w:val="24"/>
          <w:color w:val="auto"/>
        </w:rPr>
      </w:pPr>
    </w:p>
    <w:p>
      <w:pPr>
        <w:spacing w:after="0" w:line="2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10795</wp:posOffset>
            </wp:positionV>
            <wp:extent cx="57003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10795</wp:posOffset>
            </wp:positionV>
            <wp:extent cx="57003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10795</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(CUSIP Number)</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10795</wp:posOffset>
            </wp:positionV>
            <wp:extent cx="57003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(Date of Event which Requires Filing of this Statement)</w:t>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33" w:lineRule="exact"/>
        <w:rPr>
          <w:sz w:val="24"/>
          <w:szCs w:val="24"/>
          <w:color w:val="auto"/>
        </w:rPr>
      </w:pPr>
    </w:p>
    <w:p>
      <w:pPr>
        <w:ind w:left="900" w:hanging="892"/>
        <w:spacing w:after="0"/>
        <w:tabs>
          <w:tab w:leader="none" w:pos="9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Rule 13d-1(c)</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188" w:right="1440"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404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w w:val="98"/>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892672106</w:t>
      </w:r>
    </w:p>
    <w:p>
      <w:pPr>
        <w:spacing w:after="0" w:line="2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5186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11" w:lineRule="exact"/>
        <w:rPr>
          <w:sz w:val="20"/>
          <w:szCs w:val="20"/>
          <w:color w:val="auto"/>
        </w:rPr>
      </w:pPr>
    </w:p>
    <w:p>
      <w:pPr>
        <w:ind w:left="1380" w:right="4020" w:hanging="785"/>
        <w:spacing w:after="0" w:line="181" w:lineRule="auto"/>
        <w:tabs>
          <w:tab w:leader="none" w:pos="1344" w:val="left"/>
        </w:tabs>
        <w:numPr>
          <w:ilvl w:val="0"/>
          <w:numId w:val="2"/>
        </w:numPr>
        <w:rPr>
          <w:rFonts w:ascii="Times New Roman" w:cs="Times New Roman" w:eastAsia="Times New Roman" w:hAnsi="Times New Roman"/>
          <w:sz w:val="46"/>
          <w:szCs w:val="46"/>
          <w:b w:val="1"/>
          <w:bCs w:val="1"/>
          <w:color w:val="auto"/>
          <w:vertAlign w:val="subscript"/>
        </w:rPr>
      </w:pPr>
      <w:r>
        <w:rPr>
          <w:rFonts w:ascii="Times New Roman" w:cs="Times New Roman" w:eastAsia="Times New Roman" w:hAnsi="Times New Roman"/>
          <w:sz w:val="16"/>
          <w:szCs w:val="16"/>
          <w:b w:val="1"/>
          <w:bCs w:val="1"/>
          <w:color w:val="auto"/>
        </w:rPr>
        <w:t xml:space="preserve">I.R.S. IDENTIFICATION NOS. OF ABOVE PERSONS (ENTITIES ONLY) </w:t>
      </w:r>
      <w:r>
        <w:rPr>
          <w:rFonts w:ascii="Times New Roman" w:cs="Times New Roman" w:eastAsia="Times New Roman" w:hAnsi="Times New Roman"/>
          <w:sz w:val="16"/>
          <w:szCs w:val="16"/>
          <w:color w:val="auto"/>
        </w:rPr>
        <w:t>Owership Capital B.V.</w:t>
      </w:r>
    </w:p>
    <w:p>
      <w:pPr>
        <w:spacing w:after="0" w:line="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p>
      <w:pPr>
        <w:ind w:left="600"/>
        <w:spacing w:after="0" w:line="258" w:lineRule="exact"/>
        <w:tabs>
          <w:tab w:leader="none" w:pos="1320" w:val="left"/>
        </w:tabs>
        <w:rPr>
          <w:sz w:val="20"/>
          <w:szCs w:val="20"/>
          <w:color w:val="auto"/>
        </w:rPr>
      </w:pPr>
      <w:r>
        <w:rPr>
          <w:rFonts w:ascii="Times New Roman" w:cs="Times New Roman" w:eastAsia="Times New Roman" w:hAnsi="Times New Roman"/>
          <w:sz w:val="29"/>
          <w:szCs w:val="29"/>
          <w:b w:val="1"/>
          <w:bCs w:val="1"/>
          <w:color w:val="auto"/>
        </w:rPr>
        <w:t>2</w:t>
      </w:r>
      <w:r>
        <w:rPr>
          <w:sz w:val="20"/>
          <w:szCs w:val="20"/>
          <w:color w:val="auto"/>
        </w:rPr>
        <w:tab/>
      </w:r>
      <w:r>
        <w:rPr>
          <w:rFonts w:ascii="Times New Roman" w:cs="Times New Roman" w:eastAsia="Times New Roman" w:hAnsi="Times New Roman"/>
          <w:sz w:val="17"/>
          <w:szCs w:val="17"/>
          <w:color w:val="auto"/>
        </w:rPr>
        <w:t>(a)</w:t>
      </w:r>
      <w:r>
        <w:rPr>
          <w:rFonts w:ascii="MS PGothic" w:cs="MS PGothic" w:eastAsia="MS PGothic" w:hAnsi="MS PGothic"/>
          <w:sz w:val="17"/>
          <w:szCs w:val="17"/>
          <w:color w:val="auto"/>
        </w:rPr>
        <w:t>☐</w:t>
      </w:r>
    </w:p>
    <w:p>
      <w:pPr>
        <w:spacing w:after="0" w:line="8" w:lineRule="exact"/>
        <w:rPr>
          <w:sz w:val="20"/>
          <w:szCs w:val="20"/>
          <w:color w:val="auto"/>
        </w:rPr>
      </w:pPr>
    </w:p>
    <w:p>
      <w:pPr>
        <w:ind w:left="13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ind w:left="1340"/>
        <w:spacing w:after="0" w:line="182" w:lineRule="auto"/>
        <w:rPr>
          <w:sz w:val="20"/>
          <w:szCs w:val="20"/>
          <w:color w:val="auto"/>
        </w:rPr>
      </w:pPr>
      <w:r>
        <w:rPr>
          <w:rFonts w:ascii="Times New Roman" w:cs="Times New Roman" w:eastAsia="Times New Roman" w:hAnsi="Times New Roman"/>
          <w:sz w:val="18"/>
          <w:szCs w:val="18"/>
          <w:b w:val="1"/>
          <w:bCs w:val="1"/>
          <w:color w:val="auto"/>
        </w:rPr>
        <w:t>SEC USE ONLY</w:t>
      </w:r>
    </w:p>
    <w:p>
      <w:pPr>
        <w:ind w:left="60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600"/>
        <w:spacing w:after="0" w:line="181" w:lineRule="auto"/>
        <w:tabs>
          <w:tab w:leader="none" w:pos="1360" w:val="left"/>
        </w:tabs>
        <w:rPr>
          <w:sz w:val="20"/>
          <w:szCs w:val="20"/>
          <w:color w:val="auto"/>
        </w:rPr>
      </w:pPr>
      <w:r>
        <w:rPr>
          <w:rFonts w:ascii="Times New Roman" w:cs="Times New Roman" w:eastAsia="Times New Roman" w:hAnsi="Times New Roman"/>
          <w:sz w:val="27"/>
          <w:szCs w:val="27"/>
          <w:b w:val="1"/>
          <w:bCs w:val="1"/>
          <w:color w:val="auto"/>
          <w:vertAlign w:val="superscript"/>
        </w:rPr>
        <w:t>4</w:t>
      </w:r>
      <w:r>
        <w:rPr>
          <w:sz w:val="20"/>
          <w:szCs w:val="20"/>
          <w:color w:val="auto"/>
        </w:rPr>
        <w:tab/>
      </w:r>
      <w:r>
        <w:rPr>
          <w:rFonts w:ascii="Times New Roman" w:cs="Times New Roman" w:eastAsia="Times New Roman" w:hAnsi="Times New Roman"/>
          <w:sz w:val="14"/>
          <w:szCs w:val="14"/>
          <w:color w:val="auto"/>
        </w:rPr>
        <w:t>Netherlands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32"/>
                <w:szCs w:val="32"/>
                <w:b w:val="1"/>
                <w:bCs w:val="1"/>
                <w:color w:val="auto"/>
              </w:rPr>
              <w:t>5</w:t>
            </w:r>
          </w:p>
        </w:tc>
        <w:tc>
          <w:tcPr>
            <w:tcW w:w="8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27"/>
        </w:trPr>
        <w:tc>
          <w:tcPr>
            <w:tcW w:w="13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4,168,682</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32"/>
                <w:szCs w:val="32"/>
                <w:b w:val="1"/>
                <w:bCs w:val="1"/>
                <w:color w:val="auto"/>
              </w:rPr>
              <w:t>6</w:t>
            </w:r>
          </w:p>
        </w:tc>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63"/>
        </w:trPr>
        <w:tc>
          <w:tcPr>
            <w:tcW w:w="200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vMerge w:val="continue"/>
          </w:tcPr>
          <w:p>
            <w:pPr>
              <w:spacing w:after="0"/>
              <w:rPr>
                <w:sz w:val="18"/>
                <w:szCs w:val="18"/>
                <w:color w:val="auto"/>
              </w:rPr>
            </w:pPr>
          </w:p>
        </w:tc>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20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0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66"/>
        </w:trPr>
        <w:tc>
          <w:tcPr>
            <w:tcW w:w="20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32"/>
                <w:szCs w:val="32"/>
                <w:b w:val="1"/>
                <w:bCs w:val="1"/>
                <w:color w:val="auto"/>
              </w:rPr>
              <w:t>7</w:t>
            </w:r>
          </w:p>
        </w:tc>
        <w:tc>
          <w:tcPr>
            <w:tcW w:w="8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0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8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300" w:type="dxa"/>
            <w:vAlign w:val="bottom"/>
          </w:tcPr>
          <w:p>
            <w:pPr>
              <w:jc w:val="center"/>
              <w:ind w:left="589"/>
              <w:spacing w:after="0"/>
              <w:rPr>
                <w:sz w:val="20"/>
                <w:szCs w:val="20"/>
                <w:color w:val="auto"/>
              </w:rPr>
            </w:pPr>
            <w:r>
              <w:rPr>
                <w:rFonts w:ascii="Times New Roman" w:cs="Times New Roman" w:eastAsia="Times New Roman" w:hAnsi="Times New Roman"/>
                <w:sz w:val="18"/>
                <w:szCs w:val="18"/>
                <w:b w:val="1"/>
                <w:bCs w:val="1"/>
                <w:color w:val="auto"/>
              </w:rPr>
              <w:t>WITH</w:t>
            </w:r>
          </w:p>
        </w:tc>
        <w:tc>
          <w:tcPr>
            <w:tcW w:w="70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continue"/>
          </w:tcPr>
          <w:p>
            <w:pPr>
              <w:spacing w:after="0"/>
              <w:rPr>
                <w:sz w:val="21"/>
                <w:szCs w:val="21"/>
                <w:color w:val="auto"/>
              </w:rPr>
            </w:pPr>
          </w:p>
        </w:tc>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5,194,980</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3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32"/>
                <w:szCs w:val="32"/>
                <w:b w:val="1"/>
                <w:bCs w:val="1"/>
                <w:color w:val="auto"/>
              </w:rPr>
              <w:t>8</w:t>
            </w:r>
          </w:p>
        </w:tc>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302"/>
        </w:trPr>
        <w:tc>
          <w:tcPr>
            <w:tcW w:w="13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300" w:type="dxa"/>
            <w:vAlign w:val="bottom"/>
            <w:vMerge w:val="restart"/>
          </w:tcPr>
          <w:p>
            <w:pPr>
              <w:jc w:val="right"/>
              <w:ind w:right="429"/>
              <w:spacing w:after="0"/>
              <w:rPr>
                <w:sz w:val="20"/>
                <w:szCs w:val="20"/>
                <w:color w:val="auto"/>
              </w:rPr>
            </w:pPr>
            <w:r>
              <w:rPr>
                <w:rFonts w:ascii="Times New Roman" w:cs="Times New Roman" w:eastAsia="Times New Roman" w:hAnsi="Times New Roman"/>
                <w:sz w:val="32"/>
                <w:szCs w:val="32"/>
                <w:b w:val="1"/>
                <w:bCs w:val="1"/>
                <w:color w:val="auto"/>
              </w:rPr>
              <w:t>9</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302"/>
        </w:trPr>
        <w:tc>
          <w:tcPr>
            <w:tcW w:w="13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9240" w:type="dxa"/>
            <w:vAlign w:val="bottom"/>
            <w:gridSpan w:val="2"/>
          </w:tcPr>
          <w:p>
            <w:pPr>
              <w:jc w:val="right"/>
              <w:ind w:right="8410"/>
              <w:spacing w:after="0"/>
              <w:rPr>
                <w:sz w:val="20"/>
                <w:szCs w:val="20"/>
                <w:color w:val="auto"/>
              </w:rPr>
            </w:pPr>
            <w:r>
              <w:rPr>
                <w:rFonts w:ascii="Times New Roman" w:cs="Times New Roman" w:eastAsia="Times New Roman" w:hAnsi="Times New Roman"/>
                <w:sz w:val="18"/>
                <w:szCs w:val="18"/>
                <w:color w:val="auto"/>
                <w:w w:val="99"/>
              </w:rPr>
              <w:t>5,194,980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300" w:type="dxa"/>
            <w:vAlign w:val="bottom"/>
            <w:vMerge w:val="restart"/>
          </w:tcPr>
          <w:p>
            <w:pPr>
              <w:jc w:val="right"/>
              <w:ind w:right="349"/>
              <w:spacing w:after="0"/>
              <w:rPr>
                <w:sz w:val="20"/>
                <w:szCs w:val="20"/>
                <w:color w:val="auto"/>
              </w:rPr>
            </w:pPr>
            <w:r>
              <w:rPr>
                <w:rFonts w:ascii="Times New Roman" w:cs="Times New Roman" w:eastAsia="Times New Roman" w:hAnsi="Times New Roman"/>
                <w:sz w:val="32"/>
                <w:szCs w:val="32"/>
                <w:b w:val="1"/>
                <w:bCs w:val="1"/>
                <w:color w:val="auto"/>
              </w:rPr>
              <w:t>10</w:t>
            </w:r>
          </w:p>
        </w:tc>
        <w:tc>
          <w:tcPr>
            <w:tcW w:w="9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22"/>
        </w:trPr>
        <w:tc>
          <w:tcPr>
            <w:tcW w:w="1300" w:type="dxa"/>
            <w:vAlign w:val="bottom"/>
            <w:vMerge w:val="continue"/>
          </w:tcPr>
          <w:p>
            <w:pPr>
              <w:spacing w:after="0"/>
              <w:rPr>
                <w:sz w:val="24"/>
                <w:szCs w:val="24"/>
                <w:color w:val="auto"/>
              </w:rPr>
            </w:pPr>
          </w:p>
        </w:tc>
        <w:tc>
          <w:tcPr>
            <w:tcW w:w="7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20"/>
        <w:spacing w:after="0" w:line="233" w:lineRule="auto"/>
        <w:tabs>
          <w:tab w:leader="none" w:pos="136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35"/>
          <w:szCs w:val="35"/>
          <w:color w:val="auto"/>
          <w:vertAlign w:val="subscript"/>
        </w:rPr>
        <w:t>4.68%</w:t>
      </w:r>
      <w:r>
        <w:rPr>
          <w:rFonts w:ascii="Times New Roman" w:cs="Times New Roman" w:eastAsia="Times New Roman" w:hAnsi="Times New Roman"/>
          <w:sz w:val="18"/>
          <w:szCs w:val="18"/>
          <w:color w:val="auto"/>
        </w:rPr>
        <w:t>(1)</w:t>
      </w:r>
    </w:p>
    <w:p>
      <w:pPr>
        <w:spacing w:after="0" w:line="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237" w:lineRule="auto"/>
        <w:tabs>
          <w:tab w:leader="none" w:pos="136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36"/>
          <w:szCs w:val="36"/>
          <w:color w:val="auto"/>
          <w:vertAlign w:val="subscript"/>
        </w:rPr>
        <w:t>FI</w:t>
      </w:r>
    </w:p>
    <w:p>
      <w:pPr>
        <w:spacing w:after="0" w:line="200" w:lineRule="exact"/>
        <w:rPr>
          <w:sz w:val="20"/>
          <w:szCs w:val="20"/>
          <w:color w:val="auto"/>
        </w:rPr>
      </w:pPr>
    </w:p>
    <w:p>
      <w:pPr>
        <w:spacing w:after="0" w:line="381" w:lineRule="exact"/>
        <w:rPr>
          <w:sz w:val="20"/>
          <w:szCs w:val="20"/>
          <w:color w:val="auto"/>
        </w:rPr>
      </w:pPr>
    </w:p>
    <w:p>
      <w:pPr>
        <w:ind w:right="580" w:firstLine="8"/>
        <w:spacing w:after="0" w:line="199" w:lineRule="auto"/>
        <w:tabs>
          <w:tab w:leader="none" w:pos="264" w:val="left"/>
        </w:tabs>
        <w:numPr>
          <w:ilvl w:val="0"/>
          <w:numId w:val="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Based upon 111,077,443 shares of Class A Common Stock, par value $0.00001 per share of Tradeweb Markets Inc. (the “Issuer”) outstanding as of October 20, 2022 as reported in the Issuer's Form 10-Q filed with the Securities and Exchange Commission on October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620" w:type="dxa"/>
            <w:vAlign w:val="bottom"/>
          </w:tcPr>
          <w:p>
            <w:pPr>
              <w:spacing w:after="0"/>
              <w:rPr>
                <w:sz w:val="19"/>
                <w:szCs w:val="19"/>
                <w:color w:val="auto"/>
              </w:rPr>
            </w:pPr>
          </w:p>
        </w:tc>
        <w:tc>
          <w:tcPr>
            <w:tcW w:w="600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w w:val="98"/>
              </w:rPr>
              <w:t>Page 3 of 5 Pages</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892672106</w:t>
            </w:r>
          </w:p>
        </w:tc>
        <w:tc>
          <w:tcPr>
            <w:tcW w:w="62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459"/>
        </w:trPr>
        <w:tc>
          <w:tcPr>
            <w:tcW w:w="1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1177 Avenue of the Americas</w:t>
            </w:r>
          </w:p>
        </w:tc>
      </w:tr>
      <w:tr>
        <w:trPr>
          <w:trHeight w:val="234"/>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York, NY 10036</w:t>
            </w:r>
          </w:p>
        </w:tc>
      </w:tr>
      <w:tr>
        <w:trPr>
          <w:trHeight w:val="648"/>
        </w:trPr>
        <w:tc>
          <w:tcPr>
            <w:tcW w:w="1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 of Persons Filing:</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Ownership Capital B.V.</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 :</w:t>
            </w:r>
          </w:p>
        </w:tc>
      </w:tr>
      <w:tr>
        <w:trPr>
          <w:trHeight w:val="414"/>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Herengracht 107</w:t>
            </w:r>
          </w:p>
        </w:tc>
      </w:tr>
      <w:tr>
        <w:trPr>
          <w:trHeight w:val="234"/>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Amsterdam, The Netherlands 1015 BE</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w:t>
            </w: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Common Stock, par value $0.00001 per share</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w:t>
            </w: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CUSIP Number:</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892672106</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3. If this statement is filed pursuant to Sections 240.13d-1(b) or 240.13d-2(b) or (c), check whether the person filing is a:</w:t>
      </w:r>
    </w:p>
    <w:p>
      <w:pPr>
        <w:spacing w:after="0" w:line="225" w:lineRule="exact"/>
        <w:rPr>
          <w:sz w:val="20"/>
          <w:szCs w:val="20"/>
          <w:color w:val="auto"/>
        </w:rPr>
      </w:pPr>
    </w:p>
    <w:p>
      <w:pPr>
        <w:ind w:left="900"/>
        <w:spacing w:after="0"/>
        <w:tabs>
          <w:tab w:leader="none" w:pos="1320" w:val="left"/>
          <w:tab w:leader="none" w:pos="1520" w:val="left"/>
          <w:tab w:leader="none" w:pos="1720" w:val="left"/>
        </w:tabs>
        <w:rPr>
          <w:sz w:val="20"/>
          <w:szCs w:val="20"/>
          <w:color w:val="auto"/>
        </w:rPr>
      </w:pPr>
      <w:r>
        <w:rPr>
          <w:rFonts w:ascii="Times New Roman" w:cs="Times New Roman" w:eastAsia="Times New Roman" w:hAnsi="Times New Roman"/>
          <w:sz w:val="18"/>
          <w:szCs w:val="18"/>
          <w:color w:val="auto"/>
        </w:rPr>
        <w:t>(a)</w:t>
        <w:tab/>
        <w:t>[</w:t>
        <w:tab/>
        <w:t>]</w:t>
      </w:r>
      <w:r>
        <w:rPr>
          <w:sz w:val="20"/>
          <w:szCs w:val="20"/>
          <w:color w:val="auto"/>
        </w:rPr>
        <w:tab/>
      </w:r>
      <w:r>
        <w:rPr>
          <w:rFonts w:ascii="Times New Roman" w:cs="Times New Roman" w:eastAsia="Times New Roman" w:hAnsi="Times New Roman"/>
          <w:sz w:val="17"/>
          <w:szCs w:val="17"/>
          <w:color w:val="auto"/>
        </w:rPr>
        <w:t>Broker or dealer registered under Section 15 of the Act.</w:t>
      </w:r>
    </w:p>
    <w:p>
      <w:pPr>
        <w:spacing w:after="0" w:line="27" w:lineRule="exact"/>
        <w:rPr>
          <w:sz w:val="20"/>
          <w:szCs w:val="20"/>
          <w:color w:val="auto"/>
        </w:rPr>
      </w:pPr>
    </w:p>
    <w:p>
      <w:pPr>
        <w:ind w:left="1340" w:hanging="441"/>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Bank as defined in Section 3(a)(6) of the Act.</w:t>
      </w:r>
    </w:p>
    <w:p>
      <w:pPr>
        <w:spacing w:after="0" w:line="9" w:lineRule="exact"/>
        <w:rPr>
          <w:sz w:val="20"/>
          <w:szCs w:val="20"/>
          <w:color w:val="auto"/>
        </w:rPr>
      </w:pPr>
    </w:p>
    <w:p>
      <w:pPr>
        <w:ind w:left="900"/>
        <w:spacing w:after="0"/>
        <w:tabs>
          <w:tab w:leader="none" w:pos="1320" w:val="left"/>
          <w:tab w:leader="none" w:pos="1520" w:val="left"/>
          <w:tab w:leader="none" w:pos="1720" w:val="left"/>
        </w:tabs>
        <w:rPr>
          <w:sz w:val="20"/>
          <w:szCs w:val="20"/>
          <w:color w:val="auto"/>
        </w:rPr>
      </w:pPr>
      <w:r>
        <w:rPr>
          <w:rFonts w:ascii="Times New Roman" w:cs="Times New Roman" w:eastAsia="Times New Roman" w:hAnsi="Times New Roman"/>
          <w:sz w:val="18"/>
          <w:szCs w:val="18"/>
          <w:color w:val="auto"/>
        </w:rPr>
        <w:t>(c)</w:t>
        <w:tab/>
        <w:t>[</w:t>
        <w:tab/>
        <w:t>]</w:t>
        <w:tab/>
        <w:t>Insurance company as defined in Section 3(a)(19) of the Act.</w:t>
      </w:r>
    </w:p>
    <w:p>
      <w:pPr>
        <w:spacing w:after="0" w:line="9" w:lineRule="exact"/>
        <w:rPr>
          <w:sz w:val="20"/>
          <w:szCs w:val="20"/>
          <w:color w:val="auto"/>
        </w:rPr>
      </w:pPr>
    </w:p>
    <w:p>
      <w:pPr>
        <w:ind w:left="1700" w:right="4760" w:hanging="801"/>
        <w:spacing w:after="0" w:line="250"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company registered under Section 8 of the Investment Company Act of 1940.</w:t>
      </w:r>
    </w:p>
    <w:p>
      <w:pPr>
        <w:ind w:left="1340" w:hanging="441"/>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investment adviser in accordance with Section</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240.13d-1(b)(1)(ii)(E).</w:t>
      </w:r>
    </w:p>
    <w:p>
      <w:pPr>
        <w:spacing w:after="0" w:line="9" w:lineRule="exact"/>
        <w:rPr>
          <w:sz w:val="20"/>
          <w:szCs w:val="20"/>
          <w:color w:val="auto"/>
        </w:rPr>
      </w:pPr>
    </w:p>
    <w:p>
      <w:pPr>
        <w:ind w:left="900"/>
        <w:spacing w:after="0"/>
        <w:tabs>
          <w:tab w:leader="none" w:pos="1320" w:val="left"/>
          <w:tab w:leader="none" w:pos="152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color w:val="auto"/>
        </w:rPr>
        <w:t>[</w:t>
        <w:tab/>
        <w:t>] An employee benefit plan or endowment fund in accordance with</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Section 240.13d-1(b)(1)(ii)(F).</w:t>
      </w:r>
    </w:p>
    <w:p>
      <w:pPr>
        <w:spacing w:after="0" w:line="9" w:lineRule="exact"/>
        <w:rPr>
          <w:sz w:val="20"/>
          <w:szCs w:val="20"/>
          <w:color w:val="auto"/>
        </w:rPr>
      </w:pPr>
    </w:p>
    <w:p>
      <w:pPr>
        <w:ind w:left="1740" w:right="4900" w:hanging="841"/>
        <w:spacing w:after="0" w:line="250" w:lineRule="auto"/>
        <w:tabs>
          <w:tab w:leader="none" w:pos="1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parent holding company or control person in accordance with Section 240.13d-1(b)(1)(ii)(G).</w:t>
      </w:r>
    </w:p>
    <w:tbl>
      <w:tblPr>
        <w:tblLayout w:type="fixed"/>
        <w:tblInd w:w="0" w:type="dxa"/>
        <w:tblCellMar>
          <w:top w:w="0" w:type="dxa"/>
          <w:left w:w="0" w:type="dxa"/>
          <w:bottom w:w="0" w:type="dxa"/>
          <w:right w:w="0" w:type="dxa"/>
        </w:tblCellMar>
      </w:tblPr>
      <w:tr>
        <w:trPr>
          <w:trHeight w:val="198"/>
        </w:trPr>
        <w:tc>
          <w:tcPr>
            <w:tcW w:w="1220" w:type="dxa"/>
            <w:vAlign w:val="bottom"/>
          </w:tcPr>
          <w:p>
            <w:pPr>
              <w:ind w:left="900"/>
              <w:spacing w:after="0" w:line="199" w:lineRule="exact"/>
              <w:rPr>
                <w:sz w:val="20"/>
                <w:szCs w:val="20"/>
                <w:color w:val="auto"/>
              </w:rPr>
            </w:pPr>
            <w:r>
              <w:rPr>
                <w:rFonts w:ascii="Times New Roman" w:cs="Times New Roman" w:eastAsia="Times New Roman" w:hAnsi="Times New Roman"/>
                <w:sz w:val="18"/>
                <w:szCs w:val="18"/>
                <w:color w:val="auto"/>
              </w:rPr>
              <w:t>(h)</w:t>
            </w:r>
          </w:p>
        </w:tc>
        <w:tc>
          <w:tcPr>
            <w:tcW w:w="2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80"/>
              <w:spacing w:after="0" w:line="199" w:lineRule="exact"/>
              <w:rPr>
                <w:sz w:val="20"/>
                <w:szCs w:val="20"/>
                <w:color w:val="auto"/>
              </w:rPr>
            </w:pPr>
            <w:r>
              <w:rPr>
                <w:rFonts w:ascii="Times New Roman" w:cs="Times New Roman" w:eastAsia="Times New Roman" w:hAnsi="Times New Roman"/>
                <w:sz w:val="18"/>
                <w:szCs w:val="18"/>
                <w:color w:val="auto"/>
              </w:rPr>
              <w:t>A savings associations as defined in Section 3(b) of the Federal</w:t>
            </w: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 Insurance Act.</w:t>
            </w:r>
          </w:p>
        </w:tc>
      </w:tr>
      <w:tr>
        <w:trPr>
          <w:trHeight w:val="216"/>
        </w:trPr>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w:t>
            </w: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under Section 3(c)(14) of the Investment Company Act</w:t>
            </w:r>
          </w:p>
        </w:tc>
      </w:t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1940.</w:t>
            </w:r>
          </w:p>
        </w:tc>
      </w:tr>
      <w:tr>
        <w:trPr>
          <w:trHeight w:val="847"/>
        </w:trPr>
        <w:tc>
          <w:tcPr>
            <w:tcW w:w="1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892672106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4 of 5 Pages</w:t>
      </w:r>
    </w:p>
    <w:p>
      <w:pPr>
        <w:spacing w:after="0" w:line="449" w:lineRule="exact"/>
        <w:rPr>
          <w:sz w:val="20"/>
          <w:szCs w:val="20"/>
          <w:color w:val="auto"/>
        </w:rPr>
      </w:pPr>
    </w:p>
    <w:p>
      <w:pPr>
        <w:sectPr>
          <w:pgSz w:w="11900" w:h="16838" w:orient="portrait"/>
          <w:cols w:equalWidth="0" w:num="2">
            <w:col w:w="5340" w:space="720"/>
            <w:col w:w="4900"/>
          </w:cols>
          <w:pgMar w:left="320" w:top="846" w:right="619" w:bottom="1440" w:gutter="0" w:footer="0" w:header="0"/>
        </w:sectPr>
      </w:pPr>
    </w:p>
    <w:p>
      <w:pPr>
        <w:spacing w:after="0" w:line="34" w:lineRule="exact"/>
        <w:rPr>
          <w:sz w:val="20"/>
          <w:szCs w:val="20"/>
          <w:color w:val="auto"/>
        </w:rPr>
      </w:pPr>
    </w:p>
    <w:p>
      <w:pPr>
        <w:ind w:left="1140"/>
        <w:spacing w:after="0"/>
        <w:tabs>
          <w:tab w:leader="none" w:pos="156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[X ]</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non-U.S. institution in accordance with Section 240.13d-1(b)(1) (ii)(J).</w:t>
      </w:r>
    </w:p>
    <w:p>
      <w:pPr>
        <w:spacing w:after="0" w:line="211" w:lineRule="exact"/>
        <w:rPr>
          <w:sz w:val="20"/>
          <w:szCs w:val="20"/>
          <w:color w:val="auto"/>
        </w:rPr>
      </w:pPr>
    </w:p>
    <w:p>
      <w:pPr>
        <w:sectPr>
          <w:pgSz w:w="11900" w:h="16838" w:orient="portrait"/>
          <w:cols w:equalWidth="0" w:num="2">
            <w:col w:w="1880" w:space="140"/>
            <w:col w:w="8940"/>
          </w:cols>
          <w:pgMar w:left="320" w:top="846" w:right="619" w:bottom="1440" w:gutter="0" w:footer="0" w:header="0"/>
          <w:type w:val="continuous"/>
        </w:sectPr>
      </w:pPr>
    </w:p>
    <w:p>
      <w:pPr>
        <w:spacing w:after="0" w:line="25" w:lineRule="exact"/>
        <w:rPr>
          <w:sz w:val="20"/>
          <w:szCs w:val="20"/>
          <w:color w:val="auto"/>
        </w:rPr>
      </w:pPr>
    </w:p>
    <w:p>
      <w:pPr>
        <w:ind w:left="1140"/>
        <w:spacing w:after="0"/>
        <w:tabs>
          <w:tab w:leader="none" w:pos="1560" w:val="left"/>
          <w:tab w:leader="none" w:pos="1760" w:val="left"/>
          <w:tab w:leader="none" w:pos="1960" w:val="left"/>
        </w:tabs>
        <w:rPr>
          <w:sz w:val="20"/>
          <w:szCs w:val="20"/>
          <w:color w:val="auto"/>
        </w:rPr>
      </w:pPr>
      <w:r>
        <w:rPr>
          <w:rFonts w:ascii="Times New Roman" w:cs="Times New Roman" w:eastAsia="Times New Roman" w:hAnsi="Times New Roman"/>
          <w:sz w:val="18"/>
          <w:szCs w:val="18"/>
          <w:color w:val="auto"/>
        </w:rPr>
        <w:t>(k)</w:t>
        <w:tab/>
        <w:t>[</w:t>
        <w:tab/>
        <w:t>]</w:t>
      </w:r>
      <w:r>
        <w:rPr>
          <w:sz w:val="20"/>
          <w:szCs w:val="20"/>
          <w:color w:val="auto"/>
        </w:rPr>
        <w:tab/>
      </w:r>
      <w:r>
        <w:rPr>
          <w:rFonts w:ascii="Times New Roman" w:cs="Times New Roman" w:eastAsia="Times New Roman" w:hAnsi="Times New Roman"/>
          <w:sz w:val="17"/>
          <w:szCs w:val="17"/>
          <w:color w:val="auto"/>
        </w:rPr>
        <w:t>Group, in accordance with Section 240.13d-1(b)(1)(ii)(K).</w:t>
      </w:r>
    </w:p>
    <w:p>
      <w:pPr>
        <w:sectPr>
          <w:pgSz w:w="11900" w:h="16838" w:orient="portrait"/>
          <w:cols w:equalWidth="0" w:num="1">
            <w:col w:w="10960"/>
          </w:cols>
          <w:pgMar w:left="320" w:top="846" w:right="619" w:bottom="1440" w:gutter="0" w:footer="0" w:header="0"/>
          <w:type w:val="continuous"/>
        </w:sectPr>
      </w:pP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If filing as a non-U.S. institution in accordance with Section 240.13d-1(b)(1)(ii)(J), please specify the type of institution:</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u w:val="single" w:color="auto"/>
          <w:color w:val="auto"/>
        </w:rPr>
        <w:t>Ownership Capital B.V. is an investment adviser organized under the laws of Netherlands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4. Ownership.</w:t>
      </w:r>
    </w:p>
    <w:p>
      <w:pPr>
        <w:spacing w:after="0" w:line="225" w:lineRule="exact"/>
        <w:rPr>
          <w:sz w:val="20"/>
          <w:szCs w:val="20"/>
          <w:color w:val="auto"/>
        </w:rPr>
      </w:pPr>
    </w:p>
    <w:p>
      <w:pPr>
        <w:ind w:left="1340" w:right="7480" w:hanging="441"/>
        <w:spacing w:after="0" w:line="500"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5,194,980</w:t>
      </w:r>
    </w:p>
    <w:p>
      <w:pPr>
        <w:spacing w:after="0" w:line="1"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4.68%</w:t>
      </w:r>
    </w:p>
    <w:p>
      <w:pPr>
        <w:spacing w:after="0" w:line="265"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840" w:right="6400" w:hanging="496"/>
        <w:spacing w:after="0" w:line="500" w:lineRule="auto"/>
        <w:tabs>
          <w:tab w:leader="none" w:pos="17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4,168,682</w:t>
      </w:r>
    </w:p>
    <w:p>
      <w:pPr>
        <w:spacing w:after="0" w:line="1" w:lineRule="exact"/>
        <w:rPr>
          <w:rFonts w:ascii="Times New Roman" w:cs="Times New Roman" w:eastAsia="Times New Roman" w:hAnsi="Times New Roman"/>
          <w:sz w:val="18"/>
          <w:szCs w:val="18"/>
          <w:color w:val="auto"/>
        </w:rPr>
      </w:pPr>
    </w:p>
    <w:p>
      <w:pPr>
        <w:ind w:left="1840" w:right="6340" w:hanging="496"/>
        <w:spacing w:after="0" w:line="500" w:lineRule="auto"/>
        <w:tabs>
          <w:tab w:leader="none" w:pos="17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0</w:t>
      </w:r>
    </w:p>
    <w:p>
      <w:pPr>
        <w:spacing w:after="0" w:line="1" w:lineRule="exact"/>
        <w:rPr>
          <w:rFonts w:ascii="Times New Roman" w:cs="Times New Roman" w:eastAsia="Times New Roman" w:hAnsi="Times New Roman"/>
          <w:sz w:val="18"/>
          <w:szCs w:val="18"/>
          <w:color w:val="auto"/>
        </w:rPr>
      </w:pPr>
    </w:p>
    <w:p>
      <w:pPr>
        <w:ind w:left="1840" w:right="5620" w:hanging="496"/>
        <w:spacing w:after="0" w:line="500" w:lineRule="auto"/>
        <w:tabs>
          <w:tab w:leader="none" w:pos="18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of: 5,194,980</w:t>
      </w:r>
    </w:p>
    <w:p>
      <w:pPr>
        <w:spacing w:after="0" w:line="1" w:lineRule="exact"/>
        <w:rPr>
          <w:rFonts w:ascii="Times New Roman" w:cs="Times New Roman" w:eastAsia="Times New Roman" w:hAnsi="Times New Roman"/>
          <w:sz w:val="18"/>
          <w:szCs w:val="18"/>
          <w:color w:val="auto"/>
        </w:rPr>
      </w:pPr>
    </w:p>
    <w:p>
      <w:pPr>
        <w:ind w:left="1840" w:right="5260" w:hanging="496"/>
        <w:spacing w:after="0" w:line="500" w:lineRule="auto"/>
        <w:tabs>
          <w:tab w:leader="none" w:pos="179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5. Ownership of Five Percent or Less of a Class:</w:t>
      </w:r>
    </w:p>
    <w:p>
      <w:pPr>
        <w:spacing w:after="0" w:line="225" w:lineRule="exact"/>
        <w:rPr>
          <w:sz w:val="20"/>
          <w:szCs w:val="20"/>
          <w:color w:val="auto"/>
        </w:rPr>
      </w:pPr>
    </w:p>
    <w:p>
      <w:pPr>
        <w:ind w:left="13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6. Ownership of More than Five Percent on Behalf of Another Person:</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529590</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846" w:right="6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892672106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5 of 5 Pages</w:t>
      </w:r>
    </w:p>
    <w:p>
      <w:pPr>
        <w:spacing w:after="0" w:line="449" w:lineRule="exact"/>
        <w:rPr>
          <w:sz w:val="20"/>
          <w:szCs w:val="20"/>
          <w:color w:val="auto"/>
        </w:rPr>
      </w:pPr>
    </w:p>
    <w:p>
      <w:pPr>
        <w:sectPr>
          <w:pgSz w:w="11900" w:h="16838" w:orient="portrait"/>
          <w:cols w:equalWidth="0" w:num="2">
            <w:col w:w="5720" w:space="720"/>
            <w:col w:w="4780"/>
          </w:cols>
          <w:pgMar w:left="320" w:top="603" w:right="359" w:bottom="1440" w:gutter="0" w:footer="0" w:header="0"/>
        </w:sectPr>
      </w:pPr>
    </w:p>
    <w:p>
      <w:pPr>
        <w:spacing w:after="0" w:line="34" w:lineRule="exact"/>
        <w:rPr>
          <w:sz w:val="20"/>
          <w:szCs w:val="20"/>
          <w:color w:val="auto"/>
        </w:rPr>
      </w:pPr>
    </w:p>
    <w:p>
      <w:pPr>
        <w:ind w:left="900" w:right="180" w:hanging="566"/>
        <w:spacing w:after="0" w:line="282" w:lineRule="auto"/>
        <w:rPr>
          <w:sz w:val="20"/>
          <w:szCs w:val="20"/>
          <w:color w:val="auto"/>
        </w:rPr>
      </w:pPr>
      <w:r>
        <w:rPr>
          <w:rFonts w:ascii="Times New Roman" w:cs="Times New Roman" w:eastAsia="Times New Roman" w:hAnsi="Times New Roman"/>
          <w:sz w:val="18"/>
          <w:szCs w:val="18"/>
          <w:color w:val="auto"/>
        </w:rPr>
        <w:t>Item 7. Identification and Classification of Subsidiaries Which Acquired the Security Being Reported on by the Parent Holding Company or Control Person.</w:t>
      </w:r>
    </w:p>
    <w:p>
      <w:pPr>
        <w:spacing w:after="0" w:line="1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8. Identification and Classification of Members of the Group.</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9. Notice of Dissolution of Group.</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8"/>
          <w:szCs w:val="18"/>
          <w:color w:val="auto"/>
        </w:rPr>
        <w:t>Item</w:t>
        <w:tab/>
        <w:t>Certification: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w:t>
      </w:r>
    </w:p>
    <w:p>
      <w:pPr>
        <w:spacing w:after="0" w:line="207" w:lineRule="exact"/>
        <w:rPr>
          <w:sz w:val="20"/>
          <w:szCs w:val="20"/>
          <w:color w:val="auto"/>
        </w:rPr>
      </w:pPr>
    </w:p>
    <w:p>
      <w:pPr>
        <w:ind w:left="14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7" w:lineRule="exact"/>
        <w:rPr>
          <w:sz w:val="20"/>
          <w:szCs w:val="20"/>
          <w:color w:val="auto"/>
        </w:rPr>
      </w:pPr>
    </w:p>
    <w:p>
      <w:pPr>
        <w:jc w:val="center"/>
        <w:ind w:right="140"/>
        <w:spacing w:after="0"/>
        <w:tabs>
          <w:tab w:leader="none" w:pos="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13, 2023</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Timmo Henseler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17145</wp:posOffset>
            </wp:positionV>
            <wp:extent cx="1757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045" cy="1714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Timmo Henseler</w:t>
      </w:r>
    </w:p>
    <w:p>
      <w:pPr>
        <w:spacing w:after="0" w:line="27" w:lineRule="exact"/>
        <w:rPr>
          <w:sz w:val="20"/>
          <w:szCs w:val="20"/>
          <w:color w:val="auto"/>
        </w:rPr>
      </w:pPr>
    </w:p>
    <w:p>
      <w:pPr>
        <w:ind w:left="4620"/>
        <w:spacing w:after="0"/>
        <w:tabs>
          <w:tab w:leader="none" w:pos="5140" w:val="left"/>
        </w:tabs>
        <w:rPr>
          <w:sz w:val="20"/>
          <w:szCs w:val="20"/>
          <w:color w:val="auto"/>
        </w:rPr>
      </w:pPr>
      <w:r>
        <w:rPr>
          <w:rFonts w:ascii="Times New Roman" w:cs="Times New Roman" w:eastAsia="Times New Roman" w:hAnsi="Times New Roman"/>
          <w:sz w:val="18"/>
          <w:szCs w:val="18"/>
          <w:color w:val="auto"/>
        </w:rPr>
        <w:t>Title:</w:t>
        <w:tab/>
        <w:t>Manager Legal &amp; Compliance</w:t>
      </w:r>
    </w:p>
    <w:sectPr>
      <w:pgSz w:w="11900" w:h="16838" w:orient="portrait"/>
      <w:cols w:equalWidth="0" w:num="1">
        <w:col w:w="11220"/>
      </w:cols>
      <w:pgMar w:left="320" w:top="60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2023-02-13T07:59:39Z</dcterms:created>
  <dcterms:modified xsi:type="dcterms:W3CDTF">2023-02-13T07:59:39Z</dcterms:modified>
</cp:coreProperties>
</file>