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Bruni Enrico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04/22/2020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8"/>
        <w:spacing w:after="0"/>
        <w:rPr>
          <w:sz w:val="20"/>
          <w:szCs w:val="20"/>
          <w:color w:val="auto"/>
        </w:rPr>
      </w:pPr>
      <w:r>
        <w:rPr>
          <w:rFonts w:ascii="Arial" w:cs="Arial" w:eastAsia="Arial" w:hAnsi="Arial"/>
          <w:sz w:val="17"/>
          <w:szCs w:val="17"/>
          <w:color w:val="0000FF"/>
        </w:rPr>
        <w:t>Managing Director, Europe/Asia</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17"/>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tcPr>
          <w:p>
            <w:pPr>
              <w:ind w:left="30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3"/>
          </w:tcPr>
          <w:p>
            <w:pPr>
              <w:jc w:val="right"/>
              <w:ind w:right="42"/>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2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04/22/2020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50,000</w:t>
            </w:r>
          </w:p>
        </w:tc>
        <w:tc>
          <w:tcPr>
            <w:tcW w:w="6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157,301</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04/22/2020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34,108</w:t>
            </w:r>
          </w:p>
        </w:tc>
        <w:tc>
          <w:tcPr>
            <w:tcW w:w="6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51.44</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123,193</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7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vMerge w:val="restart"/>
          </w:tcPr>
          <w:p>
            <w:pPr>
              <w:jc w:val="right"/>
              <w:ind w:right="97"/>
              <w:spacing w:after="0"/>
              <w:rPr>
                <w:sz w:val="20"/>
                <w:szCs w:val="20"/>
                <w:color w:val="auto"/>
              </w:rPr>
            </w:pPr>
            <w:r>
              <w:rPr>
                <w:rFonts w:ascii="Arial" w:cs="Arial" w:eastAsia="Arial" w:hAnsi="Arial"/>
                <w:sz w:val="13"/>
                <w:szCs w:val="13"/>
                <w:color w:val="0000FF"/>
                <w:w w:val="98"/>
              </w:rPr>
              <w:t>Class A</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50,000</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04/22/2020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86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50,000</w:t>
            </w:r>
          </w:p>
        </w:tc>
        <w:tc>
          <w:tcPr>
            <w:tcW w:w="800" w:type="dxa"/>
            <w:vAlign w:val="bottom"/>
            <w:gridSpan w:val="2"/>
            <w:vMerge w:val="continue"/>
          </w:tcPr>
          <w:p>
            <w:pPr>
              <w:spacing w:after="0"/>
              <w:rPr>
                <w:sz w:val="6"/>
                <w:szCs w:val="6"/>
                <w:color w:val="auto"/>
              </w:rPr>
            </w:pPr>
          </w:p>
        </w:tc>
        <w:tc>
          <w:tcPr>
            <w:tcW w:w="700" w:type="dxa"/>
            <w:vAlign w:val="bottom"/>
            <w:vMerge w:val="restart"/>
          </w:tcPr>
          <w:p>
            <w:pPr>
              <w:spacing w:after="0" w:line="143" w:lineRule="exact"/>
              <w:rPr>
                <w:sz w:val="20"/>
                <w:szCs w:val="20"/>
                <w:color w:val="auto"/>
              </w:rPr>
            </w:pPr>
            <w:r>
              <w:rPr>
                <w:rFonts w:ascii="Arial" w:cs="Arial" w:eastAsia="Arial" w:hAnsi="Arial"/>
                <w:sz w:val="13"/>
                <w:szCs w:val="13"/>
                <w:color w:val="0000FF"/>
              </w:rPr>
              <w:t>10/26/2028</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ind w:left="220"/>
              <w:spacing w:after="0" w:line="143" w:lineRule="exact"/>
              <w:rPr>
                <w:sz w:val="20"/>
                <w:szCs w:val="20"/>
                <w:color w:val="auto"/>
              </w:rPr>
            </w:pPr>
            <w:r>
              <w:rPr>
                <w:rFonts w:ascii="Arial" w:cs="Arial" w:eastAsia="Arial" w:hAnsi="Arial"/>
                <w:sz w:val="13"/>
                <w:szCs w:val="13"/>
                <w:color w:val="0000FF"/>
              </w:rPr>
              <w:t>439,129</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restricted stock units ("RSUs") in respect of the issuer's Class A common stock ("Class A Common Stock") which are scheduled to vest on January 1, 2021, (ii) 44,004 unvested RSUs in respect of Class A Common Stock which are scheduled to vest on January 1, 2022, and (iii)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04/24/2020</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Fact for Enrico Bruni</w:t>
            </w:r>
          </w:p>
        </w:tc>
        <w:tc>
          <w:tcPr>
            <w:tcW w:w="6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2020-04-24T19:09:16Z</dcterms:created>
  <dcterms:modified xsi:type="dcterms:W3CDTF">2020-04-24T19:09:16Z</dcterms:modified>
</cp:coreProperties>
</file>