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614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1467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WARSHAW ROBERT J</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4"/>
        <w:spacing w:after="0"/>
        <w:rPr>
          <w:sz w:val="20"/>
          <w:szCs w:val="20"/>
          <w:color w:val="auto"/>
        </w:rPr>
      </w:pPr>
      <w:r>
        <w:rPr>
          <w:rFonts w:ascii="Arial" w:cs="Arial" w:eastAsia="Arial" w:hAnsi="Arial"/>
          <w:sz w:val="17"/>
          <w:szCs w:val="17"/>
          <w:color w:val="0000FF"/>
        </w:rPr>
        <w:t>Chief Financial Officer</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02/18/2020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53,140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85,768</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02/18/2020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51,288</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48.8746</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34,480</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02/18/2020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1,852</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49.696</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32,628</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53,140</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02/18/2020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Arial" w:cs="Arial" w:eastAsia="Arial" w:hAnsi="Arial"/>
                <w:sz w:val="13"/>
                <w:szCs w:val="13"/>
                <w:color w:val="0000FF"/>
                <w:w w:val="95"/>
              </w:rPr>
              <w:t>53,140</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w w:val="89"/>
              </w:rPr>
              <w:t>225,844</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60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24,628 unvested restricted stock units in respect of the issuer's Class A common stock which are scheduled to vest on January 1, 2021, subject to the reporting person's continued employment through such date.</w:t>
      </w:r>
    </w:p>
    <w:p>
      <w:pPr>
        <w:spacing w:after="0" w:line="9"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$48.54 to $49.50,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$49.58 to $49.95,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02/19/2020</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2"/>
              </w:rPr>
              <w:t>Fact for Robert Warshaw</w:t>
            </w:r>
          </w:p>
        </w:tc>
        <w:tc>
          <w:tcPr>
            <w:tcW w:w="3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6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2020-02-19T20:05:15Z</dcterms:created>
  <dcterms:modified xsi:type="dcterms:W3CDTF">2020-02-19T20:05:15Z</dcterms:modified>
</cp:coreProperties>
</file>