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-246380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ind w:left="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UNITED STATES SECURITIES AND EXCHANGE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5184140</wp:posOffset>
            </wp:positionH>
            <wp:positionV relativeFrom="paragraph">
              <wp:posOffset>1905</wp:posOffset>
            </wp:positionV>
            <wp:extent cx="59690" cy="6692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3913505</wp:posOffset>
            </wp:positionH>
            <wp:positionV relativeFrom="paragraph">
              <wp:posOffset>1905</wp:posOffset>
            </wp:positionV>
            <wp:extent cx="59690" cy="6692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3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 w:line="2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COMMISSION</w:t>
            </w: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top w:val="single" w:sz="8" w:color="808080"/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300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5" w:lineRule="exact"/>
        <w:rPr>
          <w:sz w:val="24"/>
          <w:szCs w:val="24"/>
          <w:color w:val="auto"/>
        </w:rPr>
      </w:pPr>
    </w:p>
    <w:p>
      <w:pPr>
        <w:jc w:val="center"/>
        <w:ind w:right="2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ind w:right="2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-1708785</wp:posOffset>
            </wp:positionH>
            <wp:positionV relativeFrom="paragraph">
              <wp:posOffset>13970</wp:posOffset>
            </wp:positionV>
            <wp:extent cx="6987540" cy="51758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7540" cy="51758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440"/>
            <w:col w:w="8400"/>
          </w:cols>
          <w:pgMar w:left="460" w:top="226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BERNS STEVEN</w:t>
        </w:r>
      </w:hyperlink>
    </w:p>
    <w:p>
      <w:pPr>
        <w:spacing w:after="0" w:line="30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2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TRADEWEB MARKETS INC.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1177 AVENUE OF THE AMERICAS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70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12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NY</w:t>
            </w:r>
          </w:p>
        </w:tc>
        <w:tc>
          <w:tcPr>
            <w:tcW w:w="12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10036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</w:t>
            </w:r>
          </w:p>
        </w:tc>
        <w:tc>
          <w:tcPr>
            <w:tcW w:w="3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43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Tradeweb Markets Inc.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TW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4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05/15/2023</w:t>
            </w: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4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</w:t>
            </w:r>
          </w:p>
        </w:tc>
        <w:tc>
          <w:tcPr>
            <w:tcW w:w="3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00"/>
        <w:spacing w:after="0" w:line="223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142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Rule 10b5-1(c) Transaction Indication</w:t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80" w:right="420" w:hanging="249"/>
        <w:spacing w:after="0" w:line="182" w:lineRule="auto"/>
        <w:tabs>
          <w:tab w:leader="none" w:pos="380" w:val="left"/>
        </w:tabs>
        <w:numPr>
          <w:ilvl w:val="0"/>
          <w:numId w:val="1"/>
        </w:numPr>
        <w:rPr>
          <w:rFonts w:ascii="Arial" w:cs="Arial" w:eastAsia="Arial" w:hAnsi="Arial"/>
          <w:sz w:val="23"/>
          <w:szCs w:val="23"/>
          <w:color w:val="0000FF"/>
          <w:highlight w:val="white"/>
          <w:vertAlign w:val="subscript"/>
        </w:rPr>
      </w:pPr>
      <w:r>
        <w:rPr>
          <w:rFonts w:ascii="Arial" w:cs="Arial" w:eastAsia="Arial" w:hAnsi="Arial"/>
          <w:sz w:val="10"/>
          <w:szCs w:val="10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6" w:right="359" w:bottom="1440" w:gutter="0" w:footer="0" w:header="0"/>
          <w:type w:val="continuous"/>
        </w:sectPr>
      </w:pP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05/15/2023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2,280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3,011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40" w:type="dxa"/>
            <w:vAlign w:val="bottom"/>
            <w:gridSpan w:val="10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10.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4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ind w:left="4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-1909445</wp:posOffset>
            </wp:positionV>
            <wp:extent cx="29845" cy="1913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91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 w:right="200" w:firstLine="9"/>
        <w:spacing w:after="0" w:line="305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reported transaction is an award of restricted stock units in respect of the issuer's Class A common stock. Subject to the reporting person's continued service as a director of the issuer through the vesting date, these restricted stock units are scheduled to vest on May 15, 2024 and settle in Class A common stock of the issuer within 30 days thereafter.</w:t>
      </w:r>
    </w:p>
    <w:p>
      <w:pPr>
        <w:sectPr>
          <w:pgSz w:w="11900" w:h="16838" w:orient="portrait"/>
          <w:cols w:equalWidth="0" w:num="1">
            <w:col w:w="11080"/>
          </w:cols>
          <w:pgMar w:left="460" w:top="226" w:right="359" w:bottom="1440" w:gutter="0" w:footer="0" w:header="0"/>
          <w:type w:val="continuous"/>
        </w:sectPr>
      </w:pP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2. This amount includes 2,280 unvested restricted stock units in respect of the issuer's Class A Common Stock as described in footnote 1 to this Form 4.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Scott Zucker, Attorney-in-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0</wp:posOffset>
            </wp:positionV>
            <wp:extent cx="13093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93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 for Steven Berns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-17780</wp:posOffset>
            </wp:positionV>
            <wp:extent cx="97028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028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80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05/17/2023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7620</wp:posOffset>
            </wp:positionV>
            <wp:extent cx="508635" cy="889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63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84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660" w:space="120"/>
            <w:col w:w="2300"/>
          </w:cols>
          <w:pgMar w:left="460" w:top="226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232995" TargetMode="External"/><Relationship Id="rId13" Type="http://schemas.openxmlformats.org/officeDocument/2006/relationships/hyperlink" Target="http://www.sec.gov/cgi-bin/browse-edgar?action=getcompany&amp;CIK=000175873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2023-05-17T15:20:04Z</dcterms:created>
  <dcterms:modified xsi:type="dcterms:W3CDTF">2023-05-17T15:20:04Z</dcterms:modified>
</cp:coreProperties>
</file>