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Furber Sara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03/20/2023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03/20/2023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2,249</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75.2199</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79,363</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February 13, 2023.</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$74.67 to $75.70,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260" w:firstLine="7"/>
        <w:spacing w:after="0" w:line="24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16,672 unvested RSUs in respect of Class A Common Stock which are scheduled to vest on March 31, 2023, (ii) 4,948 unvested RSUs in respect of Class A Common Stock which are scheduled to vest on March 31, 2024, (iii) 3,619 unvested RSUs in respect of Class A Common Stock which are scheduled to vest on March 31, 2025, (iv) 8,540 unvested RSUs in respect of Class A Common Stock which are scheduled to vest on January 1, 2024, (v) 9,155 unvested RSUs in respect of Class A Common Stock which are scheduled to vest in equal installments on March 15, 2024 and March 15, 2025, (vi) 17,741 unvested RSUs in respect of Class A Common Stock that are scheduled to vest on January 1, 2025, and (vii) 18,688 unvested RSUs in respect of Class A Common Stock which are scheduled to vest in equal installments on March 15, 2024, March 15, 2025 and March 15, 2026, in each case subject to the reporting person's continued employment through the applicable vesting date.</w:t>
      </w:r>
    </w:p>
    <w:p>
      <w:pPr>
        <w:spacing w:after="0" w:line="17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03/22/2023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Sara Furber</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03180"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2023-03-22T19:49:48Z</dcterms:created>
  <dcterms:modified xsi:type="dcterms:W3CDTF">2023-03-22T19:49:48Z</dcterms:modified>
</cp:coreProperties>
</file>