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Friedman Douglas</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02/24/2023</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505"/>
        <w:spacing w:after="0"/>
        <w:rPr>
          <w:sz w:val="20"/>
          <w:szCs w:val="20"/>
          <w:color w:val="auto"/>
        </w:rPr>
      </w:pPr>
      <w:r>
        <w:rPr>
          <w:rFonts w:ascii="Arial" w:cs="Arial" w:eastAsia="Arial" w:hAnsi="Arial"/>
          <w:sz w:val="17"/>
          <w:szCs w:val="17"/>
          <w:color w:val="0000FF"/>
        </w:rPr>
        <w:t>General Counsel and Secretary</w:t>
      </w:r>
    </w:p>
    <w:p>
      <w:pPr>
        <w:spacing w:after="0" w:line="402"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6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5"/>
                <w:szCs w:val="15"/>
                <w:color w:val="auto"/>
              </w:rPr>
            </w:pPr>
          </w:p>
        </w:tc>
        <w:tc>
          <w:tcPr>
            <w:tcW w:w="3500" w:type="dxa"/>
            <w:vAlign w:val="bottom"/>
            <w:gridSpan w:val="9"/>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NEW YORK</w:t>
            </w: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NY</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10036</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restart"/>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8"/>
          </w:tcPr>
          <w:p>
            <w:pPr>
              <w:spacing w:after="0"/>
              <w:rPr>
                <w:sz w:val="11"/>
                <w:szCs w:val="11"/>
                <w:color w:val="auto"/>
              </w:rPr>
            </w:pPr>
          </w:p>
        </w:tc>
        <w:tc>
          <w:tcPr>
            <w:tcW w:w="26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2"/>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0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8"/>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820" w:type="dxa"/>
            <w:vAlign w:val="bottom"/>
            <w:tcBorders>
              <w:bottom w:val="single" w:sz="8" w:color="2C2C2C"/>
            </w:tcBorders>
            <w:gridSpan w:val="3"/>
          </w:tcPr>
          <w:p>
            <w:pPr>
              <w:ind w:left="900"/>
              <w:spacing w:after="0"/>
              <w:rPr>
                <w:sz w:val="20"/>
                <w:szCs w:val="20"/>
                <w:color w:val="auto"/>
              </w:rPr>
            </w:pPr>
            <w:r>
              <w:rPr>
                <w:rFonts w:ascii="Arial" w:cs="Arial" w:eastAsia="Arial" w:hAnsi="Arial"/>
                <w:sz w:val="17"/>
                <w:szCs w:val="17"/>
                <w:color w:val="0000FF"/>
              </w:rPr>
              <w:t>02/24/2023</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89"/>
              </w:rPr>
              <w:t>6,749</w:t>
            </w:r>
            <w:r>
              <w:rPr>
                <w:rFonts w:ascii="Arial" w:cs="Arial" w:eastAsia="Arial" w:hAnsi="Arial"/>
                <w:sz w:val="22"/>
                <w:szCs w:val="22"/>
                <w:color w:val="008000"/>
                <w:w w:val="89"/>
                <w:vertAlign w:val="superscript"/>
              </w:rPr>
              <w:t>(1)</w:t>
            </w:r>
          </w:p>
        </w:tc>
        <w:tc>
          <w:tcPr>
            <w:tcW w:w="4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80" w:type="dxa"/>
            <w:vAlign w:val="bottom"/>
            <w:tcBorders>
              <w:bottom w:val="single" w:sz="8" w:color="2C2C2C"/>
            </w:tcBorders>
            <w:gridSpan w:val="3"/>
          </w:tcPr>
          <w:p>
            <w:pPr>
              <w:ind w:left="460"/>
              <w:spacing w:after="0"/>
              <w:rPr>
                <w:sz w:val="20"/>
                <w:szCs w:val="20"/>
                <w:color w:val="auto"/>
              </w:rPr>
            </w:pPr>
            <w:r>
              <w:rPr>
                <w:rFonts w:ascii="Arial" w:cs="Arial" w:eastAsia="Arial" w:hAnsi="Arial"/>
                <w:sz w:val="17"/>
                <w:szCs w:val="17"/>
                <w:color w:val="0000FF"/>
              </w:rPr>
              <w:t>31,547</w:t>
            </w:r>
            <w:r>
              <w:rPr>
                <w:rFonts w:ascii="Arial" w:cs="Arial" w:eastAsia="Arial" w:hAnsi="Arial"/>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00" w:firstLine="7"/>
        <w:spacing w:after="0" w:line="28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reported transaction reflects the acquisition of performance-based restricted stock units ("RSUs") in respect of the issuer's Class A common stock ("Class A Common Stock") that were granted to the reporting person on March 15, 2022, subject to the achievement of certain performance goals in respect of calendar year 2022. The level of achievement of those performance goals was determined on February 24, 2023. These RSUs remain unvested and are scheduled to vest on January 1, 2025, subject to the reporting person's continued employment through such date.</w:t>
      </w:r>
    </w:p>
    <w:p>
      <w:pPr>
        <w:spacing w:after="0" w:line="8" w:lineRule="exact"/>
        <w:rPr>
          <w:rFonts w:ascii="Arial" w:cs="Arial" w:eastAsia="Arial" w:hAnsi="Arial"/>
          <w:sz w:val="12"/>
          <w:szCs w:val="12"/>
          <w:color w:val="008000"/>
        </w:rPr>
      </w:pPr>
    </w:p>
    <w:p>
      <w:pPr>
        <w:ind w:left="40" w:right="200" w:firstLine="7"/>
        <w:spacing w:after="0" w:line="243"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amount includes (i) 3,001 unvested RSUs in respect of the issuer's Class A Common Stock which are scheduled to vest on March 17, 2023, (ii) 3,393 unvested RSUs in respect of Class A Common Stock which are scheduled to vest in equal installments on each of March 15, 2023 and March 15, 2024, (iii) 10,180 unvested RSUs in respect of Class A Common Stock which are scheduled to vest on January 1, 2024, (iv) 5,224 unvested RSUs in respect of Class A Common Stock which are scheduled to vest in equal installments on the first, second and third anniversaries of March 15, 2022, and (v) 6,749 unvested RSUs in respect of Class A Common Stock that are scheduled to vest on January 1, 2025, in each case subject to the reporting person's continued employment through the applicable vesting date.</w:t>
      </w:r>
    </w:p>
    <w:p>
      <w:pPr>
        <w:spacing w:after="0" w:line="1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4"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Scott Zucker, Attorney-in-</w:t>
            </w:r>
          </w:p>
        </w:tc>
        <w:tc>
          <w:tcPr>
            <w:tcW w:w="6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02/28/2023</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Fact for Douglas Friedman</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88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1193"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2023-02-28T18:51:15Z</dcterms:created>
  <dcterms:modified xsi:type="dcterms:W3CDTF">2023-02-28T18:51:15Z</dcterms:modified>
</cp:coreProperties>
</file>