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31100033.xml.htm"/>
      <w:bookmarkStart w:id="1" w:name="kswkform4_17311000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Hult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11/06/2024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1"/>
        <w:gridCol w:w="931"/>
        <w:gridCol w:w="799"/>
        <w:gridCol w:w="618"/>
        <w:gridCol w:w="345"/>
        <w:gridCol w:w="921"/>
        <w:gridCol w:w="427"/>
        <w:gridCol w:w="1104"/>
        <w:gridCol w:w="1168"/>
        <w:gridCol w:w="979"/>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11/06/2024</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38,377</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127.6036</w:t>
            </w:r>
            <w:r>
              <w:rPr>
                <w:rFonts w:ascii="Times;serif" w:hAnsi="Times;serif"/>
                <w:color w:val="008000"/>
                <w:position w:val="7"/>
                <w:sz w:val="16"/>
                <w:sz w:val="20"/>
                <w:shd w:fill="FFFFFF" w:val="clear"/>
              </w:rPr>
              <w:t>(2)</w:t>
            </w:r>
            <w:r>
              <w:rPr/>
              <w:t xml:space="preserve"> </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190,599</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August 7,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$125.32 to $132.25,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amount includes (i) 8,654 unvested restricted stock units ("RSUs") in respect of the issuer's Class A common stock ("Class A Common Stock") that are scheduled to vest on March 15, 2025, (ii) 31,268 unvested RSUs in respect of Class A Common Stock that are scheduled to vest on January 1, 2025, (iii) 28,752 unvested RSUs in respect of Class A Common Stock which are scheduled to vest in equal installments on March 15, 2025 and March 15, 2026, (iv) 78,191 unvested RSUs in respect of Class A Common Stock which are scheduled to vest on January 1, 2026, and (v) 35,034 unvested RSUs in respect of Class A Common Stock that are scheduled to vest in equal installments on March 15, 2025, March 15, 2026 and March 15, 2027,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William Hult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1194"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809</Words>
  <Characters>4279</Characters>
  <CharactersWithSpaces>5027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