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01/10/2022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90.65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60,924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6,860 unvested restricted stock units ("RSUs") in respect of the issuer's Class A common stock ("Class A Common Stock") which are scheduled to vest in equal installments on each of March 17, 2022 and March 17, 2023, (ii) 20,580 unvested RSUs in respect of Class A Common Stock which are scheduled to vest on January 1, 2023, and (iii)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01/10/2022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2022-01-10T19:03:39Z</dcterms:created>
  <dcterms:modified xsi:type="dcterms:W3CDTF">2022-01-10T19:03:39Z</dcterms:modified>
</cp:coreProperties>
</file>