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00"/>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33" w:lineRule="exact"/>
        <w:rPr>
          <w:sz w:val="24"/>
          <w:szCs w:val="24"/>
          <w:color w:val="auto"/>
        </w:rPr>
      </w:pPr>
    </w:p>
    <w:p>
      <w:pPr>
        <w:ind w:left="4720"/>
        <w:spacing w:after="0"/>
        <w:rPr>
          <w:sz w:val="20"/>
          <w:szCs w:val="20"/>
          <w:color w:val="auto"/>
        </w:rPr>
      </w:pPr>
      <w:r>
        <w:rPr>
          <w:rFonts w:ascii="Arial" w:cs="Arial" w:eastAsia="Arial" w:hAnsi="Arial"/>
          <w:sz w:val="22"/>
          <w:szCs w:val="22"/>
          <w:b w:val="1"/>
          <w:bCs w:val="1"/>
          <w:color w:val="auto"/>
        </w:rPr>
        <w:t>(Amendment No. 1)</w:t>
      </w:r>
    </w:p>
    <w:p>
      <w:pPr>
        <w:spacing w:after="0" w:line="200" w:lineRule="exact"/>
        <w:rPr>
          <w:sz w:val="24"/>
          <w:szCs w:val="24"/>
          <w:color w:val="auto"/>
        </w:rPr>
      </w:pPr>
    </w:p>
    <w:p>
      <w:pPr>
        <w:spacing w:after="0" w:line="282"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Tradeweb Markets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6985</wp:posOffset>
            </wp:positionV>
            <wp:extent cx="570039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1"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(Name of Issuer)</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9"/>
          <w:szCs w:val="19"/>
          <w:color w:val="auto"/>
        </w:rPr>
        <w:t>Class A 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29210</wp:posOffset>
            </wp:positionV>
            <wp:extent cx="570039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(Title of Class of Securities)</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892672106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6985</wp:posOffset>
            </wp:positionV>
            <wp:extent cx="57003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1"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(CUSIP Number)</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6985</wp:posOffset>
            </wp:positionV>
            <wp:extent cx="570039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1" w:lineRule="exact"/>
        <w:rPr>
          <w:sz w:val="24"/>
          <w:szCs w:val="24"/>
          <w:color w:val="auto"/>
        </w:rPr>
      </w:pPr>
    </w:p>
    <w:p>
      <w:pPr>
        <w:jc w:val="center"/>
        <w:ind w:right="-1100"/>
        <w:spacing w:after="0"/>
        <w:rPr>
          <w:sz w:val="20"/>
          <w:szCs w:val="20"/>
          <w:color w:val="auto"/>
        </w:rPr>
      </w:pPr>
      <w:r>
        <w:rPr>
          <w:rFonts w:ascii="Arial" w:cs="Arial" w:eastAsia="Arial" w:hAnsi="Arial"/>
          <w:sz w:val="19"/>
          <w:szCs w:val="19"/>
          <w:color w:val="auto"/>
        </w:rPr>
        <w:t>(Date of Event which Requires Filing of this Statement)</w:t>
      </w:r>
    </w:p>
    <w:p>
      <w:pPr>
        <w:spacing w:after="0" w:line="200" w:lineRule="exact"/>
        <w:rPr>
          <w:sz w:val="24"/>
          <w:szCs w:val="24"/>
          <w:color w:val="auto"/>
        </w:rPr>
      </w:pPr>
    </w:p>
    <w:p>
      <w:pPr>
        <w:spacing w:after="0" w:line="306"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68" w:lineRule="exact"/>
        <w:rPr>
          <w:sz w:val="24"/>
          <w:szCs w:val="24"/>
          <w:color w:val="auto"/>
        </w:rPr>
      </w:pPr>
    </w:p>
    <w:p>
      <w:pPr>
        <w:ind w:left="900" w:hanging="892"/>
        <w:spacing w:after="0"/>
        <w:tabs>
          <w:tab w:leader="none" w:pos="90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13d-1(b)</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  ]</w:t>
      </w:r>
      <w:r>
        <w:rPr>
          <w:rFonts w:ascii="Arial" w:cs="Arial" w:eastAsia="Arial" w:hAnsi="Arial"/>
          <w:sz w:val="19"/>
          <w:szCs w:val="19"/>
          <w:color w:val="auto"/>
        </w:rPr>
        <w:t>Rule 13d-1(c)</w:t>
      </w:r>
    </w:p>
    <w:p>
      <w:pPr>
        <w:spacing w:after="0"/>
        <w:rPr>
          <w:rFonts w:ascii="Arial" w:cs="Arial" w:eastAsia="Arial" w:hAnsi="Arial"/>
          <w:sz w:val="22"/>
          <w:szCs w:val="22"/>
          <w:color w:val="auto"/>
        </w:rPr>
      </w:pPr>
      <w:r>
        <w:rPr>
          <w:rFonts w:ascii="Arial" w:cs="Arial" w:eastAsia="Arial" w:hAnsi="Arial"/>
          <w:sz w:val="22"/>
          <w:szCs w:val="22"/>
          <w:color w:val="auto"/>
        </w:rPr>
        <w:t>[  ]</w:t>
      </w:r>
      <w:r>
        <w:rPr>
          <w:rFonts w:ascii="Arial" w:cs="Arial" w:eastAsia="Arial" w:hAnsi="Arial"/>
          <w:sz w:val="19"/>
          <w:szCs w:val="19"/>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1361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192" w:right="1440"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Arial" w:cs="Arial" w:eastAsia="Arial" w:hAnsi="Arial"/>
                <w:sz w:val="18"/>
                <w:szCs w:val="18"/>
                <w:b w:val="1"/>
                <w:bCs w:val="1"/>
                <w:color w:val="auto"/>
              </w:rPr>
              <w:t>CUSIP No.</w:t>
            </w:r>
          </w:p>
        </w:tc>
        <w:tc>
          <w:tcPr>
            <w:tcW w:w="4040" w:type="dxa"/>
            <w:vAlign w:val="bottom"/>
          </w:tcPr>
          <w:p>
            <w:pPr>
              <w:ind w:left="2720"/>
              <w:spacing w:after="0"/>
              <w:rPr>
                <w:sz w:val="20"/>
                <w:szCs w:val="20"/>
                <w:color w:val="auto"/>
              </w:rPr>
            </w:pPr>
            <w:r>
              <w:rPr>
                <w:rFonts w:ascii="Arial" w:cs="Arial" w:eastAsia="Arial" w:hAnsi="Arial"/>
                <w:sz w:val="18"/>
                <w:szCs w:val="18"/>
                <w:b w:val="1"/>
                <w:bCs w:val="1"/>
                <w:color w:val="auto"/>
                <w:w w:val="84"/>
              </w:rPr>
              <w:t>Page 2 of 5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291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892672106</w:t>
      </w:r>
    </w:p>
    <w:p>
      <w:pPr>
        <w:spacing w:after="0" w:line="261"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5186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186045"/>
                    </a:xfrm>
                    <a:prstGeom prst="rect">
                      <a:avLst/>
                    </a:prstGeom>
                    <a:noFill/>
                  </pic:spPr>
                </pic:pic>
              </a:graphicData>
            </a:graphic>
          </wp:anchor>
        </w:drawing>
      </w:r>
    </w:p>
    <w:p>
      <w:pPr>
        <w:spacing w:after="0" w:line="7" w:lineRule="exact"/>
        <w:rPr>
          <w:sz w:val="20"/>
          <w:szCs w:val="20"/>
          <w:color w:val="auto"/>
        </w:rPr>
      </w:pPr>
    </w:p>
    <w:p>
      <w:pPr>
        <w:ind w:left="1380" w:right="4020" w:hanging="785"/>
        <w:spacing w:after="0" w:line="181" w:lineRule="auto"/>
        <w:tabs>
          <w:tab w:leader="none" w:pos="1344" w:val="left"/>
        </w:tabs>
        <w:numPr>
          <w:ilvl w:val="0"/>
          <w:numId w:val="2"/>
        </w:numPr>
        <w:rPr>
          <w:rFonts w:ascii="Arial" w:cs="Arial" w:eastAsia="Arial" w:hAnsi="Arial"/>
          <w:sz w:val="46"/>
          <w:szCs w:val="46"/>
          <w:b w:val="1"/>
          <w:bCs w:val="1"/>
          <w:color w:val="auto"/>
          <w:vertAlign w:val="subscript"/>
        </w:rPr>
      </w:pPr>
      <w:r>
        <w:rPr>
          <w:rFonts w:ascii="Arial" w:cs="Arial" w:eastAsia="Arial" w:hAnsi="Arial"/>
          <w:sz w:val="16"/>
          <w:szCs w:val="16"/>
          <w:b w:val="1"/>
          <w:bCs w:val="1"/>
          <w:color w:val="auto"/>
        </w:rPr>
        <w:t xml:space="preserve">I.R.S. IDENTIFICATION NOS. OF ABOVE PERSONS (ENTITIES ONLY) </w:t>
      </w:r>
      <w:r>
        <w:rPr>
          <w:rFonts w:ascii="Arial" w:cs="Arial" w:eastAsia="Arial" w:hAnsi="Arial"/>
          <w:sz w:val="16"/>
          <w:szCs w:val="16"/>
          <w:color w:val="auto"/>
        </w:rPr>
        <w:t>Owership Capital B.V.</w:t>
      </w:r>
    </w:p>
    <w:p>
      <w:pPr>
        <w:spacing w:after="0" w:line="7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CHECK THE APPROPRIATE BOX IF A MEMBER OF A GROUP</w:t>
      </w:r>
    </w:p>
    <w:p>
      <w:pPr>
        <w:ind w:left="600"/>
        <w:spacing w:after="0" w:line="258" w:lineRule="exact"/>
        <w:tabs>
          <w:tab w:leader="none" w:pos="1320" w:val="left"/>
        </w:tabs>
        <w:rPr>
          <w:sz w:val="20"/>
          <w:szCs w:val="20"/>
          <w:color w:val="auto"/>
        </w:rPr>
      </w:pPr>
      <w:r>
        <w:rPr>
          <w:rFonts w:ascii="Arial" w:cs="Arial" w:eastAsia="Arial" w:hAnsi="Arial"/>
          <w:sz w:val="29"/>
          <w:szCs w:val="29"/>
          <w:b w:val="1"/>
          <w:bCs w:val="1"/>
          <w:color w:val="auto"/>
        </w:rPr>
        <w:t>2</w:t>
      </w:r>
      <w:r>
        <w:rPr>
          <w:sz w:val="20"/>
          <w:szCs w:val="20"/>
          <w:color w:val="auto"/>
        </w:rPr>
        <w:tab/>
      </w:r>
      <w:r>
        <w:rPr>
          <w:rFonts w:ascii="Arial" w:cs="Arial" w:eastAsia="Arial" w:hAnsi="Arial"/>
          <w:sz w:val="17"/>
          <w:szCs w:val="17"/>
          <w:color w:val="auto"/>
        </w:rPr>
        <w:t>(a)</w:t>
      </w:r>
      <w:r>
        <w:rPr>
          <w:rFonts w:ascii="MS PGothic" w:cs="MS PGothic" w:eastAsia="MS PGothic" w:hAnsi="MS PGothic"/>
          <w:sz w:val="17"/>
          <w:szCs w:val="17"/>
          <w:color w:val="auto"/>
        </w:rPr>
        <w:t>☐</w:t>
      </w:r>
    </w:p>
    <w:p>
      <w:pPr>
        <w:spacing w:after="0" w:line="8" w:lineRule="exact"/>
        <w:rPr>
          <w:sz w:val="20"/>
          <w:szCs w:val="20"/>
          <w:color w:val="auto"/>
        </w:rPr>
      </w:pPr>
    </w:p>
    <w:p>
      <w:pPr>
        <w:ind w:left="134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p>
      <w:pPr>
        <w:ind w:left="1340"/>
        <w:spacing w:after="0" w:line="182" w:lineRule="auto"/>
        <w:rPr>
          <w:sz w:val="20"/>
          <w:szCs w:val="20"/>
          <w:color w:val="auto"/>
        </w:rPr>
      </w:pPr>
      <w:r>
        <w:rPr>
          <w:rFonts w:ascii="Arial" w:cs="Arial" w:eastAsia="Arial" w:hAnsi="Arial"/>
          <w:sz w:val="18"/>
          <w:szCs w:val="18"/>
          <w:b w:val="1"/>
          <w:bCs w:val="1"/>
          <w:color w:val="auto"/>
        </w:rPr>
        <w:t>SEC USE ONLY</w:t>
      </w:r>
    </w:p>
    <w:p>
      <w:pPr>
        <w:ind w:left="600"/>
        <w:spacing w:after="0"/>
        <w:rPr>
          <w:sz w:val="20"/>
          <w:szCs w:val="20"/>
          <w:color w:val="auto"/>
        </w:rPr>
      </w:pPr>
      <w:r>
        <w:rPr>
          <w:rFonts w:ascii="Arial" w:cs="Arial" w:eastAsia="Arial" w:hAnsi="Arial"/>
          <w:sz w:val="32"/>
          <w:szCs w:val="32"/>
          <w:b w:val="1"/>
          <w:bCs w:val="1"/>
          <w:color w:val="auto"/>
        </w:rPr>
        <w:t>3</w:t>
      </w:r>
    </w:p>
    <w:p>
      <w:pPr>
        <w:spacing w:after="0" w:line="11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CITIZENSHIP OR PLACE OF ORGANIZATION</w:t>
      </w:r>
    </w:p>
    <w:p>
      <w:pPr>
        <w:ind w:left="600"/>
        <w:spacing w:after="0" w:line="184" w:lineRule="auto"/>
        <w:tabs>
          <w:tab w:leader="none" w:pos="1360" w:val="left"/>
        </w:tabs>
        <w:rPr>
          <w:sz w:val="20"/>
          <w:szCs w:val="20"/>
          <w:color w:val="auto"/>
        </w:rPr>
      </w:pPr>
      <w:r>
        <w:rPr>
          <w:rFonts w:ascii="Arial" w:cs="Arial" w:eastAsia="Arial" w:hAnsi="Arial"/>
          <w:sz w:val="26"/>
          <w:szCs w:val="26"/>
          <w:b w:val="1"/>
          <w:bCs w:val="1"/>
          <w:color w:val="auto"/>
          <w:vertAlign w:val="superscript"/>
        </w:rPr>
        <w:t>4</w:t>
      </w:r>
      <w:r>
        <w:rPr>
          <w:sz w:val="20"/>
          <w:szCs w:val="20"/>
          <w:color w:val="auto"/>
        </w:rPr>
        <w:tab/>
      </w:r>
      <w:r>
        <w:rPr>
          <w:rFonts w:ascii="Arial" w:cs="Arial" w:eastAsia="Arial" w:hAnsi="Arial"/>
          <w:sz w:val="14"/>
          <w:szCs w:val="14"/>
          <w:color w:val="auto"/>
        </w:rPr>
        <w:t>Netherlands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300" w:type="dxa"/>
            <w:vAlign w:val="bottom"/>
            <w:tcBorders>
              <w:top w:val="single" w:sz="8" w:color="auto"/>
            </w:tcBorders>
          </w:tcPr>
          <w:p>
            <w:pPr>
              <w:spacing w:after="0"/>
              <w:rPr>
                <w:sz w:val="17"/>
                <w:szCs w:val="17"/>
                <w:color w:val="auto"/>
              </w:rPr>
            </w:pPr>
          </w:p>
        </w:tc>
        <w:tc>
          <w:tcPr>
            <w:tcW w:w="700" w:type="dxa"/>
            <w:vAlign w:val="bottom"/>
            <w:tcBorders>
              <w:top w:val="single" w:sz="8" w:color="auto"/>
              <w:right w:val="single" w:sz="8" w:color="auto"/>
            </w:tcBorders>
          </w:tcPr>
          <w:p>
            <w:pPr>
              <w:spacing w:after="0"/>
              <w:rPr>
                <w:sz w:val="17"/>
                <w:szCs w:val="17"/>
                <w:color w:val="auto"/>
              </w:rPr>
            </w:pPr>
          </w:p>
        </w:tc>
        <w:tc>
          <w:tcPr>
            <w:tcW w:w="660" w:type="dxa"/>
            <w:vAlign w:val="bottom"/>
            <w:tcBorders>
              <w:top w:val="single" w:sz="8" w:color="auto"/>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5</w:t>
            </w:r>
          </w:p>
        </w:tc>
        <w:tc>
          <w:tcPr>
            <w:tcW w:w="85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31"/>
        </w:trPr>
        <w:tc>
          <w:tcPr>
            <w:tcW w:w="13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8580" w:type="dxa"/>
            <w:vAlign w:val="bottom"/>
          </w:tcPr>
          <w:p>
            <w:pPr>
              <w:ind w:left="680"/>
              <w:spacing w:after="0"/>
              <w:rPr>
                <w:sz w:val="20"/>
                <w:szCs w:val="20"/>
                <w:color w:val="auto"/>
              </w:rPr>
            </w:pPr>
            <w:r>
              <w:rPr>
                <w:rFonts w:ascii="Arial" w:cs="Arial" w:eastAsia="Arial" w:hAnsi="Arial"/>
                <w:sz w:val="18"/>
                <w:szCs w:val="18"/>
                <w:color w:val="auto"/>
              </w:rPr>
              <w:t>4,765,127</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660" w:type="dxa"/>
            <w:vAlign w:val="bottom"/>
            <w:tcBorders>
              <w:bottom w:val="single" w:sz="8" w:color="auto"/>
              <w:right w:val="single" w:sz="8" w:color="auto"/>
            </w:tcBorders>
          </w:tcPr>
          <w:p>
            <w:pPr>
              <w:spacing w:after="0"/>
              <w:rPr>
                <w:sz w:val="9"/>
                <w:szCs w:val="9"/>
                <w:color w:val="auto"/>
              </w:rPr>
            </w:pPr>
          </w:p>
        </w:tc>
        <w:tc>
          <w:tcPr>
            <w:tcW w:w="8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0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6</w:t>
            </w:r>
          </w:p>
        </w:tc>
        <w:tc>
          <w:tcPr>
            <w:tcW w:w="8580" w:type="dxa"/>
            <w:vAlign w:val="bottom"/>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0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vMerge w:val="continue"/>
          </w:tcPr>
          <w:p>
            <w:pPr>
              <w:spacing w:after="0"/>
              <w:rPr>
                <w:sz w:val="6"/>
                <w:szCs w:val="6"/>
                <w:color w:val="auto"/>
              </w:rPr>
            </w:pPr>
          </w:p>
        </w:tc>
        <w:tc>
          <w:tcPr>
            <w:tcW w:w="8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vMerge w:val="continue"/>
          </w:tcPr>
          <w:p>
            <w:pPr>
              <w:spacing w:after="0"/>
              <w:rPr>
                <w:sz w:val="18"/>
                <w:szCs w:val="18"/>
                <w:color w:val="auto"/>
              </w:rPr>
            </w:pPr>
          </w:p>
        </w:tc>
        <w:tc>
          <w:tcPr>
            <w:tcW w:w="8580" w:type="dxa"/>
            <w:vAlign w:val="bottom"/>
          </w:tcPr>
          <w:p>
            <w:pPr>
              <w:ind w:left="6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6"/>
        </w:trPr>
        <w:tc>
          <w:tcPr>
            <w:tcW w:w="20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8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0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8580" w:type="dxa"/>
            <w:vAlign w:val="bottom"/>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7</w:t>
            </w:r>
          </w:p>
        </w:tc>
        <w:tc>
          <w:tcPr>
            <w:tcW w:w="8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00" w:type="dxa"/>
            <w:vAlign w:val="bottom"/>
            <w:tcBorders>
              <w:right w:val="single" w:sz="8" w:color="auto"/>
            </w:tcBorders>
            <w:gridSpan w:val="2"/>
            <w:vMerge w:val="continue"/>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8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300" w:type="dxa"/>
            <w:vAlign w:val="bottom"/>
          </w:tcPr>
          <w:p>
            <w:pPr>
              <w:jc w:val="center"/>
              <w:ind w:left="589"/>
              <w:spacing w:after="0"/>
              <w:rPr>
                <w:sz w:val="20"/>
                <w:szCs w:val="20"/>
                <w:color w:val="auto"/>
              </w:rPr>
            </w:pPr>
            <w:r>
              <w:rPr>
                <w:rFonts w:ascii="Arial" w:cs="Arial" w:eastAsia="Arial" w:hAnsi="Arial"/>
                <w:sz w:val="18"/>
                <w:szCs w:val="18"/>
                <w:b w:val="1"/>
                <w:bCs w:val="1"/>
                <w:color w:val="auto"/>
              </w:rPr>
              <w:t>WITH</w:t>
            </w:r>
          </w:p>
        </w:tc>
        <w:tc>
          <w:tcPr>
            <w:tcW w:w="700" w:type="dxa"/>
            <w:vAlign w:val="bottom"/>
            <w:tcBorders>
              <w:right w:val="single" w:sz="8" w:color="auto"/>
            </w:tcBorders>
          </w:tcPr>
          <w:p>
            <w:pPr>
              <w:spacing w:after="0"/>
              <w:rPr>
                <w:sz w:val="21"/>
                <w:szCs w:val="21"/>
                <w:color w:val="auto"/>
              </w:rPr>
            </w:pPr>
          </w:p>
        </w:tc>
        <w:tc>
          <w:tcPr>
            <w:tcW w:w="660" w:type="dxa"/>
            <w:vAlign w:val="bottom"/>
            <w:tcBorders>
              <w:right w:val="single" w:sz="8" w:color="auto"/>
            </w:tcBorders>
            <w:vMerge w:val="continue"/>
          </w:tcPr>
          <w:p>
            <w:pPr>
              <w:spacing w:after="0"/>
              <w:rPr>
                <w:sz w:val="21"/>
                <w:szCs w:val="21"/>
                <w:color w:val="auto"/>
              </w:rPr>
            </w:pPr>
          </w:p>
        </w:tc>
        <w:tc>
          <w:tcPr>
            <w:tcW w:w="8580" w:type="dxa"/>
            <w:vAlign w:val="bottom"/>
          </w:tcPr>
          <w:p>
            <w:pPr>
              <w:ind w:left="680"/>
              <w:spacing w:after="0"/>
              <w:rPr>
                <w:sz w:val="20"/>
                <w:szCs w:val="20"/>
                <w:color w:val="auto"/>
              </w:rPr>
            </w:pPr>
            <w:r>
              <w:rPr>
                <w:rFonts w:ascii="Arial" w:cs="Arial" w:eastAsia="Arial" w:hAnsi="Arial"/>
                <w:sz w:val="18"/>
                <w:szCs w:val="18"/>
                <w:color w:val="auto"/>
              </w:rPr>
              <w:t>5,749,637</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660" w:type="dxa"/>
            <w:vAlign w:val="bottom"/>
            <w:tcBorders>
              <w:bottom w:val="single" w:sz="8" w:color="auto"/>
              <w:right w:val="single" w:sz="8" w:color="auto"/>
            </w:tcBorders>
          </w:tcPr>
          <w:p>
            <w:pPr>
              <w:spacing w:after="0"/>
              <w:rPr>
                <w:sz w:val="9"/>
                <w:szCs w:val="9"/>
                <w:color w:val="auto"/>
              </w:rPr>
            </w:pPr>
          </w:p>
        </w:tc>
        <w:tc>
          <w:tcPr>
            <w:tcW w:w="8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8</w:t>
            </w:r>
          </w:p>
        </w:tc>
        <w:tc>
          <w:tcPr>
            <w:tcW w:w="8580" w:type="dxa"/>
            <w:vAlign w:val="bottom"/>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06"/>
        </w:trPr>
        <w:tc>
          <w:tcPr>
            <w:tcW w:w="13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8580" w:type="dxa"/>
            <w:vAlign w:val="bottom"/>
          </w:tcPr>
          <w:p>
            <w:pPr>
              <w:ind w:left="6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660" w:type="dxa"/>
            <w:vAlign w:val="bottom"/>
            <w:tcBorders>
              <w:bottom w:val="single" w:sz="8" w:color="auto"/>
              <w:right w:val="single" w:sz="8" w:color="auto"/>
            </w:tcBorders>
          </w:tcPr>
          <w:p>
            <w:pPr>
              <w:spacing w:after="0"/>
              <w:rPr>
                <w:sz w:val="9"/>
                <w:szCs w:val="9"/>
                <w:color w:val="auto"/>
              </w:rPr>
            </w:pPr>
          </w:p>
        </w:tc>
        <w:tc>
          <w:tcPr>
            <w:tcW w:w="8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1300" w:type="dxa"/>
            <w:vAlign w:val="bottom"/>
            <w:vMerge w:val="restart"/>
          </w:tcPr>
          <w:p>
            <w:pPr>
              <w:jc w:val="right"/>
              <w:ind w:right="429"/>
              <w:spacing w:after="0"/>
              <w:rPr>
                <w:sz w:val="20"/>
                <w:szCs w:val="20"/>
                <w:color w:val="auto"/>
              </w:rPr>
            </w:pPr>
            <w:r>
              <w:rPr>
                <w:rFonts w:ascii="Arial" w:cs="Arial" w:eastAsia="Arial" w:hAnsi="Arial"/>
                <w:sz w:val="32"/>
                <w:szCs w:val="32"/>
                <w:b w:val="1"/>
                <w:bCs w:val="1"/>
                <w:color w:val="auto"/>
              </w:rPr>
              <w:t>9</w:t>
            </w: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AGGREGATE</w:t>
            </w:r>
          </w:p>
        </w:tc>
        <w:tc>
          <w:tcPr>
            <w:tcW w:w="8580" w:type="dxa"/>
            <w:vAlign w:val="bottom"/>
          </w:tcPr>
          <w:p>
            <w:pPr>
              <w:spacing w:after="0"/>
              <w:rPr>
                <w:sz w:val="20"/>
                <w:szCs w:val="20"/>
                <w:color w:val="auto"/>
              </w:rPr>
            </w:pPr>
            <w:r>
              <w:rPr>
                <w:rFonts w:ascii="Arial" w:cs="Arial" w:eastAsia="Arial" w:hAnsi="Arial"/>
                <w:sz w:val="18"/>
                <w:szCs w:val="18"/>
                <w:b w:val="1"/>
                <w:bCs w:val="1"/>
                <w:color w:val="auto"/>
              </w:rPr>
              <w:t>AMOUNT BENEFICIALLY OWNED BY EACH REPORTING PERSON</w:t>
            </w:r>
          </w:p>
        </w:tc>
        <w:tc>
          <w:tcPr>
            <w:tcW w:w="0" w:type="dxa"/>
            <w:vAlign w:val="bottom"/>
          </w:tcPr>
          <w:p>
            <w:pPr>
              <w:spacing w:after="0"/>
              <w:rPr>
                <w:sz w:val="1"/>
                <w:szCs w:val="1"/>
                <w:color w:val="auto"/>
              </w:rPr>
            </w:pPr>
          </w:p>
        </w:tc>
      </w:tr>
      <w:tr>
        <w:trPr>
          <w:trHeight w:val="306"/>
        </w:trPr>
        <w:tc>
          <w:tcPr>
            <w:tcW w:w="13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9240" w:type="dxa"/>
            <w:vAlign w:val="bottom"/>
            <w:gridSpan w:val="2"/>
          </w:tcPr>
          <w:p>
            <w:pPr>
              <w:jc w:val="right"/>
              <w:ind w:right="8410"/>
              <w:spacing w:after="0"/>
              <w:rPr>
                <w:sz w:val="20"/>
                <w:szCs w:val="20"/>
                <w:color w:val="auto"/>
              </w:rPr>
            </w:pPr>
            <w:r>
              <w:rPr>
                <w:rFonts w:ascii="Arial" w:cs="Arial" w:eastAsia="Arial" w:hAnsi="Arial"/>
                <w:sz w:val="18"/>
                <w:szCs w:val="18"/>
                <w:color w:val="auto"/>
                <w:w w:val="89"/>
              </w:rPr>
              <w:t>5,749,637</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1300" w:type="dxa"/>
            <w:vAlign w:val="bottom"/>
            <w:vMerge w:val="restart"/>
          </w:tcPr>
          <w:p>
            <w:pPr>
              <w:jc w:val="right"/>
              <w:ind w:right="349"/>
              <w:spacing w:after="0"/>
              <w:rPr>
                <w:sz w:val="20"/>
                <w:szCs w:val="20"/>
                <w:color w:val="auto"/>
              </w:rPr>
            </w:pPr>
            <w:r>
              <w:rPr>
                <w:rFonts w:ascii="Arial" w:cs="Arial" w:eastAsia="Arial" w:hAnsi="Arial"/>
                <w:sz w:val="32"/>
                <w:szCs w:val="32"/>
                <w:b w:val="1"/>
                <w:bCs w:val="1"/>
                <w:color w:val="auto"/>
              </w:rPr>
              <w:t>10</w:t>
            </w:r>
          </w:p>
        </w:tc>
        <w:tc>
          <w:tcPr>
            <w:tcW w:w="9940" w:type="dxa"/>
            <w:vAlign w:val="bottom"/>
            <w:gridSpan w:val="3"/>
          </w:tcPr>
          <w:p>
            <w:pPr>
              <w:ind w:left="4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26"/>
        </w:trPr>
        <w:tc>
          <w:tcPr>
            <w:tcW w:w="1300" w:type="dxa"/>
            <w:vAlign w:val="bottom"/>
            <w:vMerge w:val="continue"/>
          </w:tcPr>
          <w:p>
            <w:pPr>
              <w:spacing w:after="0"/>
              <w:rPr>
                <w:sz w:val="24"/>
                <w:szCs w:val="24"/>
                <w:color w:val="auto"/>
              </w:rPr>
            </w:pPr>
          </w:p>
        </w:tc>
        <w:tc>
          <w:tcPr>
            <w:tcW w:w="7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PERCENT OF CLASS REPRESENTED BY AMOUNT IN ROW (9)</w:t>
      </w:r>
    </w:p>
    <w:p>
      <w:pPr>
        <w:ind w:left="520"/>
        <w:spacing w:after="0" w:line="233" w:lineRule="auto"/>
        <w:tabs>
          <w:tab w:leader="none" w:pos="136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35"/>
          <w:szCs w:val="35"/>
          <w:color w:val="auto"/>
          <w:vertAlign w:val="subscript"/>
        </w:rPr>
        <w:t>5.5%</w:t>
      </w:r>
      <w:r>
        <w:rPr>
          <w:rFonts w:ascii="Arial" w:cs="Arial" w:eastAsia="Arial" w:hAnsi="Arial"/>
          <w:sz w:val="18"/>
          <w:szCs w:val="18"/>
          <w:color w:val="auto"/>
        </w:rPr>
        <w:t>(1)</w:t>
      </w:r>
    </w:p>
    <w:p>
      <w:pPr>
        <w:spacing w:after="0" w:line="32"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TYPE OF REPORTING PERSON (SEE INSTRUCTIONS)</w:t>
      </w:r>
    </w:p>
    <w:p>
      <w:pPr>
        <w:ind w:left="520"/>
        <w:spacing w:after="0" w:line="237" w:lineRule="auto"/>
        <w:tabs>
          <w:tab w:leader="none" w:pos="136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36"/>
          <w:szCs w:val="36"/>
          <w:color w:val="auto"/>
          <w:vertAlign w:val="subscript"/>
        </w:rPr>
        <w:t>FI</w:t>
      </w:r>
    </w:p>
    <w:p>
      <w:pPr>
        <w:spacing w:after="0" w:line="200" w:lineRule="exact"/>
        <w:rPr>
          <w:sz w:val="20"/>
          <w:szCs w:val="20"/>
          <w:color w:val="auto"/>
        </w:rPr>
      </w:pPr>
    </w:p>
    <w:p>
      <w:pPr>
        <w:spacing w:after="0" w:line="387" w:lineRule="exact"/>
        <w:rPr>
          <w:sz w:val="20"/>
          <w:szCs w:val="20"/>
          <w:color w:val="auto"/>
        </w:rPr>
      </w:pPr>
    </w:p>
    <w:p>
      <w:pPr>
        <w:ind w:right="560" w:firstLine="8"/>
        <w:spacing w:after="0" w:line="205" w:lineRule="auto"/>
        <w:tabs>
          <w:tab w:leader="none" w:pos="264" w:val="left"/>
        </w:tabs>
        <w:numPr>
          <w:ilvl w:val="0"/>
          <w:numId w:val="3"/>
        </w:numPr>
        <w:rPr>
          <w:rFonts w:ascii="Arial" w:cs="Arial" w:eastAsia="Arial" w:hAnsi="Arial"/>
          <w:sz w:val="31"/>
          <w:szCs w:val="31"/>
          <w:color w:val="auto"/>
          <w:vertAlign w:val="superscript"/>
        </w:rPr>
      </w:pPr>
      <w:r>
        <w:rPr>
          <w:rFonts w:ascii="Arial" w:cs="Arial" w:eastAsia="Arial" w:hAnsi="Arial"/>
          <w:sz w:val="19"/>
          <w:szCs w:val="19"/>
          <w:color w:val="auto"/>
        </w:rPr>
        <w:t>Based upon 105,129,747 shares of Class A Common Stock, par value $0.00001 per share of Tradeweb Markets Inc. (the “Issuer”) outstanding as of October 20, 2021 as reported in the Issuer's Form 10-Q filed with the Securities and Exchange Commission on October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352425</wp:posOffset>
            </wp:positionV>
            <wp:extent cx="713613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rPr>
                <w:sz w:val="20"/>
                <w:szCs w:val="20"/>
                <w:color w:val="auto"/>
              </w:rPr>
            </w:pPr>
            <w:r>
              <w:rPr>
                <w:rFonts w:ascii="Arial" w:cs="Arial" w:eastAsia="Arial" w:hAnsi="Arial"/>
                <w:sz w:val="18"/>
                <w:szCs w:val="18"/>
                <w:b w:val="1"/>
                <w:bCs w:val="1"/>
                <w:color w:val="auto"/>
              </w:rPr>
              <w:t>CUSIP No.</w:t>
            </w:r>
          </w:p>
        </w:tc>
        <w:tc>
          <w:tcPr>
            <w:tcW w:w="620" w:type="dxa"/>
            <w:vAlign w:val="bottom"/>
          </w:tcPr>
          <w:p>
            <w:pPr>
              <w:spacing w:after="0"/>
              <w:rPr>
                <w:sz w:val="19"/>
                <w:szCs w:val="19"/>
                <w:color w:val="auto"/>
              </w:rPr>
            </w:pPr>
          </w:p>
        </w:tc>
        <w:tc>
          <w:tcPr>
            <w:tcW w:w="6000" w:type="dxa"/>
            <w:vAlign w:val="bottom"/>
          </w:tcPr>
          <w:p>
            <w:pPr>
              <w:ind w:left="4680"/>
              <w:spacing w:after="0"/>
              <w:rPr>
                <w:sz w:val="20"/>
                <w:szCs w:val="20"/>
                <w:color w:val="auto"/>
              </w:rPr>
            </w:pPr>
            <w:r>
              <w:rPr>
                <w:rFonts w:ascii="Arial" w:cs="Arial" w:eastAsia="Arial" w:hAnsi="Arial"/>
                <w:sz w:val="18"/>
                <w:szCs w:val="18"/>
                <w:b w:val="1"/>
                <w:bCs w:val="1"/>
                <w:color w:val="auto"/>
                <w:w w:val="84"/>
              </w:rPr>
              <w:t>Page 3 of 5 Pages</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892672106</w:t>
            </w:r>
          </w:p>
        </w:tc>
        <w:tc>
          <w:tcPr>
            <w:tcW w:w="620" w:type="dxa"/>
            <w:vAlign w:val="bottom"/>
          </w:tcPr>
          <w:p>
            <w:pPr>
              <w:spacing w:after="0"/>
              <w:rPr>
                <w:sz w:val="20"/>
                <w:szCs w:val="20"/>
                <w:color w:val="auto"/>
              </w:rPr>
            </w:pPr>
          </w:p>
        </w:tc>
        <w:tc>
          <w:tcPr>
            <w:tcW w:w="6000" w:type="dxa"/>
            <w:vAlign w:val="bottom"/>
          </w:tcPr>
          <w:p>
            <w:pPr>
              <w:spacing w:after="0"/>
              <w:rPr>
                <w:sz w:val="20"/>
                <w:szCs w:val="20"/>
                <w:color w:val="auto"/>
              </w:rPr>
            </w:pPr>
          </w:p>
        </w:tc>
      </w:tr>
      <w:tr>
        <w:trPr>
          <w:trHeight w:val="459"/>
        </w:trPr>
        <w:tc>
          <w:tcPr>
            <w:tcW w:w="1140" w:type="dxa"/>
            <w:vAlign w:val="bottom"/>
          </w:tcPr>
          <w:p>
            <w:pPr>
              <w:ind w:left="340"/>
              <w:spacing w:after="0"/>
              <w:rPr>
                <w:sz w:val="20"/>
                <w:szCs w:val="20"/>
                <w:color w:val="auto"/>
              </w:rPr>
            </w:pPr>
            <w:r>
              <w:rPr>
                <w:rFonts w:ascii="Arial" w:cs="Arial" w:eastAsia="Arial" w:hAnsi="Arial"/>
                <w:sz w:val="18"/>
                <w:szCs w:val="18"/>
                <w:color w:val="auto"/>
              </w:rPr>
              <w:t>Item 1.</w:t>
            </w:r>
          </w:p>
        </w:tc>
        <w:tc>
          <w:tcPr>
            <w:tcW w:w="620" w:type="dxa"/>
            <w:vAlign w:val="bottom"/>
          </w:tcPr>
          <w:p>
            <w:pPr>
              <w:ind w:left="280"/>
              <w:spacing w:after="0"/>
              <w:rPr>
                <w:sz w:val="20"/>
                <w:szCs w:val="20"/>
                <w:color w:val="auto"/>
              </w:rPr>
            </w:pPr>
            <w:r>
              <w:rPr>
                <w:rFonts w:ascii="Arial" w:cs="Arial" w:eastAsia="Arial" w:hAnsi="Arial"/>
                <w:sz w:val="18"/>
                <w:szCs w:val="18"/>
                <w:color w:val="auto"/>
              </w:rPr>
              <w:t>(a)</w:t>
            </w:r>
          </w:p>
        </w:tc>
        <w:tc>
          <w:tcPr>
            <w:tcW w:w="6000" w:type="dxa"/>
            <w:vAlign w:val="bottom"/>
          </w:tcPr>
          <w:p>
            <w:pPr>
              <w:ind w:left="120"/>
              <w:spacing w:after="0"/>
              <w:rPr>
                <w:sz w:val="20"/>
                <w:szCs w:val="20"/>
                <w:color w:val="auto"/>
              </w:rPr>
            </w:pPr>
            <w:r>
              <w:rPr>
                <w:rFonts w:ascii="Arial" w:cs="Arial" w:eastAsia="Arial" w:hAnsi="Arial"/>
                <w:sz w:val="18"/>
                <w:szCs w:val="18"/>
                <w:color w:val="auto"/>
              </w:rPr>
              <w:t>Name of Issuer:</w:t>
            </w:r>
          </w:p>
        </w:tc>
      </w:tr>
      <w:tr>
        <w:trPr>
          <w:trHeight w:val="432"/>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Tradeweb Markets Inc.</w:t>
            </w:r>
          </w:p>
        </w:tc>
      </w:tr>
      <w:tr>
        <w:trPr>
          <w:trHeight w:val="432"/>
        </w:trPr>
        <w:tc>
          <w:tcPr>
            <w:tcW w:w="114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Arial" w:cs="Arial" w:eastAsia="Arial" w:hAnsi="Arial"/>
                <w:sz w:val="18"/>
                <w:szCs w:val="18"/>
                <w:color w:val="auto"/>
              </w:rPr>
              <w:t>(b)</w:t>
            </w:r>
          </w:p>
        </w:tc>
        <w:tc>
          <w:tcPr>
            <w:tcW w:w="6000" w:type="dxa"/>
            <w:vAlign w:val="bottom"/>
          </w:tcPr>
          <w:p>
            <w:pPr>
              <w:ind w:left="120"/>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1177 Avenue of the Americas</w:t>
            </w:r>
          </w:p>
        </w:tc>
      </w:tr>
      <w:tr>
        <w:trPr>
          <w:trHeight w:val="230"/>
        </w:trPr>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New York, NY 10036</w:t>
            </w:r>
          </w:p>
        </w:tc>
      </w:tr>
      <w:tr>
        <w:trPr>
          <w:trHeight w:val="648"/>
        </w:trPr>
        <w:tc>
          <w:tcPr>
            <w:tcW w:w="1140" w:type="dxa"/>
            <w:vAlign w:val="bottom"/>
          </w:tcPr>
          <w:p>
            <w:pPr>
              <w:ind w:left="340"/>
              <w:spacing w:after="0"/>
              <w:rPr>
                <w:sz w:val="20"/>
                <w:szCs w:val="20"/>
                <w:color w:val="auto"/>
              </w:rPr>
            </w:pPr>
            <w:r>
              <w:rPr>
                <w:rFonts w:ascii="Arial" w:cs="Arial" w:eastAsia="Arial" w:hAnsi="Arial"/>
                <w:sz w:val="18"/>
                <w:szCs w:val="18"/>
                <w:color w:val="auto"/>
              </w:rPr>
              <w:t>Item 2.</w:t>
            </w:r>
          </w:p>
        </w:tc>
        <w:tc>
          <w:tcPr>
            <w:tcW w:w="620" w:type="dxa"/>
            <w:vAlign w:val="bottom"/>
          </w:tcPr>
          <w:p>
            <w:pPr>
              <w:ind w:left="280"/>
              <w:spacing w:after="0"/>
              <w:rPr>
                <w:sz w:val="20"/>
                <w:szCs w:val="20"/>
                <w:color w:val="auto"/>
              </w:rPr>
            </w:pPr>
            <w:r>
              <w:rPr>
                <w:rFonts w:ascii="Arial" w:cs="Arial" w:eastAsia="Arial" w:hAnsi="Arial"/>
                <w:sz w:val="18"/>
                <w:szCs w:val="18"/>
                <w:color w:val="auto"/>
              </w:rPr>
              <w:t>(a)</w:t>
            </w:r>
          </w:p>
        </w:tc>
        <w:tc>
          <w:tcPr>
            <w:tcW w:w="6000" w:type="dxa"/>
            <w:vAlign w:val="bottom"/>
          </w:tcPr>
          <w:p>
            <w:pPr>
              <w:ind w:left="120"/>
              <w:spacing w:after="0"/>
              <w:rPr>
                <w:sz w:val="20"/>
                <w:szCs w:val="20"/>
                <w:color w:val="auto"/>
              </w:rPr>
            </w:pPr>
            <w:r>
              <w:rPr>
                <w:rFonts w:ascii="Arial" w:cs="Arial" w:eastAsia="Arial" w:hAnsi="Arial"/>
                <w:sz w:val="18"/>
                <w:szCs w:val="18"/>
                <w:color w:val="auto"/>
              </w:rPr>
              <w:t>Name of Persons Filing:</w:t>
            </w:r>
          </w:p>
        </w:tc>
      </w:tr>
      <w:tr>
        <w:trPr>
          <w:trHeight w:val="432"/>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Ownership Capital B.V.</w:t>
            </w:r>
          </w:p>
        </w:tc>
      </w:tr>
      <w:tr>
        <w:trPr>
          <w:trHeight w:val="432"/>
        </w:trPr>
        <w:tc>
          <w:tcPr>
            <w:tcW w:w="114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Arial" w:cs="Arial" w:eastAsia="Arial" w:hAnsi="Arial"/>
                <w:sz w:val="18"/>
                <w:szCs w:val="18"/>
                <w:color w:val="auto"/>
              </w:rPr>
              <w:t>(b)</w:t>
            </w:r>
          </w:p>
        </w:tc>
        <w:tc>
          <w:tcPr>
            <w:tcW w:w="6000" w:type="dxa"/>
            <w:vAlign w:val="bottom"/>
          </w:tcPr>
          <w:p>
            <w:pPr>
              <w:ind w:left="120"/>
              <w:spacing w:after="0"/>
              <w:rPr>
                <w:sz w:val="20"/>
                <w:szCs w:val="20"/>
                <w:color w:val="auto"/>
              </w:rPr>
            </w:pPr>
            <w:r>
              <w:rPr>
                <w:rFonts w:ascii="Arial" w:cs="Arial" w:eastAsia="Arial" w:hAnsi="Arial"/>
                <w:sz w:val="18"/>
                <w:szCs w:val="18"/>
                <w:color w:val="auto"/>
              </w:rPr>
              <w:t>Address of Principal Business Office or, if none, Residence :</w:t>
            </w:r>
          </w:p>
        </w:tc>
      </w:tr>
      <w:tr>
        <w:trPr>
          <w:trHeight w:val="418"/>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Herengracht 107</w:t>
            </w:r>
          </w:p>
        </w:tc>
      </w:tr>
      <w:tr>
        <w:trPr>
          <w:trHeight w:val="230"/>
        </w:trPr>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Amsterdam, The Netherlands 1015 BE</w:t>
            </w:r>
          </w:p>
        </w:tc>
      </w:tr>
      <w:tr>
        <w:trPr>
          <w:trHeight w:val="432"/>
        </w:trPr>
        <w:tc>
          <w:tcPr>
            <w:tcW w:w="114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Arial" w:cs="Arial" w:eastAsia="Arial" w:hAnsi="Arial"/>
                <w:sz w:val="18"/>
                <w:szCs w:val="18"/>
                <w:color w:val="auto"/>
              </w:rPr>
              <w:t>(c)</w:t>
            </w:r>
          </w:p>
        </w:tc>
        <w:tc>
          <w:tcPr>
            <w:tcW w:w="6000" w:type="dxa"/>
            <w:vAlign w:val="bottom"/>
          </w:tcPr>
          <w:p>
            <w:pPr>
              <w:ind w:left="120"/>
              <w:spacing w:after="0"/>
              <w:rPr>
                <w:sz w:val="20"/>
                <w:szCs w:val="20"/>
                <w:color w:val="auto"/>
              </w:rPr>
            </w:pPr>
            <w:r>
              <w:rPr>
                <w:rFonts w:ascii="Arial" w:cs="Arial" w:eastAsia="Arial" w:hAnsi="Arial"/>
                <w:sz w:val="18"/>
                <w:szCs w:val="18"/>
                <w:color w:val="auto"/>
              </w:rPr>
              <w:t>Citizenship:</w:t>
            </w:r>
          </w:p>
        </w:tc>
      </w:tr>
      <w:tr>
        <w:trPr>
          <w:trHeight w:val="432"/>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Netherlands</w:t>
            </w:r>
          </w:p>
        </w:tc>
      </w:tr>
      <w:tr>
        <w:trPr>
          <w:trHeight w:val="432"/>
        </w:trPr>
        <w:tc>
          <w:tcPr>
            <w:tcW w:w="114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Arial" w:cs="Arial" w:eastAsia="Arial" w:hAnsi="Arial"/>
                <w:sz w:val="18"/>
                <w:szCs w:val="18"/>
                <w:color w:val="auto"/>
              </w:rPr>
              <w:t>(d)</w:t>
            </w:r>
          </w:p>
        </w:tc>
        <w:tc>
          <w:tcPr>
            <w:tcW w:w="6000" w:type="dxa"/>
            <w:vAlign w:val="bottom"/>
          </w:tcPr>
          <w:p>
            <w:pPr>
              <w:ind w:left="120"/>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Class A Common Stock, par value $0.00001 per share</w:t>
            </w:r>
          </w:p>
        </w:tc>
      </w:tr>
      <w:tr>
        <w:trPr>
          <w:trHeight w:val="432"/>
        </w:trPr>
        <w:tc>
          <w:tcPr>
            <w:tcW w:w="114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Arial" w:cs="Arial" w:eastAsia="Arial" w:hAnsi="Arial"/>
                <w:sz w:val="18"/>
                <w:szCs w:val="18"/>
                <w:color w:val="auto"/>
              </w:rPr>
              <w:t>(e)</w:t>
            </w:r>
          </w:p>
        </w:tc>
        <w:tc>
          <w:tcPr>
            <w:tcW w:w="6000" w:type="dxa"/>
            <w:vAlign w:val="bottom"/>
          </w:tcPr>
          <w:p>
            <w:pPr>
              <w:ind w:left="120"/>
              <w:spacing w:after="0"/>
              <w:rPr>
                <w:sz w:val="20"/>
                <w:szCs w:val="20"/>
                <w:color w:val="auto"/>
              </w:rPr>
            </w:pPr>
            <w:r>
              <w:rPr>
                <w:rFonts w:ascii="Arial" w:cs="Arial" w:eastAsia="Arial" w:hAnsi="Arial"/>
                <w:sz w:val="18"/>
                <w:szCs w:val="18"/>
                <w:color w:val="auto"/>
              </w:rPr>
              <w:t>CUSIP Number:</w:t>
            </w:r>
          </w:p>
        </w:tc>
      </w:tr>
      <w:tr>
        <w:trPr>
          <w:trHeight w:val="432"/>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892672106</w:t>
            </w:r>
          </w:p>
        </w:tc>
      </w:tr>
    </w:tbl>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3. If this statement is filed pursuant to Sections 240.13d-1(b) or 240.13d-2(b) or (c), check whether the person filing is a:</w:t>
      </w:r>
    </w:p>
    <w:p>
      <w:pPr>
        <w:spacing w:after="0" w:line="225"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18"/>
          <w:szCs w:val="18"/>
          <w:color w:val="auto"/>
        </w:rPr>
        <w:t>(a)</w:t>
        <w:tab/>
        <w:t>[  ]  Broker or dealer registered under Section 15 of the Act.</w:t>
      </w:r>
    </w:p>
    <w:p>
      <w:pPr>
        <w:spacing w:after="0" w:line="23" w:lineRule="exact"/>
        <w:rPr>
          <w:sz w:val="20"/>
          <w:szCs w:val="20"/>
          <w:color w:val="auto"/>
        </w:rPr>
      </w:pPr>
    </w:p>
    <w:p>
      <w:pPr>
        <w:ind w:left="1340" w:hanging="441"/>
        <w:spacing w:after="0"/>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  Bank as defined in Section 3(a)(6) of the Act.</w:t>
      </w:r>
    </w:p>
    <w:p>
      <w:pPr>
        <w:spacing w:after="0" w:line="9"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18"/>
          <w:szCs w:val="18"/>
          <w:color w:val="auto"/>
        </w:rPr>
        <w:t>(c)</w:t>
        <w:tab/>
        <w:t>[  ]  Insurance company as defined in Section 3(a)(19) of the Act.</w:t>
      </w:r>
    </w:p>
    <w:p>
      <w:pPr>
        <w:spacing w:after="0" w:line="9" w:lineRule="exact"/>
        <w:rPr>
          <w:sz w:val="20"/>
          <w:szCs w:val="20"/>
          <w:color w:val="auto"/>
        </w:rPr>
      </w:pPr>
    </w:p>
    <w:p>
      <w:pPr>
        <w:ind w:left="1700" w:right="4760" w:hanging="801"/>
        <w:spacing w:after="0" w:line="250" w:lineRule="auto"/>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 of 1940.</w:t>
      </w:r>
    </w:p>
    <w:p>
      <w:pPr>
        <w:ind w:left="1340" w:hanging="441"/>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 An investment adviser in accordance with Section</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240.13d-1(b)(1)(ii)(E).</w:t>
      </w:r>
    </w:p>
    <w:p>
      <w:pPr>
        <w:spacing w:after="0" w:line="9"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18"/>
          <w:szCs w:val="18"/>
          <w:color w:val="auto"/>
        </w:rPr>
        <w:t>(f)</w:t>
        <w:tab/>
        <w:t>[  ] An employee benefit plan or endowment fund in accordance with</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Section 240.13d-1(b)(1)(ii)(F).</w:t>
      </w:r>
    </w:p>
    <w:p>
      <w:pPr>
        <w:spacing w:after="0" w:line="9" w:lineRule="exact"/>
        <w:rPr>
          <w:sz w:val="20"/>
          <w:szCs w:val="20"/>
          <w:color w:val="auto"/>
        </w:rPr>
      </w:pPr>
    </w:p>
    <w:p>
      <w:pPr>
        <w:ind w:left="1740" w:right="4900" w:hanging="841"/>
        <w:spacing w:after="0" w:line="250" w:lineRule="auto"/>
        <w:tabs>
          <w:tab w:leader="none" w:pos="1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 ] A parent holding company or control person in accordance with Section 240.13d-1(b)(1)(ii)(G).</w:t>
      </w:r>
    </w:p>
    <w:tbl>
      <w:tblPr>
        <w:tblLayout w:type="fixed"/>
        <w:tblInd w:w="0" w:type="dxa"/>
        <w:tblCellMar>
          <w:top w:w="0" w:type="dxa"/>
          <w:left w:w="0" w:type="dxa"/>
          <w:bottom w:w="0" w:type="dxa"/>
          <w:right w:w="0" w:type="dxa"/>
        </w:tblCellMar>
      </w:tblPr>
      <w:tr>
        <w:trPr>
          <w:trHeight w:val="202"/>
        </w:trPr>
        <w:tc>
          <w:tcPr>
            <w:tcW w:w="1220" w:type="dxa"/>
            <w:vAlign w:val="bottom"/>
          </w:tcPr>
          <w:p>
            <w:pPr>
              <w:ind w:left="900"/>
              <w:spacing w:after="0" w:line="202" w:lineRule="exact"/>
              <w:rPr>
                <w:sz w:val="20"/>
                <w:szCs w:val="20"/>
                <w:color w:val="auto"/>
              </w:rPr>
            </w:pPr>
            <w:r>
              <w:rPr>
                <w:rFonts w:ascii="Arial" w:cs="Arial" w:eastAsia="Arial" w:hAnsi="Arial"/>
                <w:sz w:val="18"/>
                <w:szCs w:val="18"/>
                <w:color w:val="auto"/>
              </w:rPr>
              <w:t>(h)</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580" w:type="dxa"/>
            <w:vAlign w:val="bottom"/>
          </w:tcPr>
          <w:p>
            <w:pPr>
              <w:ind w:left="80"/>
              <w:spacing w:after="0" w:line="202" w:lineRule="exact"/>
              <w:rPr>
                <w:sz w:val="20"/>
                <w:szCs w:val="20"/>
                <w:color w:val="auto"/>
              </w:rPr>
            </w:pPr>
            <w:r>
              <w:rPr>
                <w:rFonts w:ascii="Arial" w:cs="Arial" w:eastAsia="Arial" w:hAnsi="Arial"/>
                <w:sz w:val="18"/>
                <w:szCs w:val="18"/>
                <w:color w:val="auto"/>
              </w:rPr>
              <w:t>A savings associations as defined in Section 3(b) of the Federal</w:t>
            </w:r>
          </w:p>
        </w:tc>
      </w:tr>
      <w:tr>
        <w:trPr>
          <w:trHeight w:val="216"/>
        </w:trPr>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580" w:type="dxa"/>
            <w:vAlign w:val="bottom"/>
          </w:tcPr>
          <w:p>
            <w:pPr>
              <w:ind w:left="80"/>
              <w:spacing w:after="0"/>
              <w:rPr>
                <w:sz w:val="20"/>
                <w:szCs w:val="20"/>
                <w:color w:val="auto"/>
              </w:rPr>
            </w:pPr>
            <w:r>
              <w:rPr>
                <w:rFonts w:ascii="Arial" w:cs="Arial" w:eastAsia="Arial" w:hAnsi="Arial"/>
                <w:sz w:val="18"/>
                <w:szCs w:val="18"/>
                <w:color w:val="auto"/>
              </w:rPr>
              <w:t>Deposit Insurance Act.</w:t>
            </w:r>
          </w:p>
        </w:tc>
      </w:tr>
      <w:tr>
        <w:trPr>
          <w:trHeight w:val="216"/>
        </w:trPr>
        <w:tc>
          <w:tcPr>
            <w:tcW w:w="1220" w:type="dxa"/>
            <w:vAlign w:val="bottom"/>
          </w:tcPr>
          <w:p>
            <w:pPr>
              <w:ind w:left="900"/>
              <w:spacing w:after="0"/>
              <w:rPr>
                <w:sz w:val="20"/>
                <w:szCs w:val="20"/>
                <w:color w:val="auto"/>
              </w:rPr>
            </w:pPr>
            <w:r>
              <w:rPr>
                <w:rFonts w:ascii="Arial" w:cs="Arial" w:eastAsia="Arial" w:hAnsi="Arial"/>
                <w:sz w:val="18"/>
                <w:szCs w:val="18"/>
                <w:color w:val="auto"/>
              </w:rPr>
              <w:t>(i)</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580" w:type="dxa"/>
            <w:vAlign w:val="bottom"/>
          </w:tcPr>
          <w:p>
            <w:pPr>
              <w:ind w:left="60"/>
              <w:spacing w:after="0"/>
              <w:rPr>
                <w:sz w:val="20"/>
                <w:szCs w:val="20"/>
                <w:color w:val="auto"/>
              </w:rPr>
            </w:pPr>
            <w:r>
              <w:rPr>
                <w:rFonts w:ascii="Arial" w:cs="Arial" w:eastAsia="Arial" w:hAnsi="Arial"/>
                <w:sz w:val="18"/>
                <w:szCs w:val="18"/>
                <w:color w:val="auto"/>
              </w:rPr>
              <w:t>A church plan that is excluded from the definition of an investment</w:t>
            </w:r>
          </w:p>
        </w:tc>
      </w:tr>
      <w:tr>
        <w:trPr>
          <w:trHeight w:val="216"/>
        </w:trPr>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580" w:type="dxa"/>
            <w:vAlign w:val="bottom"/>
          </w:tcPr>
          <w:p>
            <w:pPr>
              <w:ind w:left="80"/>
              <w:spacing w:after="0"/>
              <w:rPr>
                <w:sz w:val="20"/>
                <w:szCs w:val="20"/>
                <w:color w:val="auto"/>
              </w:rPr>
            </w:pPr>
            <w:r>
              <w:rPr>
                <w:rFonts w:ascii="Arial" w:cs="Arial" w:eastAsia="Arial" w:hAnsi="Arial"/>
                <w:sz w:val="18"/>
                <w:szCs w:val="18"/>
                <w:color w:val="auto"/>
              </w:rPr>
              <w:t>company under Section 3(c)(14) of the Investment Company Act</w:t>
            </w:r>
          </w:p>
        </w:tc>
      </w:tr>
      <w:tr>
        <w:trPr>
          <w:trHeight w:val="230"/>
        </w:trPr>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580" w:type="dxa"/>
            <w:vAlign w:val="bottom"/>
          </w:tcPr>
          <w:p>
            <w:pPr>
              <w:ind w:left="80"/>
              <w:spacing w:after="0"/>
              <w:rPr>
                <w:sz w:val="20"/>
                <w:szCs w:val="20"/>
                <w:color w:val="auto"/>
              </w:rPr>
            </w:pPr>
            <w:r>
              <w:rPr>
                <w:rFonts w:ascii="Arial" w:cs="Arial" w:eastAsia="Arial" w:hAnsi="Arial"/>
                <w:sz w:val="18"/>
                <w:szCs w:val="18"/>
                <w:color w:val="auto"/>
              </w:rPr>
              <w:t>of 1940.</w:t>
            </w:r>
          </w:p>
        </w:tc>
      </w:tr>
      <w:tr>
        <w:trPr>
          <w:trHeight w:val="847"/>
        </w:trPr>
        <w:tc>
          <w:tcPr>
            <w:tcW w:w="12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CUSIP No.</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892672106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4 of 5 Pages</w:t>
      </w:r>
    </w:p>
    <w:p>
      <w:pPr>
        <w:spacing w:after="0" w:line="457" w:lineRule="exact"/>
        <w:rPr>
          <w:sz w:val="20"/>
          <w:szCs w:val="20"/>
          <w:color w:val="auto"/>
        </w:rPr>
      </w:pPr>
    </w:p>
    <w:p>
      <w:pPr>
        <w:sectPr>
          <w:pgSz w:w="11900" w:h="16838" w:orient="portrait"/>
          <w:cols w:equalWidth="0" w:num="2">
            <w:col w:w="5340" w:space="720"/>
            <w:col w:w="4900"/>
          </w:cols>
          <w:pgMar w:left="320" w:top="850" w:right="619" w:bottom="1440" w:gutter="0" w:footer="0" w:header="0"/>
        </w:sectPr>
      </w:pPr>
    </w:p>
    <w:p>
      <w:pPr>
        <w:spacing w:after="0" w:line="49" w:lineRule="exact"/>
        <w:rPr>
          <w:sz w:val="20"/>
          <w:szCs w:val="20"/>
          <w:color w:val="auto"/>
        </w:rPr>
      </w:pPr>
    </w:p>
    <w:p>
      <w:pPr>
        <w:ind w:left="1140"/>
        <w:spacing w:after="0"/>
        <w:tabs>
          <w:tab w:leader="none" w:pos="1560" w:val="left"/>
        </w:tabs>
        <w:rPr>
          <w:sz w:val="20"/>
          <w:szCs w:val="20"/>
          <w:color w:val="auto"/>
        </w:rPr>
      </w:pPr>
      <w:r>
        <w:rPr>
          <w:rFonts w:ascii="Arial" w:cs="Arial" w:eastAsia="Arial" w:hAnsi="Arial"/>
          <w:sz w:val="18"/>
          <w:szCs w:val="18"/>
          <w:color w:val="auto"/>
        </w:rPr>
        <w:t>(j)</w:t>
        <w:tab/>
        <w:t>[X ]</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A non-U.S. institution in accordance with Section 240.13d-1(b)(1) (ii)(J).</w:t>
      </w:r>
    </w:p>
    <w:p>
      <w:pPr>
        <w:spacing w:after="0" w:line="222" w:lineRule="exact"/>
        <w:rPr>
          <w:sz w:val="20"/>
          <w:szCs w:val="20"/>
          <w:color w:val="auto"/>
        </w:rPr>
      </w:pPr>
    </w:p>
    <w:p>
      <w:pPr>
        <w:sectPr>
          <w:pgSz w:w="11900" w:h="16838" w:orient="portrait"/>
          <w:cols w:equalWidth="0" w:num="2">
            <w:col w:w="1880" w:space="140"/>
            <w:col w:w="8940"/>
          </w:cols>
          <w:pgMar w:left="320" w:top="850" w:right="619" w:bottom="1440" w:gutter="0" w:footer="0" w:header="0"/>
          <w:type w:val="continuous"/>
        </w:sectPr>
      </w:pPr>
    </w:p>
    <w:p>
      <w:pPr>
        <w:spacing w:after="0" w:line="25" w:lineRule="exact"/>
        <w:rPr>
          <w:sz w:val="20"/>
          <w:szCs w:val="20"/>
          <w:color w:val="auto"/>
        </w:rPr>
      </w:pPr>
    </w:p>
    <w:p>
      <w:pPr>
        <w:ind w:left="1140"/>
        <w:spacing w:after="0"/>
        <w:tabs>
          <w:tab w:leader="none" w:pos="1560" w:val="left"/>
        </w:tabs>
        <w:rPr>
          <w:sz w:val="20"/>
          <w:szCs w:val="20"/>
          <w:color w:val="auto"/>
        </w:rPr>
      </w:pPr>
      <w:r>
        <w:rPr>
          <w:rFonts w:ascii="Arial" w:cs="Arial" w:eastAsia="Arial" w:hAnsi="Arial"/>
          <w:sz w:val="17"/>
          <w:szCs w:val="17"/>
          <w:color w:val="auto"/>
        </w:rPr>
        <w:t>(k)</w:t>
        <w:tab/>
        <w:t>[  ]  Group, in accordance with Section 240.13d-1(b)(1)(ii)(K).</w:t>
      </w:r>
    </w:p>
    <w:p>
      <w:pPr>
        <w:sectPr>
          <w:pgSz w:w="11900" w:h="16838" w:orient="portrait"/>
          <w:cols w:equalWidth="0" w:num="1">
            <w:col w:w="10960"/>
          </w:cols>
          <w:pgMar w:left="320" w:top="850" w:right="619" w:bottom="1440" w:gutter="0" w:footer="0" w:header="0"/>
          <w:type w:val="continuous"/>
        </w:sectPr>
      </w:pPr>
    </w:p>
    <w:p>
      <w:pPr>
        <w:spacing w:after="0" w:line="23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If filing as a non-U.S. institution in accordance with Section 240.13d-1(b)(1)(ii)(J), please specify the type of institution:</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u w:val="single" w:color="auto"/>
          <w:color w:val="auto"/>
        </w:rPr>
        <w:t>Ownership Capital B.V. is an investment adviser organized under the laws of Netherlands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4. Ownership.</w:t>
      </w:r>
    </w:p>
    <w:p>
      <w:pPr>
        <w:spacing w:after="0" w:line="225" w:lineRule="exact"/>
        <w:rPr>
          <w:sz w:val="20"/>
          <w:szCs w:val="20"/>
          <w:color w:val="auto"/>
        </w:rPr>
      </w:pPr>
    </w:p>
    <w:p>
      <w:pPr>
        <w:ind w:left="1340" w:right="7480" w:hanging="441"/>
        <w:spacing w:after="0" w:line="500" w:lineRule="auto"/>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5,749,637</w:t>
      </w:r>
    </w:p>
    <w:p>
      <w:pPr>
        <w:spacing w:after="0" w:line="1" w:lineRule="exact"/>
        <w:rPr>
          <w:rFonts w:ascii="Arial" w:cs="Arial" w:eastAsia="Arial" w:hAnsi="Arial"/>
          <w:sz w:val="18"/>
          <w:szCs w:val="18"/>
          <w:color w:val="auto"/>
        </w:rPr>
      </w:pPr>
    </w:p>
    <w:p>
      <w:pPr>
        <w:ind w:left="1340" w:hanging="441"/>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5.5%</w:t>
      </w:r>
    </w:p>
    <w:p>
      <w:pPr>
        <w:spacing w:after="0" w:line="265" w:lineRule="exact"/>
        <w:rPr>
          <w:rFonts w:ascii="Arial" w:cs="Arial" w:eastAsia="Arial" w:hAnsi="Arial"/>
          <w:sz w:val="18"/>
          <w:szCs w:val="18"/>
          <w:color w:val="auto"/>
        </w:rPr>
      </w:pPr>
    </w:p>
    <w:p>
      <w:pPr>
        <w:ind w:left="1340" w:hanging="441"/>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840" w:right="6400" w:hanging="496"/>
        <w:spacing w:after="0" w:line="500" w:lineRule="auto"/>
        <w:tabs>
          <w:tab w:leader="none" w:pos="1749"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4,765,127</w:t>
      </w:r>
    </w:p>
    <w:p>
      <w:pPr>
        <w:spacing w:after="0" w:line="1" w:lineRule="exact"/>
        <w:rPr>
          <w:rFonts w:ascii="Arial" w:cs="Arial" w:eastAsia="Arial" w:hAnsi="Arial"/>
          <w:sz w:val="18"/>
          <w:szCs w:val="18"/>
          <w:color w:val="auto"/>
        </w:rPr>
      </w:pPr>
    </w:p>
    <w:p>
      <w:pPr>
        <w:ind w:left="1840" w:right="6340" w:hanging="496"/>
        <w:spacing w:after="0" w:line="500" w:lineRule="auto"/>
        <w:tabs>
          <w:tab w:leader="none" w:pos="1799"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1" w:lineRule="exact"/>
        <w:rPr>
          <w:rFonts w:ascii="Arial" w:cs="Arial" w:eastAsia="Arial" w:hAnsi="Arial"/>
          <w:sz w:val="18"/>
          <w:szCs w:val="18"/>
          <w:color w:val="auto"/>
        </w:rPr>
      </w:pPr>
    </w:p>
    <w:p>
      <w:pPr>
        <w:ind w:left="1840" w:right="5620" w:hanging="496"/>
        <w:spacing w:after="0" w:line="500" w:lineRule="auto"/>
        <w:tabs>
          <w:tab w:leader="none" w:pos="1804"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 5,749,637</w:t>
      </w:r>
    </w:p>
    <w:p>
      <w:pPr>
        <w:spacing w:after="0" w:line="1" w:lineRule="exact"/>
        <w:rPr>
          <w:rFonts w:ascii="Arial" w:cs="Arial" w:eastAsia="Arial" w:hAnsi="Arial"/>
          <w:sz w:val="18"/>
          <w:szCs w:val="18"/>
          <w:color w:val="auto"/>
        </w:rPr>
      </w:pPr>
    </w:p>
    <w:p>
      <w:pPr>
        <w:ind w:left="1840" w:right="5260" w:hanging="496"/>
        <w:spacing w:after="0" w:line="500" w:lineRule="auto"/>
        <w:tabs>
          <w:tab w:leader="none" w:pos="1794"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5. Ownership of Five Percent or Less of a Class:</w:t>
      </w:r>
    </w:p>
    <w:p>
      <w:pPr>
        <w:spacing w:after="0" w:line="225" w:lineRule="exact"/>
        <w:rPr>
          <w:sz w:val="20"/>
          <w:szCs w:val="20"/>
          <w:color w:val="auto"/>
        </w:rPr>
      </w:pPr>
    </w:p>
    <w:p>
      <w:pPr>
        <w:ind w:left="13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6. Ownership of More than Five Percent on Behalf of Another Person:</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527050</wp:posOffset>
            </wp:positionV>
            <wp:extent cx="71361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960"/>
          </w:cols>
          <w:pgMar w:left="320" w:top="850" w:right="6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7"/>
          <w:szCs w:val="17"/>
          <w:b w:val="1"/>
          <w:bCs w:val="1"/>
          <w:color w:val="auto"/>
        </w:rPr>
        <w:t>CUSIP No.</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892672106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5 of 5 Pages</w:t>
      </w:r>
    </w:p>
    <w:p>
      <w:pPr>
        <w:spacing w:after="0" w:line="457" w:lineRule="exact"/>
        <w:rPr>
          <w:sz w:val="20"/>
          <w:szCs w:val="20"/>
          <w:color w:val="auto"/>
        </w:rPr>
      </w:pPr>
    </w:p>
    <w:p>
      <w:pPr>
        <w:sectPr>
          <w:pgSz w:w="11900" w:h="16838" w:orient="portrait"/>
          <w:cols w:equalWidth="0" w:num="2">
            <w:col w:w="5720" w:space="720"/>
            <w:col w:w="4780"/>
          </w:cols>
          <w:pgMar w:left="320" w:top="607" w:right="359" w:bottom="1440" w:gutter="0" w:footer="0" w:header="0"/>
        </w:sectPr>
      </w:pPr>
    </w:p>
    <w:p>
      <w:pPr>
        <w:spacing w:after="0" w:line="49" w:lineRule="exact"/>
        <w:rPr>
          <w:sz w:val="20"/>
          <w:szCs w:val="20"/>
          <w:color w:val="auto"/>
        </w:rPr>
      </w:pPr>
    </w:p>
    <w:p>
      <w:pPr>
        <w:ind w:left="900" w:right="180" w:hanging="566"/>
        <w:spacing w:after="0" w:line="277" w:lineRule="auto"/>
        <w:rPr>
          <w:sz w:val="20"/>
          <w:szCs w:val="20"/>
          <w:color w:val="auto"/>
        </w:rPr>
      </w:pPr>
      <w:r>
        <w:rPr>
          <w:rFonts w:ascii="Arial" w:cs="Arial" w:eastAsia="Arial" w:hAnsi="Arial"/>
          <w:sz w:val="18"/>
          <w:szCs w:val="18"/>
          <w:color w:val="auto"/>
        </w:rPr>
        <w:t>Item 7. Identification and Classification of Subsidiaries Which Acquired the Security Being Reported on by the Parent Holding Company or Control Person.</w:t>
      </w:r>
    </w:p>
    <w:p>
      <w:pPr>
        <w:spacing w:after="0" w:line="17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8. Identification and Classification of Members of the Group.</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9. Notice of Dissolution of Group.</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340"/>
        <w:spacing w:after="0"/>
        <w:tabs>
          <w:tab w:leader="none" w:pos="880" w:val="left"/>
        </w:tabs>
        <w:rPr>
          <w:sz w:val="20"/>
          <w:szCs w:val="20"/>
          <w:color w:val="auto"/>
        </w:rPr>
      </w:pPr>
      <w:r>
        <w:rPr>
          <w:rFonts w:ascii="Arial" w:cs="Arial" w:eastAsia="Arial" w:hAnsi="Arial"/>
          <w:sz w:val="18"/>
          <w:szCs w:val="18"/>
          <w:color w:val="auto"/>
        </w:rPr>
        <w:t>Item</w:t>
        <w:tab/>
        <w:t>Certification: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w:t>
      </w:r>
    </w:p>
    <w:p>
      <w:pPr>
        <w:spacing w:after="0" w:line="211" w:lineRule="exact"/>
        <w:rPr>
          <w:sz w:val="20"/>
          <w:szCs w:val="20"/>
          <w:color w:val="auto"/>
        </w:rPr>
      </w:pPr>
    </w:p>
    <w:p>
      <w:pPr>
        <w:ind w:left="146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52"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Date:  February 2, 2022</w:t>
      </w:r>
    </w:p>
    <w:p>
      <w:pPr>
        <w:spacing w:after="0" w:line="200" w:lineRule="exact"/>
        <w:rPr>
          <w:sz w:val="20"/>
          <w:szCs w:val="20"/>
          <w:color w:val="auto"/>
        </w:rPr>
      </w:pPr>
    </w:p>
    <w:p>
      <w:pPr>
        <w:spacing w:after="0" w:line="241" w:lineRule="exact"/>
        <w:rPr>
          <w:sz w:val="20"/>
          <w:szCs w:val="20"/>
          <w:color w:val="auto"/>
        </w:rPr>
      </w:pPr>
    </w:p>
    <w:p>
      <w:pPr>
        <w:ind w:left="4620"/>
        <w:spacing w:after="0"/>
        <w:tabs>
          <w:tab w:leader="none" w:pos="5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Timmo Henseler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14605</wp:posOffset>
            </wp:positionV>
            <wp:extent cx="175704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57045" cy="17145"/>
                    </a:xfrm>
                    <a:prstGeom prst="rect">
                      <a:avLst/>
                    </a:prstGeom>
                    <a:noFill/>
                  </pic:spPr>
                </pic:pic>
              </a:graphicData>
            </a:graphic>
          </wp:anchor>
        </w:drawing>
      </w:r>
    </w:p>
    <w:p>
      <w:pPr>
        <w:spacing w:after="0" w:line="1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Timmo Henseler</w:t>
      </w:r>
    </w:p>
    <w:p>
      <w:pPr>
        <w:spacing w:after="0" w:line="23" w:lineRule="exact"/>
        <w:rPr>
          <w:sz w:val="20"/>
          <w:szCs w:val="20"/>
          <w:color w:val="auto"/>
        </w:rPr>
      </w:pPr>
    </w:p>
    <w:p>
      <w:pPr>
        <w:ind w:left="4620"/>
        <w:spacing w:after="0"/>
        <w:tabs>
          <w:tab w:leader="none" w:pos="5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 Legal &amp; Compliance</w:t>
      </w:r>
    </w:p>
    <w:sectPr>
      <w:pgSz w:w="11900" w:h="16838" w:orient="portrait"/>
      <w:cols w:equalWidth="0" w:num="1">
        <w:col w:w="11220"/>
      </w:cols>
      <w:pgMar w:left="320" w:top="60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4"/>
    </w:lvl>
  </w:abstractNum>
  <w:abstractNum w:abstractNumId="5">
    <w:nsid w:val="2EB141F2"/>
    <w:multiLevelType w:val="hybridMultilevel"/>
    <w:lvl w:ilvl="0">
      <w:lvlJc w:val="left"/>
      <w:lvlText w:val="(%1)"/>
      <w:numFmt w:val="lowerLetter"/>
      <w:start w:val="7"/>
    </w:lvl>
  </w:abstractNum>
  <w:abstractNum w:abstractNumId="6">
    <w:nsid w:val="41B71EF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2022-02-02T12:16:33Z</dcterms:created>
  <dcterms:modified xsi:type="dcterms:W3CDTF">2022-02-02T12:16:33Z</dcterms:modified>
</cp:coreProperties>
</file>