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78"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28, 2020</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Tradeweb Markets Inc.</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22"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329" w:lineRule="exact"/>
        <w:rPr>
          <w:sz w:val="24"/>
          <w:szCs w:val="24"/>
          <w:color w:val="auto"/>
        </w:rPr>
      </w:pPr>
    </w:p>
    <w:tbl>
      <w:tblPr>
        <w:tblLayout w:type="fixed"/>
        <w:tblInd w:w="880" w:type="dxa"/>
        <w:tblCellMar>
          <w:top w:w="0" w:type="dxa"/>
          <w:left w:w="0" w:type="dxa"/>
          <w:bottom w:w="0" w:type="dxa"/>
          <w:right w:w="0" w:type="dxa"/>
        </w:tblCellMar>
      </w:tblPr>
      <w:tr>
        <w:trPr>
          <w:trHeight w:val="247"/>
        </w:trPr>
        <w:tc>
          <w:tcPr>
            <w:tcW w:w="4080" w:type="dxa"/>
            <w:vAlign w:val="bottom"/>
          </w:tcPr>
          <w:p>
            <w:pPr>
              <w:jc w:val="center"/>
              <w:ind w:right="2050"/>
              <w:spacing w:after="0"/>
              <w:rPr>
                <w:sz w:val="20"/>
                <w:szCs w:val="20"/>
                <w:color w:val="auto"/>
              </w:rPr>
            </w:pPr>
            <w:r>
              <w:rPr>
                <w:rFonts w:ascii="Arial" w:cs="Arial" w:eastAsia="Arial" w:hAnsi="Arial"/>
                <w:sz w:val="18"/>
                <w:szCs w:val="18"/>
                <w:b w:val="1"/>
                <w:bCs w:val="1"/>
                <w:color w:val="auto"/>
                <w:w w:val="93"/>
              </w:rPr>
              <w:t>Delaware</w:t>
            </w:r>
          </w:p>
        </w:tc>
        <w:tc>
          <w:tcPr>
            <w:tcW w:w="2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0"/>
              </w:rPr>
              <w:t>001-38860</w:t>
            </w:r>
          </w:p>
        </w:tc>
        <w:tc>
          <w:tcPr>
            <w:tcW w:w="2640" w:type="dxa"/>
            <w:vAlign w:val="bottom"/>
          </w:tcPr>
          <w:p>
            <w:pPr>
              <w:jc w:val="right"/>
              <w:ind w:right="150"/>
              <w:spacing w:after="0"/>
              <w:rPr>
                <w:sz w:val="20"/>
                <w:szCs w:val="20"/>
                <w:color w:val="auto"/>
              </w:rPr>
            </w:pPr>
            <w:r>
              <w:rPr>
                <w:rFonts w:ascii="Arial" w:cs="Arial" w:eastAsia="Arial" w:hAnsi="Arial"/>
                <w:sz w:val="18"/>
                <w:szCs w:val="18"/>
                <w:b w:val="1"/>
                <w:bCs w:val="1"/>
                <w:color w:val="auto"/>
              </w:rPr>
              <w:t>83-2456358</w:t>
            </w:r>
          </w:p>
        </w:tc>
      </w:tr>
      <w:tr>
        <w:trPr>
          <w:trHeight w:val="203"/>
        </w:trPr>
        <w:tc>
          <w:tcPr>
            <w:tcW w:w="4080" w:type="dxa"/>
            <w:vAlign w:val="bottom"/>
          </w:tcPr>
          <w:p>
            <w:pPr>
              <w:jc w:val="center"/>
              <w:ind w:right="2050"/>
              <w:spacing w:after="0" w:line="203" w:lineRule="exact"/>
              <w:rPr>
                <w:sz w:val="20"/>
                <w:szCs w:val="20"/>
                <w:color w:val="auto"/>
              </w:rPr>
            </w:pPr>
            <w:r>
              <w:rPr>
                <w:rFonts w:ascii="Arial" w:cs="Arial" w:eastAsia="Arial" w:hAnsi="Arial"/>
                <w:sz w:val="18"/>
                <w:szCs w:val="18"/>
                <w:color w:val="auto"/>
                <w:w w:val="90"/>
              </w:rPr>
              <w:t>(State or Other Jurisdiction</w:t>
            </w:r>
          </w:p>
        </w:tc>
        <w:tc>
          <w:tcPr>
            <w:tcW w:w="2420" w:type="dxa"/>
            <w:vAlign w:val="bottom"/>
          </w:tcPr>
          <w:p>
            <w:pPr>
              <w:jc w:val="center"/>
              <w:ind w:right="1070"/>
              <w:spacing w:after="0" w:line="203" w:lineRule="exact"/>
              <w:rPr>
                <w:sz w:val="20"/>
                <w:szCs w:val="20"/>
                <w:color w:val="auto"/>
              </w:rPr>
            </w:pPr>
            <w:r>
              <w:rPr>
                <w:rFonts w:ascii="Arial" w:cs="Arial" w:eastAsia="Arial" w:hAnsi="Arial"/>
                <w:sz w:val="18"/>
                <w:szCs w:val="18"/>
                <w:color w:val="auto"/>
                <w:w w:val="93"/>
              </w:rPr>
              <w:t>(Commission</w:t>
            </w:r>
          </w:p>
        </w:tc>
        <w:tc>
          <w:tcPr>
            <w:tcW w:w="2640" w:type="dxa"/>
            <w:vAlign w:val="bottom"/>
          </w:tcPr>
          <w:p>
            <w:pPr>
              <w:jc w:val="center"/>
              <w:ind w:left="1190"/>
              <w:spacing w:after="0" w:line="203" w:lineRule="exact"/>
              <w:rPr>
                <w:sz w:val="20"/>
                <w:szCs w:val="20"/>
                <w:color w:val="auto"/>
              </w:rPr>
            </w:pPr>
            <w:r>
              <w:rPr>
                <w:rFonts w:ascii="Arial" w:cs="Arial" w:eastAsia="Arial" w:hAnsi="Arial"/>
                <w:sz w:val="18"/>
                <w:szCs w:val="18"/>
                <w:color w:val="auto"/>
                <w:w w:val="93"/>
              </w:rPr>
              <w:t>(I.R.S. Employer</w:t>
            </w:r>
          </w:p>
        </w:tc>
      </w:tr>
      <w:tr>
        <w:trPr>
          <w:trHeight w:val="243"/>
        </w:trPr>
        <w:tc>
          <w:tcPr>
            <w:tcW w:w="4080" w:type="dxa"/>
            <w:vAlign w:val="bottom"/>
          </w:tcPr>
          <w:p>
            <w:pPr>
              <w:jc w:val="center"/>
              <w:ind w:right="2010"/>
              <w:spacing w:after="0"/>
              <w:rPr>
                <w:sz w:val="20"/>
                <w:szCs w:val="20"/>
                <w:color w:val="auto"/>
              </w:rPr>
            </w:pPr>
            <w:r>
              <w:rPr>
                <w:rFonts w:ascii="Arial" w:cs="Arial" w:eastAsia="Arial" w:hAnsi="Arial"/>
                <w:sz w:val="18"/>
                <w:szCs w:val="18"/>
                <w:color w:val="auto"/>
                <w:w w:val="93"/>
              </w:rPr>
              <w:t>of Incorporation)</w:t>
            </w:r>
          </w:p>
        </w:tc>
        <w:tc>
          <w:tcPr>
            <w:tcW w:w="2420" w:type="dxa"/>
            <w:vAlign w:val="bottom"/>
          </w:tcPr>
          <w:p>
            <w:pPr>
              <w:jc w:val="center"/>
              <w:ind w:right="1070"/>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r>
        <w:trPr>
          <w:trHeight w:val="238"/>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48"/>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21"/>
                <w:szCs w:val="21"/>
                <w:color w:val="auto"/>
              </w:rPr>
            </w:pP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10036</w:t>
            </w:r>
          </w:p>
        </w:tc>
      </w:tr>
      <w:tr>
        <w:trPr>
          <w:trHeight w:val="243"/>
        </w:trPr>
        <w:tc>
          <w:tcPr>
            <w:tcW w:w="650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23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5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6"/>
              </w:rPr>
              <w:t>Title of each class</w:t>
            </w:r>
          </w:p>
        </w:tc>
        <w:tc>
          <w:tcPr>
            <w:tcW w:w="32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230"/>
        </w:trPr>
        <w:tc>
          <w:tcPr>
            <w:tcW w:w="4560" w:type="dxa"/>
            <w:vAlign w:val="bottom"/>
            <w:gridSpan w:val="2"/>
            <w:vMerge w:val="continue"/>
          </w:tcPr>
          <w:p>
            <w:pPr>
              <w:spacing w:after="0"/>
              <w:rPr>
                <w:sz w:val="19"/>
                <w:szCs w:val="19"/>
                <w:color w:val="auto"/>
              </w:rPr>
            </w:pPr>
          </w:p>
        </w:tc>
        <w:tc>
          <w:tcPr>
            <w:tcW w:w="3260" w:type="dxa"/>
            <w:vAlign w:val="bottom"/>
            <w:gridSpan w:val="2"/>
            <w:vMerge w:val="continue"/>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0" w:type="dxa"/>
            <w:vAlign w:val="bottom"/>
          </w:tcPr>
          <w:p>
            <w:pPr>
              <w:spacing w:after="0"/>
              <w:rPr>
                <w:sz w:val="1"/>
                <w:szCs w:val="1"/>
                <w:color w:val="auto"/>
              </w:rPr>
            </w:pPr>
          </w:p>
        </w:tc>
      </w:tr>
      <w:tr>
        <w:trPr>
          <w:trHeight w:val="224"/>
        </w:trPr>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28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725170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October 28, 2020, Tradeweb Markets Inc. (the “Company”) issued a press release, a copy of which is furnished as Exhibit 99.1 hereto and incorporated herein by reference, announcing financial results for the quarter ended September 30, 2020.</w:t>
      </w:r>
    </w:p>
    <w:p>
      <w:pPr>
        <w:spacing w:after="0" w:line="19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9400" w:type="dxa"/>
            <w:vAlign w:val="bottom"/>
            <w:vMerge w:val="restart"/>
          </w:tcPr>
          <w:p>
            <w:pPr>
              <w:ind w:left="402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213"/>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9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1"/>
        </w:trPr>
        <w:tc>
          <w:tcPr>
            <w:tcW w:w="1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940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of Tradeweb Markets Inc., dated October 28, 2020.</w:t>
              </w:r>
            </w:hyperlink>
          </w:p>
        </w:tc>
        <w:tc>
          <w:tcPr>
            <w:tcW w:w="0" w:type="dxa"/>
            <w:vAlign w:val="bottom"/>
          </w:tcPr>
          <w:p>
            <w:pPr>
              <w:spacing w:after="0"/>
              <w:rPr>
                <w:sz w:val="1"/>
                <w:szCs w:val="1"/>
                <w:color w:val="auto"/>
              </w:rPr>
            </w:pPr>
          </w:p>
        </w:tc>
      </w:tr>
      <w:tr>
        <w:trPr>
          <w:trHeight w:val="230"/>
        </w:trPr>
        <w:tc>
          <w:tcPr>
            <w:tcW w:w="17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78"/>
        </w:trPr>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6740" w:type="dxa"/>
            <w:vAlign w:val="bottom"/>
            <w:gridSpan w:val="2"/>
          </w:tcPr>
          <w:p>
            <w:pPr>
              <w:ind w:left="2780"/>
              <w:spacing w:after="0"/>
              <w:rPr>
                <w:sz w:val="20"/>
                <w:szCs w:val="20"/>
                <w:color w:val="auto"/>
              </w:rPr>
            </w:pPr>
            <w:r>
              <w:rPr>
                <w:rFonts w:ascii="Arial" w:cs="Arial" w:eastAsia="Arial" w:hAnsi="Arial"/>
                <w:sz w:val="18"/>
                <w:szCs w:val="18"/>
                <w:color w:val="auto"/>
              </w:rPr>
              <w:t>TRADEWEB MARKETS INC.</w:t>
            </w:r>
          </w:p>
        </w:tc>
      </w:tr>
      <w:tr>
        <w:trPr>
          <w:trHeight w:val="500"/>
        </w:trPr>
        <w:tc>
          <w:tcPr>
            <w:tcW w:w="4480" w:type="dxa"/>
            <w:vAlign w:val="bottom"/>
          </w:tcPr>
          <w:p>
            <w:pPr>
              <w:spacing w:after="0"/>
              <w:rPr>
                <w:sz w:val="20"/>
                <w:szCs w:val="20"/>
                <w:color w:val="auto"/>
              </w:rPr>
            </w:pPr>
            <w:r>
              <w:rPr>
                <w:rFonts w:ascii="Arial" w:cs="Arial" w:eastAsia="Arial" w:hAnsi="Arial"/>
                <w:sz w:val="18"/>
                <w:szCs w:val="18"/>
                <w:color w:val="auto"/>
              </w:rPr>
              <w:t>Date: October 28, 2020</w:t>
            </w:r>
          </w:p>
        </w:tc>
        <w:tc>
          <w:tcPr>
            <w:tcW w:w="6740" w:type="dxa"/>
            <w:vAlign w:val="bottom"/>
            <w:gridSpan w:val="2"/>
          </w:tcPr>
          <w:p>
            <w:pPr>
              <w:ind w:left="2780"/>
              <w:spacing w:after="0"/>
              <w:rPr>
                <w:sz w:val="20"/>
                <w:szCs w:val="20"/>
                <w:color w:val="auto"/>
              </w:rPr>
            </w:pPr>
            <w:r>
              <w:rPr>
                <w:rFonts w:ascii="Arial" w:cs="Arial" w:eastAsia="Arial" w:hAnsi="Arial"/>
                <w:sz w:val="18"/>
                <w:szCs w:val="18"/>
                <w:color w:val="auto"/>
              </w:rPr>
              <w:t>By:   /s/ Douglas Friedman</w:t>
            </w:r>
          </w:p>
        </w:tc>
      </w:tr>
      <w:tr>
        <w:trPr>
          <w:trHeight w:val="222"/>
        </w:trPr>
        <w:tc>
          <w:tcPr>
            <w:tcW w:w="44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Douglas Friedman</w:t>
            </w:r>
          </w:p>
        </w:tc>
      </w:tr>
      <w:tr>
        <w:trPr>
          <w:trHeight w:val="230"/>
        </w:trPr>
        <w:tc>
          <w:tcPr>
            <w:tcW w:w="4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Title: General Counsel</w:t>
            </w:r>
          </w:p>
        </w:tc>
      </w:tr>
    </w:tbl>
    <w:p>
      <w:pPr>
        <w:sectPr>
          <w:pgSz w:w="11900" w:h="16838" w:orient="portrait"/>
          <w:cols w:equalWidth="0" w:num="1">
            <w:col w:w="11240"/>
          </w:cols>
          <w:pgMar w:left="320" w:top="1134" w:right="3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114935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r>
    </w:p>
    <w:tbl>
      <w:tblPr>
        <w:tblLayout w:type="fixed"/>
        <w:tblInd w:w="5780" w:type="dxa"/>
        <w:tblCellMar>
          <w:top w:w="0" w:type="dxa"/>
          <w:left w:w="0" w:type="dxa"/>
          <w:bottom w:w="0" w:type="dxa"/>
          <w:right w:w="0" w:type="dxa"/>
        </w:tblCellMar>
      </w:tblPr>
      <w:tr>
        <w:trPr>
          <w:trHeight w:val="209"/>
        </w:trPr>
        <w:tc>
          <w:tcPr>
            <w:tcW w:w="2360" w:type="dxa"/>
            <w:vAlign w:val="bottom"/>
            <w:vMerge w:val="restart"/>
          </w:tcPr>
          <w:p>
            <w:pPr>
              <w:spacing w:after="0"/>
              <w:rPr>
                <w:sz w:val="20"/>
                <w:szCs w:val="20"/>
                <w:color w:val="auto"/>
              </w:rPr>
            </w:pPr>
            <w:r>
              <w:rPr>
                <w:rFonts w:ascii="Arial" w:cs="Arial" w:eastAsia="Arial" w:hAnsi="Arial"/>
                <w:sz w:val="16"/>
                <w:szCs w:val="16"/>
                <w:b w:val="1"/>
                <w:bCs w:val="1"/>
                <w:color w:val="083566"/>
              </w:rPr>
              <w:t>Investor Relations</w:t>
            </w:r>
          </w:p>
        </w:tc>
        <w:tc>
          <w:tcPr>
            <w:tcW w:w="2320" w:type="dxa"/>
            <w:vAlign w:val="bottom"/>
          </w:tcPr>
          <w:p>
            <w:pPr>
              <w:ind w:left="20"/>
              <w:spacing w:after="0"/>
              <w:rPr>
                <w:sz w:val="20"/>
                <w:szCs w:val="20"/>
                <w:color w:val="auto"/>
              </w:rPr>
            </w:pPr>
            <w:r>
              <w:rPr>
                <w:rFonts w:ascii="Arial" w:cs="Arial" w:eastAsia="Arial" w:hAnsi="Arial"/>
                <w:sz w:val="16"/>
                <w:szCs w:val="16"/>
                <w:b w:val="1"/>
                <w:bCs w:val="1"/>
                <w:color w:val="083566"/>
              </w:rPr>
              <w:t>Media Relations</w:t>
            </w:r>
          </w:p>
        </w:tc>
        <w:tc>
          <w:tcPr>
            <w:tcW w:w="0" w:type="dxa"/>
            <w:vAlign w:val="bottom"/>
          </w:tcPr>
          <w:p>
            <w:pPr>
              <w:spacing w:after="0"/>
              <w:rPr>
                <w:sz w:val="1"/>
                <w:szCs w:val="1"/>
                <w:color w:val="auto"/>
              </w:rPr>
            </w:pPr>
          </w:p>
        </w:tc>
      </w:tr>
      <w:tr>
        <w:trPr>
          <w:trHeight w:val="95"/>
        </w:trPr>
        <w:tc>
          <w:tcPr>
            <w:tcW w:w="2360" w:type="dxa"/>
            <w:vAlign w:val="bottom"/>
            <w:vMerge w:val="continue"/>
          </w:tcPr>
          <w:p>
            <w:pPr>
              <w:spacing w:after="0"/>
              <w:rPr>
                <w:sz w:val="8"/>
                <w:szCs w:val="8"/>
                <w:color w:val="auto"/>
              </w:rPr>
            </w:pPr>
          </w:p>
        </w:tc>
        <w:tc>
          <w:tcPr>
            <w:tcW w:w="2320" w:type="dxa"/>
            <w:vAlign w:val="bottom"/>
            <w:vMerge w:val="restart"/>
          </w:tcPr>
          <w:p>
            <w:pPr>
              <w:ind w:left="20"/>
              <w:spacing w:after="0"/>
              <w:rPr>
                <w:sz w:val="20"/>
                <w:szCs w:val="20"/>
                <w:color w:val="auto"/>
              </w:rPr>
            </w:pPr>
            <w:r>
              <w:rPr>
                <w:rFonts w:ascii="Arial" w:cs="Arial" w:eastAsia="Arial" w:hAnsi="Arial"/>
                <w:sz w:val="16"/>
                <w:szCs w:val="16"/>
                <w:color w:val="auto"/>
              </w:rPr>
              <w:t>Daniel Noonan + 1 646 767</w:t>
            </w:r>
          </w:p>
        </w:tc>
        <w:tc>
          <w:tcPr>
            <w:tcW w:w="0" w:type="dxa"/>
            <w:vAlign w:val="bottom"/>
          </w:tcPr>
          <w:p>
            <w:pPr>
              <w:spacing w:after="0"/>
              <w:rPr>
                <w:sz w:val="1"/>
                <w:szCs w:val="1"/>
                <w:color w:val="auto"/>
              </w:rPr>
            </w:pPr>
          </w:p>
        </w:tc>
      </w:tr>
      <w:tr>
        <w:trPr>
          <w:trHeight w:val="94"/>
        </w:trPr>
        <w:tc>
          <w:tcPr>
            <w:tcW w:w="2360" w:type="dxa"/>
            <w:vAlign w:val="bottom"/>
            <w:vMerge w:val="restart"/>
          </w:tcPr>
          <w:p>
            <w:pPr>
              <w:spacing w:after="0"/>
              <w:rPr>
                <w:sz w:val="20"/>
                <w:szCs w:val="20"/>
                <w:color w:val="auto"/>
              </w:rPr>
            </w:pPr>
            <w:r>
              <w:rPr>
                <w:rFonts w:ascii="Arial" w:cs="Arial" w:eastAsia="Arial" w:hAnsi="Arial"/>
                <w:sz w:val="16"/>
                <w:szCs w:val="16"/>
                <w:color w:val="auto"/>
              </w:rPr>
              <w:t>Ashley Serrao + 1 646 430 6027</w:t>
            </w:r>
          </w:p>
        </w:tc>
        <w:tc>
          <w:tcPr>
            <w:tcW w:w="2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360" w:type="dxa"/>
            <w:vAlign w:val="bottom"/>
            <w:vMerge w:val="continue"/>
          </w:tcPr>
          <w:p>
            <w:pPr>
              <w:spacing w:after="0"/>
              <w:rPr>
                <w:sz w:val="12"/>
                <w:szCs w:val="12"/>
                <w:color w:val="auto"/>
              </w:rPr>
            </w:pPr>
          </w:p>
        </w:tc>
        <w:tc>
          <w:tcPr>
            <w:tcW w:w="2320" w:type="dxa"/>
            <w:vAlign w:val="bottom"/>
          </w:tcPr>
          <w:p>
            <w:pPr>
              <w:ind w:left="20"/>
              <w:spacing w:after="0" w:line="147" w:lineRule="exact"/>
              <w:rPr>
                <w:sz w:val="20"/>
                <w:szCs w:val="20"/>
                <w:color w:val="auto"/>
              </w:rPr>
            </w:pPr>
            <w:r>
              <w:rPr>
                <w:rFonts w:ascii="Arial" w:cs="Arial" w:eastAsia="Arial" w:hAnsi="Arial"/>
                <w:sz w:val="16"/>
                <w:szCs w:val="16"/>
                <w:color w:val="auto"/>
              </w:rPr>
              <w:t>4677</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r>
              <w:rPr>
                <w:rFonts w:ascii="Arial" w:cs="Arial" w:eastAsia="Arial" w:hAnsi="Arial"/>
                <w:sz w:val="16"/>
                <w:szCs w:val="16"/>
                <w:color w:val="auto"/>
              </w:rPr>
              <w:t>Ashley.Serrao@Tradeweb.com</w:t>
            </w:r>
          </w:p>
        </w:tc>
        <w:tc>
          <w:tcPr>
            <w:tcW w:w="2320" w:type="dxa"/>
            <w:vAlign w:val="bottom"/>
          </w:tcPr>
          <w:p>
            <w:pPr>
              <w:ind w:left="20"/>
              <w:spacing w:after="0"/>
              <w:rPr>
                <w:sz w:val="20"/>
                <w:szCs w:val="20"/>
                <w:color w:val="auto"/>
              </w:rPr>
            </w:pPr>
            <w:r>
              <w:rPr>
                <w:rFonts w:ascii="Arial" w:cs="Arial" w:eastAsia="Arial" w:hAnsi="Arial"/>
                <w:sz w:val="16"/>
                <w:szCs w:val="16"/>
                <w:color w:val="auto"/>
              </w:rPr>
              <w:t>Daniel.Noonan@Tradeweb.com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00ADCB"/>
        </w:rPr>
        <w:t>TRADEWEB REPORTS THIRD QUARTER 2020 FINANCIAL RESULTS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New York, October 28, 2020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ended September 30, 2020.</w:t>
      </w:r>
    </w:p>
    <w:p>
      <w:pPr>
        <w:sectPr>
          <w:pgSz w:w="11900" w:h="16838" w:orient="portrait"/>
          <w:cols w:equalWidth="0" w:num="1">
            <w:col w:w="10980"/>
          </w:cols>
          <w:pgMar w:left="320" w:top="256" w:right="599" w:bottom="1440" w:gutter="0" w:footer="0" w:header="0"/>
        </w:sectPr>
      </w:pPr>
    </w:p>
    <w:p>
      <w:pPr>
        <w:spacing w:after="0" w:line="142" w:lineRule="exact"/>
        <w:rPr>
          <w:sz w:val="20"/>
          <w:szCs w:val="20"/>
          <w:color w:val="auto"/>
        </w:rPr>
      </w:pPr>
    </w:p>
    <w:p>
      <w:pPr>
        <w:ind w:left="20" w:right="220"/>
        <w:spacing w:after="0" w:line="268" w:lineRule="auto"/>
        <w:rPr>
          <w:sz w:val="20"/>
          <w:szCs w:val="20"/>
          <w:color w:val="auto"/>
        </w:rPr>
      </w:pPr>
      <w:r>
        <w:rPr>
          <w:rFonts w:ascii="Arial" w:cs="Arial" w:eastAsia="Arial" w:hAnsi="Arial"/>
          <w:sz w:val="16"/>
          <w:szCs w:val="16"/>
          <w:b w:val="1"/>
          <w:bCs w:val="1"/>
          <w:color w:val="auto"/>
        </w:rPr>
        <w:t xml:space="preserve">$212.9 million </w:t>
      </w:r>
      <w:r>
        <w:rPr>
          <w:rFonts w:ascii="Arial" w:cs="Arial" w:eastAsia="Arial" w:hAnsi="Arial"/>
          <w:sz w:val="16"/>
          <w:szCs w:val="16"/>
          <w:color w:val="auto"/>
        </w:rPr>
        <w:t>quarterly gross revenues increased</w:t>
      </w:r>
      <w:r>
        <w:rPr>
          <w:rFonts w:ascii="Arial" w:cs="Arial" w:eastAsia="Arial" w:hAnsi="Arial"/>
          <w:sz w:val="16"/>
          <w:szCs w:val="16"/>
          <w:b w:val="1"/>
          <w:bCs w:val="1"/>
          <w:color w:val="auto"/>
        </w:rPr>
        <w:t xml:space="preserve"> 5.9% </w:t>
      </w:r>
      <w:r>
        <w:rPr>
          <w:rFonts w:ascii="Arial" w:cs="Arial" w:eastAsia="Arial" w:hAnsi="Arial"/>
          <w:sz w:val="16"/>
          <w:szCs w:val="16"/>
          <w:color w:val="auto"/>
        </w:rPr>
        <w:t>(</w:t>
      </w:r>
      <w:r>
        <w:rPr>
          <w:rFonts w:ascii="Arial" w:cs="Arial" w:eastAsia="Arial" w:hAnsi="Arial"/>
          <w:sz w:val="16"/>
          <w:szCs w:val="16"/>
          <w:b w:val="1"/>
          <w:bCs w:val="1"/>
          <w:color w:val="auto"/>
        </w:rPr>
        <w:t xml:space="preserve">4.7%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year over year</w:t>
      </w:r>
    </w:p>
    <w:p>
      <w:pPr>
        <w:spacing w:after="0" w:line="62" w:lineRule="exact"/>
        <w:rPr>
          <w:sz w:val="20"/>
          <w:szCs w:val="20"/>
          <w:color w:val="auto"/>
        </w:rPr>
      </w:pPr>
    </w:p>
    <w:p>
      <w:pPr>
        <w:ind w:left="20" w:right="140"/>
        <w:spacing w:after="0" w:line="259" w:lineRule="auto"/>
        <w:rPr>
          <w:sz w:val="20"/>
          <w:szCs w:val="20"/>
          <w:color w:val="auto"/>
        </w:rPr>
      </w:pPr>
      <w:r>
        <w:rPr>
          <w:rFonts w:ascii="Arial" w:cs="Arial" w:eastAsia="Arial" w:hAnsi="Arial"/>
          <w:sz w:val="16"/>
          <w:szCs w:val="16"/>
          <w:b w:val="1"/>
          <w:bCs w:val="1"/>
          <w:color w:val="auto"/>
        </w:rPr>
        <w:t xml:space="preserve">$780.3 billion </w:t>
      </w:r>
      <w:r>
        <w:rPr>
          <w:rFonts w:ascii="Arial" w:cs="Arial" w:eastAsia="Arial" w:hAnsi="Arial"/>
          <w:sz w:val="16"/>
          <w:szCs w:val="16"/>
          <w:color w:val="auto"/>
        </w:rPr>
        <w:t>average daily volume (“ADV”), a decrease of 4.5</w:t>
      </w:r>
      <w:r>
        <w:rPr>
          <w:rFonts w:ascii="Arial" w:cs="Arial" w:eastAsia="Arial" w:hAnsi="Arial"/>
          <w:sz w:val="16"/>
          <w:szCs w:val="16"/>
          <w:b w:val="1"/>
          <w:bCs w:val="1"/>
          <w:color w:val="auto"/>
        </w:rPr>
        <w:t xml:space="preserve">% </w:t>
      </w:r>
      <w:r>
        <w:rPr>
          <w:rFonts w:ascii="Arial" w:cs="Arial" w:eastAsia="Arial" w:hAnsi="Arial"/>
          <w:sz w:val="16"/>
          <w:szCs w:val="16"/>
          <w:color w:val="auto"/>
        </w:rPr>
        <w:t>year over</w:t>
      </w:r>
      <w:r>
        <w:rPr>
          <w:rFonts w:ascii="Arial" w:cs="Arial" w:eastAsia="Arial" w:hAnsi="Arial"/>
          <w:sz w:val="16"/>
          <w:szCs w:val="16"/>
          <w:b w:val="1"/>
          <w:bCs w:val="1"/>
          <w:color w:val="auto"/>
        </w:rPr>
        <w:t xml:space="preserve"> </w:t>
      </w:r>
      <w:r>
        <w:rPr>
          <w:rFonts w:ascii="Arial" w:cs="Arial" w:eastAsia="Arial" w:hAnsi="Arial"/>
          <w:sz w:val="16"/>
          <w:szCs w:val="16"/>
          <w:color w:val="auto"/>
        </w:rPr>
        <w:t>year. Quarterly records for TRACE share in U.S. High Grade Credit, U.S. High Grade Credit Fully Electronic, and U.S. High Yield Credit. Quarterly records for ADV in China Bonds and Repos</w:t>
      </w:r>
    </w:p>
    <w:p>
      <w:pPr>
        <w:spacing w:after="0" w:line="70" w:lineRule="exact"/>
        <w:rPr>
          <w:sz w:val="20"/>
          <w:szCs w:val="20"/>
          <w:color w:val="auto"/>
        </w:rPr>
      </w:pPr>
    </w:p>
    <w:p>
      <w:pPr>
        <w:jc w:val="both"/>
        <w:ind w:left="20" w:right="200"/>
        <w:spacing w:after="0" w:line="266" w:lineRule="auto"/>
        <w:rPr>
          <w:sz w:val="20"/>
          <w:szCs w:val="20"/>
          <w:color w:val="auto"/>
        </w:rPr>
      </w:pPr>
      <w:r>
        <w:rPr>
          <w:rFonts w:ascii="Arial" w:cs="Arial" w:eastAsia="Arial" w:hAnsi="Arial"/>
          <w:sz w:val="16"/>
          <w:szCs w:val="16"/>
          <w:b w:val="1"/>
          <w:bCs w:val="1"/>
          <w:color w:val="auto"/>
        </w:rPr>
        <w:t xml:space="preserve">$47.0 million </w:t>
      </w:r>
      <w:r>
        <w:rPr>
          <w:rFonts w:ascii="Arial" w:cs="Arial" w:eastAsia="Arial" w:hAnsi="Arial"/>
          <w:sz w:val="16"/>
          <w:szCs w:val="16"/>
          <w:color w:val="auto"/>
        </w:rPr>
        <w:t>GAAP net income, a decrease of</w:t>
      </w:r>
      <w:r>
        <w:rPr>
          <w:rFonts w:ascii="Arial" w:cs="Arial" w:eastAsia="Arial" w:hAnsi="Arial"/>
          <w:sz w:val="16"/>
          <w:szCs w:val="16"/>
          <w:b w:val="1"/>
          <w:bCs w:val="1"/>
          <w:color w:val="auto"/>
        </w:rPr>
        <w:t xml:space="preserve"> 3.1%</w:t>
      </w:r>
      <w:r>
        <w:rPr>
          <w:rFonts w:ascii="Arial" w:cs="Arial" w:eastAsia="Arial" w:hAnsi="Arial"/>
          <w:sz w:val="16"/>
          <w:szCs w:val="16"/>
          <w:color w:val="auto"/>
        </w:rPr>
        <w:t>, due to a higher tax rate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lower interest rates on cash balances. </w:t>
      </w:r>
      <w:r>
        <w:rPr>
          <w:rFonts w:ascii="Arial" w:cs="Arial" w:eastAsia="Arial" w:hAnsi="Arial"/>
          <w:sz w:val="16"/>
          <w:szCs w:val="16"/>
          <w:b w:val="1"/>
          <w:bCs w:val="1"/>
          <w:color w:val="auto"/>
        </w:rPr>
        <w:t>$69.9</w:t>
      </w:r>
      <w:r>
        <w:rPr>
          <w:rFonts w:ascii="Arial" w:cs="Arial" w:eastAsia="Arial" w:hAnsi="Arial"/>
          <w:sz w:val="16"/>
          <w:szCs w:val="16"/>
          <w:color w:val="auto"/>
        </w:rPr>
        <w:t xml:space="preserve"> million adjusted net income, an increase of </w:t>
      </w:r>
      <w:r>
        <w:rPr>
          <w:rFonts w:ascii="Arial" w:cs="Arial" w:eastAsia="Arial" w:hAnsi="Arial"/>
          <w:sz w:val="16"/>
          <w:szCs w:val="16"/>
          <w:b w:val="1"/>
          <w:bCs w:val="1"/>
          <w:color w:val="auto"/>
        </w:rPr>
        <w:t>13.5%</w:t>
      </w:r>
      <w:r>
        <w:rPr>
          <w:rFonts w:ascii="Arial" w:cs="Arial" w:eastAsia="Arial" w:hAnsi="Arial"/>
          <w:sz w:val="16"/>
          <w:szCs w:val="16"/>
          <w:color w:val="auto"/>
        </w:rPr>
        <w:t xml:space="preserve"> from the prior year period</w:t>
      </w:r>
    </w:p>
    <w:p>
      <w:pPr>
        <w:spacing w:after="0" w:line="63" w:lineRule="exact"/>
        <w:rPr>
          <w:sz w:val="20"/>
          <w:szCs w:val="20"/>
          <w:color w:val="auto"/>
        </w:rPr>
      </w:pPr>
    </w:p>
    <w:p>
      <w:pPr>
        <w:jc w:val="both"/>
        <w:ind w:left="20" w:right="380"/>
        <w:spacing w:after="0" w:line="266" w:lineRule="auto"/>
        <w:rPr>
          <w:sz w:val="20"/>
          <w:szCs w:val="20"/>
          <w:color w:val="auto"/>
        </w:rPr>
      </w:pPr>
      <w:r>
        <w:rPr>
          <w:rFonts w:ascii="Arial" w:cs="Arial" w:eastAsia="Arial" w:hAnsi="Arial"/>
          <w:sz w:val="16"/>
          <w:szCs w:val="16"/>
          <w:b w:val="1"/>
          <w:bCs w:val="1"/>
          <w:color w:val="auto"/>
        </w:rPr>
        <w:t xml:space="preserve">47.4% </w:t>
      </w:r>
      <w:r>
        <w:rPr>
          <w:rFonts w:ascii="Arial" w:cs="Arial" w:eastAsia="Arial" w:hAnsi="Arial"/>
          <w:sz w:val="16"/>
          <w:szCs w:val="16"/>
          <w:color w:val="auto"/>
        </w:rPr>
        <w:t>adjusted EBITDA margin or</w:t>
      </w:r>
      <w:r>
        <w:rPr>
          <w:rFonts w:ascii="Arial" w:cs="Arial" w:eastAsia="Arial" w:hAnsi="Arial"/>
          <w:sz w:val="16"/>
          <w:szCs w:val="16"/>
          <w:b w:val="1"/>
          <w:bCs w:val="1"/>
          <w:color w:val="auto"/>
        </w:rPr>
        <w:t xml:space="preserve"> $100.9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46.5% or $93.4 million, respectively, for the prior year period</w:t>
      </w:r>
    </w:p>
    <w:p>
      <w:pPr>
        <w:spacing w:after="0" w:line="63" w:lineRule="exact"/>
        <w:rPr>
          <w:sz w:val="20"/>
          <w:szCs w:val="20"/>
          <w:color w:val="auto"/>
        </w:rPr>
      </w:pPr>
    </w:p>
    <w:p>
      <w:pPr>
        <w:ind w:left="20" w:right="360"/>
        <w:spacing w:after="0" w:line="286" w:lineRule="auto"/>
        <w:rPr>
          <w:sz w:val="20"/>
          <w:szCs w:val="20"/>
          <w:color w:val="auto"/>
        </w:rPr>
      </w:pPr>
      <w:r>
        <w:rPr>
          <w:rFonts w:ascii="Arial" w:cs="Arial" w:eastAsia="Arial" w:hAnsi="Arial"/>
          <w:sz w:val="16"/>
          <w:szCs w:val="16"/>
          <w:b w:val="1"/>
          <w:bCs w:val="1"/>
          <w:color w:val="auto"/>
        </w:rPr>
        <w:t xml:space="preserve">$0.19 </w:t>
      </w:r>
      <w:r>
        <w:rPr>
          <w:rFonts w:ascii="Arial" w:cs="Arial" w:eastAsia="Arial" w:hAnsi="Arial"/>
          <w:sz w:val="16"/>
          <w:szCs w:val="16"/>
          <w:color w:val="auto"/>
        </w:rPr>
        <w:t>diluted earnings per share (“Diluted EPS”) and</w:t>
      </w:r>
      <w:r>
        <w:rPr>
          <w:rFonts w:ascii="Arial" w:cs="Arial" w:eastAsia="Arial" w:hAnsi="Arial"/>
          <w:sz w:val="16"/>
          <w:szCs w:val="16"/>
          <w:b w:val="1"/>
          <w:bCs w:val="1"/>
          <w:color w:val="auto"/>
        </w:rPr>
        <w:t xml:space="preserve"> $0.30 </w:t>
      </w:r>
      <w:r>
        <w:rPr>
          <w:rFonts w:ascii="Arial" w:cs="Arial" w:eastAsia="Arial" w:hAnsi="Arial"/>
          <w:sz w:val="16"/>
          <w:szCs w:val="16"/>
          <w:color w:val="auto"/>
        </w:rPr>
        <w:t>adjusted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$0.08 </w:t>
      </w:r>
      <w:r>
        <w:rPr>
          <w:rFonts w:ascii="Arial" w:cs="Arial" w:eastAsia="Arial" w:hAnsi="Arial"/>
          <w:sz w:val="16"/>
          <w:szCs w:val="16"/>
          <w:color w:val="auto"/>
        </w:rPr>
        <w:t>per share quarterly cash dividend declared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w:t>
            </w:r>
          </w:p>
        </w:tc>
        <w:tc>
          <w:tcPr>
            <w:tcW w:w="260" w:type="dxa"/>
            <w:vAlign w:val="bottom"/>
            <w:shd w:val="clear" w:color="auto" w:fill="083566"/>
          </w:tcPr>
          <w:p>
            <w:pPr>
              <w:spacing w:after="0"/>
              <w:rPr>
                <w:sz w:val="17"/>
                <w:szCs w:val="17"/>
                <w:color w:val="auto"/>
              </w:rPr>
            </w:pPr>
          </w:p>
        </w:tc>
        <w:tc>
          <w:tcPr>
            <w:tcW w:w="980" w:type="dxa"/>
            <w:vAlign w:val="bottom"/>
            <w:shd w:val="clear" w:color="auto" w:fill="083566"/>
          </w:tcPr>
          <w:p>
            <w:pPr>
              <w:spacing w:after="0"/>
              <w:rPr>
                <w:sz w:val="17"/>
                <w:szCs w:val="17"/>
                <w:color w:val="auto"/>
              </w:rPr>
            </w:pPr>
          </w:p>
        </w:tc>
        <w:tc>
          <w:tcPr>
            <w:tcW w:w="300" w:type="dxa"/>
            <w:vAlign w:val="bottom"/>
            <w:shd w:val="clear" w:color="auto" w:fill="083566"/>
          </w:tcPr>
          <w:p>
            <w:pPr>
              <w:spacing w:after="0"/>
              <w:rPr>
                <w:sz w:val="17"/>
                <w:szCs w:val="17"/>
                <w:color w:val="auto"/>
              </w:rPr>
            </w:pPr>
          </w:p>
        </w:tc>
        <w:tc>
          <w:tcPr>
            <w:tcW w:w="1040" w:type="dxa"/>
            <w:vAlign w:val="bottom"/>
            <w:shd w:val="clear" w:color="auto" w:fill="083566"/>
          </w:tcPr>
          <w:p>
            <w:pPr>
              <w:spacing w:after="0"/>
              <w:rPr>
                <w:sz w:val="17"/>
                <w:szCs w:val="17"/>
                <w:color w:val="auto"/>
              </w:rPr>
            </w:pPr>
          </w:p>
        </w:tc>
        <w:tc>
          <w:tcPr>
            <w:tcW w:w="860" w:type="dxa"/>
            <w:vAlign w:val="bottom"/>
            <w:shd w:val="clear" w:color="auto" w:fill="083566"/>
          </w:tcPr>
          <w:p>
            <w:pPr>
              <w:spacing w:after="0"/>
              <w:rPr>
                <w:sz w:val="17"/>
                <w:szCs w:val="17"/>
                <w:color w:val="auto"/>
              </w:rPr>
            </w:pPr>
          </w:p>
        </w:tc>
        <w:tc>
          <w:tcPr>
            <w:tcW w:w="960" w:type="dxa"/>
            <w:vAlign w:val="bottom"/>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Constant</w:t>
            </w:r>
          </w:p>
        </w:tc>
        <w:tc>
          <w:tcPr>
            <w:tcW w:w="0" w:type="dxa"/>
            <w:vAlign w:val="bottom"/>
          </w:tcPr>
          <w:p>
            <w:pPr>
              <w:spacing w:after="0"/>
              <w:rPr>
                <w:sz w:val="1"/>
                <w:szCs w:val="1"/>
                <w:color w:val="auto"/>
              </w:rPr>
            </w:pPr>
          </w:p>
        </w:tc>
      </w:tr>
      <w:tr>
        <w:trPr>
          <w:trHeight w:val="189"/>
        </w:trPr>
        <w:tc>
          <w:tcPr>
            <w:tcW w:w="13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FINANCIAL</w:t>
            </w:r>
          </w:p>
        </w:tc>
        <w:tc>
          <w:tcPr>
            <w:tcW w:w="260" w:type="dxa"/>
            <w:vAlign w:val="bottom"/>
            <w:shd w:val="clear" w:color="auto" w:fill="083566"/>
          </w:tcPr>
          <w:p>
            <w:pPr>
              <w:spacing w:after="0"/>
              <w:rPr>
                <w:sz w:val="16"/>
                <w:szCs w:val="16"/>
                <w:color w:val="auto"/>
              </w:rPr>
            </w:pPr>
          </w:p>
        </w:tc>
        <w:tc>
          <w:tcPr>
            <w:tcW w:w="980" w:type="dxa"/>
            <w:vAlign w:val="bottom"/>
            <w:shd w:val="clear" w:color="auto" w:fill="083566"/>
          </w:tcPr>
          <w:p>
            <w:pPr>
              <w:spacing w:after="0"/>
              <w:rPr>
                <w:sz w:val="16"/>
                <w:szCs w:val="16"/>
                <w:color w:val="auto"/>
              </w:rPr>
            </w:pPr>
          </w:p>
        </w:tc>
        <w:tc>
          <w:tcPr>
            <w:tcW w:w="300" w:type="dxa"/>
            <w:vAlign w:val="bottom"/>
            <w:shd w:val="clear" w:color="auto" w:fill="083566"/>
          </w:tcPr>
          <w:p>
            <w:pPr>
              <w:spacing w:after="0"/>
              <w:rPr>
                <w:sz w:val="16"/>
                <w:szCs w:val="16"/>
                <w:color w:val="auto"/>
              </w:rPr>
            </w:pPr>
          </w:p>
        </w:tc>
        <w:tc>
          <w:tcPr>
            <w:tcW w:w="1040" w:type="dxa"/>
            <w:vAlign w:val="bottom"/>
            <w:shd w:val="clear" w:color="auto" w:fill="083566"/>
          </w:tcPr>
          <w:p>
            <w:pPr>
              <w:spacing w:after="0"/>
              <w:rPr>
                <w:sz w:val="16"/>
                <w:szCs w:val="16"/>
                <w:color w:val="auto"/>
              </w:rPr>
            </w:pPr>
          </w:p>
        </w:tc>
        <w:tc>
          <w:tcPr>
            <w:tcW w:w="860" w:type="dxa"/>
            <w:vAlign w:val="bottom"/>
            <w:shd w:val="clear" w:color="auto" w:fill="083566"/>
          </w:tcPr>
          <w:p>
            <w:pPr>
              <w:spacing w:after="0"/>
              <w:rPr>
                <w:sz w:val="16"/>
                <w:szCs w:val="16"/>
                <w:color w:val="auto"/>
              </w:rPr>
            </w:pPr>
          </w:p>
        </w:tc>
        <w:tc>
          <w:tcPr>
            <w:tcW w:w="960" w:type="dxa"/>
            <w:vAlign w:val="bottom"/>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Currency</w:t>
            </w:r>
          </w:p>
        </w:tc>
        <w:tc>
          <w:tcPr>
            <w:tcW w:w="0" w:type="dxa"/>
            <w:vAlign w:val="bottom"/>
          </w:tcPr>
          <w:p>
            <w:pPr>
              <w:spacing w:after="0"/>
              <w:rPr>
                <w:sz w:val="1"/>
                <w:szCs w:val="1"/>
                <w:color w:val="auto"/>
              </w:rPr>
            </w:pPr>
          </w:p>
        </w:tc>
      </w:tr>
      <w:tr>
        <w:trPr>
          <w:trHeight w:val="263"/>
        </w:trPr>
        <w:tc>
          <w:tcPr>
            <w:tcW w:w="13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60" w:type="dxa"/>
            <w:vAlign w:val="bottom"/>
            <w:shd w:val="clear" w:color="auto" w:fill="083566"/>
          </w:tcPr>
          <w:p>
            <w:pPr>
              <w:spacing w:after="0"/>
              <w:rPr>
                <w:sz w:val="22"/>
                <w:szCs w:val="22"/>
                <w:color w:val="auto"/>
              </w:rPr>
            </w:pPr>
          </w:p>
        </w:tc>
        <w:tc>
          <w:tcPr>
            <w:tcW w:w="980" w:type="dxa"/>
            <w:vAlign w:val="bottom"/>
            <w:shd w:val="clear" w:color="auto" w:fill="083566"/>
          </w:tcPr>
          <w:p>
            <w:pPr>
              <w:jc w:val="right"/>
              <w:ind w:right="359"/>
              <w:spacing w:after="0"/>
              <w:rPr>
                <w:sz w:val="20"/>
                <w:szCs w:val="20"/>
                <w:color w:val="auto"/>
              </w:rPr>
            </w:pPr>
            <w:r>
              <w:rPr>
                <w:rFonts w:ascii="Arial" w:cs="Arial" w:eastAsia="Arial" w:hAnsi="Arial"/>
                <w:sz w:val="16"/>
                <w:szCs w:val="16"/>
                <w:b w:val="1"/>
                <w:bCs w:val="1"/>
                <w:color w:val="FFFFFF"/>
              </w:rPr>
              <w:t>3Q20</w:t>
            </w:r>
          </w:p>
        </w:tc>
        <w:tc>
          <w:tcPr>
            <w:tcW w:w="300" w:type="dxa"/>
            <w:vAlign w:val="bottom"/>
            <w:shd w:val="clear" w:color="auto" w:fill="083566"/>
          </w:tcPr>
          <w:p>
            <w:pPr>
              <w:spacing w:after="0"/>
              <w:rPr>
                <w:sz w:val="22"/>
                <w:szCs w:val="22"/>
                <w:color w:val="auto"/>
              </w:rPr>
            </w:pPr>
          </w:p>
        </w:tc>
        <w:tc>
          <w:tcPr>
            <w:tcW w:w="1040" w:type="dxa"/>
            <w:vAlign w:val="bottom"/>
            <w:shd w:val="clear" w:color="auto" w:fill="083566"/>
          </w:tcPr>
          <w:p>
            <w:pPr>
              <w:jc w:val="right"/>
              <w:ind w:right="419"/>
              <w:spacing w:after="0"/>
              <w:rPr>
                <w:sz w:val="20"/>
                <w:szCs w:val="20"/>
                <w:color w:val="auto"/>
              </w:rPr>
            </w:pPr>
            <w:r>
              <w:rPr>
                <w:rFonts w:ascii="Arial" w:cs="Arial" w:eastAsia="Arial" w:hAnsi="Arial"/>
                <w:sz w:val="16"/>
                <w:szCs w:val="16"/>
                <w:b w:val="1"/>
                <w:bCs w:val="1"/>
                <w:color w:val="FFFFFF"/>
              </w:rPr>
              <w:t>3Q19</w:t>
            </w:r>
          </w:p>
        </w:tc>
        <w:tc>
          <w:tcPr>
            <w:tcW w:w="860" w:type="dxa"/>
            <w:vAlign w:val="bottom"/>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Change</w:t>
            </w:r>
          </w:p>
        </w:tc>
        <w:tc>
          <w:tcPr>
            <w:tcW w:w="960" w:type="dxa"/>
            <w:vAlign w:val="bottom"/>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Growth</w:t>
            </w:r>
            <w:r>
              <w:rPr>
                <w:rFonts w:ascii="Arial" w:cs="Arial" w:eastAsia="Arial" w:hAnsi="Arial"/>
                <w:sz w:val="21"/>
                <w:szCs w:val="21"/>
                <w:b w:val="1"/>
                <w:bCs w:val="1"/>
                <w:color w:val="FFFFFF"/>
                <w:vertAlign w:val="superscript"/>
              </w:rPr>
              <w:t>(1)</w:t>
            </w:r>
          </w:p>
        </w:tc>
        <w:tc>
          <w:tcPr>
            <w:tcW w:w="0" w:type="dxa"/>
            <w:vAlign w:val="bottom"/>
          </w:tcPr>
          <w:p>
            <w:pPr>
              <w:spacing w:after="0"/>
              <w:rPr>
                <w:sz w:val="1"/>
                <w:szCs w:val="1"/>
                <w:color w:val="auto"/>
              </w:rPr>
            </w:pPr>
          </w:p>
        </w:tc>
      </w:tr>
      <w:tr>
        <w:trPr>
          <w:trHeight w:val="214"/>
        </w:trPr>
        <w:tc>
          <w:tcPr>
            <w:tcW w:w="482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960" w:type="dxa"/>
            <w:vAlign w:val="bottom"/>
            <w:shd w:val="clear" w:color="auto" w:fill="083566"/>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20" w:type="dxa"/>
            <w:vAlign w:val="bottom"/>
            <w:gridSpan w:val="3"/>
            <w:shd w:val="clear" w:color="auto" w:fill="BDD7EE"/>
          </w:tcPr>
          <w:p>
            <w:pPr>
              <w:ind w:left="20"/>
              <w:spacing w:after="0"/>
              <w:rPr>
                <w:sz w:val="20"/>
                <w:szCs w:val="20"/>
                <w:color w:val="auto"/>
              </w:rPr>
            </w:pPr>
            <w:r>
              <w:rPr>
                <w:rFonts w:ascii="Arial" w:cs="Arial" w:eastAsia="Arial" w:hAnsi="Arial"/>
                <w:sz w:val="16"/>
                <w:szCs w:val="16"/>
                <w:color w:val="auto"/>
              </w:rPr>
              <w:t>GAAP Financial Measures</w:t>
            </w:r>
          </w:p>
        </w:tc>
        <w:tc>
          <w:tcPr>
            <w:tcW w:w="300" w:type="dxa"/>
            <w:vAlign w:val="bottom"/>
            <w:shd w:val="clear" w:color="auto" w:fill="BDD7EE"/>
          </w:tcPr>
          <w:p>
            <w:pPr>
              <w:spacing w:after="0"/>
              <w:rPr>
                <w:sz w:val="21"/>
                <w:szCs w:val="21"/>
                <w:color w:val="auto"/>
              </w:rPr>
            </w:pPr>
          </w:p>
        </w:tc>
        <w:tc>
          <w:tcPr>
            <w:tcW w:w="1040" w:type="dxa"/>
            <w:vAlign w:val="bottom"/>
            <w:shd w:val="clear" w:color="auto" w:fill="BDD7EE"/>
          </w:tcPr>
          <w:p>
            <w:pPr>
              <w:spacing w:after="0"/>
              <w:rPr>
                <w:sz w:val="21"/>
                <w:szCs w:val="21"/>
                <w:color w:val="auto"/>
              </w:rPr>
            </w:pPr>
          </w:p>
        </w:tc>
        <w:tc>
          <w:tcPr>
            <w:tcW w:w="860" w:type="dxa"/>
            <w:vAlign w:val="bottom"/>
            <w:shd w:val="clear" w:color="auto" w:fill="BDD7EE"/>
          </w:tcPr>
          <w:p>
            <w:pPr>
              <w:spacing w:after="0"/>
              <w:rPr>
                <w:sz w:val="21"/>
                <w:szCs w:val="21"/>
                <w:color w:val="auto"/>
              </w:rPr>
            </w:pPr>
          </w:p>
        </w:tc>
        <w:tc>
          <w:tcPr>
            <w:tcW w:w="960" w:type="dxa"/>
            <w:vAlign w:val="bottom"/>
            <w:shd w:val="clear" w:color="auto" w:fill="BDD7E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380" w:type="dxa"/>
            <w:vAlign w:val="bottom"/>
          </w:tcPr>
          <w:p>
            <w:pPr>
              <w:ind w:left="20"/>
              <w:spacing w:after="0"/>
              <w:rPr>
                <w:sz w:val="20"/>
                <w:szCs w:val="20"/>
                <w:color w:val="auto"/>
              </w:rPr>
            </w:pPr>
            <w:r>
              <w:rPr>
                <w:rFonts w:ascii="Arial" w:cs="Arial" w:eastAsia="Arial" w:hAnsi="Arial"/>
                <w:sz w:val="16"/>
                <w:szCs w:val="16"/>
                <w:color w:val="auto"/>
              </w:rPr>
              <w:t>Gross 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212,870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200,981</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5.9 %</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43"/>
        </w:trPr>
        <w:tc>
          <w:tcPr>
            <w:tcW w:w="1380" w:type="dxa"/>
            <w:vAlign w:val="bottom"/>
          </w:tcPr>
          <w:p>
            <w:pPr>
              <w:ind w:left="120"/>
              <w:spacing w:after="0"/>
              <w:rPr>
                <w:sz w:val="20"/>
                <w:szCs w:val="20"/>
                <w:color w:val="auto"/>
              </w:rPr>
            </w:pPr>
            <w:r>
              <w:rPr>
                <w:rFonts w:ascii="Arial" w:cs="Arial" w:eastAsia="Arial" w:hAnsi="Arial"/>
                <w:sz w:val="16"/>
                <w:szCs w:val="16"/>
                <w:color w:val="auto"/>
              </w:rPr>
              <w:t>Rates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115,766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115,505</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0.2 %</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57"/>
        </w:trPr>
        <w:tc>
          <w:tcPr>
            <w:tcW w:w="1380" w:type="dxa"/>
            <w:vAlign w:val="bottom"/>
          </w:tcPr>
          <w:p>
            <w:pPr>
              <w:ind w:left="12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50,216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39,578</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26.9 %</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25.4 %</w:t>
            </w:r>
          </w:p>
        </w:tc>
        <w:tc>
          <w:tcPr>
            <w:tcW w:w="0" w:type="dxa"/>
            <w:vAlign w:val="bottom"/>
          </w:tcPr>
          <w:p>
            <w:pPr>
              <w:spacing w:after="0"/>
              <w:rPr>
                <w:sz w:val="1"/>
                <w:szCs w:val="1"/>
                <w:color w:val="auto"/>
              </w:rPr>
            </w:pPr>
          </w:p>
        </w:tc>
      </w:tr>
      <w:tr>
        <w:trPr>
          <w:trHeight w:val="243"/>
        </w:trPr>
        <w:tc>
          <w:tcPr>
            <w:tcW w:w="1380" w:type="dxa"/>
            <w:vAlign w:val="bottom"/>
          </w:tcPr>
          <w:p>
            <w:pPr>
              <w:ind w:left="120"/>
              <w:spacing w:after="0"/>
              <w:rPr>
                <w:sz w:val="20"/>
                <w:szCs w:val="20"/>
                <w:color w:val="auto"/>
              </w:rPr>
            </w:pPr>
            <w:r>
              <w:rPr>
                <w:rFonts w:ascii="Arial" w:cs="Arial" w:eastAsia="Arial" w:hAnsi="Arial"/>
                <w:sz w:val="16"/>
                <w:szCs w:val="16"/>
                <w:color w:val="auto"/>
              </w:rPr>
              <w:t>Equities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11,857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12,333</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(3.9) %</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43"/>
        </w:trPr>
        <w:tc>
          <w:tcPr>
            <w:tcW w:w="1380" w:type="dxa"/>
            <w:vAlign w:val="bottom"/>
          </w:tcPr>
          <w:p>
            <w:pPr>
              <w:ind w:left="120"/>
              <w:spacing w:after="0"/>
              <w:rPr>
                <w:sz w:val="20"/>
                <w:szCs w:val="20"/>
                <w:color w:val="auto"/>
              </w:rPr>
            </w:pPr>
            <w:r>
              <w:rPr>
                <w:rFonts w:ascii="Arial" w:cs="Arial" w:eastAsia="Arial" w:hAnsi="Arial"/>
                <w:sz w:val="16"/>
                <w:szCs w:val="16"/>
                <w:color w:val="auto"/>
              </w:rPr>
              <w:t>Money Markets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10,491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10,480</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0.1 %</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57"/>
        </w:trPr>
        <w:tc>
          <w:tcPr>
            <w:tcW w:w="1380" w:type="dxa"/>
            <w:vAlign w:val="bottom"/>
          </w:tcPr>
          <w:p>
            <w:pPr>
              <w:ind w:left="120"/>
              <w:spacing w:after="0"/>
              <w:rPr>
                <w:sz w:val="20"/>
                <w:szCs w:val="20"/>
                <w:color w:val="auto"/>
              </w:rPr>
            </w:pPr>
            <w:r>
              <w:rPr>
                <w:rFonts w:ascii="Arial" w:cs="Arial" w:eastAsia="Arial" w:hAnsi="Arial"/>
                <w:sz w:val="16"/>
                <w:szCs w:val="16"/>
                <w:color w:val="auto"/>
              </w:rPr>
              <w:t>Market Data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18,598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16,914</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10.0 %</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43"/>
        </w:trPr>
        <w:tc>
          <w:tcPr>
            <w:tcW w:w="1380" w:type="dxa"/>
            <w:vAlign w:val="bottom"/>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5,942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6,171</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(3.7) %</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56"/>
        </w:trPr>
        <w:tc>
          <w:tcPr>
            <w:tcW w:w="1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47,048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48,578</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(3.1) %</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79"/>
              <w:spacing w:after="0"/>
              <w:rPr>
                <w:sz w:val="20"/>
                <w:szCs w:val="20"/>
                <w:color w:val="auto"/>
              </w:rPr>
            </w:pPr>
            <w:r>
              <w:rPr>
                <w:rFonts w:ascii="Arial" w:cs="Arial" w:eastAsia="Arial" w:hAnsi="Arial"/>
                <w:sz w:val="16"/>
                <w:szCs w:val="16"/>
                <w:color w:val="auto"/>
              </w:rPr>
              <w:t>36,812</w:t>
            </w:r>
          </w:p>
        </w:tc>
        <w:tc>
          <w:tcPr>
            <w:tcW w:w="3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239"/>
              <w:spacing w:after="0"/>
              <w:rPr>
                <w:sz w:val="20"/>
                <w:szCs w:val="20"/>
                <w:color w:val="auto"/>
              </w:rPr>
            </w:pPr>
            <w:r>
              <w:rPr>
                <w:rFonts w:ascii="Arial" w:cs="Arial" w:eastAsia="Arial" w:hAnsi="Arial"/>
                <w:sz w:val="16"/>
                <w:szCs w:val="16"/>
                <w:color w:val="auto"/>
              </w:rPr>
              <w:t>29,612</w:t>
            </w: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color w:val="auto"/>
              </w:rPr>
              <w:t>24.3 %</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80" w:type="dxa"/>
            <w:vAlign w:val="bottom"/>
          </w:tcPr>
          <w:p>
            <w:pPr>
              <w:ind w:left="20"/>
              <w:spacing w:after="0"/>
              <w:rPr>
                <w:sz w:val="20"/>
                <w:szCs w:val="20"/>
                <w:color w:val="auto"/>
              </w:rPr>
            </w:pPr>
            <w:r>
              <w:rPr>
                <w:rFonts w:ascii="Arial" w:cs="Arial" w:eastAsia="Arial" w:hAnsi="Arial"/>
                <w:sz w:val="16"/>
                <w:szCs w:val="16"/>
                <w:color w:val="auto"/>
              </w:rPr>
              <w:t>Tradeweb Markets</w:t>
            </w:r>
          </w:p>
        </w:tc>
        <w:tc>
          <w:tcPr>
            <w:tcW w:w="2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380" w:type="dxa"/>
            <w:vAlign w:val="bottom"/>
          </w:tcPr>
          <w:p>
            <w:pPr>
              <w:ind w:left="20"/>
              <w:spacing w:after="0"/>
              <w:rPr>
                <w:sz w:val="20"/>
                <w:szCs w:val="20"/>
                <w:color w:val="auto"/>
              </w:rPr>
            </w:pPr>
            <w:r>
              <w:rPr>
                <w:rFonts w:ascii="Arial" w:cs="Arial" w:eastAsia="Arial" w:hAnsi="Arial"/>
                <w:sz w:val="16"/>
                <w:szCs w:val="16"/>
                <w:color w:val="auto"/>
              </w:rPr>
              <w:t>Inc.</w:t>
            </w:r>
            <w:r>
              <w:rPr>
                <w:rFonts w:ascii="Arial" w:cs="Arial" w:eastAsia="Arial" w:hAnsi="Arial"/>
                <w:sz w:val="21"/>
                <w:szCs w:val="21"/>
                <w:color w:val="auto"/>
                <w:vertAlign w:val="superscript"/>
              </w:rPr>
              <w:t>(2)</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38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0.19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0.20</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(5.0) %</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620" w:type="dxa"/>
            <w:vAlign w:val="bottom"/>
            <w:gridSpan w:val="3"/>
            <w:shd w:val="clear" w:color="auto" w:fill="BDD7EE"/>
          </w:tcPr>
          <w:p>
            <w:pPr>
              <w:ind w:left="20"/>
              <w:spacing w:after="0"/>
              <w:rPr>
                <w:sz w:val="20"/>
                <w:szCs w:val="20"/>
                <w:color w:val="auto"/>
              </w:rPr>
            </w:pPr>
            <w:r>
              <w:rPr>
                <w:rFonts w:ascii="Arial" w:cs="Arial" w:eastAsia="Arial" w:hAnsi="Arial"/>
                <w:sz w:val="16"/>
                <w:szCs w:val="16"/>
                <w:color w:val="auto"/>
              </w:rPr>
              <w:t>Non-GAAP Financial Measures</w:t>
            </w:r>
          </w:p>
        </w:tc>
        <w:tc>
          <w:tcPr>
            <w:tcW w:w="300" w:type="dxa"/>
            <w:vAlign w:val="bottom"/>
            <w:shd w:val="clear" w:color="auto" w:fill="BDD7EE"/>
          </w:tcPr>
          <w:p>
            <w:pPr>
              <w:spacing w:after="0"/>
              <w:rPr>
                <w:sz w:val="21"/>
                <w:szCs w:val="21"/>
                <w:color w:val="auto"/>
              </w:rPr>
            </w:pPr>
          </w:p>
        </w:tc>
        <w:tc>
          <w:tcPr>
            <w:tcW w:w="1040" w:type="dxa"/>
            <w:vAlign w:val="bottom"/>
            <w:shd w:val="clear" w:color="auto" w:fill="BDD7EE"/>
          </w:tcPr>
          <w:p>
            <w:pPr>
              <w:spacing w:after="0"/>
              <w:rPr>
                <w:sz w:val="21"/>
                <w:szCs w:val="21"/>
                <w:color w:val="auto"/>
              </w:rPr>
            </w:pPr>
          </w:p>
        </w:tc>
        <w:tc>
          <w:tcPr>
            <w:tcW w:w="860" w:type="dxa"/>
            <w:vAlign w:val="bottom"/>
            <w:shd w:val="clear" w:color="auto" w:fill="BDD7EE"/>
          </w:tcPr>
          <w:p>
            <w:pPr>
              <w:spacing w:after="0"/>
              <w:rPr>
                <w:sz w:val="21"/>
                <w:szCs w:val="21"/>
                <w:color w:val="auto"/>
              </w:rPr>
            </w:pPr>
          </w:p>
        </w:tc>
        <w:tc>
          <w:tcPr>
            <w:tcW w:w="960" w:type="dxa"/>
            <w:vAlign w:val="bottom"/>
            <w:shd w:val="clear" w:color="auto" w:fill="BDD7E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3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79"/>
              <w:spacing w:after="0"/>
              <w:rPr>
                <w:sz w:val="20"/>
                <w:szCs w:val="20"/>
                <w:color w:val="auto"/>
              </w:rPr>
            </w:pPr>
            <w:r>
              <w:rPr>
                <w:rFonts w:ascii="Arial" w:cs="Arial" w:eastAsia="Arial" w:hAnsi="Arial"/>
                <w:sz w:val="16"/>
                <w:szCs w:val="16"/>
                <w:color w:val="auto"/>
              </w:rPr>
              <w:t>100,913</w:t>
            </w:r>
          </w:p>
        </w:tc>
        <w:tc>
          <w:tcPr>
            <w:tcW w:w="3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239"/>
              <w:spacing w:after="0"/>
              <w:rPr>
                <w:sz w:val="20"/>
                <w:szCs w:val="20"/>
                <w:color w:val="auto"/>
              </w:rPr>
            </w:pPr>
            <w:r>
              <w:rPr>
                <w:rFonts w:ascii="Arial" w:cs="Arial" w:eastAsia="Arial" w:hAnsi="Arial"/>
                <w:sz w:val="16"/>
                <w:szCs w:val="16"/>
                <w:color w:val="auto"/>
              </w:rPr>
              <w:t>93,449</w:t>
            </w: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color w:val="auto"/>
              </w:rPr>
              <w:t>8.0 %</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130"/>
        </w:trPr>
        <w:tc>
          <w:tcPr>
            <w:tcW w:w="1380" w:type="dxa"/>
            <w:vAlign w:val="bottom"/>
          </w:tcPr>
          <w:p>
            <w:pPr>
              <w:ind w:left="20"/>
              <w:spacing w:after="0" w:line="125" w:lineRule="exact"/>
              <w:rPr>
                <w:sz w:val="20"/>
                <w:szCs w:val="20"/>
                <w:color w:val="auto"/>
              </w:rPr>
            </w:pPr>
            <w:r>
              <w:rPr>
                <w:rFonts w:ascii="Arial" w:cs="Arial" w:eastAsia="Arial" w:hAnsi="Arial"/>
                <w:sz w:val="11"/>
                <w:szCs w:val="11"/>
                <w:color w:val="auto"/>
              </w:rPr>
              <w:t>(1)</w:t>
            </w:r>
          </w:p>
        </w:tc>
        <w:tc>
          <w:tcPr>
            <w:tcW w:w="2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13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Pr>
          <w:p>
            <w:pPr>
              <w:ind w:left="2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47.4 %</w:t>
            </w:r>
          </w:p>
        </w:tc>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46.5 %</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+91 bps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 bps</w:t>
            </w:r>
          </w:p>
        </w:tc>
        <w:tc>
          <w:tcPr>
            <w:tcW w:w="0" w:type="dxa"/>
            <w:vAlign w:val="bottom"/>
          </w:tcPr>
          <w:p>
            <w:pPr>
              <w:spacing w:after="0"/>
              <w:rPr>
                <w:sz w:val="1"/>
                <w:szCs w:val="1"/>
                <w:color w:val="auto"/>
              </w:rPr>
            </w:pPr>
          </w:p>
        </w:tc>
      </w:tr>
      <w:tr>
        <w:trPr>
          <w:trHeight w:val="246"/>
        </w:trPr>
        <w:tc>
          <w:tcPr>
            <w:tcW w:w="1380" w:type="dxa"/>
            <w:vAlign w:val="bottom"/>
          </w:tcPr>
          <w:p>
            <w:pPr>
              <w:ind w:left="20"/>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90,015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83,096</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8.3 %</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186"/>
        </w:trPr>
        <w:tc>
          <w:tcPr>
            <w:tcW w:w="1380" w:type="dxa"/>
            <w:vAlign w:val="bottom"/>
          </w:tcPr>
          <w:p>
            <w:pPr>
              <w:ind w:left="20"/>
              <w:spacing w:after="0"/>
              <w:rPr>
                <w:sz w:val="20"/>
                <w:szCs w:val="20"/>
                <w:color w:val="auto"/>
              </w:rPr>
            </w:pPr>
            <w:r>
              <w:rPr>
                <w:rFonts w:ascii="Arial" w:cs="Arial" w:eastAsia="Arial" w:hAnsi="Arial"/>
                <w:sz w:val="16"/>
                <w:szCs w:val="16"/>
                <w:color w:val="auto"/>
              </w:rPr>
              <w:t>Adjusted EBIT</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380" w:type="dxa"/>
            <w:vAlign w:val="bottom"/>
          </w:tcPr>
          <w:p>
            <w:pPr>
              <w:ind w:left="2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42.3 %</w:t>
            </w:r>
          </w:p>
        </w:tc>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41.3 %</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+94 bps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 bps</w:t>
            </w:r>
          </w:p>
        </w:tc>
        <w:tc>
          <w:tcPr>
            <w:tcW w:w="0" w:type="dxa"/>
            <w:vAlign w:val="bottom"/>
          </w:tcPr>
          <w:p>
            <w:pPr>
              <w:spacing w:after="0"/>
              <w:rPr>
                <w:sz w:val="1"/>
                <w:szCs w:val="1"/>
                <w:color w:val="auto"/>
              </w:rPr>
            </w:pPr>
          </w:p>
        </w:tc>
      </w:tr>
      <w:tr>
        <w:trPr>
          <w:trHeight w:val="186"/>
        </w:trPr>
        <w:tc>
          <w:tcPr>
            <w:tcW w:w="1380" w:type="dxa"/>
            <w:vAlign w:val="bottom"/>
          </w:tcPr>
          <w:p>
            <w:pPr>
              <w:ind w:left="20"/>
              <w:spacing w:after="0"/>
              <w:rPr>
                <w:sz w:val="20"/>
                <w:szCs w:val="20"/>
                <w:color w:val="auto"/>
              </w:rPr>
            </w:pPr>
            <w:r>
              <w:rPr>
                <w:rFonts w:ascii="Arial" w:cs="Arial" w:eastAsia="Arial" w:hAnsi="Arial"/>
                <w:sz w:val="16"/>
                <w:szCs w:val="16"/>
                <w:color w:val="auto"/>
              </w:rPr>
              <w:t>Adjusted Net</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380" w:type="dxa"/>
            <w:vAlign w:val="bottom"/>
          </w:tcPr>
          <w:p>
            <w:pPr>
              <w:ind w:left="20"/>
              <w:spacing w:after="0"/>
              <w:rPr>
                <w:sz w:val="20"/>
                <w:szCs w:val="20"/>
                <w:color w:val="auto"/>
              </w:rPr>
            </w:pPr>
            <w:r>
              <w:rPr>
                <w:rFonts w:ascii="Arial" w:cs="Arial" w:eastAsia="Arial" w:hAnsi="Arial"/>
                <w:sz w:val="16"/>
                <w:szCs w:val="16"/>
                <w:color w:val="auto"/>
              </w:rPr>
              <w:t xml:space="preserve">Income </w:t>
            </w:r>
            <w:r>
              <w:rPr>
                <w:rFonts w:ascii="Arial" w:cs="Arial" w:eastAsia="Arial" w:hAnsi="Arial"/>
                <w:sz w:val="21"/>
                <w:szCs w:val="21"/>
                <w:color w:val="auto"/>
                <w:vertAlign w:val="superscript"/>
              </w:rPr>
              <w:t>(1)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69,939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61,627</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13.5 %</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186"/>
        </w:trPr>
        <w:tc>
          <w:tcPr>
            <w:tcW w:w="1380" w:type="dxa"/>
            <w:vAlign w:val="bottom"/>
          </w:tcPr>
          <w:p>
            <w:pPr>
              <w:ind w:left="20"/>
              <w:spacing w:after="0"/>
              <w:rPr>
                <w:sz w:val="20"/>
                <w:szCs w:val="20"/>
                <w:color w:val="auto"/>
              </w:rPr>
            </w:pPr>
            <w:r>
              <w:rPr>
                <w:rFonts w:ascii="Arial" w:cs="Arial" w:eastAsia="Arial" w:hAnsi="Arial"/>
                <w:sz w:val="16"/>
                <w:szCs w:val="16"/>
                <w:color w:val="auto"/>
              </w:rPr>
              <w:t>Adjusted Diluted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0.30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0.27</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11.1 %</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68"/>
        </w:trPr>
        <w:tc>
          <w:tcPr>
            <w:tcW w:w="1380" w:type="dxa"/>
            <w:vAlign w:val="bottom"/>
          </w:tcPr>
          <w:p>
            <w:pPr>
              <w:ind w:left="20"/>
              <w:spacing w:after="0"/>
              <w:rPr>
                <w:sz w:val="20"/>
                <w:szCs w:val="20"/>
                <w:color w:val="auto"/>
              </w:rPr>
            </w:pPr>
            <w:r>
              <w:rPr>
                <w:rFonts w:ascii="Arial" w:cs="Arial" w:eastAsia="Arial" w:hAnsi="Arial"/>
                <w:sz w:val="16"/>
                <w:szCs w:val="16"/>
                <w:color w:val="auto"/>
              </w:rPr>
              <w:t xml:space="preserve">EPS </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83566"/>
        </w:rPr>
        <w:t>Lee Olesky, CEO of Tradeweb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3128645" cy="2383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8645" cy="2383155"/>
                    </a:xfrm>
                    <a:prstGeom prst="rect">
                      <a:avLst/>
                    </a:prstGeom>
                    <a:noFill/>
                  </pic:spPr>
                </pic:pic>
              </a:graphicData>
            </a:graphic>
          </wp:anchor>
        </w:drawing>
      </w:r>
    </w:p>
    <w:p>
      <w:pPr>
        <w:spacing w:after="0" w:line="247" w:lineRule="exact"/>
        <w:rPr>
          <w:sz w:val="20"/>
          <w:szCs w:val="20"/>
          <w:color w:val="auto"/>
        </w:rPr>
      </w:pPr>
    </w:p>
    <w:p>
      <w:pPr>
        <w:ind w:left="20" w:right="20"/>
        <w:spacing w:after="0" w:line="229" w:lineRule="auto"/>
        <w:rPr>
          <w:sz w:val="20"/>
          <w:szCs w:val="20"/>
          <w:color w:val="auto"/>
        </w:rPr>
      </w:pPr>
      <w:r>
        <w:rPr>
          <w:rFonts w:ascii="Arial" w:cs="Arial" w:eastAsia="Arial" w:hAnsi="Arial"/>
          <w:sz w:val="21"/>
          <w:szCs w:val="21"/>
          <w:color w:val="auto"/>
        </w:rPr>
        <w:t>“Tradeweb’s business performed exceedingly well in the third quarter, as increased adoption of electronic trading and heightened debt issuance helped fuel record TRACE share in U.S. credit and higher volumes in U.S. treasuries, European government bonds and mortgages. We also saw broader interest in a range of trading protocols and tools including electronic portfolio trading, anonymous A2A trading and automated execution. Throughout the quarter we continued to innovate for our clients, including the launch of a new trading platform for mortgage originators and the introduction of a new channel to help foreign investors gain access to the local Chinese bond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3128645"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8645" cy="548640"/>
                    </a:xfrm>
                    <a:prstGeom prst="rect">
                      <a:avLst/>
                    </a:prstGeom>
                    <a:noFill/>
                  </pic:spPr>
                </pic:pic>
              </a:graphicData>
            </a:graphic>
          </wp:anchor>
        </w:drawing>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60" w:type="dxa"/>
            <w:vAlign w:val="bottom"/>
          </w:tcPr>
          <w:p>
            <w:pPr>
              <w:ind w:left="20"/>
              <w:spacing w:after="0"/>
              <w:rPr>
                <w:sz w:val="20"/>
                <w:szCs w:val="20"/>
                <w:color w:val="auto"/>
              </w:rPr>
            </w:pPr>
            <w:r>
              <w:rPr>
                <w:rFonts w:ascii="Arial" w:cs="Arial" w:eastAsia="Arial" w:hAnsi="Arial"/>
                <w:sz w:val="16"/>
                <w:szCs w:val="16"/>
                <w:b w:val="1"/>
                <w:bCs w:val="1"/>
                <w:color w:val="FFFFFF"/>
              </w:rPr>
              <w:t>Asset Class</w:t>
            </w:r>
          </w:p>
        </w:tc>
        <w:tc>
          <w:tcPr>
            <w:tcW w:w="1020" w:type="dxa"/>
            <w:vAlign w:val="bottom"/>
          </w:tcPr>
          <w:p>
            <w:pPr>
              <w:ind w:left="20"/>
              <w:spacing w:after="0"/>
              <w:rPr>
                <w:sz w:val="20"/>
                <w:szCs w:val="20"/>
                <w:color w:val="auto"/>
              </w:rPr>
            </w:pPr>
            <w:r>
              <w:rPr>
                <w:rFonts w:ascii="Arial" w:cs="Arial" w:eastAsia="Arial" w:hAnsi="Arial"/>
                <w:sz w:val="16"/>
                <w:szCs w:val="16"/>
                <w:b w:val="1"/>
                <w:bCs w:val="1"/>
                <w:color w:val="FFFFFF"/>
              </w:rPr>
              <w:t>Product</w:t>
            </w: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FFFFFF"/>
              </w:rPr>
              <w:t>3Q20</w:t>
            </w: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FFFFFF"/>
              </w:rPr>
              <w:t>3Q19</w:t>
            </w:r>
          </w:p>
        </w:tc>
        <w:tc>
          <w:tcPr>
            <w:tcW w:w="1120" w:type="dxa"/>
            <w:vAlign w:val="bottom"/>
          </w:tcPr>
          <w:p>
            <w:pPr>
              <w:jc w:val="right"/>
              <w:ind w:right="679"/>
              <w:spacing w:after="0"/>
              <w:rPr>
                <w:sz w:val="20"/>
                <w:szCs w:val="20"/>
                <w:color w:val="auto"/>
              </w:rPr>
            </w:pPr>
            <w:r>
              <w:rPr>
                <w:rFonts w:ascii="Arial" w:cs="Arial" w:eastAsia="Arial" w:hAnsi="Arial"/>
                <w:sz w:val="16"/>
                <w:szCs w:val="16"/>
                <w:b w:val="1"/>
                <w:bCs w:val="1"/>
                <w:color w:val="FFFFFF"/>
              </w:rPr>
              <w:t>YoY</w:t>
            </w:r>
          </w:p>
        </w:tc>
      </w:tr>
      <w:tr>
        <w:trPr>
          <w:trHeight w:val="243"/>
        </w:trPr>
        <w:tc>
          <w:tcPr>
            <w:tcW w:w="1260" w:type="dxa"/>
            <w:vAlign w:val="bottom"/>
          </w:tcPr>
          <w:p>
            <w:pPr>
              <w:ind w:left="20"/>
              <w:spacing w:after="0"/>
              <w:rPr>
                <w:sz w:val="20"/>
                <w:szCs w:val="20"/>
                <w:color w:val="auto"/>
              </w:rPr>
            </w:pPr>
            <w:r>
              <w:rPr>
                <w:rFonts w:ascii="Arial" w:cs="Arial" w:eastAsia="Arial" w:hAnsi="Arial"/>
                <w:sz w:val="16"/>
                <w:szCs w:val="16"/>
                <w:color w:val="auto"/>
              </w:rPr>
              <w:t>Rates</w:t>
            </w:r>
          </w:p>
        </w:tc>
        <w:tc>
          <w:tcPr>
            <w:tcW w:w="1020" w:type="dxa"/>
            <w:vAlign w:val="bottom"/>
          </w:tcPr>
          <w:p>
            <w:pPr>
              <w:ind w:left="20"/>
              <w:spacing w:after="0"/>
              <w:rPr>
                <w:sz w:val="20"/>
                <w:szCs w:val="20"/>
                <w:color w:val="auto"/>
              </w:rPr>
            </w:pPr>
            <w:r>
              <w:rPr>
                <w:rFonts w:ascii="Arial" w:cs="Arial" w:eastAsia="Arial" w:hAnsi="Arial"/>
                <w:sz w:val="16"/>
                <w:szCs w:val="16"/>
                <w:color w:val="auto"/>
              </w:rPr>
              <w:t>Cash</w:t>
            </w:r>
          </w:p>
        </w:tc>
        <w:tc>
          <w:tcPr>
            <w:tcW w:w="740" w:type="dxa"/>
            <w:vAlign w:val="bottom"/>
          </w:tcPr>
          <w:p>
            <w:pPr>
              <w:jc w:val="right"/>
              <w:spacing w:after="0"/>
              <w:rPr>
                <w:sz w:val="20"/>
                <w:szCs w:val="20"/>
                <w:color w:val="auto"/>
              </w:rPr>
            </w:pPr>
            <w:r>
              <w:rPr>
                <w:rFonts w:ascii="Arial" w:cs="Arial" w:eastAsia="Arial" w:hAnsi="Arial"/>
                <w:sz w:val="16"/>
                <w:szCs w:val="16"/>
                <w:color w:val="auto"/>
              </w:rPr>
              <w:t>311</w:t>
            </w:r>
          </w:p>
        </w:tc>
        <w:tc>
          <w:tcPr>
            <w:tcW w:w="780" w:type="dxa"/>
            <w:vAlign w:val="bottom"/>
          </w:tcPr>
          <w:p>
            <w:pPr>
              <w:jc w:val="right"/>
              <w:spacing w:after="0"/>
              <w:rPr>
                <w:sz w:val="20"/>
                <w:szCs w:val="20"/>
                <w:color w:val="auto"/>
              </w:rPr>
            </w:pPr>
            <w:r>
              <w:rPr>
                <w:rFonts w:ascii="Arial" w:cs="Arial" w:eastAsia="Arial" w:hAnsi="Arial"/>
                <w:sz w:val="16"/>
                <w:szCs w:val="16"/>
                <w:color w:val="auto"/>
              </w:rPr>
              <w:t>285</w:t>
            </w:r>
          </w:p>
        </w:tc>
        <w:tc>
          <w:tcPr>
            <w:tcW w:w="112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53"/>
        </w:trPr>
        <w:tc>
          <w:tcPr>
            <w:tcW w:w="126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740" w:type="dxa"/>
            <w:vAlign w:val="bottom"/>
          </w:tcPr>
          <w:p>
            <w:pPr>
              <w:jc w:val="right"/>
              <w:spacing w:after="0"/>
              <w:rPr>
                <w:sz w:val="20"/>
                <w:szCs w:val="20"/>
                <w:color w:val="auto"/>
              </w:rPr>
            </w:pPr>
            <w:r>
              <w:rPr>
                <w:rFonts w:ascii="Arial" w:cs="Arial" w:eastAsia="Arial" w:hAnsi="Arial"/>
                <w:sz w:val="16"/>
                <w:szCs w:val="16"/>
                <w:color w:val="auto"/>
              </w:rPr>
              <w:t>179</w:t>
            </w:r>
          </w:p>
        </w:tc>
        <w:tc>
          <w:tcPr>
            <w:tcW w:w="780" w:type="dxa"/>
            <w:vAlign w:val="bottom"/>
          </w:tcPr>
          <w:p>
            <w:pPr>
              <w:jc w:val="right"/>
              <w:spacing w:after="0"/>
              <w:rPr>
                <w:sz w:val="20"/>
                <w:szCs w:val="20"/>
                <w:color w:val="auto"/>
              </w:rPr>
            </w:pPr>
            <w:r>
              <w:rPr>
                <w:rFonts w:ascii="Arial" w:cs="Arial" w:eastAsia="Arial" w:hAnsi="Arial"/>
                <w:sz w:val="16"/>
                <w:szCs w:val="16"/>
                <w:color w:val="auto"/>
              </w:rPr>
              <w:t>279</w:t>
            </w:r>
          </w:p>
        </w:tc>
        <w:tc>
          <w:tcPr>
            <w:tcW w:w="112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46"/>
        </w:trPr>
        <w:tc>
          <w:tcPr>
            <w:tcW w:w="1260" w:type="dxa"/>
            <w:vAlign w:val="bottom"/>
            <w:tcBorders>
              <w:bottom w:val="single" w:sz="8" w:color="083566"/>
            </w:tcBorders>
          </w:tcPr>
          <w:p>
            <w:pPr>
              <w:spacing w:after="0"/>
              <w:rPr>
                <w:sz w:val="21"/>
                <w:szCs w:val="21"/>
                <w:color w:val="auto"/>
              </w:rPr>
            </w:pPr>
          </w:p>
        </w:tc>
        <w:tc>
          <w:tcPr>
            <w:tcW w:w="102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490</w:t>
            </w:r>
          </w:p>
        </w:tc>
        <w:tc>
          <w:tcPr>
            <w:tcW w:w="7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563</w:t>
            </w:r>
          </w:p>
        </w:tc>
        <w:tc>
          <w:tcPr>
            <w:tcW w:w="11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(13.0)%</w:t>
            </w:r>
          </w:p>
        </w:tc>
      </w:tr>
      <w:tr>
        <w:trPr>
          <w:trHeight w:val="223"/>
        </w:trPr>
        <w:tc>
          <w:tcPr>
            <w:tcW w:w="1260" w:type="dxa"/>
            <w:vAlign w:val="bottom"/>
          </w:tcPr>
          <w:p>
            <w:pPr>
              <w:ind w:left="20"/>
              <w:spacing w:after="0"/>
              <w:rPr>
                <w:sz w:val="20"/>
                <w:szCs w:val="20"/>
                <w:color w:val="auto"/>
              </w:rPr>
            </w:pPr>
            <w:r>
              <w:rPr>
                <w:rFonts w:ascii="Arial" w:cs="Arial" w:eastAsia="Arial" w:hAnsi="Arial"/>
                <w:sz w:val="16"/>
                <w:szCs w:val="16"/>
                <w:color w:val="auto"/>
              </w:rPr>
              <w:t>Credit</w:t>
            </w:r>
          </w:p>
        </w:tc>
        <w:tc>
          <w:tcPr>
            <w:tcW w:w="1020" w:type="dxa"/>
            <w:vAlign w:val="bottom"/>
          </w:tcPr>
          <w:p>
            <w:pPr>
              <w:ind w:left="20"/>
              <w:spacing w:after="0"/>
              <w:rPr>
                <w:sz w:val="20"/>
                <w:szCs w:val="20"/>
                <w:color w:val="auto"/>
              </w:rPr>
            </w:pPr>
            <w:r>
              <w:rPr>
                <w:rFonts w:ascii="Arial" w:cs="Arial" w:eastAsia="Arial" w:hAnsi="Arial"/>
                <w:sz w:val="16"/>
                <w:szCs w:val="16"/>
                <w:color w:val="auto"/>
              </w:rPr>
              <w:t>Cash</w:t>
            </w: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120" w:type="dxa"/>
            <w:vAlign w:val="bottom"/>
          </w:tcPr>
          <w:p>
            <w:pPr>
              <w:jc w:val="right"/>
              <w:spacing w:after="0"/>
              <w:rPr>
                <w:sz w:val="20"/>
                <w:szCs w:val="20"/>
                <w:color w:val="auto"/>
              </w:rPr>
            </w:pPr>
            <w:r>
              <w:rPr>
                <w:rFonts w:ascii="Arial" w:cs="Arial" w:eastAsia="Arial" w:hAnsi="Arial"/>
                <w:sz w:val="16"/>
                <w:szCs w:val="16"/>
                <w:color w:val="auto"/>
              </w:rPr>
              <w:t>29.0 %</w:t>
            </w:r>
          </w:p>
        </w:tc>
      </w:tr>
      <w:tr>
        <w:trPr>
          <w:trHeight w:val="253"/>
        </w:trPr>
        <w:tc>
          <w:tcPr>
            <w:tcW w:w="126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112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246"/>
        </w:trPr>
        <w:tc>
          <w:tcPr>
            <w:tcW w:w="1260" w:type="dxa"/>
            <w:vAlign w:val="bottom"/>
            <w:tcBorders>
              <w:bottom w:val="single" w:sz="8" w:color="083566"/>
            </w:tcBorders>
          </w:tcPr>
          <w:p>
            <w:pPr>
              <w:spacing w:after="0"/>
              <w:rPr>
                <w:sz w:val="21"/>
                <w:szCs w:val="21"/>
                <w:color w:val="auto"/>
              </w:rPr>
            </w:pPr>
          </w:p>
        </w:tc>
        <w:tc>
          <w:tcPr>
            <w:tcW w:w="102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20</w:t>
            </w:r>
          </w:p>
        </w:tc>
        <w:tc>
          <w:tcPr>
            <w:tcW w:w="7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17</w:t>
            </w:r>
          </w:p>
        </w:tc>
        <w:tc>
          <w:tcPr>
            <w:tcW w:w="11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13.7 %</w:t>
            </w:r>
          </w:p>
        </w:tc>
      </w:tr>
      <w:tr>
        <w:trPr>
          <w:trHeight w:val="233"/>
        </w:trPr>
        <w:tc>
          <w:tcPr>
            <w:tcW w:w="1260" w:type="dxa"/>
            <w:vAlign w:val="bottom"/>
          </w:tcPr>
          <w:p>
            <w:pPr>
              <w:ind w:left="20"/>
              <w:spacing w:after="0"/>
              <w:rPr>
                <w:sz w:val="20"/>
                <w:szCs w:val="20"/>
                <w:color w:val="auto"/>
              </w:rPr>
            </w:pPr>
            <w:r>
              <w:rPr>
                <w:rFonts w:ascii="Arial" w:cs="Arial" w:eastAsia="Arial" w:hAnsi="Arial"/>
                <w:sz w:val="16"/>
                <w:szCs w:val="16"/>
                <w:color w:val="auto"/>
              </w:rPr>
              <w:t>Money Markets</w:t>
            </w:r>
          </w:p>
        </w:tc>
        <w:tc>
          <w:tcPr>
            <w:tcW w:w="1020" w:type="dxa"/>
            <w:vAlign w:val="bottom"/>
          </w:tcPr>
          <w:p>
            <w:pPr>
              <w:ind w:left="20"/>
              <w:spacing w:after="0"/>
              <w:rPr>
                <w:sz w:val="20"/>
                <w:szCs w:val="20"/>
                <w:color w:val="auto"/>
              </w:rPr>
            </w:pPr>
            <w:r>
              <w:rPr>
                <w:rFonts w:ascii="Arial" w:cs="Arial" w:eastAsia="Arial" w:hAnsi="Arial"/>
                <w:sz w:val="16"/>
                <w:szCs w:val="16"/>
                <w:color w:val="auto"/>
              </w:rPr>
              <w:t>Cash</w:t>
            </w:r>
          </w:p>
        </w:tc>
        <w:tc>
          <w:tcPr>
            <w:tcW w:w="740" w:type="dxa"/>
            <w:vAlign w:val="bottom"/>
          </w:tcPr>
          <w:p>
            <w:pPr>
              <w:jc w:val="right"/>
              <w:spacing w:after="0"/>
              <w:rPr>
                <w:sz w:val="20"/>
                <w:szCs w:val="20"/>
                <w:color w:val="auto"/>
              </w:rPr>
            </w:pPr>
            <w:r>
              <w:rPr>
                <w:rFonts w:ascii="Arial" w:cs="Arial" w:eastAsia="Arial" w:hAnsi="Arial"/>
                <w:sz w:val="16"/>
                <w:szCs w:val="16"/>
                <w:color w:val="auto"/>
              </w:rPr>
              <w:t>262</w:t>
            </w:r>
          </w:p>
        </w:tc>
        <w:tc>
          <w:tcPr>
            <w:tcW w:w="780" w:type="dxa"/>
            <w:vAlign w:val="bottom"/>
          </w:tcPr>
          <w:p>
            <w:pPr>
              <w:jc w:val="right"/>
              <w:spacing w:after="0"/>
              <w:rPr>
                <w:sz w:val="20"/>
                <w:szCs w:val="20"/>
                <w:color w:val="auto"/>
              </w:rPr>
            </w:pPr>
            <w:r>
              <w:rPr>
                <w:rFonts w:ascii="Arial" w:cs="Arial" w:eastAsia="Arial" w:hAnsi="Arial"/>
                <w:sz w:val="16"/>
                <w:szCs w:val="16"/>
                <w:color w:val="auto"/>
              </w:rPr>
              <w:t>229</w:t>
            </w:r>
          </w:p>
        </w:tc>
        <w:tc>
          <w:tcPr>
            <w:tcW w:w="1120" w:type="dxa"/>
            <w:vAlign w:val="bottom"/>
          </w:tcPr>
          <w:p>
            <w:pPr>
              <w:jc w:val="right"/>
              <w:spacing w:after="0"/>
              <w:rPr>
                <w:sz w:val="20"/>
                <w:szCs w:val="20"/>
                <w:color w:val="auto"/>
              </w:rPr>
            </w:pPr>
            <w:r>
              <w:rPr>
                <w:rFonts w:ascii="Arial" w:cs="Arial" w:eastAsia="Arial" w:hAnsi="Arial"/>
                <w:sz w:val="16"/>
                <w:szCs w:val="16"/>
                <w:color w:val="auto"/>
              </w:rPr>
              <w:t>14.3 %</w:t>
            </w:r>
          </w:p>
        </w:tc>
      </w:tr>
      <w:tr>
        <w:trPr>
          <w:trHeight w:val="246"/>
        </w:trPr>
        <w:tc>
          <w:tcPr>
            <w:tcW w:w="1260" w:type="dxa"/>
            <w:vAlign w:val="bottom"/>
            <w:tcBorders>
              <w:bottom w:val="single" w:sz="8" w:color="083566"/>
            </w:tcBorders>
          </w:tcPr>
          <w:p>
            <w:pPr>
              <w:spacing w:after="0"/>
              <w:rPr>
                <w:sz w:val="21"/>
                <w:szCs w:val="21"/>
                <w:color w:val="auto"/>
              </w:rPr>
            </w:pPr>
          </w:p>
        </w:tc>
        <w:tc>
          <w:tcPr>
            <w:tcW w:w="102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262</w:t>
            </w:r>
          </w:p>
        </w:tc>
        <w:tc>
          <w:tcPr>
            <w:tcW w:w="7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229</w:t>
            </w:r>
          </w:p>
        </w:tc>
        <w:tc>
          <w:tcPr>
            <w:tcW w:w="11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14.3 %</w:t>
            </w:r>
          </w:p>
        </w:tc>
      </w:tr>
      <w:tr>
        <w:trPr>
          <w:trHeight w:val="223"/>
        </w:trPr>
        <w:tc>
          <w:tcPr>
            <w:tcW w:w="126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20" w:type="dxa"/>
            <w:vAlign w:val="bottom"/>
          </w:tcPr>
          <w:p>
            <w:pPr>
              <w:ind w:left="20"/>
              <w:spacing w:after="0"/>
              <w:rPr>
                <w:sz w:val="20"/>
                <w:szCs w:val="20"/>
                <w:color w:val="auto"/>
              </w:rPr>
            </w:pPr>
            <w:r>
              <w:rPr>
                <w:rFonts w:ascii="Arial" w:cs="Arial" w:eastAsia="Arial" w:hAnsi="Arial"/>
                <w:sz w:val="16"/>
                <w:szCs w:val="16"/>
                <w:color w:val="auto"/>
              </w:rPr>
              <w:t>Cash</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120" w:type="dxa"/>
            <w:vAlign w:val="bottom"/>
          </w:tcPr>
          <w:p>
            <w:pPr>
              <w:jc w:val="right"/>
              <w:spacing w:after="0"/>
              <w:rPr>
                <w:sz w:val="20"/>
                <w:szCs w:val="20"/>
                <w:color w:val="auto"/>
              </w:rPr>
            </w:pPr>
            <w:r>
              <w:rPr>
                <w:rFonts w:ascii="Arial" w:cs="Arial" w:eastAsia="Arial" w:hAnsi="Arial"/>
                <w:sz w:val="16"/>
                <w:szCs w:val="16"/>
                <w:color w:val="auto"/>
              </w:rPr>
              <w:t>20.2 %</w:t>
            </w:r>
          </w:p>
        </w:tc>
      </w:tr>
      <w:tr>
        <w:trPr>
          <w:trHeight w:val="324"/>
        </w:trPr>
        <w:tc>
          <w:tcPr>
            <w:tcW w:w="126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120" w:type="dxa"/>
            <w:vAlign w:val="bottom"/>
          </w:tcPr>
          <w:p>
            <w:pPr>
              <w:jc w:val="right"/>
              <w:spacing w:after="0"/>
              <w:rPr>
                <w:sz w:val="20"/>
                <w:szCs w:val="20"/>
                <w:color w:val="auto"/>
              </w:rPr>
            </w:pPr>
            <w:r>
              <w:rPr>
                <w:rFonts w:ascii="Arial" w:cs="Arial" w:eastAsia="Arial" w:hAnsi="Arial"/>
                <w:sz w:val="16"/>
                <w:szCs w:val="16"/>
                <w:color w:val="auto"/>
              </w:rPr>
              <w:t>27.3 %</w:t>
            </w:r>
          </w:p>
        </w:tc>
      </w:tr>
      <w:tr>
        <w:trPr>
          <w:trHeight w:val="100"/>
        </w:trPr>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305"/>
        </w:trPr>
        <w:tc>
          <w:tcPr>
            <w:tcW w:w="1260" w:type="dxa"/>
            <w:vAlign w:val="bottom"/>
          </w:tcPr>
          <w:p>
            <w:pPr>
              <w:spacing w:after="0"/>
              <w:rPr>
                <w:sz w:val="24"/>
                <w:szCs w:val="24"/>
                <w:color w:val="auto"/>
              </w:rPr>
            </w:pPr>
          </w:p>
        </w:tc>
        <w:tc>
          <w:tcPr>
            <w:tcW w:w="1020" w:type="dxa"/>
            <w:vAlign w:val="bottom"/>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w:t>
            </w: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23.0 %</w:t>
            </w:r>
          </w:p>
        </w:tc>
      </w:tr>
      <w:tr>
        <w:trPr>
          <w:trHeight w:val="100"/>
        </w:trPr>
        <w:tc>
          <w:tcPr>
            <w:tcW w:w="1260" w:type="dxa"/>
            <w:vAlign w:val="bottom"/>
            <w:tcBorders>
              <w:bottom w:val="single" w:sz="8" w:color="083566"/>
            </w:tcBorders>
          </w:tcPr>
          <w:p>
            <w:pPr>
              <w:spacing w:after="0"/>
              <w:rPr>
                <w:sz w:val="8"/>
                <w:szCs w:val="8"/>
                <w:color w:val="auto"/>
              </w:rPr>
            </w:pPr>
          </w:p>
        </w:tc>
        <w:tc>
          <w:tcPr>
            <w:tcW w:w="1020" w:type="dxa"/>
            <w:vAlign w:val="bottom"/>
            <w:tcBorders>
              <w:bottom w:val="single" w:sz="8" w:color="083566"/>
            </w:tcBorders>
            <w:shd w:val="clear" w:color="auto" w:fill="D5DCE4"/>
          </w:tcPr>
          <w:p>
            <w:pPr>
              <w:spacing w:after="0"/>
              <w:rPr>
                <w:sz w:val="8"/>
                <w:szCs w:val="8"/>
                <w:color w:val="auto"/>
              </w:rPr>
            </w:pPr>
          </w:p>
        </w:tc>
        <w:tc>
          <w:tcPr>
            <w:tcW w:w="740" w:type="dxa"/>
            <w:vAlign w:val="bottom"/>
            <w:tcBorders>
              <w:bottom w:val="single" w:sz="8" w:color="083566"/>
            </w:tcBorders>
            <w:shd w:val="clear" w:color="auto" w:fill="D5DCE4"/>
          </w:tcPr>
          <w:p>
            <w:pPr>
              <w:spacing w:after="0"/>
              <w:rPr>
                <w:sz w:val="8"/>
                <w:szCs w:val="8"/>
                <w:color w:val="auto"/>
              </w:rPr>
            </w:pPr>
          </w:p>
        </w:tc>
        <w:tc>
          <w:tcPr>
            <w:tcW w:w="780" w:type="dxa"/>
            <w:vAlign w:val="bottom"/>
            <w:tcBorders>
              <w:bottom w:val="single" w:sz="8" w:color="083566"/>
            </w:tcBorders>
            <w:shd w:val="clear" w:color="auto" w:fill="D5DCE4"/>
          </w:tcPr>
          <w:p>
            <w:pPr>
              <w:spacing w:after="0"/>
              <w:rPr>
                <w:sz w:val="8"/>
                <w:szCs w:val="8"/>
                <w:color w:val="auto"/>
              </w:rPr>
            </w:pPr>
          </w:p>
        </w:tc>
        <w:tc>
          <w:tcPr>
            <w:tcW w:w="1120" w:type="dxa"/>
            <w:vAlign w:val="bottom"/>
            <w:tcBorders>
              <w:bottom w:val="single" w:sz="8" w:color="083566"/>
            </w:tcBorders>
            <w:shd w:val="clear" w:color="auto" w:fill="D5DCE4"/>
          </w:tcPr>
          <w:p>
            <w:pPr>
              <w:spacing w:after="0"/>
              <w:rPr>
                <w:sz w:val="8"/>
                <w:szCs w:val="8"/>
                <w:color w:val="auto"/>
              </w:rPr>
            </w:pPr>
          </w:p>
        </w:tc>
      </w:tr>
      <w:tr>
        <w:trPr>
          <w:trHeight w:val="237"/>
        </w:trPr>
        <w:tc>
          <w:tcPr>
            <w:tcW w:w="1260" w:type="dxa"/>
            <w:vAlign w:val="bottom"/>
          </w:tcPr>
          <w:p>
            <w:pPr>
              <w:spacing w:after="0"/>
              <w:rPr>
                <w:sz w:val="20"/>
                <w:szCs w:val="20"/>
                <w:color w:val="auto"/>
              </w:rPr>
            </w:pPr>
          </w:p>
        </w:tc>
        <w:tc>
          <w:tcPr>
            <w:tcW w:w="102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780</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817</w:t>
            </w: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(4.5)%</w:t>
            </w:r>
          </w:p>
        </w:tc>
      </w:tr>
    </w:tbl>
    <w:p>
      <w:pPr>
        <w:spacing w:after="0" w:line="264" w:lineRule="exact"/>
        <w:rPr>
          <w:sz w:val="20"/>
          <w:szCs w:val="20"/>
          <w:color w:val="auto"/>
        </w:rPr>
      </w:pPr>
    </w:p>
    <w:p>
      <w:pPr>
        <w:ind w:left="20" w:right="80" w:hanging="6"/>
        <w:spacing w:after="0" w:line="239" w:lineRule="auto"/>
        <w:tabs>
          <w:tab w:leader="none" w:pos="209"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EBITDA, Adjusted EBITDA margin, Adjusted EBIT, Adjusted EBIT margin, Adjusted Net Income, Adjusted Diluted EPS and constant currency growth are non-GAAP financial measures. See "Non-GAAP Financial Measures" below and the attached schedules for additional information and reconciliations of such non-GAAP financial measures.</w:t>
      </w:r>
    </w:p>
    <w:p>
      <w:pPr>
        <w:spacing w:after="0" w:line="268" w:lineRule="exact"/>
        <w:rPr>
          <w:rFonts w:ascii="Arial" w:cs="Arial" w:eastAsia="Arial" w:hAnsi="Arial"/>
          <w:sz w:val="13"/>
          <w:szCs w:val="13"/>
          <w:color w:val="auto"/>
        </w:rPr>
      </w:pPr>
    </w:p>
    <w:p>
      <w:pPr>
        <w:ind w:left="200" w:hanging="186"/>
        <w:spacing w:after="0"/>
        <w:tabs>
          <w:tab w:leader="none" w:pos="20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Represents net income less net income attributable to non-controlling interests.</w:t>
      </w:r>
    </w:p>
    <w:p>
      <w:pPr>
        <w:sectPr>
          <w:pgSz w:w="11900" w:h="16838" w:orient="portrait"/>
          <w:cols w:equalWidth="0" w:num="2">
            <w:col w:w="5780" w:space="280"/>
            <w:col w:w="4920"/>
          </w:cols>
          <w:pgMar w:left="320" w:top="256" w:right="5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spacing w:after="0" w:line="242"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from rates of $115.8 million in the third quarter of 2020 increased 0.2% compared to the third quarter of 2019 (-1.0%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ADV in rates of $490.1 billion for the third quarter of 2020 decreased 13.0% compared with the third quarter of 2019. Reduced rates volatility led to lower trading volumes in interest rate swaps. This was partially offset by strong trading activity in U.S. treasuries fueled by elevated issuance, and strong trading activity in mortgages as low rates drove new home sales and refinancing activity.</w:t>
      </w:r>
    </w:p>
    <w:p>
      <w:pPr>
        <w:spacing w:after="0" w:line="203" w:lineRule="exact"/>
        <w:rPr>
          <w:sz w:val="20"/>
          <w:szCs w:val="20"/>
          <w:color w:val="auto"/>
        </w:rPr>
      </w:pPr>
    </w:p>
    <w:p>
      <w:pPr>
        <w:ind w:right="160"/>
        <w:spacing w:after="0" w:line="242"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from credit of $50.2 million in the third quarter of 2020 increased 26.9% compared to the third quarter of 2019 (25.4%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as continued growth in portfolio trading and anonymous trading protocols helped drive TRACE High Grade market share to a record 17.7% (7.7% fully electronic) and TRACE High Yield market share to a record 4.8% (2.5% fully electronic). ADV in credit of $19.6 billion for the third quarter increased 13.7% over the prior year period.</w:t>
      </w:r>
    </w:p>
    <w:p>
      <w:pPr>
        <w:spacing w:after="0" w:line="21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from money markets of $10.5 million in the third quarter of 2020 increased 0.1% compared to the third quarter of 2019 (-0.7%</w:t>
      </w:r>
      <w:r>
        <w:rPr>
          <w:rFonts w:ascii="Arial" w:cs="Arial" w:eastAsia="Arial" w:hAnsi="Arial"/>
          <w:sz w:val="16"/>
          <w:szCs w:val="16"/>
          <w:b w:val="1"/>
          <w:bCs w:val="1"/>
          <w:color w:val="auto"/>
        </w:rPr>
        <w:t xml:space="preserve"> </w:t>
      </w:r>
      <w:r>
        <w:rPr>
          <w:rFonts w:ascii="Arial" w:cs="Arial" w:eastAsia="Arial" w:hAnsi="Arial"/>
          <w:sz w:val="16"/>
          <w:szCs w:val="16"/>
          <w:color w:val="auto"/>
        </w:rPr>
        <w:t>on a constant currency basis). ADV in money markets of $261.6 billion for the third quarter of 2020 increased 14.3% due to record volume in bilateral repurchase agreements.</w:t>
      </w:r>
    </w:p>
    <w:p>
      <w:pPr>
        <w:spacing w:after="0" w:line="185" w:lineRule="exact"/>
        <w:rPr>
          <w:sz w:val="20"/>
          <w:szCs w:val="20"/>
          <w:color w:val="auto"/>
        </w:rPr>
      </w:pPr>
    </w:p>
    <w:p>
      <w:pPr>
        <w:jc w:val="both"/>
        <w:ind w:right="100"/>
        <w:spacing w:after="0" w:line="234"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from equities of $11.9 million in the third quarter of 2020 decreased 3.9% compared to the third quarter of 2019 (-6.3%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ADV in equities of $9.0 billion for the third quarter of 2020 increased 23.0%, while strength in U.S. ETF trading was offset by lower volumes in European ETFs.</w:t>
      </w:r>
    </w:p>
    <w:p>
      <w:pPr>
        <w:spacing w:after="0" w:line="20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from market data of $18.6 million in the third quarter of 2020 increased 10.0% compared to the third quarter of 2019 (9.2%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constant currency basis) due to delivery of additional data under our market data license agreements with Refinitiv.</w:t>
      </w:r>
    </w:p>
    <w:p>
      <w:pPr>
        <w:spacing w:after="0" w:line="183"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from other of $5.9 million in the third quarter of 2020 decreased 3.7% compared to the third quarter of 2019 (-3.7%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w:t>
      </w:r>
    </w:p>
    <w:p>
      <w:pPr>
        <w:spacing w:after="0" w:line="169"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 Operating expenses of $154.3 million in the third quarter of 2020 increased 8.1% compared to the third quarter of 2019 due to</w:t>
      </w:r>
      <w:r>
        <w:rPr>
          <w:rFonts w:ascii="Arial" w:cs="Arial" w:eastAsia="Arial" w:hAnsi="Arial"/>
          <w:sz w:val="16"/>
          <w:szCs w:val="16"/>
          <w:b w:val="1"/>
          <w:bCs w:val="1"/>
          <w:color w:val="auto"/>
        </w:rPr>
        <w:t xml:space="preserve"> </w:t>
      </w:r>
      <w:r>
        <w:rPr>
          <w:rFonts w:ascii="Arial" w:cs="Arial" w:eastAsia="Arial" w:hAnsi="Arial"/>
          <w:sz w:val="16"/>
          <w:szCs w:val="16"/>
          <w:color w:val="auto"/>
        </w:rPr>
        <w:t>higher employee compensation and benefits expense, as well as higher depreciation and amortization expense. Adjusted Expenses were $122.9 million in the third quarter of 2020, an increase of 4.2% from the prior year period, primarily due to higher employee compensation and benefits expense resulting from increased headcount, as well as higher technology and communications expense, partially offset by lower general and administrative expense. Please see "Non-GAAP Financial Measures" below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3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$677.4 million in cash and cash equivalents and a fully undrawn $500 million credit facility at September 30, 2020.</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Capital expenditures and capitalization of software development: $10.2 million.</w:t>
      </w:r>
    </w:p>
    <w:p>
      <w:pPr>
        <w:spacing w:after="0" w:line="5" w:lineRule="exact"/>
        <w:rPr>
          <w:rFonts w:ascii="Arial" w:cs="Arial" w:eastAsia="Arial" w:hAnsi="Arial"/>
          <w:sz w:val="16"/>
          <w:szCs w:val="16"/>
          <w:color w:val="auto"/>
        </w:rPr>
      </w:pPr>
    </w:p>
    <w:p>
      <w:pPr>
        <w:ind w:left="660" w:right="46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September 30, 2020 of $380.0 million up 47.9%. See “Non-GAAP Financial Measures” for additional information.</w:t>
      </w:r>
    </w:p>
    <w:p>
      <w:pPr>
        <w:ind w:left="660" w:right="44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of Directors of Tradeweb Markets Inc. declared a quarterly cash dividend of $0.08 per share of Class A common stock and Class B common stock. The dividend will be payable on December 15, 2020 to stockholders of record as of December 1, 2020.</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Updated Full-Year 2020 Guidance*</w:t>
      </w:r>
    </w:p>
    <w:p>
      <w:pPr>
        <w:spacing w:after="0" w:line="125"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Expenses: $495 - $505 million (lower half of range)</w:t>
      </w:r>
    </w:p>
    <w:p>
      <w:pPr>
        <w:ind w:left="1300" w:hanging="320"/>
        <w:spacing w:after="0" w:line="228"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Includes ~$5 million of technology &amp; communications investments (data strategy and cybersecurity)</w:t>
      </w: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Includes ~$7 - $8 million of G&amp;A in Q4 excluding the impact of FX</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Acquisition and Refinitiv Transaction related depreciation and amortization expense: $110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Assumed non-GAAP tax rate: 22.0%</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Capital expenditures and capitalization of software development: $45 - $50 million</w:t>
      </w:r>
    </w:p>
    <w:p>
      <w:pPr>
        <w:spacing w:after="0" w:line="237" w:lineRule="exact"/>
        <w:rPr>
          <w:sz w:val="20"/>
          <w:szCs w:val="20"/>
          <w:color w:val="auto"/>
        </w:rPr>
      </w:pPr>
    </w:p>
    <w:p>
      <w:pPr>
        <w:ind w:left="340" w:right="400"/>
        <w:spacing w:after="0" w:line="279"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8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83566"/>
        </w:rPr>
        <w:t>CONFERENCE CALL</w:t>
      </w:r>
    </w:p>
    <w:p>
      <w:pPr>
        <w:spacing w:after="0" w:line="133"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 xml:space="preserve">Tradeweb Markets will hold a conference call to discuss third quarter 2020 results starting at 9:00 a.m. Eastern Time today, October 28, 2020. A live, audio webcast of the conference call along with related materials will be available at </w:t>
      </w:r>
      <w:r>
        <w:rPr>
          <w:rFonts w:ascii="Arial" w:cs="Arial" w:eastAsia="Arial" w:hAnsi="Arial"/>
          <w:sz w:val="16"/>
          <w:szCs w:val="16"/>
          <w:u w:val="single" w:color="auto"/>
          <w:color w:val="055FC1"/>
        </w:rPr>
        <w:t>http://investors.tradeweb.com</w:t>
      </w:r>
      <w:r>
        <w:rPr>
          <w:rFonts w:ascii="Arial" w:cs="Arial" w:eastAsia="Arial" w:hAnsi="Arial"/>
          <w:sz w:val="16"/>
          <w:szCs w:val="16"/>
          <w:color w:val="auto"/>
        </w:rPr>
        <w:t xml:space="preserve">. Alternatively, interested parties can access the call by dialing 866-221-1629 (U.S.) or +1 470-495-9175 (international) and entering passcode 3586933. After the conference call, an archived recording will be available at </w:t>
      </w:r>
      <w:r>
        <w:rPr>
          <w:rFonts w:ascii="Arial" w:cs="Arial" w:eastAsia="Arial" w:hAnsi="Arial"/>
          <w:sz w:val="16"/>
          <w:szCs w:val="16"/>
          <w:u w:val="single" w:color="auto"/>
          <w:color w:val="055FC1"/>
        </w:rPr>
        <w:t>http://investors.tradeweb.com</w:t>
      </w:r>
      <w:r>
        <w:rPr>
          <w:rFonts w:ascii="Arial" w:cs="Arial" w:eastAsia="Arial" w:hAnsi="Arial"/>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3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$780 billion in notional value traded per day over the past four fiscal quarters. For more information, please go to </w:t>
      </w:r>
      <w:r>
        <w:rPr>
          <w:rFonts w:ascii="Arial" w:cs="Arial" w:eastAsia="Arial" w:hAnsi="Arial"/>
          <w:sz w:val="16"/>
          <w:szCs w:val="16"/>
          <w:u w:val="single" w:color="auto"/>
          <w:color w:val="055FC1"/>
        </w:rPr>
        <w:t>www.tradeweb.com</w:t>
      </w:r>
      <w:r>
        <w:rPr>
          <w:rFonts w:ascii="Arial" w:cs="Arial" w:eastAsia="Arial" w:hAnsi="Arial"/>
          <w:sz w:val="16"/>
          <w:szCs w:val="16"/>
          <w:color w:val="0E32E1"/>
        </w:rPr>
        <w:t>.</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INCOME STATEMENT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312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2"/>
        </w:trPr>
        <w:tc>
          <w:tcPr>
            <w:tcW w:w="4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120"/>
              <w:spacing w:after="0"/>
              <w:rPr>
                <w:sz w:val="20"/>
                <w:szCs w:val="20"/>
                <w:color w:val="auto"/>
              </w:rPr>
            </w:pPr>
            <w:r>
              <w:rPr>
                <w:rFonts w:ascii="Arial" w:cs="Arial" w:eastAsia="Arial" w:hAnsi="Arial"/>
                <w:sz w:val="14"/>
                <w:szCs w:val="14"/>
                <w:color w:val="auto"/>
              </w:rPr>
              <w:t>Transaction fees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120,582</w:t>
            </w:r>
          </w:p>
        </w:tc>
        <w:tc>
          <w:tcPr>
            <w:tcW w:w="8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112,746</w:t>
            </w:r>
          </w:p>
        </w:tc>
        <w:tc>
          <w:tcPr>
            <w:tcW w:w="10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383,552</w:t>
            </w:r>
          </w:p>
        </w:tc>
        <w:tc>
          <w:tcPr>
            <w:tcW w:w="8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319,338</w:t>
            </w:r>
          </w:p>
        </w:tc>
        <w:tc>
          <w:tcPr>
            <w:tcW w:w="0" w:type="dxa"/>
            <w:vAlign w:val="bottom"/>
          </w:tcPr>
          <w:p>
            <w:pPr>
              <w:spacing w:after="0"/>
              <w:rPr>
                <w:sz w:val="1"/>
                <w:szCs w:val="1"/>
                <w:color w:val="auto"/>
              </w:rPr>
            </w:pPr>
          </w:p>
        </w:tc>
      </w:tr>
      <w:tr>
        <w:trPr>
          <w:trHeight w:val="222"/>
        </w:trPr>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Subscription fees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105,706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104,398</w:t>
            </w:r>
          </w:p>
        </w:tc>
        <w:tc>
          <w:tcPr>
            <w:tcW w:w="0" w:type="dxa"/>
            <w:vAlign w:val="bottom"/>
          </w:tcPr>
          <w:p>
            <w:pPr>
              <w:spacing w:after="0"/>
              <w:rPr>
                <w:sz w:val="1"/>
                <w:szCs w:val="1"/>
                <w:color w:val="auto"/>
              </w:rPr>
            </w:pPr>
          </w:p>
        </w:tc>
      </w:tr>
      <w:tr>
        <w:trPr>
          <w:trHeight w:val="210"/>
        </w:trPr>
        <w:tc>
          <w:tcPr>
            <w:tcW w:w="4300" w:type="dxa"/>
            <w:vAlign w:val="bottom"/>
          </w:tcPr>
          <w:p>
            <w:pPr>
              <w:ind w:left="120"/>
              <w:spacing w:after="0"/>
              <w:rPr>
                <w:sz w:val="20"/>
                <w:szCs w:val="20"/>
                <w:color w:val="auto"/>
              </w:rPr>
            </w:pPr>
            <w:r>
              <w:rPr>
                <w:rFonts w:ascii="Arial" w:cs="Arial" w:eastAsia="Arial" w:hAnsi="Arial"/>
                <w:sz w:val="14"/>
                <w:szCs w:val="14"/>
                <w:color w:val="auto"/>
              </w:rPr>
              <w:t>Commissions</w:t>
            </w:r>
          </w:p>
        </w:tc>
        <w:tc>
          <w:tcPr>
            <w:tcW w:w="30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39,593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37,590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120,201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108,200</w:t>
            </w:r>
          </w:p>
        </w:tc>
        <w:tc>
          <w:tcPr>
            <w:tcW w:w="0" w:type="dxa"/>
            <w:vAlign w:val="bottom"/>
          </w:tcPr>
          <w:p>
            <w:pPr>
              <w:spacing w:after="0"/>
              <w:rPr>
                <w:sz w:val="1"/>
                <w:szCs w:val="1"/>
                <w:color w:val="auto"/>
              </w:rPr>
            </w:pPr>
          </w:p>
        </w:tc>
      </w:tr>
      <w:tr>
        <w:trPr>
          <w:trHeight w:val="222"/>
        </w:trPr>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Refinitiv market data fees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40,252</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6,658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6,070</w:t>
            </w:r>
          </w:p>
        </w:tc>
        <w:tc>
          <w:tcPr>
            <w:tcW w:w="0" w:type="dxa"/>
            <w:vAlign w:val="bottom"/>
          </w:tcPr>
          <w:p>
            <w:pPr>
              <w:spacing w:after="0"/>
              <w:rPr>
                <w:sz w:val="1"/>
                <w:szCs w:val="1"/>
                <w:color w:val="auto"/>
              </w:rPr>
            </w:pPr>
          </w:p>
        </w:tc>
      </w:tr>
      <w:tr>
        <w:trPr>
          <w:trHeight w:val="215"/>
        </w:trPr>
        <w:tc>
          <w:tcPr>
            <w:tcW w:w="430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Gross revenue</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212,870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200,981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659,583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578,258</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120"/>
              <w:spacing w:after="0"/>
              <w:rPr>
                <w:sz w:val="20"/>
                <w:szCs w:val="20"/>
                <w:color w:val="auto"/>
              </w:rPr>
            </w:pPr>
            <w:r>
              <w:rPr>
                <w:rFonts w:ascii="Arial" w:cs="Arial" w:eastAsia="Arial" w:hAnsi="Arial"/>
                <w:sz w:val="14"/>
                <w:szCs w:val="14"/>
                <w:color w:val="auto"/>
              </w:rPr>
              <w:t>Employee compensation and benefits</w:t>
            </w:r>
          </w:p>
        </w:tc>
        <w:tc>
          <w:tcPr>
            <w:tcW w:w="30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83,967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79,644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263,353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252,912</w:t>
            </w:r>
          </w:p>
        </w:tc>
        <w:tc>
          <w:tcPr>
            <w:tcW w:w="0" w:type="dxa"/>
            <w:vAlign w:val="bottom"/>
          </w:tcPr>
          <w:p>
            <w:pPr>
              <w:spacing w:after="0"/>
              <w:rPr>
                <w:sz w:val="1"/>
                <w:szCs w:val="1"/>
                <w:color w:val="auto"/>
              </w:rPr>
            </w:pPr>
          </w:p>
        </w:tc>
      </w:tr>
      <w:tr>
        <w:trPr>
          <w:trHeight w:val="222"/>
        </w:trPr>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38,857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113,952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102,928</w:t>
            </w:r>
          </w:p>
        </w:tc>
        <w:tc>
          <w:tcPr>
            <w:tcW w:w="0" w:type="dxa"/>
            <w:vAlign w:val="bottom"/>
          </w:tcPr>
          <w:p>
            <w:pPr>
              <w:spacing w:after="0"/>
              <w:rPr>
                <w:sz w:val="1"/>
                <w:szCs w:val="1"/>
                <w:color w:val="auto"/>
              </w:rPr>
            </w:pPr>
          </w:p>
        </w:tc>
      </w:tr>
      <w:tr>
        <w:trPr>
          <w:trHeight w:val="210"/>
        </w:trPr>
        <w:tc>
          <w:tcPr>
            <w:tcW w:w="4300" w:type="dxa"/>
            <w:vAlign w:val="bottom"/>
          </w:tcPr>
          <w:p>
            <w:pPr>
              <w:ind w:left="120"/>
              <w:spacing w:after="0"/>
              <w:rPr>
                <w:sz w:val="20"/>
                <w:szCs w:val="20"/>
                <w:color w:val="auto"/>
              </w:rPr>
            </w:pPr>
            <w:r>
              <w:rPr>
                <w:rFonts w:ascii="Arial" w:cs="Arial" w:eastAsia="Arial" w:hAnsi="Arial"/>
                <w:sz w:val="14"/>
                <w:szCs w:val="14"/>
                <w:color w:val="auto"/>
              </w:rPr>
              <w:t>Technology and communications</w:t>
            </w:r>
          </w:p>
        </w:tc>
        <w:tc>
          <w:tcPr>
            <w:tcW w:w="30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12,037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9,527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34,397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29,086</w:t>
            </w:r>
          </w:p>
        </w:tc>
        <w:tc>
          <w:tcPr>
            <w:tcW w:w="0" w:type="dxa"/>
            <w:vAlign w:val="bottom"/>
          </w:tcPr>
          <w:p>
            <w:pPr>
              <w:spacing w:after="0"/>
              <w:rPr>
                <w:sz w:val="1"/>
                <w:szCs w:val="1"/>
                <w:color w:val="auto"/>
              </w:rPr>
            </w:pPr>
          </w:p>
        </w:tc>
      </w:tr>
      <w:tr>
        <w:trPr>
          <w:trHeight w:val="222"/>
        </w:trPr>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25,961</w:t>
            </w:r>
          </w:p>
        </w:tc>
        <w:tc>
          <w:tcPr>
            <w:tcW w:w="0" w:type="dxa"/>
            <w:vAlign w:val="bottom"/>
          </w:tcPr>
          <w:p>
            <w:pPr>
              <w:spacing w:after="0"/>
              <w:rPr>
                <w:sz w:val="1"/>
                <w:szCs w:val="1"/>
                <w:color w:val="auto"/>
              </w:rPr>
            </w:pPr>
          </w:p>
        </w:tc>
      </w:tr>
      <w:tr>
        <w:trPr>
          <w:trHeight w:val="210"/>
        </w:trPr>
        <w:tc>
          <w:tcPr>
            <w:tcW w:w="4300" w:type="dxa"/>
            <w:vAlign w:val="bottom"/>
          </w:tcPr>
          <w:p>
            <w:pPr>
              <w:ind w:left="120"/>
              <w:spacing w:after="0"/>
              <w:rPr>
                <w:sz w:val="20"/>
                <w:szCs w:val="20"/>
                <w:color w:val="auto"/>
              </w:rPr>
            </w:pPr>
            <w:r>
              <w:rPr>
                <w:rFonts w:ascii="Arial" w:cs="Arial" w:eastAsia="Arial" w:hAnsi="Arial"/>
                <w:sz w:val="14"/>
                <w:szCs w:val="14"/>
                <w:color w:val="auto"/>
              </w:rPr>
              <w:t>Professional fees</w:t>
            </w:r>
          </w:p>
        </w:tc>
        <w:tc>
          <w:tcPr>
            <w:tcW w:w="30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7,388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7,272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20,908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20,981</w:t>
            </w:r>
          </w:p>
        </w:tc>
        <w:tc>
          <w:tcPr>
            <w:tcW w:w="0" w:type="dxa"/>
            <w:vAlign w:val="bottom"/>
          </w:tcPr>
          <w:p>
            <w:pPr>
              <w:spacing w:after="0"/>
              <w:rPr>
                <w:sz w:val="1"/>
                <w:szCs w:val="1"/>
                <w:color w:val="auto"/>
              </w:rPr>
            </w:pPr>
          </w:p>
        </w:tc>
      </w:tr>
      <w:tr>
        <w:trPr>
          <w:trHeight w:val="222"/>
        </w:trPr>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Occupancy</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3,443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10,678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10,900</w:t>
            </w:r>
          </w:p>
        </w:tc>
        <w:tc>
          <w:tcPr>
            <w:tcW w:w="0" w:type="dxa"/>
            <w:vAlign w:val="bottom"/>
          </w:tcPr>
          <w:p>
            <w:pPr>
              <w:spacing w:after="0"/>
              <w:rPr>
                <w:sz w:val="1"/>
                <w:szCs w:val="1"/>
                <w:color w:val="auto"/>
              </w:rPr>
            </w:pPr>
          </w:p>
        </w:tc>
      </w:tr>
      <w:tr>
        <w:trPr>
          <w:trHeight w:val="203"/>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4"/>
                <w:szCs w:val="14"/>
                <w:b w:val="1"/>
                <w:bCs w:val="1"/>
                <w:color w:val="auto"/>
              </w:rPr>
              <w:t>Total expenses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154,349</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142,723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467,808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442,768</w:t>
            </w:r>
          </w:p>
        </w:tc>
        <w:tc>
          <w:tcPr>
            <w:tcW w:w="0" w:type="dxa"/>
            <w:vAlign w:val="bottom"/>
          </w:tcPr>
          <w:p>
            <w:pPr>
              <w:spacing w:after="0"/>
              <w:rPr>
                <w:sz w:val="1"/>
                <w:szCs w:val="1"/>
                <w:color w:val="auto"/>
              </w:rPr>
            </w:pPr>
          </w:p>
        </w:tc>
      </w:tr>
      <w:tr>
        <w:trPr>
          <w:trHeight w:val="215"/>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58,521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58,258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191,775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135,490</w:t>
            </w:r>
          </w:p>
        </w:tc>
        <w:tc>
          <w:tcPr>
            <w:tcW w:w="0" w:type="dxa"/>
            <w:vAlign w:val="bottom"/>
          </w:tcPr>
          <w:p>
            <w:pPr>
              <w:spacing w:after="0"/>
              <w:rPr>
                <w:sz w:val="1"/>
                <w:szCs w:val="1"/>
                <w:color w:val="auto"/>
              </w:rPr>
            </w:pPr>
          </w:p>
        </w:tc>
      </w:tr>
      <w:tr>
        <w:trPr>
          <w:trHeight w:val="203"/>
        </w:trPr>
        <w:tc>
          <w:tcPr>
            <w:tcW w:w="43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interest income (expense)</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58,172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58,894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191,839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137,159</w:t>
            </w:r>
          </w:p>
        </w:tc>
        <w:tc>
          <w:tcPr>
            <w:tcW w:w="0" w:type="dxa"/>
            <w:vAlign w:val="bottom"/>
          </w:tcPr>
          <w:p>
            <w:pPr>
              <w:spacing w:after="0"/>
              <w:rPr>
                <w:sz w:val="1"/>
                <w:szCs w:val="1"/>
                <w:color w:val="auto"/>
              </w:rPr>
            </w:pPr>
          </w:p>
        </w:tc>
      </w:tr>
      <w:tr>
        <w:trPr>
          <w:trHeight w:val="20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(39,898)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(21,413)</w:t>
            </w:r>
          </w:p>
        </w:tc>
        <w:tc>
          <w:tcPr>
            <w:tcW w:w="0" w:type="dxa"/>
            <w:vAlign w:val="bottom"/>
          </w:tcPr>
          <w:p>
            <w:pPr>
              <w:spacing w:after="0"/>
              <w:rPr>
                <w:sz w:val="1"/>
                <w:szCs w:val="1"/>
                <w:color w:val="auto"/>
              </w:rPr>
            </w:pPr>
          </w:p>
        </w:tc>
      </w:tr>
      <w:tr>
        <w:trPr>
          <w:trHeight w:val="215"/>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47,048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48,578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151,941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115,746</w:t>
            </w: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rPr>
                <w:sz w:val="20"/>
                <w:szCs w:val="20"/>
                <w:color w:val="auto"/>
              </w:rPr>
            </w:pPr>
            <w:r>
              <w:rPr>
                <w:rFonts w:ascii="Arial" w:cs="Arial" w:eastAsia="Arial" w:hAnsi="Arial"/>
                <w:sz w:val="14"/>
                <w:szCs w:val="14"/>
                <w:color w:val="auto"/>
              </w:rPr>
              <w:t>Less: Pre-IPO net income attributable to Tradeweb Markets LLC</w:t>
            </w:r>
          </w:p>
        </w:tc>
        <w:tc>
          <w:tcPr>
            <w:tcW w:w="3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42,352</w:t>
            </w:r>
          </w:p>
        </w:tc>
        <w:tc>
          <w:tcPr>
            <w:tcW w:w="0" w:type="dxa"/>
            <w:vAlign w:val="bottom"/>
          </w:tcPr>
          <w:p>
            <w:pPr>
              <w:spacing w:after="0"/>
              <w:rPr>
                <w:sz w:val="1"/>
                <w:szCs w:val="1"/>
                <w:color w:val="auto"/>
              </w:rPr>
            </w:pPr>
          </w:p>
        </w:tc>
      </w:tr>
      <w:tr>
        <w:trPr>
          <w:trHeight w:val="18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Tradeweb Markets Inc. and non-</w:t>
            </w:r>
          </w:p>
        </w:tc>
        <w:tc>
          <w:tcPr>
            <w:tcW w:w="3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controlling interests</w:t>
            </w: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47,048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48,578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151,941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73,394</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10,236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40,705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30,954</w:t>
            </w:r>
          </w:p>
        </w:tc>
        <w:tc>
          <w:tcPr>
            <w:tcW w:w="0" w:type="dxa"/>
            <w:vAlign w:val="bottom"/>
          </w:tcPr>
          <w:p>
            <w:pPr>
              <w:spacing w:after="0"/>
              <w:rPr>
                <w:sz w:val="1"/>
                <w:szCs w:val="1"/>
                <w:color w:val="auto"/>
              </w:rPr>
            </w:pPr>
          </w:p>
        </w:tc>
      </w:tr>
      <w:tr>
        <w:trPr>
          <w:trHeight w:val="235"/>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36,812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29,612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111,236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42,440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EPS calculations for post-IPO and pre-IPO periods </w:t>
            </w:r>
            <w:r>
              <w:rPr>
                <w:rFonts w:ascii="Arial" w:cs="Arial" w:eastAsia="Arial" w:hAnsi="Arial"/>
                <w:sz w:val="18"/>
                <w:szCs w:val="18"/>
                <w:b w:val="1"/>
                <w:bCs w:val="1"/>
                <w:color w:val="auto"/>
                <w:vertAlign w:val="superscript"/>
              </w:rPr>
              <w:t>(1)</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rPr>
                <w:sz w:val="20"/>
                <w:szCs w:val="20"/>
                <w:color w:val="auto"/>
              </w:rPr>
            </w:pPr>
            <w:r>
              <w:rPr>
                <w:rFonts w:ascii="Arial" w:cs="Arial" w:eastAsia="Arial" w:hAnsi="Arial"/>
                <w:sz w:val="14"/>
                <w:szCs w:val="14"/>
                <w:color w:val="auto"/>
              </w:rPr>
              <w:t>Earnings per share</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0.20</w:t>
            </w:r>
            <w:r>
              <w:rPr>
                <w:rFonts w:ascii="Arial" w:cs="Arial" w:eastAsia="Arial" w:hAnsi="Arial"/>
                <w:sz w:val="18"/>
                <w:szCs w:val="18"/>
                <w:color w:val="auto"/>
                <w:vertAlign w:val="superscript"/>
              </w:rPr>
              <w:t>(a)</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r>
              <w:rPr>
                <w:rFonts w:ascii="Arial" w:cs="Arial" w:eastAsia="Arial" w:hAnsi="Arial"/>
                <w:sz w:val="18"/>
                <w:szCs w:val="18"/>
                <w:color w:val="auto"/>
                <w:vertAlign w:val="superscript"/>
              </w:rPr>
              <w:t>(a)</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r>
              <w:rPr>
                <w:rFonts w:ascii="Arial" w:cs="Arial" w:eastAsia="Arial" w:hAnsi="Arial"/>
                <w:sz w:val="18"/>
                <w:szCs w:val="18"/>
                <w:color w:val="auto"/>
                <w:vertAlign w:val="superscript"/>
              </w:rPr>
              <w:t>(a)</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r>
              <w:rPr>
                <w:rFonts w:ascii="Arial" w:cs="Arial" w:eastAsia="Arial" w:hAnsi="Arial"/>
                <w:sz w:val="18"/>
                <w:szCs w:val="18"/>
                <w:color w:val="auto"/>
                <w:vertAlign w:val="superscript"/>
              </w:rPr>
              <w:t>(b)</w:t>
            </w:r>
            <w:r>
              <w:rPr>
                <w:rFonts w:ascii="Arial" w:cs="Arial" w:eastAsia="Arial" w:hAnsi="Arial"/>
                <w:sz w:val="14"/>
                <w:szCs w:val="14"/>
                <w:color w:val="auto"/>
              </w:rPr>
              <w:t xml:space="preserve"> / 0.30</w:t>
            </w:r>
            <w:r>
              <w:rPr>
                <w:rFonts w:ascii="Arial" w:cs="Arial" w:eastAsia="Arial" w:hAnsi="Arial"/>
                <w:sz w:val="18"/>
                <w:szCs w:val="18"/>
                <w:color w:val="auto"/>
                <w:vertAlign w:val="superscript"/>
              </w:rPr>
              <w:t>(a)</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00" w:type="dxa"/>
            <w:vAlign w:val="bottom"/>
            <w:vMerge w:val="continue"/>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00"/>
              <w:spacing w:after="0" w:line="190" w:lineRule="exact"/>
              <w:rPr>
                <w:sz w:val="20"/>
                <w:szCs w:val="20"/>
                <w:color w:val="auto"/>
              </w:rPr>
            </w:pPr>
            <w:r>
              <w:rPr>
                <w:rFonts w:ascii="Arial" w:cs="Arial" w:eastAsia="Arial" w:hAnsi="Arial"/>
                <w:sz w:val="14"/>
                <w:szCs w:val="14"/>
                <w:color w:val="auto"/>
              </w:rPr>
              <w:t>0.19</w:t>
            </w:r>
            <w:r>
              <w:rPr>
                <w:rFonts w:ascii="Arial" w:cs="Arial" w:eastAsia="Arial" w:hAnsi="Arial"/>
                <w:sz w:val="18"/>
                <w:szCs w:val="18"/>
                <w:color w:val="auto"/>
                <w:vertAlign w:val="superscript"/>
              </w:rPr>
              <w:t>(a)</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line="190" w:lineRule="exact"/>
              <w:rPr>
                <w:sz w:val="20"/>
                <w:szCs w:val="20"/>
                <w:color w:val="auto"/>
              </w:rPr>
            </w:pPr>
            <w:r>
              <w:rPr>
                <w:rFonts w:ascii="Arial" w:cs="Arial" w:eastAsia="Arial" w:hAnsi="Arial"/>
                <w:sz w:val="14"/>
                <w:szCs w:val="14"/>
                <w:color w:val="auto"/>
              </w:rPr>
              <w:t>0.20</w:t>
            </w:r>
            <w:r>
              <w:rPr>
                <w:rFonts w:ascii="Arial" w:cs="Arial" w:eastAsia="Arial" w:hAnsi="Arial"/>
                <w:sz w:val="18"/>
                <w:szCs w:val="18"/>
                <w:color w:val="auto"/>
                <w:vertAlign w:val="superscript"/>
              </w:rPr>
              <w:t>(a)</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00"/>
              <w:spacing w:after="0" w:line="190" w:lineRule="exact"/>
              <w:rPr>
                <w:sz w:val="20"/>
                <w:szCs w:val="20"/>
                <w:color w:val="auto"/>
              </w:rPr>
            </w:pPr>
            <w:r>
              <w:rPr>
                <w:rFonts w:ascii="Arial" w:cs="Arial" w:eastAsia="Arial" w:hAnsi="Arial"/>
                <w:sz w:val="14"/>
                <w:szCs w:val="14"/>
                <w:color w:val="auto"/>
              </w:rPr>
              <w:t>0.60</w:t>
            </w:r>
            <w:r>
              <w:rPr>
                <w:rFonts w:ascii="Arial" w:cs="Arial" w:eastAsia="Arial" w:hAnsi="Arial"/>
                <w:sz w:val="18"/>
                <w:szCs w:val="18"/>
                <w:color w:val="auto"/>
                <w:vertAlign w:val="superscript"/>
              </w:rPr>
              <w:t>(a)</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line="190" w:lineRule="exact"/>
              <w:rPr>
                <w:sz w:val="20"/>
                <w:szCs w:val="20"/>
                <w:color w:val="auto"/>
              </w:rPr>
            </w:pPr>
            <w:r>
              <w:rPr>
                <w:rFonts w:ascii="Arial" w:cs="Arial" w:eastAsia="Arial" w:hAnsi="Arial"/>
                <w:sz w:val="14"/>
                <w:szCs w:val="14"/>
                <w:color w:val="auto"/>
              </w:rPr>
              <w:t>0.19</w:t>
            </w:r>
            <w:r>
              <w:rPr>
                <w:rFonts w:ascii="Arial" w:cs="Arial" w:eastAsia="Arial" w:hAnsi="Arial"/>
                <w:sz w:val="18"/>
                <w:szCs w:val="18"/>
                <w:color w:val="auto"/>
                <w:vertAlign w:val="superscript"/>
              </w:rPr>
              <w:t>(b)</w:t>
            </w:r>
            <w:r>
              <w:rPr>
                <w:rFonts w:ascii="Arial" w:cs="Arial" w:eastAsia="Arial" w:hAnsi="Arial"/>
                <w:sz w:val="14"/>
                <w:szCs w:val="14"/>
                <w:color w:val="auto"/>
              </w:rPr>
              <w:t xml:space="preserve"> / 0.28</w:t>
            </w:r>
            <w:r>
              <w:rPr>
                <w:rFonts w:ascii="Arial" w:cs="Arial" w:eastAsia="Arial" w:hAnsi="Arial"/>
                <w:sz w:val="18"/>
                <w:szCs w:val="18"/>
                <w:color w:val="auto"/>
                <w:vertAlign w:val="superscript"/>
              </w:rPr>
              <w:t>(a)</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w:t>
            </w: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30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line="185" w:lineRule="exact"/>
              <w:rPr>
                <w:sz w:val="20"/>
                <w:szCs w:val="20"/>
                <w:color w:val="auto"/>
              </w:rPr>
            </w:pPr>
            <w:r>
              <w:rPr>
                <w:rFonts w:ascii="Arial" w:cs="Arial" w:eastAsia="Arial" w:hAnsi="Arial"/>
                <w:sz w:val="14"/>
                <w:szCs w:val="14"/>
                <w:color w:val="auto"/>
              </w:rPr>
              <w:t>222,222,197</w:t>
            </w:r>
            <w:r>
              <w:rPr>
                <w:rFonts w:ascii="Arial" w:cs="Arial" w:eastAsia="Arial" w:hAnsi="Arial"/>
                <w:sz w:val="18"/>
                <w:szCs w:val="18"/>
                <w:color w:val="auto"/>
                <w:vertAlign w:val="superscript"/>
              </w:rPr>
              <w:t>(b)</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193"/>
        </w:trPr>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right"/>
              <w:ind w:right="100"/>
              <w:spacing w:after="0" w:line="193" w:lineRule="exact"/>
              <w:rPr>
                <w:sz w:val="20"/>
                <w:szCs w:val="20"/>
                <w:color w:val="auto"/>
              </w:rPr>
            </w:pPr>
            <w:r>
              <w:rPr>
                <w:rFonts w:ascii="Arial" w:cs="Arial" w:eastAsia="Arial" w:hAnsi="Arial"/>
                <w:sz w:val="14"/>
                <w:szCs w:val="14"/>
                <w:color w:val="auto"/>
              </w:rPr>
              <w:t>187,774,170</w:t>
            </w:r>
            <w:r>
              <w:rPr>
                <w:rFonts w:ascii="Arial" w:cs="Arial" w:eastAsia="Arial" w:hAnsi="Arial"/>
                <w:sz w:val="18"/>
                <w:szCs w:val="18"/>
                <w:color w:val="auto"/>
                <w:vertAlign w:val="superscript"/>
              </w:rPr>
              <w:t>(a)</w:t>
            </w:r>
          </w:p>
        </w:tc>
        <w:tc>
          <w:tcPr>
            <w:tcW w:w="380" w:type="dxa"/>
            <w:vAlign w:val="bottom"/>
          </w:tcPr>
          <w:p>
            <w:pPr>
              <w:spacing w:after="0"/>
              <w:rPr>
                <w:sz w:val="16"/>
                <w:szCs w:val="16"/>
                <w:color w:val="auto"/>
              </w:rPr>
            </w:pPr>
          </w:p>
        </w:tc>
        <w:tc>
          <w:tcPr>
            <w:tcW w:w="1380" w:type="dxa"/>
            <w:vAlign w:val="bottom"/>
            <w:gridSpan w:val="2"/>
          </w:tcPr>
          <w:p>
            <w:pPr>
              <w:jc w:val="right"/>
              <w:ind w:right="100"/>
              <w:spacing w:after="0" w:line="193" w:lineRule="exact"/>
              <w:rPr>
                <w:sz w:val="20"/>
                <w:szCs w:val="20"/>
                <w:color w:val="auto"/>
              </w:rPr>
            </w:pPr>
            <w:r>
              <w:rPr>
                <w:rFonts w:ascii="Arial" w:cs="Arial" w:eastAsia="Arial" w:hAnsi="Arial"/>
                <w:sz w:val="14"/>
                <w:szCs w:val="14"/>
                <w:color w:val="auto"/>
              </w:rPr>
              <w:t>142,935,206</w:t>
            </w:r>
            <w:r>
              <w:rPr>
                <w:rFonts w:ascii="Arial" w:cs="Arial" w:eastAsia="Arial" w:hAnsi="Arial"/>
                <w:sz w:val="18"/>
                <w:szCs w:val="18"/>
                <w:color w:val="auto"/>
                <w:vertAlign w:val="superscript"/>
              </w:rPr>
              <w:t>(a)</w:t>
            </w:r>
          </w:p>
        </w:tc>
        <w:tc>
          <w:tcPr>
            <w:tcW w:w="300" w:type="dxa"/>
            <w:vAlign w:val="bottom"/>
          </w:tcPr>
          <w:p>
            <w:pPr>
              <w:spacing w:after="0"/>
              <w:rPr>
                <w:sz w:val="16"/>
                <w:szCs w:val="16"/>
                <w:color w:val="auto"/>
              </w:rPr>
            </w:pPr>
          </w:p>
        </w:tc>
        <w:tc>
          <w:tcPr>
            <w:tcW w:w="1440" w:type="dxa"/>
            <w:vAlign w:val="bottom"/>
            <w:gridSpan w:val="2"/>
          </w:tcPr>
          <w:p>
            <w:pPr>
              <w:jc w:val="right"/>
              <w:ind w:right="100"/>
              <w:spacing w:after="0" w:line="193" w:lineRule="exact"/>
              <w:rPr>
                <w:sz w:val="20"/>
                <w:szCs w:val="20"/>
                <w:color w:val="auto"/>
              </w:rPr>
            </w:pPr>
            <w:r>
              <w:rPr>
                <w:rFonts w:ascii="Arial" w:cs="Arial" w:eastAsia="Arial" w:hAnsi="Arial"/>
                <w:sz w:val="14"/>
                <w:szCs w:val="14"/>
                <w:color w:val="auto"/>
              </w:rPr>
              <w:t>177,257,994</w:t>
            </w:r>
            <w:r>
              <w:rPr>
                <w:rFonts w:ascii="Arial" w:cs="Arial" w:eastAsia="Arial" w:hAnsi="Arial"/>
                <w:sz w:val="18"/>
                <w:szCs w:val="18"/>
                <w:color w:val="auto"/>
                <w:vertAlign w:val="superscript"/>
              </w:rPr>
              <w:t>(a)</w:t>
            </w:r>
          </w:p>
        </w:tc>
        <w:tc>
          <w:tcPr>
            <w:tcW w:w="3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Arial" w:cs="Arial" w:eastAsia="Arial" w:hAnsi="Arial"/>
                <w:sz w:val="14"/>
                <w:szCs w:val="14"/>
                <w:color w:val="auto"/>
              </w:rPr>
              <w:t>142,934,221</w:t>
            </w:r>
            <w:r>
              <w:rPr>
                <w:rFonts w:ascii="Arial" w:cs="Arial" w:eastAsia="Arial" w:hAnsi="Arial"/>
                <w:sz w:val="18"/>
                <w:szCs w:val="18"/>
                <w:color w:val="auto"/>
                <w:vertAlign w:val="superscript"/>
              </w:rPr>
              <w:t>(a)</w:t>
            </w:r>
          </w:p>
        </w:tc>
        <w:tc>
          <w:tcPr>
            <w:tcW w:w="0" w:type="dxa"/>
            <w:vAlign w:val="bottom"/>
          </w:tcPr>
          <w:p>
            <w:pPr>
              <w:spacing w:after="0"/>
              <w:rPr>
                <w:sz w:val="1"/>
                <w:szCs w:val="1"/>
                <w:color w:val="auto"/>
              </w:rPr>
            </w:pPr>
          </w:p>
        </w:tc>
      </w:tr>
      <w:tr>
        <w:trPr>
          <w:trHeight w:val="185"/>
        </w:trPr>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5" w:lineRule="exact"/>
              <w:rPr>
                <w:sz w:val="20"/>
                <w:szCs w:val="20"/>
                <w:color w:val="auto"/>
              </w:rPr>
            </w:pPr>
            <w:r>
              <w:rPr>
                <w:rFonts w:ascii="Arial" w:cs="Arial" w:eastAsia="Arial" w:hAnsi="Arial"/>
                <w:sz w:val="14"/>
                <w:szCs w:val="14"/>
                <w:color w:val="auto"/>
              </w:rPr>
              <w:t>223,320,457</w:t>
            </w:r>
            <w:r>
              <w:rPr>
                <w:rFonts w:ascii="Arial" w:cs="Arial" w:eastAsia="Arial" w:hAnsi="Arial"/>
                <w:sz w:val="18"/>
                <w:szCs w:val="18"/>
                <w:color w:val="auto"/>
                <w:vertAlign w:val="superscript"/>
              </w:rPr>
              <w:t>(b)</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00"/>
              <w:spacing w:after="0" w:line="193" w:lineRule="exact"/>
              <w:rPr>
                <w:sz w:val="20"/>
                <w:szCs w:val="20"/>
                <w:color w:val="auto"/>
              </w:rPr>
            </w:pPr>
            <w:r>
              <w:rPr>
                <w:rFonts w:ascii="Arial" w:cs="Arial" w:eastAsia="Arial" w:hAnsi="Arial"/>
                <w:sz w:val="14"/>
                <w:szCs w:val="14"/>
                <w:color w:val="auto"/>
              </w:rPr>
              <w:t>194,955,695</w:t>
            </w:r>
            <w:r>
              <w:rPr>
                <w:rFonts w:ascii="Arial" w:cs="Arial" w:eastAsia="Arial" w:hAnsi="Arial"/>
                <w:sz w:val="18"/>
                <w:szCs w:val="18"/>
                <w:color w:val="auto"/>
                <w:vertAlign w:val="superscript"/>
              </w:rPr>
              <w:t>(a)</w:t>
            </w:r>
          </w:p>
        </w:tc>
        <w:tc>
          <w:tcPr>
            <w:tcW w:w="3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00"/>
              <w:spacing w:after="0" w:line="193" w:lineRule="exact"/>
              <w:rPr>
                <w:sz w:val="20"/>
                <w:szCs w:val="20"/>
                <w:color w:val="auto"/>
              </w:rPr>
            </w:pPr>
            <w:r>
              <w:rPr>
                <w:rFonts w:ascii="Arial" w:cs="Arial" w:eastAsia="Arial" w:hAnsi="Arial"/>
                <w:sz w:val="14"/>
                <w:szCs w:val="14"/>
                <w:color w:val="auto"/>
              </w:rPr>
              <w:t>151,362,643</w:t>
            </w:r>
            <w:r>
              <w:rPr>
                <w:rFonts w:ascii="Arial" w:cs="Arial" w:eastAsia="Arial" w:hAnsi="Arial"/>
                <w:sz w:val="18"/>
                <w:szCs w:val="18"/>
                <w:color w:val="auto"/>
                <w:vertAlign w:val="superscript"/>
              </w:rPr>
              <w:t>(a)</w:t>
            </w:r>
          </w:p>
        </w:tc>
        <w:tc>
          <w:tcPr>
            <w:tcW w:w="3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line="193" w:lineRule="exact"/>
              <w:rPr>
                <w:sz w:val="20"/>
                <w:szCs w:val="20"/>
                <w:color w:val="auto"/>
              </w:rPr>
            </w:pPr>
            <w:r>
              <w:rPr>
                <w:rFonts w:ascii="Arial" w:cs="Arial" w:eastAsia="Arial" w:hAnsi="Arial"/>
                <w:sz w:val="14"/>
                <w:szCs w:val="14"/>
                <w:color w:val="auto"/>
              </w:rPr>
              <w:t>185,026,108</w:t>
            </w:r>
            <w:r>
              <w:rPr>
                <w:rFonts w:ascii="Arial" w:cs="Arial" w:eastAsia="Arial" w:hAnsi="Arial"/>
                <w:sz w:val="18"/>
                <w:szCs w:val="18"/>
                <w:color w:val="auto"/>
                <w:vertAlign w:val="superscript"/>
              </w:rPr>
              <w:t>(a)</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93" w:lineRule="exact"/>
              <w:rPr>
                <w:sz w:val="20"/>
                <w:szCs w:val="20"/>
                <w:color w:val="auto"/>
              </w:rPr>
            </w:pPr>
            <w:r>
              <w:rPr>
                <w:rFonts w:ascii="Arial" w:cs="Arial" w:eastAsia="Arial" w:hAnsi="Arial"/>
                <w:sz w:val="14"/>
                <w:szCs w:val="14"/>
                <w:color w:val="auto"/>
              </w:rPr>
              <w:t>151,158,760</w:t>
            </w:r>
            <w:r>
              <w:rPr>
                <w:rFonts w:ascii="Arial" w:cs="Arial" w:eastAsia="Arial" w:hAnsi="Arial"/>
                <w:sz w:val="18"/>
                <w:szCs w:val="18"/>
                <w:color w:val="auto"/>
                <w:vertAlign w:val="superscript"/>
              </w:rPr>
              <w:t>(a)</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660" w:right="280" w:hanging="328"/>
        <w:spacing w:after="0" w:line="238" w:lineRule="auto"/>
        <w:tabs>
          <w:tab w:leader="none" w:pos="652"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w:t>
      </w:r>
    </w:p>
    <w:p>
      <w:pPr>
        <w:ind w:left="1300" w:hanging="320"/>
        <w:spacing w:after="0" w:line="216" w:lineRule="auto"/>
        <w:tabs>
          <w:tab w:leader="none" w:pos="130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ind w:left="1300" w:hanging="320"/>
        <w:spacing w:after="0" w:line="216" w:lineRule="auto"/>
        <w:tabs>
          <w:tab w:leader="none" w:pos="130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ind w:left="660"/>
        <w:spacing w:after="0"/>
        <w:rPr>
          <w:sz w:val="20"/>
          <w:szCs w:val="20"/>
          <w:color w:val="auto"/>
        </w:rPr>
      </w:pPr>
      <w:r>
        <w:rPr>
          <w:rFonts w:ascii="Arial" w:cs="Arial" w:eastAsia="Arial" w:hAnsi="Arial"/>
          <w:sz w:val="13"/>
          <w:szCs w:val="13"/>
          <w:color w:val="auto"/>
        </w:rPr>
        <w:t>See “Basic and Diluted EPS Calculations” and “Presentation” below for additional information.</w:t>
      </w:r>
    </w:p>
    <w:p>
      <w:pPr>
        <w:sectPr>
          <w:pgSz w:w="11900" w:h="16838" w:orient="portrait"/>
          <w:cols w:equalWidth="0" w:num="1">
            <w:col w:w="11240"/>
          </w:cols>
          <w:pgMar w:left="320" w:top="985" w:right="339" w:bottom="1440" w:gutter="0" w:footer="0" w:header="0"/>
        </w:sectPr>
      </w:pPr>
    </w:p>
    <w:p>
      <w:pPr>
        <w:spacing w:after="0" w:line="180"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3</w:t>
      </w:r>
    </w:p>
    <w:p>
      <w:pPr>
        <w:sectPr>
          <w:pgSz w:w="11900" w:h="16838" w:orient="portrait"/>
          <w:cols w:equalWidth="0" w:num="1">
            <w:col w:w="11240"/>
          </w:cols>
          <w:pgMar w:left="320" w:top="98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Reconciliation of Net Income to</w:t>
            </w:r>
          </w:p>
        </w:tc>
        <w:tc>
          <w:tcPr>
            <w:tcW w:w="360" w:type="dxa"/>
            <w:vAlign w:val="bottom"/>
          </w:tcPr>
          <w:p>
            <w:pPr>
              <w:spacing w:after="0"/>
              <w:rPr>
                <w:sz w:val="16"/>
                <w:szCs w:val="16"/>
                <w:color w:val="auto"/>
              </w:rPr>
            </w:pPr>
          </w:p>
        </w:tc>
        <w:tc>
          <w:tcPr>
            <w:tcW w:w="3320" w:type="dxa"/>
            <w:vAlign w:val="bottom"/>
            <w:gridSpan w:val="4"/>
            <w:vMerge w:val="restart"/>
          </w:tcPr>
          <w:p>
            <w:pPr>
              <w:jc w:val="right"/>
              <w:ind w:right="219"/>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gridSpan w:val="4"/>
            <w:vMerge w:val="restart"/>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Adjusted EBITDA, Adjusted EBITDA</w:t>
            </w:r>
          </w:p>
        </w:tc>
        <w:tc>
          <w:tcPr>
            <w:tcW w:w="360" w:type="dxa"/>
            <w:vAlign w:val="bottom"/>
          </w:tcPr>
          <w:p>
            <w:pPr>
              <w:spacing w:after="0"/>
              <w:rPr>
                <w:sz w:val="16"/>
                <w:szCs w:val="16"/>
                <w:color w:val="auto"/>
              </w:rPr>
            </w:pPr>
          </w:p>
        </w:tc>
        <w:tc>
          <w:tcPr>
            <w:tcW w:w="332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0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Margin, Adjusted EBIT and Adjusted</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EBIT Margin</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47,048</w:t>
            </w:r>
          </w:p>
        </w:tc>
        <w:tc>
          <w:tcPr>
            <w:tcW w:w="13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48,578</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151,941</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115,746</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240" w:type="dxa"/>
            <w:vAlign w:val="bottom"/>
          </w:tcPr>
          <w:p>
            <w:pPr>
              <w:ind w:left="20"/>
              <w:spacing w:after="0"/>
              <w:rPr>
                <w:sz w:val="20"/>
                <w:szCs w:val="20"/>
                <w:color w:val="auto"/>
              </w:rPr>
            </w:pPr>
            <w:r>
              <w:rPr>
                <w:rFonts w:ascii="Arial" w:cs="Arial" w:eastAsia="Arial" w:hAnsi="Arial"/>
                <w:sz w:val="16"/>
                <w:szCs w:val="16"/>
                <w:color w:val="auto"/>
              </w:rPr>
              <w:t>Net interest income (expense)</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349</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(636)</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(1,669)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38,857</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35,133</w:t>
            </w: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113,952</w:t>
            </w: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102,928</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(1)</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1,816</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1,995</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10,308</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22,398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11,124</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10,316</w:t>
            </w: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39,898</w:t>
            </w: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21,413</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240" w:type="dxa"/>
            <w:vAlign w:val="bottom"/>
          </w:tcPr>
          <w:p>
            <w:pPr>
              <w:ind w:left="20"/>
              <w:spacing w:after="0"/>
              <w:rPr>
                <w:sz w:val="20"/>
                <w:szCs w:val="20"/>
                <w:color w:val="auto"/>
              </w:rPr>
            </w:pPr>
            <w:r>
              <w:rPr>
                <w:rFonts w:ascii="Arial" w:cs="Arial" w:eastAsia="Arial" w:hAnsi="Arial"/>
                <w:sz w:val="16"/>
                <w:szCs w:val="16"/>
                <w:color w:val="auto"/>
              </w:rPr>
              <w:t>Unrealized foreign exchange (gains) /</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40" w:type="dxa"/>
            <w:vAlign w:val="bottom"/>
          </w:tcPr>
          <w:p>
            <w:pPr>
              <w:ind w:left="20"/>
              <w:spacing w:after="0"/>
              <w:rPr>
                <w:sz w:val="20"/>
                <w:szCs w:val="20"/>
                <w:color w:val="auto"/>
              </w:rPr>
            </w:pPr>
            <w:r>
              <w:rPr>
                <w:rFonts w:ascii="Arial" w:cs="Arial" w:eastAsia="Arial" w:hAnsi="Arial"/>
                <w:sz w:val="16"/>
                <w:szCs w:val="16"/>
                <w:color w:val="auto"/>
              </w:rPr>
              <w:t>losses</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1,492</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(2,499)</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5,449</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(Gain)/Loss from revaluation of foreign</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denominated cash</w:t>
            </w:r>
            <w:r>
              <w:rPr>
                <w:rFonts w:ascii="Arial" w:cs="Arial" w:eastAsia="Arial" w:hAnsi="Arial"/>
                <w:sz w:val="21"/>
                <w:szCs w:val="21"/>
                <w:color w:val="auto"/>
                <w:vertAlign w:val="superscript"/>
              </w:rPr>
              <w:t>(2)</w:t>
            </w: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3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100,913</w:t>
            </w:r>
          </w:p>
        </w:tc>
        <w:tc>
          <w:tcPr>
            <w:tcW w:w="13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93,449</w:t>
            </w: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321,872</w:t>
            </w: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260,721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Depreciation and amortization</w:t>
            </w:r>
          </w:p>
        </w:tc>
        <w:tc>
          <w:tcPr>
            <w:tcW w:w="3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(38,857)</w:t>
            </w:r>
          </w:p>
        </w:tc>
        <w:tc>
          <w:tcPr>
            <w:tcW w:w="3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(35,133)</w:t>
            </w:r>
          </w:p>
        </w:tc>
        <w:tc>
          <w:tcPr>
            <w:tcW w:w="3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(113,952)</w:t>
            </w:r>
          </w:p>
        </w:tc>
        <w:tc>
          <w:tcPr>
            <w:tcW w:w="3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(102,928)</w:t>
            </w:r>
          </w:p>
        </w:tc>
        <w:tc>
          <w:tcPr>
            <w:tcW w:w="3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Add: Acquisition and Refinitiv Transaction</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Borders>
              <w:bottom w:val="single" w:sz="8" w:color="CCEEFF"/>
            </w:tcBorders>
          </w:tcPr>
          <w:p>
            <w:pPr>
              <w:ind w:left="20"/>
              <w:spacing w:after="0" w:line="217" w:lineRule="exact"/>
              <w:rPr>
                <w:sz w:val="20"/>
                <w:szCs w:val="20"/>
                <w:color w:val="auto"/>
              </w:rPr>
            </w:pPr>
            <w:r>
              <w:rPr>
                <w:rFonts w:ascii="Arial" w:cs="Arial" w:eastAsia="Arial" w:hAnsi="Arial"/>
                <w:sz w:val="16"/>
                <w:szCs w:val="16"/>
                <w:color w:val="auto"/>
              </w:rPr>
              <w:t>related D&amp;A</w:t>
            </w:r>
            <w:r>
              <w:rPr>
                <w:rFonts w:ascii="Arial" w:cs="Arial" w:eastAsia="Arial" w:hAnsi="Arial"/>
                <w:sz w:val="21"/>
                <w:szCs w:val="21"/>
                <w:color w:val="auto"/>
                <w:vertAlign w:val="superscript"/>
              </w:rPr>
              <w:t>(3)</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27,959</w:t>
            </w:r>
          </w:p>
        </w:tc>
        <w:tc>
          <w:tcPr>
            <w:tcW w:w="3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24,780</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81,363</w:t>
            </w: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72,122</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90,015</w:t>
            </w:r>
          </w:p>
        </w:tc>
        <w:tc>
          <w:tcPr>
            <w:tcW w:w="13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83,096</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289,283</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229,915</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w w:val="98"/>
              </w:rPr>
              <w:t>%</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w w:val="98"/>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98"/>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 margin</w:t>
            </w:r>
            <w:r>
              <w:rPr>
                <w:rFonts w:ascii="Arial" w:cs="Arial" w:eastAsia="Arial" w:hAnsi="Arial"/>
                <w:sz w:val="21"/>
                <w:szCs w:val="21"/>
                <w:color w:val="auto"/>
                <w:vertAlign w:val="superscript"/>
              </w:rPr>
              <w:t>(4)</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8"/>
              </w:rPr>
              <w:t>%</w:t>
            </w:r>
          </w:p>
        </w:tc>
        <w:tc>
          <w:tcPr>
            <w:tcW w:w="10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8"/>
              </w:rPr>
              <w:t>%</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660" w:right="220" w:hanging="328"/>
        <w:spacing w:after="0" w:line="184" w:lineRule="auto"/>
        <w:tabs>
          <w:tab w:leader="none" w:pos="652"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ind w:left="640" w:hanging="308"/>
        <w:spacing w:after="0"/>
        <w:tabs>
          <w:tab w:leader="none" w:pos="6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ind w:left="660" w:right="180" w:hanging="328"/>
        <w:spacing w:after="0" w:line="238" w:lineRule="auto"/>
        <w:tabs>
          <w:tab w:leader="none" w:pos="652"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640" w:hanging="308"/>
        <w:spacing w:after="0"/>
        <w:tabs>
          <w:tab w:leader="none" w:pos="6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Adjusted EBITDA margin and Adjusted EBIT margin are defined as Adjusted EBITDA and Adjusted EBIT, respectively, divided by gross revenue for the applicable period.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Reconciliation of Net Income to</w:t>
            </w:r>
          </w:p>
        </w:tc>
        <w:tc>
          <w:tcPr>
            <w:tcW w:w="1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3020" w:type="dxa"/>
            <w:vAlign w:val="bottom"/>
            <w:gridSpan w:val="5"/>
          </w:tcPr>
          <w:p>
            <w:pPr>
              <w:jc w:val="center"/>
              <w:ind w:right="127"/>
              <w:spacing w:after="0"/>
              <w:rPr>
                <w:sz w:val="20"/>
                <w:szCs w:val="20"/>
                <w:color w:val="auto"/>
              </w:rPr>
            </w:pPr>
            <w:r>
              <w:rPr>
                <w:rFonts w:ascii="Arial" w:cs="Arial" w:eastAsia="Arial" w:hAnsi="Arial"/>
                <w:sz w:val="16"/>
                <w:szCs w:val="16"/>
                <w:b w:val="1"/>
                <w:bCs w:val="1"/>
                <w:color w:val="auto"/>
              </w:rPr>
              <w:t>Nine Months Ended September 30,</w:t>
            </w:r>
          </w:p>
        </w:tc>
      </w:tr>
      <w:tr>
        <w:trPr>
          <w:trHeight w:val="25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Net Income and Adjusted Diluted EPS</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2"/>
                <w:szCs w:val="22"/>
                <w:color w:val="auto"/>
              </w:rPr>
            </w:pPr>
          </w:p>
        </w:tc>
      </w:tr>
      <w:tr>
        <w:trPr>
          <w:trHeight w:val="233"/>
        </w:trPr>
        <w:tc>
          <w:tcPr>
            <w:tcW w:w="7540" w:type="dxa"/>
            <w:vAlign w:val="bottom"/>
            <w:gridSpan w:val="6"/>
          </w:tcPr>
          <w:p>
            <w:pPr>
              <w:ind w:left="3920"/>
              <w:spacing w:after="0"/>
              <w:rPr>
                <w:sz w:val="20"/>
                <w:szCs w:val="20"/>
                <w:color w:val="auto"/>
              </w:rPr>
            </w:pPr>
            <w:r>
              <w:rPr>
                <w:rFonts w:ascii="Arial" w:cs="Arial" w:eastAsia="Arial" w:hAnsi="Arial"/>
                <w:sz w:val="16"/>
                <w:szCs w:val="16"/>
                <w:b w:val="1"/>
                <w:bCs w:val="1"/>
                <w:color w:val="auto"/>
              </w:rPr>
              <w:t>(in thousands, except per share amounts)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diluted share</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$ 0.19 / 0.28</w:t>
            </w:r>
          </w:p>
        </w:tc>
        <w:tc>
          <w:tcPr>
            <w:tcW w:w="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w:t>
            </w:r>
          </w:p>
        </w:tc>
      </w:tr>
      <w:tr>
        <w:trPr>
          <w:trHeight w:val="236"/>
        </w:trPr>
        <w:tc>
          <w:tcPr>
            <w:tcW w:w="486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Pre-IPO net income attributable to Tradeweb Markets LLC </w:t>
            </w:r>
            <w:r>
              <w:rPr>
                <w:rFonts w:ascii="Arial" w:cs="Arial" w:eastAsia="Arial" w:hAnsi="Arial"/>
                <w:sz w:val="21"/>
                <w:szCs w:val="21"/>
                <w:color w:val="auto"/>
                <w:vertAlign w:val="superscript"/>
              </w:rPr>
              <w:t>(1)</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42,352</w:t>
            </w:r>
          </w:p>
        </w:tc>
        <w:tc>
          <w:tcPr>
            <w:tcW w:w="460" w:type="dxa"/>
            <w:vAlign w:val="bottom"/>
          </w:tcPr>
          <w:p>
            <w:pPr>
              <w:ind w:left="20"/>
              <w:spacing w:after="0"/>
              <w:rPr>
                <w:sz w:val="20"/>
                <w:szCs w:val="20"/>
                <w:color w:val="auto"/>
              </w:rPr>
            </w:pPr>
            <w:r>
              <w:rPr>
                <w:rFonts w:ascii="Arial" w:cs="Arial" w:eastAsia="Arial" w:hAnsi="Arial"/>
                <w:sz w:val="11"/>
                <w:szCs w:val="11"/>
                <w:color w:val="auto"/>
              </w:rPr>
              <w:t>(b)</w:t>
            </w: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Tradeweb Markets Inc.</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36,812</w:t>
            </w:r>
          </w:p>
        </w:tc>
        <w:tc>
          <w:tcPr>
            <w:tcW w:w="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29,612</w:t>
            </w:r>
          </w:p>
        </w:tc>
        <w:tc>
          <w:tcPr>
            <w:tcW w:w="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111,236</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42,440</w:t>
            </w:r>
          </w:p>
        </w:tc>
        <w:tc>
          <w:tcPr>
            <w:tcW w:w="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r>
      <w:tr>
        <w:trPr>
          <w:trHeight w:val="24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(1)(2)</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10,236</w:t>
            </w:r>
          </w:p>
        </w:tc>
        <w:tc>
          <w:tcPr>
            <w:tcW w:w="3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18,966</w:t>
            </w:r>
          </w:p>
        </w:tc>
        <w:tc>
          <w:tcPr>
            <w:tcW w:w="3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40,705</w:t>
            </w:r>
          </w:p>
        </w:tc>
        <w:tc>
          <w:tcPr>
            <w:tcW w:w="3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30,954</w:t>
            </w:r>
          </w:p>
        </w:tc>
        <w:tc>
          <w:tcPr>
            <w:tcW w:w="4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w:t>
            </w:r>
          </w:p>
        </w:tc>
      </w:tr>
      <w:tr>
        <w:trPr>
          <w:trHeight w:val="236"/>
        </w:trPr>
        <w:tc>
          <w:tcPr>
            <w:tcW w:w="486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Net income</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47,048</w:t>
            </w:r>
          </w:p>
        </w:tc>
        <w:tc>
          <w:tcPr>
            <w:tcW w:w="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48,578</w:t>
            </w:r>
          </w:p>
        </w:tc>
        <w:tc>
          <w:tcPr>
            <w:tcW w:w="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151,941</w:t>
            </w:r>
          </w:p>
        </w:tc>
        <w:tc>
          <w:tcPr>
            <w:tcW w:w="52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0"/>
                <w:szCs w:val="10"/>
                <w:color w:val="auto"/>
              </w:rPr>
              <w:t xml:space="preserve">(a)    </w:t>
            </w:r>
            <w:r>
              <w:rPr>
                <w:rFonts w:ascii="Arial" w:cs="Arial" w:eastAsia="Arial" w:hAnsi="Arial"/>
                <w:sz w:val="27"/>
                <w:szCs w:val="27"/>
                <w:color w:val="auto"/>
                <w:vertAlign w:val="subscript"/>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115,746</w:t>
            </w:r>
          </w:p>
        </w:tc>
        <w:tc>
          <w:tcPr>
            <w:tcW w:w="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w:t>
            </w:r>
          </w:p>
        </w:tc>
      </w:tr>
      <w:tr>
        <w:trPr>
          <w:trHeight w:val="233"/>
        </w:trPr>
        <w:tc>
          <w:tcPr>
            <w:tcW w:w="48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11,124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10,316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39,898</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21,413</w:t>
            </w:r>
          </w:p>
        </w:tc>
        <w:tc>
          <w:tcPr>
            <w:tcW w:w="460" w:type="dxa"/>
            <w:vAlign w:val="bottom"/>
          </w:tcPr>
          <w:p>
            <w:pPr>
              <w:spacing w:after="0"/>
              <w:rPr>
                <w:sz w:val="20"/>
                <w:szCs w:val="20"/>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and Refinitiv Transaction related D&amp;A</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27,959</w:t>
            </w: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24,780</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81,363</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72,122</w:t>
            </w:r>
          </w:p>
        </w:tc>
        <w:tc>
          <w:tcPr>
            <w:tcW w:w="460" w:type="dxa"/>
            <w:vAlign w:val="bottom"/>
            <w:shd w:val="clear" w:color="auto" w:fill="CCEEFF"/>
          </w:tcPr>
          <w:p>
            <w:pPr>
              <w:spacing w:after="0"/>
              <w:rPr>
                <w:sz w:val="21"/>
                <w:szCs w:val="2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(4)</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1,816</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1,995</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10,308</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22,398</w:t>
            </w:r>
          </w:p>
        </w:tc>
        <w:tc>
          <w:tcPr>
            <w:tcW w:w="460" w:type="dxa"/>
            <w:vAlign w:val="bottom"/>
          </w:tcPr>
          <w:p>
            <w:pPr>
              <w:spacing w:after="0"/>
              <w:rPr>
                <w:sz w:val="21"/>
                <w:szCs w:val="21"/>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foreign exchange (gains) / losses</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5,449</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460" w:type="dxa"/>
            <w:vAlign w:val="bottom"/>
            <w:shd w:val="clear" w:color="auto" w:fill="CCEEFF"/>
          </w:tcPr>
          <w:p>
            <w:pPr>
              <w:spacing w:after="0"/>
              <w:rPr>
                <w:sz w:val="21"/>
                <w:szCs w:val="21"/>
                <w:color w:val="auto"/>
              </w:rPr>
            </w:pPr>
          </w:p>
        </w:tc>
      </w:tr>
      <w:tr>
        <w:trPr>
          <w:trHeight w:val="24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revaluation of foreign denominated cash</w:t>
            </w:r>
            <w:r>
              <w:rPr>
                <w:rFonts w:ascii="Arial" w:cs="Arial" w:eastAsia="Arial" w:hAnsi="Arial"/>
                <w:sz w:val="21"/>
                <w:szCs w:val="21"/>
                <w:color w:val="auto"/>
                <w:vertAlign w:val="superscript"/>
              </w:rPr>
              <w:t>(5)</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3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1,120</w:t>
            </w:r>
          </w:p>
        </w:tc>
        <w:tc>
          <w:tcPr>
            <w:tcW w:w="460" w:type="dxa"/>
            <w:vAlign w:val="bottom"/>
            <w:tcBorders>
              <w:bottom w:val="single" w:sz="8" w:color="CCEEFF"/>
            </w:tcBorders>
          </w:tcPr>
          <w:p>
            <w:pPr>
              <w:spacing w:after="0"/>
              <w:rPr>
                <w:sz w:val="21"/>
                <w:szCs w:val="21"/>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89,666</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83,732</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289,347</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231,584</w:t>
            </w:r>
          </w:p>
        </w:tc>
        <w:tc>
          <w:tcPr>
            <w:tcW w:w="460" w:type="dxa"/>
            <w:vAlign w:val="bottom"/>
            <w:shd w:val="clear" w:color="auto" w:fill="CCEEFF"/>
          </w:tcPr>
          <w:p>
            <w:pPr>
              <w:spacing w:after="0"/>
              <w:rPr>
                <w:sz w:val="20"/>
                <w:szCs w:val="20"/>
                <w:color w:val="auto"/>
              </w:rPr>
            </w:pPr>
          </w:p>
        </w:tc>
      </w:tr>
      <w:tr>
        <w:trPr>
          <w:trHeight w:val="24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Adjusted income taxes</w:t>
            </w:r>
            <w:r>
              <w:rPr>
                <w:rFonts w:ascii="Arial" w:cs="Arial" w:eastAsia="Arial" w:hAnsi="Arial"/>
                <w:sz w:val="21"/>
                <w:szCs w:val="21"/>
                <w:color w:val="auto"/>
                <w:vertAlign w:val="superscript"/>
              </w:rPr>
              <w:t>(6)</w:t>
            </w: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(19,727)</w:t>
            </w:r>
          </w:p>
        </w:tc>
        <w:tc>
          <w:tcPr>
            <w:tcW w:w="3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(22,105)</w:t>
            </w:r>
          </w:p>
        </w:tc>
        <w:tc>
          <w:tcPr>
            <w:tcW w:w="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(63,656)</w:t>
            </w: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(61,139)</w:t>
            </w:r>
          </w:p>
        </w:tc>
        <w:tc>
          <w:tcPr>
            <w:tcW w:w="460" w:type="dxa"/>
            <w:vAlign w:val="bottom"/>
            <w:tcBorders>
              <w:bottom w:val="single" w:sz="8" w:color="CCEEFF"/>
            </w:tcBorders>
          </w:tcPr>
          <w:p>
            <w:pPr>
              <w:spacing w:after="0"/>
              <w:rPr>
                <w:sz w:val="21"/>
                <w:szCs w:val="2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69,939</w:t>
            </w:r>
          </w:p>
        </w:tc>
        <w:tc>
          <w:tcPr>
            <w:tcW w:w="3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61,627</w:t>
            </w:r>
          </w:p>
        </w:tc>
        <w:tc>
          <w:tcPr>
            <w:tcW w:w="3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225,691</w:t>
            </w:r>
          </w:p>
        </w:tc>
        <w:tc>
          <w:tcPr>
            <w:tcW w:w="3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170,445</w:t>
            </w:r>
          </w:p>
        </w:tc>
        <w:tc>
          <w:tcPr>
            <w:tcW w:w="460" w:type="dxa"/>
            <w:vAlign w:val="bottom"/>
            <w:shd w:val="clear" w:color="auto" w:fill="CCEEFF"/>
          </w:tcPr>
          <w:p>
            <w:pPr>
              <w:spacing w:after="0"/>
              <w:rPr>
                <w:sz w:val="20"/>
                <w:szCs w:val="20"/>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6"/>
                <w:szCs w:val="16"/>
                <w:color w:val="auto"/>
              </w:rPr>
              <w:t>Adjusted Diluted EPS</w:t>
            </w:r>
            <w:r>
              <w:rPr>
                <w:rFonts w:ascii="Arial" w:cs="Arial" w:eastAsia="Arial" w:hAnsi="Arial"/>
                <w:sz w:val="21"/>
                <w:szCs w:val="21"/>
                <w:color w:val="auto"/>
                <w:vertAlign w:val="superscript"/>
              </w:rPr>
              <w:t>(1)(7)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0.30</w:t>
            </w:r>
          </w:p>
        </w:tc>
        <w:tc>
          <w:tcPr>
            <w:tcW w:w="300" w:type="dxa"/>
            <w:vAlign w:val="bottom"/>
          </w:tcPr>
          <w:p>
            <w:pPr>
              <w:ind w:left="20"/>
              <w:spacing w:after="0"/>
              <w:rPr>
                <w:sz w:val="20"/>
                <w:szCs w:val="20"/>
                <w:color w:val="auto"/>
              </w:rPr>
            </w:pPr>
            <w:r>
              <w:rPr>
                <w:rFonts w:ascii="Arial" w:cs="Arial" w:eastAsia="Arial" w:hAnsi="Arial"/>
                <w:sz w:val="11"/>
                <w:szCs w:val="11"/>
                <w:color w:val="auto"/>
              </w:rPr>
              <w:t>(a)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0.27</w:t>
            </w:r>
          </w:p>
        </w:tc>
        <w:tc>
          <w:tcPr>
            <w:tcW w:w="320" w:type="dxa"/>
            <w:vAlign w:val="bottom"/>
          </w:tcPr>
          <w:p>
            <w:pPr>
              <w:ind w:left="20"/>
              <w:spacing w:after="0"/>
              <w:rPr>
                <w:sz w:val="20"/>
                <w:szCs w:val="20"/>
                <w:color w:val="auto"/>
              </w:rPr>
            </w:pPr>
            <w:r>
              <w:rPr>
                <w:rFonts w:ascii="Arial" w:cs="Arial" w:eastAsia="Arial" w:hAnsi="Arial"/>
                <w:sz w:val="11"/>
                <w:szCs w:val="11"/>
                <w:color w:val="auto"/>
              </w:rPr>
              <w:t>(a)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0.97</w:t>
            </w:r>
          </w:p>
        </w:tc>
        <w:tc>
          <w:tcPr>
            <w:tcW w:w="52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1020" w:type="dxa"/>
            <w:vAlign w:val="bottom"/>
          </w:tcPr>
          <w:p>
            <w:pPr>
              <w:jc w:val="right"/>
              <w:spacing w:after="0"/>
              <w:rPr>
                <w:sz w:val="20"/>
                <w:szCs w:val="20"/>
                <w:color w:val="auto"/>
              </w:rPr>
            </w:pPr>
            <w:r>
              <w:rPr>
                <w:rFonts w:ascii="Arial" w:cs="Arial" w:eastAsia="Arial" w:hAnsi="Arial"/>
                <w:sz w:val="16"/>
                <w:szCs w:val="16"/>
                <w:color w:val="auto"/>
              </w:rPr>
              <w:t>$ 0.23 / 0.51</w:t>
            </w:r>
          </w:p>
        </w:tc>
        <w:tc>
          <w:tcPr>
            <w:tcW w:w="460" w:type="dxa"/>
            <w:vAlign w:val="bottom"/>
          </w:tcPr>
          <w:p>
            <w:pPr>
              <w:ind w:left="20"/>
              <w:spacing w:after="0"/>
              <w:rPr>
                <w:sz w:val="20"/>
                <w:szCs w:val="20"/>
                <w:color w:val="auto"/>
              </w:rPr>
            </w:pPr>
            <w:r>
              <w:rPr>
                <w:rFonts w:ascii="Arial" w:cs="Arial" w:eastAsia="Arial" w:hAnsi="Arial"/>
                <w:sz w:val="11"/>
                <w:szCs w:val="11"/>
                <w:color w:val="auto"/>
              </w:rPr>
              <w:t>(b)/(a)</w:t>
            </w:r>
          </w:p>
        </w:tc>
      </w:tr>
      <w:tr>
        <w:trPr>
          <w:trHeight w:val="20"/>
        </w:trPr>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332" w:lineRule="exact"/>
        <w:rPr>
          <w:sz w:val="20"/>
          <w:szCs w:val="20"/>
          <w:color w:val="auto"/>
        </w:rPr>
      </w:pPr>
    </w:p>
    <w:p>
      <w:pPr>
        <w:ind w:left="660" w:right="160" w:hanging="328"/>
        <w:spacing w:after="0" w:line="184" w:lineRule="auto"/>
        <w:tabs>
          <w:tab w:leader="none" w:pos="652"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As a result, certain earnings information is being presented separately for Tradeweb Markets LLC and Tradeweb Markets Inc.</w:t>
      </w:r>
    </w:p>
    <w:p>
      <w:pPr>
        <w:ind w:left="1300" w:hanging="320"/>
        <w:spacing w:after="0" w:line="216" w:lineRule="auto"/>
        <w:tabs>
          <w:tab w:leader="none" w:pos="1300" w:val="left"/>
        </w:tabs>
        <w:numPr>
          <w:ilvl w:val="1"/>
          <w:numId w:val="7"/>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ind w:left="1300" w:hanging="320"/>
        <w:spacing w:after="0" w:line="216" w:lineRule="auto"/>
        <w:tabs>
          <w:tab w:leader="none" w:pos="1300" w:val="left"/>
        </w:tabs>
        <w:numPr>
          <w:ilvl w:val="1"/>
          <w:numId w:val="7"/>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ind w:left="660"/>
        <w:spacing w:after="0" w:line="217" w:lineRule="auto"/>
        <w:rPr>
          <w:sz w:val="20"/>
          <w:szCs w:val="20"/>
          <w:color w:val="auto"/>
        </w:rPr>
      </w:pPr>
      <w:r>
        <w:rPr>
          <w:rFonts w:ascii="Arial" w:cs="Arial" w:eastAsia="Arial" w:hAnsi="Arial"/>
          <w:sz w:val="13"/>
          <w:szCs w:val="13"/>
          <w:color w:val="auto"/>
        </w:rPr>
        <w:t>See the “Basic and Diluted EPS Calculations” table below for additional information.</w:t>
      </w:r>
    </w:p>
    <w:p>
      <w:pPr>
        <w:ind w:left="660" w:right="220" w:hanging="328"/>
        <w:spacing w:after="0" w:line="216"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ind w:left="660" w:right="180" w:hanging="328"/>
        <w:spacing w:after="0" w:line="238"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660" w:right="220" w:hanging="328"/>
        <w:spacing w:after="0" w:line="238"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ind w:left="640" w:hanging="308"/>
        <w:spacing w:after="0" w:line="216" w:lineRule="auto"/>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ind w:left="660" w:right="600" w:hanging="328"/>
        <w:spacing w:after="0" w:line="282" w:lineRule="auto"/>
        <w:tabs>
          <w:tab w:leader="none" w:pos="652"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22.0% and 26.4% applied to Adjusted Net Income before income taxes for the three and nine months ended September 30, 2020 and 2019, respectively. For pre-IPO periods, this adjustment assumes Tradeweb Markets LLC was subject to a corporate tax rate for the periods presented.</w:t>
      </w:r>
    </w:p>
    <w:p>
      <w:pPr>
        <w:sectPr>
          <w:pgSz w:w="11900" w:h="16838" w:orient="portrait"/>
          <w:cols w:equalWidth="0" w:num="1">
            <w:col w:w="11240"/>
          </w:cols>
          <w:pgMar w:left="320" w:top="688" w:right="339" w:bottom="1440" w:gutter="0" w:footer="0" w:header="0"/>
        </w:sectPr>
      </w:pPr>
    </w:p>
    <w:p>
      <w:pPr>
        <w:spacing w:after="0" w:line="167"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4</w:t>
      </w:r>
    </w:p>
    <w:p>
      <w:pPr>
        <w:sectPr>
          <w:pgSz w:w="11900" w:h="16838" w:orient="portrait"/>
          <w:cols w:equalWidth="0" w:num="1">
            <w:col w:w="11240"/>
          </w:cols>
          <w:pgMar w:left="320" w:top="688" w:right="339" w:bottom="1440" w:gutter="0" w:footer="0" w:header="0"/>
          <w:type w:val="continuous"/>
        </w:sectPr>
      </w:pPr>
    </w:p>
    <w:bookmarkStart w:id="7" w:name="page8"/>
    <w:bookmarkEnd w:id="7"/>
    <w:p>
      <w:pPr>
        <w:ind w:left="660" w:right="60" w:hanging="328"/>
        <w:spacing w:after="0" w:line="223" w:lineRule="auto"/>
        <w:tabs>
          <w:tab w:leader="none" w:pos="652" w:val="left"/>
        </w:tabs>
        <w:numPr>
          <w:ilvl w:val="0"/>
          <w:numId w:val="9"/>
        </w:numPr>
        <w:rPr>
          <w:rFonts w:ascii="Arial" w:cs="Arial" w:eastAsia="Arial" w:hAnsi="Arial"/>
          <w:sz w:val="13"/>
          <w:szCs w:val="13"/>
          <w:color w:val="auto"/>
        </w:rPr>
      </w:pPr>
      <w:r>
        <w:rPr>
          <w:rFonts w:ascii="Arial" w:cs="Arial" w:eastAsia="Arial" w:hAnsi="Arial"/>
          <w:sz w:val="13"/>
          <w:szCs w:val="13"/>
          <w:color w:val="auto"/>
        </w:rPr>
        <w:t>Due to the Reorganization Transactions and the IPO completed in April 2019, shares outstanding during the nine months ended September 30, 2019 represent shares of TWM LLC (pre-IPO period) and shares of Class A and Class B common stock of Tradeweb Markets, Inc. (post-IPO period). Shares outstanding during the three and nine months ended September 30, 2020 represent shares of Class A and Class B Common Stock of Tradeweb Markets Inc. (post-IPO period). For a summary of the calculation of Adjusted Diluted EPS, see "Reconciliation of Diluted Weighted Average Shares Outstanding to Adjusted Diluted Weighted Average Shares Outstanding" below.</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Pre-IPO Period</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Post-IPO Period</w:t>
            </w:r>
          </w:p>
        </w:tc>
        <w:tc>
          <w:tcPr>
            <w:tcW w:w="0" w:type="dxa"/>
            <w:vAlign w:val="bottom"/>
          </w:tcPr>
          <w:p>
            <w:pPr>
              <w:spacing w:after="0"/>
              <w:rPr>
                <w:sz w:val="1"/>
                <w:szCs w:val="1"/>
                <w:color w:val="auto"/>
              </w:rPr>
            </w:pPr>
          </w:p>
        </w:tc>
      </w:tr>
      <w:tr>
        <w:trPr>
          <w:trHeight w:val="198"/>
        </w:trPr>
        <w:tc>
          <w:tcPr>
            <w:tcW w:w="35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Diluted Weighted Average</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Three Months</w:t>
            </w: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Three Months</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Nine Months</w:t>
            </w: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Nine Months</w:t>
            </w:r>
          </w:p>
        </w:tc>
        <w:tc>
          <w:tcPr>
            <w:tcW w:w="120" w:type="dxa"/>
            <w:vAlign w:val="bottom"/>
          </w:tcPr>
          <w:p>
            <w:pPr>
              <w:spacing w:after="0"/>
              <w:rPr>
                <w:sz w:val="17"/>
                <w:szCs w:val="17"/>
                <w:color w:val="auto"/>
              </w:rPr>
            </w:pPr>
          </w:p>
        </w:tc>
        <w:tc>
          <w:tcPr>
            <w:tcW w:w="1360" w:type="dxa"/>
            <w:vAlign w:val="bottom"/>
          </w:tcPr>
          <w:p>
            <w:pPr>
              <w:jc w:val="center"/>
              <w:ind w:right="19"/>
              <w:spacing w:after="0"/>
              <w:rPr>
                <w:sz w:val="20"/>
                <w:szCs w:val="20"/>
                <w:color w:val="auto"/>
              </w:rPr>
            </w:pPr>
            <w:r>
              <w:rPr>
                <w:rFonts w:ascii="Arial" w:cs="Arial" w:eastAsia="Arial" w:hAnsi="Arial"/>
                <w:sz w:val="16"/>
                <w:szCs w:val="16"/>
                <w:b w:val="1"/>
                <w:bCs w:val="1"/>
                <w:color w:val="auto"/>
              </w:rPr>
              <w:t>Nine Months</w:t>
            </w:r>
          </w:p>
        </w:tc>
        <w:tc>
          <w:tcPr>
            <w:tcW w:w="0" w:type="dxa"/>
            <w:vAlign w:val="bottom"/>
          </w:tcPr>
          <w:p>
            <w:pPr>
              <w:spacing w:after="0"/>
              <w:rPr>
                <w:sz w:val="1"/>
                <w:szCs w:val="1"/>
                <w:color w:val="auto"/>
              </w:rPr>
            </w:pPr>
          </w:p>
        </w:tc>
      </w:tr>
      <w:tr>
        <w:trPr>
          <w:trHeight w:val="189"/>
        </w:trPr>
        <w:tc>
          <w:tcPr>
            <w:tcW w:w="356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 Outstanding to Adjusted Diluted</w:t>
            </w: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Ended September</w:t>
            </w:r>
          </w:p>
        </w:tc>
        <w:tc>
          <w:tcPr>
            <w:tcW w:w="15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Ended September</w:t>
            </w:r>
          </w:p>
        </w:tc>
        <w:tc>
          <w:tcPr>
            <w:tcW w:w="15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9"/>
              </w:rPr>
              <w:t>Ended September</w:t>
            </w:r>
          </w:p>
        </w:tc>
        <w:tc>
          <w:tcPr>
            <w:tcW w:w="15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Ended September</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Ended September</w:t>
            </w:r>
          </w:p>
        </w:tc>
        <w:tc>
          <w:tcPr>
            <w:tcW w:w="0" w:type="dxa"/>
            <w:vAlign w:val="bottom"/>
          </w:tcPr>
          <w:p>
            <w:pPr>
              <w:spacing w:after="0"/>
              <w:rPr>
                <w:sz w:val="1"/>
                <w:szCs w:val="1"/>
                <w:color w:val="auto"/>
              </w:rPr>
            </w:pPr>
          </w:p>
        </w:tc>
      </w:tr>
      <w:tr>
        <w:trPr>
          <w:trHeight w:val="228"/>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30, 2020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30, 2019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30, 2020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30, 2019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30, 2019</w:t>
            </w:r>
          </w:p>
        </w:tc>
        <w:tc>
          <w:tcPr>
            <w:tcW w:w="0" w:type="dxa"/>
            <w:vAlign w:val="bottom"/>
          </w:tcPr>
          <w:p>
            <w:pPr>
              <w:spacing w:after="0"/>
              <w:rPr>
                <w:sz w:val="1"/>
                <w:szCs w:val="1"/>
                <w:color w:val="auto"/>
              </w:rPr>
            </w:pPr>
          </w:p>
        </w:tc>
      </w:tr>
      <w:tr>
        <w:trPr>
          <w:trHeight w:val="218"/>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Diluted weighted average TWM LLC shares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223,320,457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Diluted weighted average shares of Class A</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and Class B common stock outstanding</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194,955,695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151,362,643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185,026,108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151,158,760</w:t>
            </w:r>
          </w:p>
        </w:tc>
        <w:tc>
          <w:tcPr>
            <w:tcW w:w="0" w:type="dxa"/>
            <w:vAlign w:val="bottom"/>
          </w:tcPr>
          <w:p>
            <w:pPr>
              <w:spacing w:after="0"/>
              <w:rPr>
                <w:sz w:val="1"/>
                <w:szCs w:val="1"/>
                <w:color w:val="auto"/>
              </w:rPr>
            </w:pPr>
          </w:p>
        </w:tc>
      </w:tr>
      <w:tr>
        <w:trPr>
          <w:trHeight w:val="225"/>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Assumed exchange of LLC interests for shares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60" w:type="dxa"/>
            <w:vAlign w:val="bottom"/>
            <w:gridSpan w:val="2"/>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of Class A or Class B common stock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39,513,246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79,289,005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48,397,598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79,289,005</w:t>
            </w:r>
          </w:p>
        </w:tc>
        <w:tc>
          <w:tcPr>
            <w:tcW w:w="0" w:type="dxa"/>
            <w:vAlign w:val="bottom"/>
          </w:tcPr>
          <w:p>
            <w:pPr>
              <w:spacing w:after="0"/>
              <w:rPr>
                <w:sz w:val="1"/>
                <w:szCs w:val="1"/>
                <w:color w:val="auto"/>
              </w:rPr>
            </w:pPr>
          </w:p>
        </w:tc>
      </w:tr>
      <w:tr>
        <w:trPr>
          <w:trHeight w:val="198"/>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Adjusted diluted weighted average shares</w:t>
            </w: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234,468,941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230,651,648</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233,423,706</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223,320,457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230,447,765</w:t>
            </w:r>
          </w:p>
        </w:tc>
        <w:tc>
          <w:tcPr>
            <w:tcW w:w="0" w:type="dxa"/>
            <w:vAlign w:val="bottom"/>
          </w:tcPr>
          <w:p>
            <w:pPr>
              <w:spacing w:after="0"/>
              <w:rPr>
                <w:sz w:val="1"/>
                <w:szCs w:val="1"/>
                <w:color w:val="auto"/>
              </w:rPr>
            </w:pPr>
          </w:p>
        </w:tc>
      </w:tr>
      <w:tr>
        <w:trPr>
          <w:trHeight w:val="187"/>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outstanding</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Adjusted Net Income (in thousands)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61,627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225,691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118,255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Adjusted Diluted EPS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0.27</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0.97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0.23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660" w:right="100" w:hanging="328"/>
        <w:spacing w:after="0" w:line="242" w:lineRule="auto"/>
        <w:tabs>
          <w:tab w:leader="none" w:pos="652"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Reconciliation of Operating Expenses to</w:t>
            </w:r>
          </w:p>
        </w:tc>
        <w:tc>
          <w:tcPr>
            <w:tcW w:w="260" w:type="dxa"/>
            <w:vAlign w:val="bottom"/>
          </w:tcPr>
          <w:p>
            <w:pPr>
              <w:spacing w:after="0"/>
              <w:rPr>
                <w:sz w:val="21"/>
                <w:szCs w:val="21"/>
                <w:color w:val="auto"/>
              </w:rPr>
            </w:pPr>
          </w:p>
        </w:tc>
        <w:tc>
          <w:tcPr>
            <w:tcW w:w="33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21"/>
                <w:szCs w:val="21"/>
                <w:color w:val="auto"/>
              </w:rPr>
            </w:pPr>
          </w:p>
        </w:tc>
        <w:tc>
          <w:tcPr>
            <w:tcW w:w="326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Nine Months Ended September 30,</w:t>
            </w:r>
          </w:p>
        </w:tc>
      </w:tr>
      <w:tr>
        <w:trPr>
          <w:trHeight w:val="228"/>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Expenses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233"/>
        </w:trPr>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154,349</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142,723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467,808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442,768</w:t>
            </w:r>
          </w:p>
        </w:tc>
      </w:tr>
      <w:tr>
        <w:trPr>
          <w:trHeight w:val="243"/>
        </w:trPr>
        <w:tc>
          <w:tcPr>
            <w:tcW w:w="4080" w:type="dxa"/>
            <w:vAlign w:val="bottom"/>
          </w:tcPr>
          <w:p>
            <w:pPr>
              <w:ind w:left="20"/>
              <w:spacing w:after="0"/>
              <w:rPr>
                <w:sz w:val="20"/>
                <w:szCs w:val="20"/>
                <w:color w:val="auto"/>
              </w:rPr>
            </w:pPr>
            <w:r>
              <w:rPr>
                <w:rFonts w:ascii="Arial" w:cs="Arial" w:eastAsia="Arial" w:hAnsi="Arial"/>
                <w:sz w:val="16"/>
                <w:szCs w:val="16"/>
                <w:color w:val="auto"/>
              </w:rPr>
              <w:t>Acquisition and Refinitiv Transaction related D&amp;A</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(27,959)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(24,780)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(81,363)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(72,122)</w:t>
            </w: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(22,398)</w:t>
            </w: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Unrealized foreign exchange gains / (losses)</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(1,492)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2,499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(5,449)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1,215</w:t>
            </w:r>
          </w:p>
        </w:tc>
      </w:tr>
      <w:tr>
        <w:trPr>
          <w:trHeight w:val="25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revaluation of foreign-denominated cash</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r>
      <w:tr>
        <w:trPr>
          <w:trHeight w:val="236"/>
        </w:trPr>
        <w:tc>
          <w:tcPr>
            <w:tcW w:w="4080" w:type="dxa"/>
            <w:vAlign w:val="bottom"/>
          </w:tcPr>
          <w:p>
            <w:pPr>
              <w:ind w:left="20"/>
              <w:spacing w:after="0"/>
              <w:rPr>
                <w:sz w:val="20"/>
                <w:szCs w:val="20"/>
                <w:color w:val="auto"/>
              </w:rPr>
            </w:pPr>
            <w:r>
              <w:rPr>
                <w:rFonts w:ascii="Arial" w:cs="Arial" w:eastAsia="Arial" w:hAnsi="Arial"/>
                <w:sz w:val="16"/>
                <w:szCs w:val="16"/>
                <w:color w:val="auto"/>
              </w:rPr>
              <w:t>Adjusted Expenses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122,855</w:t>
            </w:r>
          </w:p>
        </w:tc>
        <w:tc>
          <w:tcPr>
            <w:tcW w:w="8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117,885</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370,300</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348,343</w:t>
            </w:r>
          </w:p>
        </w:tc>
      </w:tr>
      <w:tr>
        <w:trPr>
          <w:trHeight w:val="21"/>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ind w:left="660" w:right="180" w:hanging="328"/>
        <w:spacing w:after="0" w:line="238" w:lineRule="auto"/>
        <w:tabs>
          <w:tab w:leader="none" w:pos="652"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660" w:right="220" w:hanging="328"/>
        <w:spacing w:after="0" w:line="238" w:lineRule="auto"/>
        <w:tabs>
          <w:tab w:leader="none" w:pos="652"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ind w:left="640" w:hanging="308"/>
        <w:spacing w:after="0"/>
        <w:tabs>
          <w:tab w:leader="none" w:pos="6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tcPr>
          <w:p>
            <w:pPr>
              <w:jc w:val="center"/>
              <w:ind w:right="59"/>
              <w:spacing w:after="0"/>
              <w:rPr>
                <w:sz w:val="20"/>
                <w:szCs w:val="20"/>
                <w:color w:val="auto"/>
              </w:rPr>
            </w:pPr>
            <w:r>
              <w:rPr>
                <w:rFonts w:ascii="Arial" w:cs="Arial" w:eastAsia="Arial" w:hAnsi="Arial"/>
                <w:sz w:val="16"/>
                <w:szCs w:val="16"/>
                <w:b w:val="1"/>
                <w:bCs w:val="1"/>
                <w:color w:val="auto"/>
              </w:rPr>
              <w:t>Trailing Twelve Months</w:t>
            </w:r>
          </w:p>
        </w:tc>
      </w:tr>
      <w:tr>
        <w:trPr>
          <w:trHeight w:val="228"/>
        </w:trPr>
        <w:tc>
          <w:tcPr>
            <w:tcW w:w="872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Cash Flows from Operating Activities to Free Cash Flow</w:t>
            </w: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auto"/>
              </w:rPr>
              <w:t>Ended September 30, 2020</w:t>
            </w:r>
          </w:p>
        </w:tc>
      </w:tr>
      <w:tr>
        <w:trPr>
          <w:trHeight w:val="233"/>
        </w:trPr>
        <w:tc>
          <w:tcPr>
            <w:tcW w:w="86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(in thousands)</w:t>
            </w:r>
          </w:p>
        </w:tc>
      </w:tr>
      <w:tr>
        <w:trPr>
          <w:trHeight w:val="253"/>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 from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424,070</w:t>
            </w:r>
          </w:p>
        </w:tc>
      </w:tr>
      <w:tr>
        <w:trPr>
          <w:trHeight w:val="23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1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(30,345)</w:t>
            </w:r>
          </w:p>
        </w:tc>
      </w:tr>
      <w:tr>
        <w:trPr>
          <w:trHeight w:val="24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16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(13,698)</w:t>
            </w:r>
          </w:p>
        </w:tc>
      </w:tr>
      <w:tr>
        <w:trPr>
          <w:trHeight w:val="24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380,027</w:t>
            </w:r>
          </w:p>
        </w:tc>
      </w:tr>
      <w:tr>
        <w:trPr>
          <w:trHeight w:val="20"/>
        </w:trPr>
        <w:tc>
          <w:tcPr>
            <w:tcW w:w="8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5</w:t>
      </w:r>
    </w:p>
    <w:p>
      <w:pPr>
        <w:sectPr>
          <w:pgSz w:w="11900" w:h="16838" w:orient="portrait"/>
          <w:cols w:equalWidth="0" w:num="1">
            <w:col w:w="11240"/>
          </w:cols>
          <w:pgMar w:left="320" w:top="701"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24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following table summarizes the basic and diluted earnings per share calculations for Tradeweb Markets Inc. (post-IPO period) and Tradeweb Markets LLC (pre-IPO period):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40" w:type="dxa"/>
            <w:vAlign w:val="bottom"/>
            <w:gridSpan w:val="3"/>
          </w:tcPr>
          <w:p>
            <w:pPr>
              <w:spacing w:after="0"/>
              <w:rPr>
                <w:sz w:val="20"/>
                <w:szCs w:val="20"/>
                <w:color w:val="auto"/>
              </w:rPr>
            </w:pPr>
            <w:r>
              <w:rPr>
                <w:rFonts w:ascii="Arial" w:cs="Arial" w:eastAsia="Arial" w:hAnsi="Arial"/>
                <w:sz w:val="16"/>
                <w:szCs w:val="16"/>
                <w:b w:val="1"/>
                <w:bCs w:val="1"/>
                <w:color w:val="auto"/>
              </w:rPr>
              <w:t>EPS: Post-IPO net income attributable to Tradeweb</w:t>
            </w:r>
          </w:p>
        </w:tc>
        <w:tc>
          <w:tcPr>
            <w:tcW w:w="220" w:type="dxa"/>
            <w:vAlign w:val="bottom"/>
          </w:tcPr>
          <w:p>
            <w:pPr>
              <w:spacing w:after="0"/>
              <w:rPr>
                <w:sz w:val="21"/>
                <w:szCs w:val="21"/>
                <w:color w:val="auto"/>
              </w:rPr>
            </w:pPr>
          </w:p>
        </w:tc>
        <w:tc>
          <w:tcPr>
            <w:tcW w:w="326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21"/>
                <w:szCs w:val="21"/>
                <w:color w:val="auto"/>
              </w:rPr>
            </w:pPr>
          </w:p>
        </w:tc>
        <w:tc>
          <w:tcPr>
            <w:tcW w:w="316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28"/>
        </w:trPr>
        <w:tc>
          <w:tcPr>
            <w:tcW w:w="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Markets Inc.</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40" w:type="dxa"/>
            <w:vAlign w:val="bottom"/>
            <w:gridSpan w:val="7"/>
          </w:tcPr>
          <w:p>
            <w:pPr>
              <w:ind w:left="26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9"/>
              </w:rPr>
              <w:t>Numerator:</w:t>
            </w:r>
          </w:p>
        </w:tc>
        <w:tc>
          <w:tcPr>
            <w:tcW w:w="352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40" w:type="dxa"/>
            <w:vAlign w:val="bottom"/>
            <w:gridSpan w:val="3"/>
          </w:tcPr>
          <w:p>
            <w:pPr>
              <w:spacing w:after="0"/>
              <w:rPr>
                <w:sz w:val="20"/>
                <w:szCs w:val="20"/>
                <w:color w:val="auto"/>
              </w:rPr>
            </w:pPr>
            <w:r>
              <w:rPr>
                <w:rFonts w:ascii="Arial" w:cs="Arial" w:eastAsia="Arial" w:hAnsi="Arial"/>
                <w:sz w:val="16"/>
                <w:szCs w:val="16"/>
                <w:color w:val="auto"/>
              </w:rPr>
              <w:t>Post-IPO net income attributable to Tradeweb Markets Inc.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36,812</w:t>
            </w:r>
          </w:p>
        </w:tc>
        <w:tc>
          <w:tcPr>
            <w:tcW w:w="8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29,612</w:t>
            </w:r>
          </w:p>
        </w:tc>
        <w:tc>
          <w:tcPr>
            <w:tcW w:w="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111,236</w:t>
            </w:r>
          </w:p>
        </w:tc>
        <w:tc>
          <w:tcPr>
            <w:tcW w:w="8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42,440</w:t>
            </w:r>
          </w:p>
        </w:tc>
        <w:tc>
          <w:tcPr>
            <w:tcW w:w="0" w:type="dxa"/>
            <w:vAlign w:val="bottom"/>
          </w:tcPr>
          <w:p>
            <w:pPr>
              <w:spacing w:after="0"/>
              <w:rPr>
                <w:sz w:val="1"/>
                <w:szCs w:val="1"/>
                <w:color w:val="auto"/>
              </w:rPr>
            </w:pPr>
          </w:p>
        </w:tc>
      </w:tr>
      <w:tr>
        <w:trPr>
          <w:trHeight w:val="266"/>
        </w:trPr>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rPr>
                <w:sz w:val="20"/>
                <w:szCs w:val="20"/>
                <w:color w:val="auto"/>
              </w:rPr>
            </w:pPr>
            <w:r>
              <w:rPr>
                <w:rFonts w:ascii="Arial" w:cs="Arial" w:eastAsia="Arial" w:hAnsi="Arial"/>
                <w:sz w:val="16"/>
                <w:szCs w:val="16"/>
                <w:color w:val="auto"/>
              </w:rPr>
              <w:t>Denominator:</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Weighted average shares of Class A and Class B common</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stock outstanding - Basic</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187,774,170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142,935,206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177,257,994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142,934,221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6"/>
                <w:szCs w:val="16"/>
                <w:color w:val="auto"/>
              </w:rPr>
              <w:t>Dilutive effect of equity-settled PRSUs</w:t>
            </w:r>
          </w:p>
        </w:tc>
        <w:tc>
          <w:tcPr>
            <w:tcW w:w="22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2,584,192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2,492,381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2,371,727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2,355,938</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43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Dilutive effect of options</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4,402,391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5,935,056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5,264,106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5,868,601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Arial" w:cs="Arial" w:eastAsia="Arial" w:hAnsi="Arial"/>
                <w:sz w:val="16"/>
                <w:szCs w:val="16"/>
                <w:color w:val="auto"/>
              </w:rPr>
              <w:t>Dilutive effect of RSUs</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194,942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132,281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Borders>
              <w:top w:val="single" w:sz="8" w:color="CCEEFF"/>
            </w:tcBorders>
            <w:shd w:val="clear" w:color="auto" w:fill="CCEEFF"/>
          </w:tcPr>
          <w:p>
            <w:pPr>
              <w:spacing w:after="0"/>
              <w:rPr>
                <w:sz w:val="17"/>
                <w:szCs w:val="17"/>
                <w:color w:val="auto"/>
              </w:rPr>
            </w:pPr>
          </w:p>
        </w:tc>
        <w:tc>
          <w:tcPr>
            <w:tcW w:w="4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Weighted average shares of Class A and Class B common</w:t>
            </w:r>
          </w:p>
        </w:tc>
        <w:tc>
          <w:tcPr>
            <w:tcW w:w="2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194,955,695</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151,362,643</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185,026,108</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151,158,760</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stock outstanding - Diluted</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Earnings per share - 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gridSpan w:val="3"/>
            <w:vMerge w:val="continue"/>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9560" w:type="dxa"/>
            <w:vAlign w:val="bottom"/>
            <w:gridSpan w:val="3"/>
          </w:tcPr>
          <w:p>
            <w:pPr>
              <w:spacing w:after="0"/>
              <w:rPr>
                <w:sz w:val="20"/>
                <w:szCs w:val="20"/>
                <w:color w:val="auto"/>
              </w:rPr>
            </w:pPr>
            <w:r>
              <w:rPr>
                <w:rFonts w:ascii="Arial" w:cs="Arial" w:eastAsia="Arial" w:hAnsi="Arial"/>
                <w:sz w:val="16"/>
                <w:szCs w:val="16"/>
                <w:b w:val="1"/>
                <w:bCs w:val="1"/>
                <w:color w:val="auto"/>
              </w:rPr>
              <w:t>EPS: Pre-IPO net income attributable to Tradeweb</w:t>
            </w: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r>
      <w:tr>
        <w:trPr>
          <w:trHeight w:val="234"/>
        </w:trPr>
        <w:tc>
          <w:tcPr>
            <w:tcW w:w="20" w:type="dxa"/>
            <w:vAlign w:val="bottom"/>
            <w:tcBorders>
              <w:bottom w:val="single" w:sz="8" w:color="auto"/>
            </w:tcBorders>
          </w:tcPr>
          <w:p>
            <w:pPr>
              <w:spacing w:after="0"/>
              <w:rPr>
                <w:sz w:val="20"/>
                <w:szCs w:val="20"/>
                <w:color w:val="auto"/>
              </w:rPr>
            </w:pPr>
          </w:p>
        </w:tc>
        <w:tc>
          <w:tcPr>
            <w:tcW w:w="9560" w:type="dxa"/>
            <w:vAlign w:val="bottom"/>
            <w:tcBorders>
              <w:bottom w:val="single" w:sz="8" w:color="auto"/>
            </w:tcBorders>
            <w:gridSpan w:val="3"/>
          </w:tcPr>
          <w:p>
            <w:pPr>
              <w:spacing w:after="0" w:line="234" w:lineRule="exact"/>
              <w:rPr>
                <w:sz w:val="20"/>
                <w:szCs w:val="20"/>
                <w:color w:val="auto"/>
              </w:rPr>
            </w:pPr>
            <w:r>
              <w:rPr>
                <w:rFonts w:ascii="Arial" w:cs="Arial" w:eastAsia="Arial" w:hAnsi="Arial"/>
                <w:sz w:val="16"/>
                <w:szCs w:val="16"/>
                <w:b w:val="1"/>
                <w:bCs w:val="1"/>
                <w:color w:val="auto"/>
              </w:rPr>
              <w:t>Markets LLC</w:t>
            </w:r>
            <w:r>
              <w:rPr>
                <w:rFonts w:ascii="Arial" w:cs="Arial" w:eastAsia="Arial" w:hAnsi="Arial"/>
                <w:sz w:val="21"/>
                <w:szCs w:val="21"/>
                <w:b w:val="1"/>
                <w:bCs w:val="1"/>
                <w:color w:val="auto"/>
                <w:vertAlign w:val="superscript"/>
              </w:rPr>
              <w:t>(1)</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2019</w:t>
            </w:r>
          </w:p>
        </w:tc>
      </w:tr>
      <w:tr>
        <w:trPr>
          <w:trHeight w:val="237"/>
        </w:trPr>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580" w:type="dxa"/>
            <w:vAlign w:val="bottom"/>
            <w:shd w:val="clear" w:color="auto" w:fill="CCEEFF"/>
          </w:tcPr>
          <w:p>
            <w:pPr>
              <w:ind w:left="26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9560" w:type="dxa"/>
            <w:vAlign w:val="bottom"/>
            <w:gridSpan w:val="3"/>
          </w:tcPr>
          <w:p>
            <w:pPr>
              <w:spacing w:after="0"/>
              <w:rPr>
                <w:sz w:val="20"/>
                <w:szCs w:val="20"/>
                <w:color w:val="auto"/>
              </w:rPr>
            </w:pPr>
            <w:r>
              <w:rPr>
                <w:rFonts w:ascii="Arial" w:cs="Arial" w:eastAsia="Arial" w:hAnsi="Arial"/>
                <w:sz w:val="16"/>
                <w:szCs w:val="16"/>
                <w:color w:val="auto"/>
              </w:rPr>
              <w:t>Numerator:</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9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Pre-IPO net income attributable to Tradeweb Markets LLC</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42,352</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9"/>
              </w:rPr>
              <w:t>Denominator:</w:t>
            </w:r>
          </w:p>
        </w:tc>
        <w:tc>
          <w:tcPr>
            <w:tcW w:w="85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9560" w:type="dxa"/>
            <w:vAlign w:val="bottom"/>
            <w:gridSpan w:val="3"/>
          </w:tcPr>
          <w:p>
            <w:pPr>
              <w:spacing w:after="0"/>
              <w:rPr>
                <w:sz w:val="20"/>
                <w:szCs w:val="20"/>
                <w:color w:val="auto"/>
              </w:rPr>
            </w:pPr>
            <w:r>
              <w:rPr>
                <w:rFonts w:ascii="Arial" w:cs="Arial" w:eastAsia="Arial" w:hAnsi="Arial"/>
                <w:sz w:val="16"/>
                <w:szCs w:val="16"/>
                <w:color w:val="auto"/>
              </w:rPr>
              <w:t>Weighted average LLC Interests outstanding - Basic</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222,222,197</w:t>
            </w:r>
          </w:p>
        </w:tc>
      </w:tr>
      <w:tr>
        <w:trPr>
          <w:trHeight w:val="253"/>
        </w:trPr>
        <w:tc>
          <w:tcPr>
            <w:tcW w:w="20" w:type="dxa"/>
            <w:vAlign w:val="bottom"/>
            <w:shd w:val="clear" w:color="auto" w:fill="CCEEFF"/>
          </w:tcPr>
          <w:p>
            <w:pPr>
              <w:spacing w:after="0"/>
              <w:rPr>
                <w:sz w:val="21"/>
                <w:szCs w:val="21"/>
                <w:color w:val="auto"/>
              </w:rPr>
            </w:pPr>
          </w:p>
        </w:tc>
        <w:tc>
          <w:tcPr>
            <w:tcW w:w="9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Dilutive effect of equity-settled PRSUs</w:t>
            </w: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1,098,260</w:t>
            </w:r>
          </w:p>
        </w:tc>
      </w:tr>
      <w:tr>
        <w:trPr>
          <w:trHeight w:val="230"/>
        </w:trPr>
        <w:tc>
          <w:tcPr>
            <w:tcW w:w="20" w:type="dxa"/>
            <w:vAlign w:val="bottom"/>
          </w:tcPr>
          <w:p>
            <w:pPr>
              <w:spacing w:after="0"/>
              <w:rPr>
                <w:sz w:val="20"/>
                <w:szCs w:val="20"/>
                <w:color w:val="auto"/>
              </w:rPr>
            </w:pPr>
          </w:p>
        </w:tc>
        <w:tc>
          <w:tcPr>
            <w:tcW w:w="9560" w:type="dxa"/>
            <w:vAlign w:val="bottom"/>
            <w:gridSpan w:val="3"/>
          </w:tcPr>
          <w:p>
            <w:pPr>
              <w:spacing w:after="0"/>
              <w:rPr>
                <w:sz w:val="20"/>
                <w:szCs w:val="20"/>
                <w:color w:val="auto"/>
              </w:rPr>
            </w:pPr>
            <w:r>
              <w:rPr>
                <w:rFonts w:ascii="Arial" w:cs="Arial" w:eastAsia="Arial" w:hAnsi="Arial"/>
                <w:sz w:val="16"/>
                <w:szCs w:val="16"/>
                <w:color w:val="auto"/>
              </w:rPr>
              <w:t>Weighted average LLC Interests outstanding - Diluted</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223,320,457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6"/>
        </w:trPr>
        <w:tc>
          <w:tcPr>
            <w:tcW w:w="20" w:type="dxa"/>
            <w:vAlign w:val="bottom"/>
          </w:tcPr>
          <w:p>
            <w:pPr>
              <w:spacing w:after="0"/>
              <w:rPr>
                <w:sz w:val="20"/>
                <w:szCs w:val="20"/>
                <w:color w:val="auto"/>
              </w:rPr>
            </w:pPr>
          </w:p>
        </w:tc>
        <w:tc>
          <w:tcPr>
            <w:tcW w:w="9560" w:type="dxa"/>
            <w:vAlign w:val="bottom"/>
            <w:gridSpan w:val="3"/>
          </w:tcPr>
          <w:p>
            <w:pPr>
              <w:spacing w:after="0"/>
              <w:rPr>
                <w:sz w:val="20"/>
                <w:szCs w:val="20"/>
                <w:color w:val="auto"/>
              </w:rPr>
            </w:pPr>
            <w:r>
              <w:rPr>
                <w:rFonts w:ascii="Arial" w:cs="Arial" w:eastAsia="Arial" w:hAnsi="Arial"/>
                <w:sz w:val="16"/>
                <w:szCs w:val="16"/>
                <w:color w:val="auto"/>
              </w:rPr>
              <w:t>Earnings per share - Basic</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9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Earnings per share - Diluted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ind w:left="660" w:right="300" w:hanging="328"/>
        <w:spacing w:after="0" w:line="225" w:lineRule="auto"/>
        <w:tabs>
          <w:tab w:leader="none" w:pos="652" w:val="left"/>
        </w:tabs>
        <w:numPr>
          <w:ilvl w:val="0"/>
          <w:numId w:val="12"/>
        </w:numPr>
        <w:rPr>
          <w:rFonts w:ascii="Arial" w:cs="Arial" w:eastAsia="Arial" w:hAnsi="Arial"/>
          <w:sz w:val="13"/>
          <w:szCs w:val="13"/>
          <w:color w:val="auto"/>
        </w:rPr>
      </w:pPr>
      <w:r>
        <w:rPr>
          <w:rFonts w:ascii="Arial" w:cs="Arial" w:eastAsia="Arial" w:hAnsi="Arial"/>
          <w:sz w:val="13"/>
          <w:szCs w:val="13"/>
          <w:color w:val="auto"/>
        </w:rPr>
        <w:t>Earnings per share and weighted average shares outstanding for the pre-IPO period has been computed to give effect to the Reorganization Transactions, including the amendment and restatement of the fourth amended and restated limited liability company agreement of Tradeweb Markets LLC to, among other things, (i) provide for a new single class of common membership interests in Tradeweb Markets LLC (“LLC Interests”) and (ii) exchange all of the original members’ existing membership interests for LLC interests.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GROSS REVENUES BY ASSET CLASS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1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56"/>
        </w:trPr>
        <w:tc>
          <w:tcPr>
            <w:tcW w:w="2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September 30, 2019</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22"/>
                <w:szCs w:val="22"/>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 Change</w:t>
            </w:r>
          </w:p>
        </w:tc>
        <w:tc>
          <w:tcPr>
            <w:tcW w:w="5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r>
      <w:tr>
        <w:trPr>
          <w:trHeight w:val="236"/>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Fixed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Variable</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Fixed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Variable</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Fixed</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Variable</w:t>
            </w:r>
          </w:p>
        </w:tc>
        <w:tc>
          <w:tcPr>
            <w:tcW w:w="6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Fixed</w:t>
            </w:r>
          </w:p>
        </w:tc>
        <w:tc>
          <w:tcPr>
            <w:tcW w:w="300" w:type="dxa"/>
            <w:vAlign w:val="bottom"/>
            <w:tcBorders>
              <w:bottom w:val="single" w:sz="8" w:color="auto"/>
            </w:tcBorders>
          </w:tcPr>
          <w:p>
            <w:pPr>
              <w:spacing w:after="0"/>
              <w:rPr>
                <w:sz w:val="20"/>
                <w:szCs w:val="20"/>
                <w:color w:val="auto"/>
              </w:rPr>
            </w:pPr>
          </w:p>
        </w:tc>
      </w:tr>
      <w:tr>
        <w:trPr>
          <w:trHeight w:val="233"/>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5"/>
          </w:tcPr>
          <w:p>
            <w:pPr>
              <w:ind w:left="3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53"/>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64,139</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51,627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64,885</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50,620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1,007</w:t>
            </w:r>
          </w:p>
        </w:tc>
        <w:tc>
          <w:tcPr>
            <w:tcW w:w="1800" w:type="dxa"/>
            <w:vAlign w:val="bottom"/>
            <w:gridSpan w:val="3"/>
            <w:shd w:val="clear" w:color="auto" w:fill="CCEEFF"/>
          </w:tcPr>
          <w:p>
            <w:pPr>
              <w:jc w:val="right"/>
              <w:ind w:right="439"/>
              <w:spacing w:after="0"/>
              <w:rPr>
                <w:sz w:val="20"/>
                <w:szCs w:val="20"/>
                <w:color w:val="auto"/>
              </w:rPr>
            </w:pPr>
            <w:r>
              <w:rPr>
                <w:rFonts w:ascii="Arial" w:cs="Arial" w:eastAsia="Arial" w:hAnsi="Arial"/>
                <w:sz w:val="16"/>
                <w:szCs w:val="16"/>
                <w:color w:val="auto"/>
              </w:rPr>
              <w:t>(1.1) %</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040" w:type="dxa"/>
            <w:vAlign w:val="bottom"/>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44,278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5,938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34,417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5,161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9,861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777</w:t>
            </w: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28.7</w:t>
            </w:r>
          </w:p>
        </w:tc>
        <w:tc>
          <w:tcPr>
            <w:tcW w:w="680" w:type="dxa"/>
            <w:vAlign w:val="bottom"/>
          </w:tcPr>
          <w:p>
            <w:pPr>
              <w:jc w:val="right"/>
              <w:ind w:right="439"/>
              <w:spacing w:after="0"/>
              <w:rPr>
                <w:sz w:val="20"/>
                <w:szCs w:val="20"/>
                <w:color w:val="auto"/>
              </w:rPr>
            </w:pPr>
            <w:r>
              <w:rPr>
                <w:rFonts w:ascii="Arial" w:cs="Arial" w:eastAsia="Arial" w:hAnsi="Arial"/>
                <w:sz w:val="16"/>
                <w:szCs w:val="16"/>
                <w:color w:val="auto"/>
                <w:w w:val="98"/>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15.1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9,329</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9,896</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2,437</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800" w:type="dxa"/>
            <w:vAlign w:val="bottom"/>
            <w:gridSpan w:val="3"/>
            <w:shd w:val="clear" w:color="auto" w:fill="CCEEFF"/>
          </w:tcPr>
          <w:p>
            <w:pPr>
              <w:jc w:val="right"/>
              <w:ind w:right="439"/>
              <w:spacing w:after="0"/>
              <w:rPr>
                <w:sz w:val="20"/>
                <w:szCs w:val="20"/>
                <w:color w:val="auto"/>
              </w:rPr>
            </w:pPr>
            <w:r>
              <w:rPr>
                <w:rFonts w:ascii="Arial" w:cs="Arial" w:eastAsia="Arial" w:hAnsi="Arial"/>
                <w:sz w:val="16"/>
                <w:szCs w:val="16"/>
                <w:color w:val="auto"/>
              </w:rPr>
              <w:t>(5.7) %</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040" w:type="dxa"/>
            <w:vAlign w:val="bottom"/>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6,390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6,743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3,737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364</w:t>
            </w:r>
          </w:p>
        </w:tc>
        <w:tc>
          <w:tcPr>
            <w:tcW w:w="1800" w:type="dxa"/>
            <w:vAlign w:val="bottom"/>
            <w:gridSpan w:val="3"/>
          </w:tcPr>
          <w:p>
            <w:pPr>
              <w:jc w:val="right"/>
              <w:ind w:right="439"/>
              <w:spacing w:after="0"/>
              <w:rPr>
                <w:sz w:val="20"/>
                <w:szCs w:val="20"/>
                <w:color w:val="auto"/>
              </w:rPr>
            </w:pPr>
            <w:r>
              <w:rPr>
                <w:rFonts w:ascii="Arial" w:cs="Arial" w:eastAsia="Arial" w:hAnsi="Arial"/>
                <w:sz w:val="16"/>
                <w:szCs w:val="16"/>
                <w:color w:val="auto"/>
              </w:rPr>
              <w:t>(5.2) %</w:t>
            </w:r>
          </w:p>
        </w:tc>
        <w:tc>
          <w:tcPr>
            <w:tcW w:w="500" w:type="dxa"/>
            <w:vAlign w:val="bottom"/>
          </w:tcPr>
          <w:p>
            <w:pPr>
              <w:jc w:val="right"/>
              <w:spacing w:after="0"/>
              <w:rPr>
                <w:sz w:val="20"/>
                <w:szCs w:val="20"/>
                <w:color w:val="auto"/>
              </w:rPr>
            </w:pPr>
            <w:r>
              <w:rPr>
                <w:rFonts w:ascii="Arial" w:cs="Arial" w:eastAsia="Arial" w:hAnsi="Arial"/>
                <w:sz w:val="16"/>
                <w:szCs w:val="16"/>
                <w:color w:val="auto"/>
              </w:rPr>
              <w:t>9.7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16,914</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1,684</w:t>
            </w:r>
          </w:p>
        </w:tc>
        <w:tc>
          <w:tcPr>
            <w:tcW w:w="1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 %</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6"/>
        </w:trPr>
        <w:tc>
          <w:tcPr>
            <w:tcW w:w="204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5,942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6,171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(229)</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39"/>
              <w:spacing w:after="0"/>
              <w:rPr>
                <w:sz w:val="20"/>
                <w:szCs w:val="20"/>
                <w:color w:val="auto"/>
              </w:rPr>
            </w:pPr>
            <w:r>
              <w:rPr>
                <w:rFonts w:ascii="Arial" w:cs="Arial" w:eastAsia="Arial" w:hAnsi="Arial"/>
                <w:sz w:val="16"/>
                <w:szCs w:val="16"/>
                <w:color w:val="auto"/>
                <w:w w:val="98"/>
              </w:rPr>
              <w:t>%</w:t>
            </w:r>
          </w:p>
        </w:tc>
        <w:tc>
          <w:tcPr>
            <w:tcW w:w="800" w:type="dxa"/>
            <w:vAlign w:val="bottom"/>
            <w:gridSpan w:val="2"/>
          </w:tcPr>
          <w:p>
            <w:pPr>
              <w:jc w:val="right"/>
              <w:ind w:right="19"/>
              <w:spacing w:after="0"/>
              <w:rPr>
                <w:sz w:val="20"/>
                <w:szCs w:val="20"/>
                <w:color w:val="auto"/>
              </w:rPr>
            </w:pPr>
            <w:r>
              <w:rPr>
                <w:rFonts w:ascii="Arial" w:cs="Arial" w:eastAsia="Arial" w:hAnsi="Arial"/>
                <w:sz w:val="16"/>
                <w:szCs w:val="16"/>
                <w:color w:val="auto"/>
              </w:rPr>
              <w:t>(3.7) %</w:t>
            </w:r>
          </w:p>
        </w:tc>
      </w:tr>
      <w:tr>
        <w:trPr>
          <w:trHeight w:val="268"/>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124,136</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88,734</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115,941</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85,040</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8,195</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3,694</w:t>
            </w:r>
          </w:p>
        </w:tc>
        <w:tc>
          <w:tcPr>
            <w:tcW w:w="1120" w:type="dxa"/>
            <w:vAlign w:val="bottom"/>
            <w:tcBorders>
              <w:top w:val="single" w:sz="8" w:color="CCEEFF"/>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680" w:type="dxa"/>
            <w:vAlign w:val="bottom"/>
            <w:tcBorders>
              <w:top w:val="single" w:sz="8" w:color="CCEEFF"/>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98"/>
              </w:rPr>
              <w:t>%</w:t>
            </w:r>
          </w:p>
        </w:tc>
        <w:tc>
          <w:tcPr>
            <w:tcW w:w="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3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ectPr>
          <w:pgSz w:w="11900" w:h="16838" w:orient="portrait"/>
          <w:cols w:equalWidth="0" w:num="1">
            <w:col w:w="11240"/>
          </w:cols>
          <w:pgMar w:left="320" w:top="769" w:right="339" w:bottom="1143" w:gutter="0" w:footer="0" w:header="0"/>
        </w:sectPr>
      </w:pPr>
    </w:p>
    <w:p>
      <w:pPr>
        <w:spacing w:after="0" w:line="211"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769" w:right="339" w:bottom="1143"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5"/>
        </w:trPr>
        <w:tc>
          <w:tcPr>
            <w:tcW w:w="6320" w:type="dxa"/>
            <w:vAlign w:val="bottom"/>
            <w:gridSpan w:val="4"/>
          </w:tcPr>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99"/>
        </w:trPr>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540" w:type="dxa"/>
            <w:vAlign w:val="bottom"/>
          </w:tcPr>
          <w:p>
            <w:pPr>
              <w:jc w:val="right"/>
              <w:ind w:right="539"/>
              <w:spacing w:after="0"/>
              <w:rPr>
                <w:sz w:val="20"/>
                <w:szCs w:val="20"/>
                <w:color w:val="auto"/>
              </w:rPr>
            </w:pPr>
            <w:r>
              <w:rPr>
                <w:rFonts w:ascii="Arial" w:cs="Arial" w:eastAsia="Arial" w:hAnsi="Arial"/>
                <w:sz w:val="16"/>
                <w:szCs w:val="16"/>
                <w:b w:val="1"/>
                <w:bCs w:val="1"/>
                <w:color w:val="auto"/>
              </w:rPr>
              <w:t>YoY</w:t>
            </w:r>
          </w:p>
        </w:tc>
      </w:tr>
      <w:tr>
        <w:trPr>
          <w:trHeight w:val="236"/>
        </w:trPr>
        <w:tc>
          <w:tcPr>
            <w:tcW w:w="45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Rates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13.7 %</w:t>
            </w:r>
          </w:p>
        </w:tc>
      </w:tr>
      <w:tr>
        <w:trPr>
          <w:trHeight w:val="233"/>
        </w:trPr>
        <w:tc>
          <w:tcPr>
            <w:tcW w:w="4580" w:type="dxa"/>
            <w:vAlign w:val="bottom"/>
          </w:tcPr>
          <w:p>
            <w:pPr>
              <w:ind w:left="20"/>
              <w:spacing w:after="0"/>
              <w:rPr>
                <w:sz w:val="20"/>
                <w:szCs w:val="20"/>
                <w:color w:val="auto"/>
              </w:rPr>
            </w:pPr>
            <w:r>
              <w:rPr>
                <w:rFonts w:ascii="Arial" w:cs="Arial" w:eastAsia="Arial" w:hAnsi="Arial"/>
                <w:sz w:val="16"/>
                <w:szCs w:val="16"/>
                <w:color w:val="auto"/>
              </w:rPr>
              <w:t>Cash Rates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5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Rates Derivatives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46.4 %</w:t>
            </w:r>
          </w:p>
        </w:tc>
      </w:tr>
      <w:tr>
        <w:trPr>
          <w:trHeight w:val="233"/>
        </w:trPr>
        <w:tc>
          <w:tcPr>
            <w:tcW w:w="4580" w:type="dxa"/>
            <w:vAlign w:val="bottom"/>
          </w:tcPr>
          <w:p>
            <w:pPr>
              <w:ind w:left="20"/>
              <w:spacing w:after="0"/>
              <w:rPr>
                <w:sz w:val="20"/>
                <w:szCs w:val="20"/>
                <w:color w:val="auto"/>
              </w:rPr>
            </w:pPr>
            <w:r>
              <w:rPr>
                <w:rFonts w:ascii="Arial" w:cs="Arial" w:eastAsia="Arial" w:hAnsi="Arial"/>
                <w:sz w:val="16"/>
                <w:szCs w:val="16"/>
                <w:color w:val="auto"/>
              </w:rPr>
              <w:t>Swaps / Swaptions Tenor (greater than 1 year)</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12.1 %</w:t>
            </w:r>
          </w:p>
        </w:tc>
      </w:tr>
      <w:tr>
        <w:trPr>
          <w:trHeight w:val="25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Rates Derivatives</w:t>
            </w:r>
            <w:r>
              <w:rPr>
                <w:rFonts w:ascii="Arial" w:cs="Arial" w:eastAsia="Arial" w:hAnsi="Arial"/>
                <w:sz w:val="21"/>
                <w:szCs w:val="21"/>
                <w:color w:val="auto"/>
                <w:vertAlign w:val="superscript"/>
              </w:rPr>
              <w:t>(1)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412.0 %</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Credit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30.81</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13.1 %</w:t>
            </w:r>
          </w:p>
        </w:tc>
      </w:tr>
      <w:tr>
        <w:trPr>
          <w:trHeight w:val="243"/>
        </w:trPr>
        <w:tc>
          <w:tcPr>
            <w:tcW w:w="4580" w:type="dxa"/>
            <w:vAlign w:val="bottom"/>
          </w:tcPr>
          <w:p>
            <w:pPr>
              <w:ind w:left="20"/>
              <w:spacing w:after="0"/>
              <w:rPr>
                <w:sz w:val="20"/>
                <w:szCs w:val="20"/>
                <w:color w:val="auto"/>
              </w:rPr>
            </w:pPr>
            <w:r>
              <w:rPr>
                <w:rFonts w:ascii="Arial" w:cs="Arial" w:eastAsia="Arial" w:hAnsi="Arial"/>
                <w:sz w:val="16"/>
                <w:szCs w:val="16"/>
                <w:color w:val="auto"/>
              </w:rPr>
              <w:t>Cash Credit</w:t>
            </w:r>
            <w:r>
              <w:rPr>
                <w:rFonts w:ascii="Arial" w:cs="Arial" w:eastAsia="Arial" w:hAnsi="Arial"/>
                <w:sz w:val="21"/>
                <w:szCs w:val="21"/>
                <w:color w:val="auto"/>
                <w:vertAlign w:val="superscript"/>
              </w:rPr>
              <w:t>(2)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127.70</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117.59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Derivatives and U.S. Cash 'EP'</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20.78</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(23.0)%</w:t>
            </w:r>
          </w:p>
        </w:tc>
      </w:tr>
      <w:tr>
        <w:trPr>
          <w:trHeight w:val="233"/>
        </w:trPr>
        <w:tc>
          <w:tcPr>
            <w:tcW w:w="4580" w:type="dxa"/>
            <w:vAlign w:val="bottom"/>
          </w:tcPr>
          <w:p>
            <w:pPr>
              <w:ind w:left="20"/>
              <w:spacing w:after="0"/>
              <w:rPr>
                <w:sz w:val="20"/>
                <w:szCs w:val="20"/>
                <w:color w:val="auto"/>
              </w:rPr>
            </w:pPr>
            <w:r>
              <w:rPr>
                <w:rFonts w:ascii="Arial" w:cs="Arial" w:eastAsia="Arial" w:hAnsi="Arial"/>
                <w:sz w:val="16"/>
                <w:szCs w:val="16"/>
                <w:color w:val="auto"/>
              </w:rPr>
              <w:t>Cash Equities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20.38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28.09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5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Derivatives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Money Markets (Cash)</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0.46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Fees per Million</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12.0 %</w:t>
            </w:r>
          </w:p>
        </w:tc>
      </w:tr>
      <w:tr>
        <w:trPr>
          <w:trHeight w:val="198"/>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Total Fees per Million excluding Other Rates</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6"/>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Derivatives</w:t>
            </w:r>
            <w:r>
              <w:rPr>
                <w:rFonts w:ascii="Arial" w:cs="Arial" w:eastAsia="Arial" w:hAnsi="Arial"/>
                <w:sz w:val="21"/>
                <w:szCs w:val="21"/>
                <w:b w:val="1"/>
                <w:bCs w:val="1"/>
                <w:color w:val="auto"/>
                <w:vertAlign w:val="superscript"/>
              </w:rPr>
              <w:t>(3)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2.65</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1.1 %</w:t>
            </w:r>
          </w:p>
        </w:tc>
      </w:tr>
    </w:tbl>
    <w:p>
      <w:pPr>
        <w:spacing w:after="0" w:line="293"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Swaps/Swaptions of tenor less than 1 year and Rates Futures.</w:t>
      </w:r>
    </w:p>
    <w:p>
      <w:pPr>
        <w:ind w:left="640" w:hanging="308"/>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and (2) U.S. High Grade and High Yield electronically processed ("EP") activity.</w:t>
      </w:r>
    </w:p>
    <w:p>
      <w:pPr>
        <w:spacing w:after="0" w:line="10" w:lineRule="exact"/>
        <w:rPr>
          <w:rFonts w:ascii="Arial" w:cs="Arial" w:eastAsia="Arial" w:hAnsi="Arial"/>
          <w:sz w:val="12"/>
          <w:szCs w:val="12"/>
          <w:color w:val="auto"/>
        </w:rPr>
      </w:pPr>
    </w:p>
    <w:p>
      <w:pPr>
        <w:ind w:left="640" w:hanging="308"/>
        <w:spacing w:after="0"/>
        <w:tabs>
          <w:tab w:leader="none" w:pos="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Included to contextualize the impact of short-tenored Swaps/Swaptions and Rates Futures on blended fees per million across all periods presented.</w:t>
      </w:r>
    </w:p>
    <w:p>
      <w:pPr>
        <w:sectPr>
          <w:pgSz w:w="11900" w:h="16838" w:orient="portrait"/>
          <w:cols w:equalWidth="0" w:num="1">
            <w:col w:w="11240"/>
          </w:cols>
          <w:pgMar w:left="320" w:top="769" w:right="339" w:bottom="11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7</w:t>
      </w:r>
    </w:p>
    <w:p>
      <w:pPr>
        <w:sectPr>
          <w:pgSz w:w="11900" w:h="16838" w:orient="portrait"/>
          <w:cols w:equalWidth="0" w:num="1">
            <w:col w:w="11240"/>
          </w:cols>
          <w:pgMar w:left="320" w:top="769" w:right="339" w:bottom="1103"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56" w:lineRule="exact"/>
        <w:rPr>
          <w:sz w:val="20"/>
          <w:szCs w:val="20"/>
          <w:color w:val="auto"/>
        </w:rPr>
      </w:pPr>
    </w:p>
    <w:p>
      <w:pPr>
        <w:ind w:left="3540"/>
        <w:spacing w:after="0"/>
        <w:rPr>
          <w:sz w:val="20"/>
          <w:szCs w:val="20"/>
          <w:color w:val="auto"/>
        </w:rPr>
      </w:pPr>
      <w:r>
        <w:rPr>
          <w:rFonts w:ascii="Arial" w:cs="Arial" w:eastAsia="Arial" w:hAnsi="Arial"/>
          <w:sz w:val="18"/>
          <w:szCs w:val="18"/>
          <w:color w:val="FFFFFF"/>
        </w:rPr>
        <w:t>2020 Q3</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gridSpan w:val="3"/>
          </w:tcPr>
          <w:p>
            <w:pPr>
              <w:ind w:left="1160"/>
              <w:spacing w:after="0"/>
              <w:rPr>
                <w:sz w:val="20"/>
                <w:szCs w:val="20"/>
                <w:color w:val="auto"/>
              </w:rPr>
            </w:pPr>
            <w:r>
              <w:rPr>
                <w:rFonts w:ascii="Arial" w:cs="Arial" w:eastAsia="Arial" w:hAnsi="Arial"/>
                <w:sz w:val="16"/>
                <w:szCs w:val="16"/>
                <w:b w:val="1"/>
                <w:bCs w:val="1"/>
                <w:color w:val="auto"/>
              </w:rPr>
              <w:t>2020 Q3</w:t>
            </w:r>
          </w:p>
        </w:tc>
        <w:tc>
          <w:tcPr>
            <w:tcW w:w="1960" w:type="dxa"/>
            <w:vAlign w:val="bottom"/>
          </w:tcPr>
          <w:p>
            <w:pPr>
              <w:jc w:val="right"/>
              <w:ind w:right="59"/>
              <w:spacing w:after="0"/>
              <w:rPr>
                <w:sz w:val="20"/>
                <w:szCs w:val="20"/>
                <w:color w:val="auto"/>
              </w:rPr>
            </w:pPr>
            <w:r>
              <w:rPr>
                <w:rFonts w:ascii="Arial" w:cs="Arial" w:eastAsia="Arial" w:hAnsi="Arial"/>
                <w:sz w:val="16"/>
                <w:szCs w:val="16"/>
                <w:b w:val="1"/>
                <w:bCs w:val="1"/>
                <w:color w:val="auto"/>
              </w:rPr>
              <w:t>2019 Q3</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ind w:right="579"/>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56"/>
        </w:trPr>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4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Product</w:t>
            </w:r>
          </w:p>
        </w:tc>
        <w:tc>
          <w:tcPr>
            <w:tcW w:w="8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ADV (USD mm)</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Volume (USD mm)</w:t>
            </w:r>
          </w:p>
        </w:tc>
        <w:tc>
          <w:tcPr>
            <w:tcW w:w="80" w:type="dxa"/>
            <w:vAlign w:val="bottom"/>
            <w:tcBorders>
              <w:bottom w:val="single" w:sz="8" w:color="CCEEFF"/>
            </w:tcBorders>
          </w:tcPr>
          <w:p>
            <w:pPr>
              <w:spacing w:after="0"/>
              <w:rPr>
                <w:sz w:val="22"/>
                <w:szCs w:val="22"/>
                <w:color w:val="auto"/>
              </w:rPr>
            </w:pPr>
          </w:p>
        </w:tc>
        <w:tc>
          <w:tcPr>
            <w:tcW w:w="3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ADV (USD mm)  Volume (USD mm)</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ADV</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Rates</w:t>
            </w: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Cash</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311,039</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19,951,648</w:t>
            </w:r>
          </w:p>
        </w:tc>
        <w:tc>
          <w:tcPr>
            <w:tcW w:w="8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284,622</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18,260,540</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9.28 %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U.S. Government Bonds</w:t>
            </w:r>
          </w:p>
        </w:tc>
        <w:tc>
          <w:tcPr>
            <w:tcW w:w="1440" w:type="dxa"/>
            <w:vAlign w:val="bottom"/>
          </w:tcPr>
          <w:p>
            <w:pPr>
              <w:jc w:val="right"/>
              <w:spacing w:after="0"/>
              <w:rPr>
                <w:sz w:val="20"/>
                <w:szCs w:val="20"/>
                <w:color w:val="auto"/>
              </w:rPr>
            </w:pPr>
            <w:r>
              <w:rPr>
                <w:rFonts w:ascii="Arial" w:cs="Arial" w:eastAsia="Arial" w:hAnsi="Arial"/>
                <w:sz w:val="16"/>
                <w:szCs w:val="16"/>
                <w:color w:val="auto"/>
              </w:rPr>
              <w:t>86,962</w:t>
            </w:r>
          </w:p>
        </w:tc>
        <w:tc>
          <w:tcPr>
            <w:tcW w:w="1500" w:type="dxa"/>
            <w:vAlign w:val="bottom"/>
          </w:tcPr>
          <w:p>
            <w:pPr>
              <w:jc w:val="right"/>
              <w:spacing w:after="0"/>
              <w:rPr>
                <w:sz w:val="20"/>
                <w:szCs w:val="20"/>
                <w:color w:val="auto"/>
              </w:rPr>
            </w:pPr>
            <w:r>
              <w:rPr>
                <w:rFonts w:ascii="Arial" w:cs="Arial" w:eastAsia="Arial" w:hAnsi="Arial"/>
                <w:sz w:val="16"/>
                <w:szCs w:val="16"/>
                <w:color w:val="auto"/>
              </w:rPr>
              <w:t>5,565,577</w:t>
            </w:r>
          </w:p>
        </w:tc>
        <w:tc>
          <w:tcPr>
            <w:tcW w:w="80" w:type="dxa"/>
            <w:vAlign w:val="bottom"/>
          </w:tcPr>
          <w:p>
            <w:pPr>
              <w:spacing w:after="0"/>
              <w:rPr>
                <w:sz w:val="20"/>
                <w:szCs w:val="20"/>
                <w:color w:val="auto"/>
              </w:rPr>
            </w:pPr>
          </w:p>
        </w:tc>
        <w:tc>
          <w:tcPr>
            <w:tcW w:w="1960" w:type="dxa"/>
            <w:vAlign w:val="bottom"/>
          </w:tcPr>
          <w:p>
            <w:pPr>
              <w:jc w:val="right"/>
              <w:ind w:right="479"/>
              <w:spacing w:after="0"/>
              <w:rPr>
                <w:sz w:val="20"/>
                <w:szCs w:val="20"/>
                <w:color w:val="auto"/>
              </w:rPr>
            </w:pPr>
            <w:r>
              <w:rPr>
                <w:rFonts w:ascii="Arial" w:cs="Arial" w:eastAsia="Arial" w:hAnsi="Arial"/>
                <w:sz w:val="16"/>
                <w:szCs w:val="16"/>
                <w:color w:val="auto"/>
              </w:rPr>
              <w:t>82,124</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5,255,922</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5.89 %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European Government Bonds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24,309</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1,604,396</w:t>
            </w:r>
          </w:p>
        </w:tc>
        <w:tc>
          <w:tcPr>
            <w:tcW w:w="8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23,372</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1,542,537</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Mortgages</w:t>
            </w:r>
          </w:p>
        </w:tc>
        <w:tc>
          <w:tcPr>
            <w:tcW w:w="1440" w:type="dxa"/>
            <w:vAlign w:val="bottom"/>
          </w:tcPr>
          <w:p>
            <w:pPr>
              <w:jc w:val="right"/>
              <w:spacing w:after="0"/>
              <w:rPr>
                <w:sz w:val="20"/>
                <w:szCs w:val="20"/>
                <w:color w:val="auto"/>
              </w:rPr>
            </w:pPr>
            <w:r>
              <w:rPr>
                <w:rFonts w:ascii="Arial" w:cs="Arial" w:eastAsia="Arial" w:hAnsi="Arial"/>
                <w:sz w:val="16"/>
                <w:szCs w:val="16"/>
                <w:color w:val="auto"/>
              </w:rPr>
              <w:t>195,985</w:t>
            </w:r>
          </w:p>
        </w:tc>
        <w:tc>
          <w:tcPr>
            <w:tcW w:w="1500" w:type="dxa"/>
            <w:vAlign w:val="bottom"/>
          </w:tcPr>
          <w:p>
            <w:pPr>
              <w:jc w:val="right"/>
              <w:spacing w:after="0"/>
              <w:rPr>
                <w:sz w:val="20"/>
                <w:szCs w:val="20"/>
                <w:color w:val="auto"/>
              </w:rPr>
            </w:pPr>
            <w:r>
              <w:rPr>
                <w:rFonts w:ascii="Arial" w:cs="Arial" w:eastAsia="Arial" w:hAnsi="Arial"/>
                <w:sz w:val="16"/>
                <w:szCs w:val="16"/>
                <w:color w:val="auto"/>
              </w:rPr>
              <w:t>12,543,046</w:t>
            </w:r>
          </w:p>
        </w:tc>
        <w:tc>
          <w:tcPr>
            <w:tcW w:w="80" w:type="dxa"/>
            <w:vAlign w:val="bottom"/>
          </w:tcPr>
          <w:p>
            <w:pPr>
              <w:spacing w:after="0"/>
              <w:rPr>
                <w:sz w:val="20"/>
                <w:szCs w:val="20"/>
                <w:color w:val="auto"/>
              </w:rPr>
            </w:pPr>
          </w:p>
        </w:tc>
        <w:tc>
          <w:tcPr>
            <w:tcW w:w="1960" w:type="dxa"/>
            <w:vAlign w:val="bottom"/>
          </w:tcPr>
          <w:p>
            <w:pPr>
              <w:jc w:val="right"/>
              <w:ind w:right="479"/>
              <w:spacing w:after="0"/>
              <w:rPr>
                <w:sz w:val="20"/>
                <w:szCs w:val="20"/>
                <w:color w:val="auto"/>
              </w:rPr>
            </w:pPr>
            <w:r>
              <w:rPr>
                <w:rFonts w:ascii="Arial" w:cs="Arial" w:eastAsia="Arial" w:hAnsi="Arial"/>
                <w:sz w:val="16"/>
                <w:szCs w:val="16"/>
                <w:color w:val="auto"/>
              </w:rPr>
              <w:t>175,476</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11,230,439</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11.69 %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Other Government Bonds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238,629</w:t>
            </w:r>
          </w:p>
        </w:tc>
        <w:tc>
          <w:tcPr>
            <w:tcW w:w="8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3,651</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231,642</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Derivatives</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179,076</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11,612,291</w:t>
            </w:r>
          </w:p>
        </w:tc>
        <w:tc>
          <w:tcPr>
            <w:tcW w:w="80" w:type="dxa"/>
            <w:vAlign w:val="bottom"/>
          </w:tcPr>
          <w:p>
            <w:pPr>
              <w:spacing w:after="0"/>
              <w:rPr>
                <w:sz w:val="20"/>
                <w:szCs w:val="20"/>
                <w:color w:val="auto"/>
              </w:rPr>
            </w:pPr>
          </w:p>
        </w:tc>
        <w:tc>
          <w:tcPr>
            <w:tcW w:w="1960" w:type="dxa"/>
            <w:vAlign w:val="bottom"/>
          </w:tcPr>
          <w:p>
            <w:pPr>
              <w:jc w:val="right"/>
              <w:ind w:right="479"/>
              <w:spacing w:after="0"/>
              <w:rPr>
                <w:sz w:val="20"/>
                <w:szCs w:val="20"/>
                <w:color w:val="auto"/>
              </w:rPr>
            </w:pPr>
            <w:r>
              <w:rPr>
                <w:rFonts w:ascii="Arial" w:cs="Arial" w:eastAsia="Arial" w:hAnsi="Arial"/>
                <w:sz w:val="16"/>
                <w:szCs w:val="16"/>
                <w:b w:val="1"/>
                <w:bCs w:val="1"/>
                <w:color w:val="auto"/>
              </w:rPr>
              <w:t>278,794</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18,046,653</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(35.77)%</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ind w:left="680"/>
              <w:spacing w:after="0"/>
              <w:rPr>
                <w:sz w:val="20"/>
                <w:szCs w:val="20"/>
                <w:color w:val="auto"/>
              </w:rPr>
            </w:pPr>
            <w:r>
              <w:rPr>
                <w:rFonts w:ascii="Arial" w:cs="Arial" w:eastAsia="Arial" w:hAnsi="Arial"/>
                <w:sz w:val="16"/>
                <w:szCs w:val="16"/>
                <w:i w:val="1"/>
                <w:iCs w:val="1"/>
                <w:color w:val="auto"/>
              </w:rPr>
              <w:t xml:space="preserve">Swaps/Swaptions </w:t>
            </w:r>
            <w:r>
              <w:rPr>
                <w:rFonts w:ascii="Arial" w:cs="Arial" w:eastAsia="Arial" w:hAnsi="Arial"/>
                <w:sz w:val="16"/>
                <w:szCs w:val="16"/>
                <w:color w:val="auto"/>
              </w:rPr>
              <w:t>≥</w:t>
            </w:r>
            <w:r>
              <w:rPr>
                <w:rFonts w:ascii="Arial" w:cs="Arial" w:eastAsia="Arial" w:hAnsi="Arial"/>
                <w:sz w:val="16"/>
                <w:szCs w:val="16"/>
                <w:i w:val="1"/>
                <w:iCs w:val="1"/>
                <w:color w:val="auto"/>
              </w:rPr>
              <w:t xml:space="preserve"> 1Y</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122,362</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7,919,286</w:t>
            </w:r>
          </w:p>
        </w:tc>
        <w:tc>
          <w:tcPr>
            <w:tcW w:w="8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148,230</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9,612,484</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Swaps/Swaptions &lt; 1Y</w:t>
            </w:r>
          </w:p>
        </w:tc>
        <w:tc>
          <w:tcPr>
            <w:tcW w:w="1440" w:type="dxa"/>
            <w:vAlign w:val="bottom"/>
          </w:tcPr>
          <w:p>
            <w:pPr>
              <w:jc w:val="right"/>
              <w:spacing w:after="0"/>
              <w:rPr>
                <w:sz w:val="20"/>
                <w:szCs w:val="20"/>
                <w:color w:val="auto"/>
              </w:rPr>
            </w:pPr>
            <w:r>
              <w:rPr>
                <w:rFonts w:ascii="Arial" w:cs="Arial" w:eastAsia="Arial" w:hAnsi="Arial"/>
                <w:sz w:val="16"/>
                <w:szCs w:val="16"/>
                <w:color w:val="auto"/>
              </w:rPr>
              <w:t>56,318</w:t>
            </w:r>
          </w:p>
        </w:tc>
        <w:tc>
          <w:tcPr>
            <w:tcW w:w="1500" w:type="dxa"/>
            <w:vAlign w:val="bottom"/>
          </w:tcPr>
          <w:p>
            <w:pPr>
              <w:jc w:val="right"/>
              <w:spacing w:after="0"/>
              <w:rPr>
                <w:sz w:val="20"/>
                <w:szCs w:val="20"/>
                <w:color w:val="auto"/>
              </w:rPr>
            </w:pPr>
            <w:r>
              <w:rPr>
                <w:rFonts w:ascii="Arial" w:cs="Arial" w:eastAsia="Arial" w:hAnsi="Arial"/>
                <w:sz w:val="16"/>
                <w:szCs w:val="16"/>
                <w:color w:val="auto"/>
              </w:rPr>
              <w:t>3,667,678</w:t>
            </w:r>
          </w:p>
        </w:tc>
        <w:tc>
          <w:tcPr>
            <w:tcW w:w="80" w:type="dxa"/>
            <w:vAlign w:val="bottom"/>
          </w:tcPr>
          <w:p>
            <w:pPr>
              <w:spacing w:after="0"/>
              <w:rPr>
                <w:sz w:val="20"/>
                <w:szCs w:val="20"/>
                <w:color w:val="auto"/>
              </w:rPr>
            </w:pPr>
          </w:p>
        </w:tc>
        <w:tc>
          <w:tcPr>
            <w:tcW w:w="1960" w:type="dxa"/>
            <w:vAlign w:val="bottom"/>
          </w:tcPr>
          <w:p>
            <w:pPr>
              <w:jc w:val="right"/>
              <w:ind w:right="479"/>
              <w:spacing w:after="0"/>
              <w:rPr>
                <w:sz w:val="20"/>
                <w:szCs w:val="20"/>
                <w:color w:val="auto"/>
              </w:rPr>
            </w:pPr>
            <w:r>
              <w:rPr>
                <w:rFonts w:ascii="Arial" w:cs="Arial" w:eastAsia="Arial" w:hAnsi="Arial"/>
                <w:sz w:val="16"/>
                <w:szCs w:val="16"/>
                <w:color w:val="auto"/>
              </w:rPr>
              <w:t>129,982</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8,396,929</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(56.67)%</w:t>
            </w:r>
          </w:p>
        </w:tc>
        <w:tc>
          <w:tcPr>
            <w:tcW w:w="0" w:type="dxa"/>
            <w:vAlign w:val="bottom"/>
          </w:tcPr>
          <w:p>
            <w:pPr>
              <w:spacing w:after="0"/>
              <w:rPr>
                <w:sz w:val="1"/>
                <w:szCs w:val="1"/>
                <w:color w:val="auto"/>
              </w:rPr>
            </w:pPr>
          </w:p>
        </w:tc>
      </w:tr>
      <w:tr>
        <w:trPr>
          <w:trHeight w:val="246"/>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Futures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25,327</w:t>
            </w:r>
          </w:p>
        </w:tc>
        <w:tc>
          <w:tcPr>
            <w:tcW w:w="8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582</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37,240</w:t>
            </w:r>
          </w:p>
        </w:tc>
        <w:tc>
          <w:tcPr>
            <w:tcW w:w="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237"/>
        </w:trPr>
        <w:tc>
          <w:tcPr>
            <w:tcW w:w="106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490,114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31,563,939</w:t>
            </w: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563,416</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36,307,193</w:t>
            </w: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(13.01)%</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Credit</w:t>
            </w: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Cash</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7,037</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455,507</w:t>
            </w:r>
          </w:p>
        </w:tc>
        <w:tc>
          <w:tcPr>
            <w:tcW w:w="8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5,455</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352,772</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28.98 %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U.S. High Grade</w:t>
            </w:r>
          </w:p>
        </w:tc>
        <w:tc>
          <w:tcPr>
            <w:tcW w:w="1440" w:type="dxa"/>
            <w:vAlign w:val="bottom"/>
          </w:tcPr>
          <w:p>
            <w:pPr>
              <w:jc w:val="right"/>
              <w:spacing w:after="0"/>
              <w:rPr>
                <w:sz w:val="20"/>
                <w:szCs w:val="20"/>
                <w:color w:val="auto"/>
              </w:rPr>
            </w:pPr>
            <w:r>
              <w:rPr>
                <w:rFonts w:ascii="Arial" w:cs="Arial" w:eastAsia="Arial" w:hAnsi="Arial"/>
                <w:sz w:val="16"/>
                <w:szCs w:val="16"/>
                <w:color w:val="auto"/>
              </w:rPr>
              <w:t>3,818</w:t>
            </w:r>
          </w:p>
        </w:tc>
        <w:tc>
          <w:tcPr>
            <w:tcW w:w="1500" w:type="dxa"/>
            <w:vAlign w:val="bottom"/>
          </w:tcPr>
          <w:p>
            <w:pPr>
              <w:jc w:val="right"/>
              <w:spacing w:after="0"/>
              <w:rPr>
                <w:sz w:val="20"/>
                <w:szCs w:val="20"/>
                <w:color w:val="auto"/>
              </w:rPr>
            </w:pPr>
            <w:r>
              <w:rPr>
                <w:rFonts w:ascii="Arial" w:cs="Arial" w:eastAsia="Arial" w:hAnsi="Arial"/>
                <w:sz w:val="16"/>
                <w:szCs w:val="16"/>
                <w:color w:val="auto"/>
              </w:rPr>
              <w:t>244,359</w:t>
            </w:r>
          </w:p>
        </w:tc>
        <w:tc>
          <w:tcPr>
            <w:tcW w:w="80" w:type="dxa"/>
            <w:vAlign w:val="bottom"/>
          </w:tcPr>
          <w:p>
            <w:pPr>
              <w:spacing w:after="0"/>
              <w:rPr>
                <w:sz w:val="20"/>
                <w:szCs w:val="20"/>
                <w:color w:val="auto"/>
              </w:rPr>
            </w:pPr>
          </w:p>
        </w:tc>
        <w:tc>
          <w:tcPr>
            <w:tcW w:w="1960" w:type="dxa"/>
            <w:vAlign w:val="bottom"/>
          </w:tcPr>
          <w:p>
            <w:pPr>
              <w:jc w:val="right"/>
              <w:ind w:right="479"/>
              <w:spacing w:after="0"/>
              <w:rPr>
                <w:sz w:val="20"/>
                <w:szCs w:val="20"/>
                <w:color w:val="auto"/>
              </w:rPr>
            </w:pPr>
            <w:r>
              <w:rPr>
                <w:rFonts w:ascii="Arial" w:cs="Arial" w:eastAsia="Arial" w:hAnsi="Arial"/>
                <w:sz w:val="16"/>
                <w:szCs w:val="16"/>
                <w:color w:val="auto"/>
              </w:rPr>
              <w:t>2,483</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158,921</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53.76 %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U.S. High Yield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25,974</w:t>
            </w:r>
          </w:p>
        </w:tc>
        <w:tc>
          <w:tcPr>
            <w:tcW w:w="8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329</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21,072</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European Credit</w:t>
            </w:r>
          </w:p>
        </w:tc>
        <w:tc>
          <w:tcPr>
            <w:tcW w:w="1440" w:type="dxa"/>
            <w:vAlign w:val="bottom"/>
          </w:tcPr>
          <w:p>
            <w:pPr>
              <w:jc w:val="right"/>
              <w:spacing w:after="0"/>
              <w:rPr>
                <w:sz w:val="20"/>
                <w:szCs w:val="20"/>
                <w:color w:val="auto"/>
              </w:rPr>
            </w:pPr>
            <w:r>
              <w:rPr>
                <w:rFonts w:ascii="Arial" w:cs="Arial" w:eastAsia="Arial" w:hAnsi="Arial"/>
                <w:sz w:val="16"/>
                <w:szCs w:val="16"/>
                <w:color w:val="auto"/>
              </w:rPr>
              <w:t>1,270</w:t>
            </w:r>
          </w:p>
        </w:tc>
        <w:tc>
          <w:tcPr>
            <w:tcW w:w="1500" w:type="dxa"/>
            <w:vAlign w:val="bottom"/>
          </w:tcPr>
          <w:p>
            <w:pPr>
              <w:jc w:val="right"/>
              <w:spacing w:after="0"/>
              <w:rPr>
                <w:sz w:val="20"/>
                <w:szCs w:val="20"/>
                <w:color w:val="auto"/>
              </w:rPr>
            </w:pPr>
            <w:r>
              <w:rPr>
                <w:rFonts w:ascii="Arial" w:cs="Arial" w:eastAsia="Arial" w:hAnsi="Arial"/>
                <w:sz w:val="16"/>
                <w:szCs w:val="16"/>
                <w:color w:val="auto"/>
              </w:rPr>
              <w:t>83,831</w:t>
            </w:r>
          </w:p>
        </w:tc>
        <w:tc>
          <w:tcPr>
            <w:tcW w:w="80" w:type="dxa"/>
            <w:vAlign w:val="bottom"/>
          </w:tcPr>
          <w:p>
            <w:pPr>
              <w:spacing w:after="0"/>
              <w:rPr>
                <w:sz w:val="20"/>
                <w:szCs w:val="20"/>
                <w:color w:val="auto"/>
              </w:rPr>
            </w:pPr>
          </w:p>
        </w:tc>
        <w:tc>
          <w:tcPr>
            <w:tcW w:w="1960" w:type="dxa"/>
            <w:vAlign w:val="bottom"/>
          </w:tcPr>
          <w:p>
            <w:pPr>
              <w:jc w:val="right"/>
              <w:ind w:right="479"/>
              <w:spacing w:after="0"/>
              <w:rPr>
                <w:sz w:val="20"/>
                <w:szCs w:val="20"/>
                <w:color w:val="auto"/>
              </w:rPr>
            </w:pPr>
            <w:r>
              <w:rPr>
                <w:rFonts w:ascii="Arial" w:cs="Arial" w:eastAsia="Arial" w:hAnsi="Arial"/>
                <w:sz w:val="16"/>
                <w:szCs w:val="16"/>
                <w:color w:val="auto"/>
              </w:rPr>
              <w:t>1,203</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79,409</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5.57 %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Municipal Bonds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12,851</w:t>
            </w:r>
          </w:p>
        </w:tc>
        <w:tc>
          <w:tcPr>
            <w:tcW w:w="8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226</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14,433</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Chinese Bonds</w:t>
            </w:r>
          </w:p>
        </w:tc>
        <w:tc>
          <w:tcPr>
            <w:tcW w:w="1440" w:type="dxa"/>
            <w:vAlign w:val="bottom"/>
          </w:tcPr>
          <w:p>
            <w:pPr>
              <w:jc w:val="right"/>
              <w:spacing w:after="0"/>
              <w:rPr>
                <w:sz w:val="20"/>
                <w:szCs w:val="20"/>
                <w:color w:val="auto"/>
              </w:rPr>
            </w:pPr>
            <w:r>
              <w:rPr>
                <w:rFonts w:ascii="Arial" w:cs="Arial" w:eastAsia="Arial" w:hAnsi="Arial"/>
                <w:sz w:val="16"/>
                <w:szCs w:val="16"/>
                <w:color w:val="auto"/>
              </w:rPr>
              <w:t>1,277</w:t>
            </w:r>
          </w:p>
        </w:tc>
        <w:tc>
          <w:tcPr>
            <w:tcW w:w="1500" w:type="dxa"/>
            <w:vAlign w:val="bottom"/>
          </w:tcPr>
          <w:p>
            <w:pPr>
              <w:jc w:val="right"/>
              <w:spacing w:after="0"/>
              <w:rPr>
                <w:sz w:val="20"/>
                <w:szCs w:val="20"/>
                <w:color w:val="auto"/>
              </w:rPr>
            </w:pPr>
            <w:r>
              <w:rPr>
                <w:rFonts w:ascii="Arial" w:cs="Arial" w:eastAsia="Arial" w:hAnsi="Arial"/>
                <w:sz w:val="16"/>
                <w:szCs w:val="16"/>
                <w:color w:val="auto"/>
              </w:rPr>
              <w:t>84,292</w:t>
            </w:r>
          </w:p>
        </w:tc>
        <w:tc>
          <w:tcPr>
            <w:tcW w:w="80" w:type="dxa"/>
            <w:vAlign w:val="bottom"/>
          </w:tcPr>
          <w:p>
            <w:pPr>
              <w:spacing w:after="0"/>
              <w:rPr>
                <w:sz w:val="20"/>
                <w:szCs w:val="20"/>
                <w:color w:val="auto"/>
              </w:rPr>
            </w:pPr>
          </w:p>
        </w:tc>
        <w:tc>
          <w:tcPr>
            <w:tcW w:w="1960" w:type="dxa"/>
            <w:vAlign w:val="bottom"/>
          </w:tcPr>
          <w:p>
            <w:pPr>
              <w:jc w:val="right"/>
              <w:ind w:right="479"/>
              <w:spacing w:after="0"/>
              <w:rPr>
                <w:sz w:val="20"/>
                <w:szCs w:val="20"/>
                <w:color w:val="auto"/>
              </w:rPr>
            </w:pPr>
            <w:r>
              <w:rPr>
                <w:rFonts w:ascii="Arial" w:cs="Arial" w:eastAsia="Arial" w:hAnsi="Arial"/>
                <w:sz w:val="16"/>
                <w:szCs w:val="16"/>
                <w:color w:val="auto"/>
              </w:rPr>
              <w:t>1,157</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75,201</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10.39 %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Other Credit Bonds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4,201</w:t>
            </w:r>
          </w:p>
        </w:tc>
        <w:tc>
          <w:tcPr>
            <w:tcW w:w="8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57</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3,735</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Derivatives</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12,538</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815,611</w:t>
            </w:r>
          </w:p>
        </w:tc>
        <w:tc>
          <w:tcPr>
            <w:tcW w:w="80" w:type="dxa"/>
            <w:vAlign w:val="bottom"/>
          </w:tcPr>
          <w:p>
            <w:pPr>
              <w:spacing w:after="0"/>
              <w:rPr>
                <w:sz w:val="20"/>
                <w:szCs w:val="20"/>
                <w:color w:val="auto"/>
              </w:rPr>
            </w:pPr>
          </w:p>
        </w:tc>
        <w:tc>
          <w:tcPr>
            <w:tcW w:w="1960" w:type="dxa"/>
            <w:vAlign w:val="bottom"/>
          </w:tcPr>
          <w:p>
            <w:pPr>
              <w:jc w:val="right"/>
              <w:ind w:right="479"/>
              <w:spacing w:after="0"/>
              <w:rPr>
                <w:sz w:val="20"/>
                <w:szCs w:val="20"/>
                <w:color w:val="auto"/>
              </w:rPr>
            </w:pPr>
            <w:r>
              <w:rPr>
                <w:rFonts w:ascii="Arial" w:cs="Arial" w:eastAsia="Arial" w:hAnsi="Arial"/>
                <w:sz w:val="16"/>
                <w:szCs w:val="16"/>
                <w:b w:val="1"/>
                <w:bCs w:val="1"/>
                <w:color w:val="auto"/>
              </w:rPr>
              <w:t>11,763</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764,357</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6.59 %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Swaps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815,611</w:t>
            </w:r>
          </w:p>
        </w:tc>
        <w:tc>
          <w:tcPr>
            <w:tcW w:w="8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11,763</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764,357</w:t>
            </w:r>
          </w:p>
        </w:tc>
        <w:tc>
          <w:tcPr>
            <w:tcW w:w="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6.59 %</w:t>
            </w:r>
          </w:p>
        </w:tc>
        <w:tc>
          <w:tcPr>
            <w:tcW w:w="0" w:type="dxa"/>
            <w:vAlign w:val="bottom"/>
          </w:tcPr>
          <w:p>
            <w:pPr>
              <w:spacing w:after="0"/>
              <w:rPr>
                <w:sz w:val="1"/>
                <w:szCs w:val="1"/>
                <w:color w:val="auto"/>
              </w:rPr>
            </w:pPr>
          </w:p>
        </w:tc>
      </w:tr>
      <w:tr>
        <w:trPr>
          <w:trHeight w:val="230"/>
        </w:trPr>
        <w:tc>
          <w:tcPr>
            <w:tcW w:w="106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19,574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1,271,118</w:t>
            </w: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17,218</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1,117,129</w:t>
            </w: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13.68 %</w:t>
            </w: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Money</w:t>
            </w: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Cash</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261,590</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16,847,205</w:t>
            </w:r>
          </w:p>
        </w:tc>
        <w:tc>
          <w:tcPr>
            <w:tcW w:w="80" w:type="dxa"/>
            <w:vAlign w:val="bottom"/>
            <w:shd w:val="clear" w:color="auto" w:fill="CCEEFF"/>
          </w:tcPr>
          <w:p>
            <w:pPr>
              <w:spacing w:after="0"/>
              <w:rPr>
                <w:sz w:val="16"/>
                <w:szCs w:val="16"/>
                <w:color w:val="auto"/>
              </w:rPr>
            </w:pPr>
          </w:p>
        </w:tc>
        <w:tc>
          <w:tcPr>
            <w:tcW w:w="1960" w:type="dxa"/>
            <w:vAlign w:val="bottom"/>
            <w:vMerge w:val="restart"/>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228,795</w:t>
            </w:r>
          </w:p>
        </w:tc>
        <w:tc>
          <w:tcPr>
            <w:tcW w:w="10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14,701,645</w:t>
            </w:r>
          </w:p>
        </w:tc>
        <w:tc>
          <w:tcPr>
            <w:tcW w:w="80" w:type="dxa"/>
            <w:vAlign w:val="bottom"/>
            <w:shd w:val="clear" w:color="auto" w:fill="CCEEFF"/>
          </w:tcPr>
          <w:p>
            <w:pPr>
              <w:spacing w:after="0"/>
              <w:rPr>
                <w:sz w:val="16"/>
                <w:szCs w:val="16"/>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14.33 %</w:t>
            </w:r>
          </w:p>
        </w:tc>
        <w:tc>
          <w:tcPr>
            <w:tcW w:w="0" w:type="dxa"/>
            <w:vAlign w:val="bottom"/>
          </w:tcPr>
          <w:p>
            <w:pPr>
              <w:spacing w:after="0"/>
              <w:rPr>
                <w:sz w:val="1"/>
                <w:szCs w:val="1"/>
                <w:color w:val="auto"/>
              </w:rPr>
            </w:pPr>
          </w:p>
        </w:tc>
      </w:tr>
      <w:tr>
        <w:trPr>
          <w:trHeight w:val="120"/>
        </w:trPr>
        <w:tc>
          <w:tcPr>
            <w:tcW w:w="106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Markets</w:t>
            </w:r>
          </w:p>
        </w:tc>
        <w:tc>
          <w:tcPr>
            <w:tcW w:w="2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15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6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060" w:type="dxa"/>
            <w:vAlign w:val="bottom"/>
            <w:vMerge w:val="continue"/>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Repurchase Agreements</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250,039</w:t>
            </w: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16,106,552</w:t>
            </w:r>
          </w:p>
        </w:tc>
        <w:tc>
          <w:tcPr>
            <w:tcW w:w="80" w:type="dxa"/>
            <w:vAlign w:val="bottom"/>
          </w:tcPr>
          <w:p>
            <w:pPr>
              <w:spacing w:after="0"/>
              <w:rPr>
                <w:sz w:val="17"/>
                <w:szCs w:val="17"/>
                <w:color w:val="auto"/>
              </w:rPr>
            </w:pPr>
          </w:p>
        </w:tc>
        <w:tc>
          <w:tcPr>
            <w:tcW w:w="1960" w:type="dxa"/>
            <w:vAlign w:val="bottom"/>
            <w:vMerge w:val="restart"/>
          </w:tcPr>
          <w:p>
            <w:pPr>
              <w:jc w:val="right"/>
              <w:ind w:right="479"/>
              <w:spacing w:after="0"/>
              <w:rPr>
                <w:sz w:val="20"/>
                <w:szCs w:val="20"/>
                <w:color w:val="auto"/>
              </w:rPr>
            </w:pPr>
            <w:r>
              <w:rPr>
                <w:rFonts w:ascii="Arial" w:cs="Arial" w:eastAsia="Arial" w:hAnsi="Arial"/>
                <w:sz w:val="16"/>
                <w:szCs w:val="16"/>
                <w:color w:val="auto"/>
              </w:rPr>
              <w:t>210,969</w:t>
            </w: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13,558,356</w:t>
            </w:r>
          </w:p>
        </w:tc>
        <w:tc>
          <w:tcPr>
            <w:tcW w:w="80" w:type="dxa"/>
            <w:vAlign w:val="bottom"/>
          </w:tcPr>
          <w:p>
            <w:pPr>
              <w:spacing w:after="0"/>
              <w:rPr>
                <w:sz w:val="17"/>
                <w:szCs w:val="17"/>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18.52 %</w:t>
            </w:r>
          </w:p>
        </w:tc>
        <w:tc>
          <w:tcPr>
            <w:tcW w:w="0" w:type="dxa"/>
            <w:vAlign w:val="bottom"/>
          </w:tcPr>
          <w:p>
            <w:pPr>
              <w:spacing w:after="0"/>
              <w:rPr>
                <w:sz w:val="1"/>
                <w:szCs w:val="1"/>
                <w:color w:val="auto"/>
              </w:rPr>
            </w:pPr>
          </w:p>
        </w:tc>
      </w:tr>
      <w:tr>
        <w:trPr>
          <w:trHeight w:val="116"/>
        </w:trPr>
        <w:tc>
          <w:tcPr>
            <w:tcW w:w="1060" w:type="dxa"/>
            <w:vAlign w:val="bottom"/>
          </w:tcPr>
          <w:p>
            <w:pPr>
              <w:spacing w:after="0"/>
              <w:rPr>
                <w:sz w:val="10"/>
                <w:szCs w:val="10"/>
                <w:color w:val="auto"/>
              </w:rPr>
            </w:pPr>
          </w:p>
        </w:tc>
        <w:tc>
          <w:tcPr>
            <w:tcW w:w="2480" w:type="dxa"/>
            <w:vAlign w:val="bottom"/>
            <w:gridSpan w:val="2"/>
            <w:vMerge w:val="restart"/>
          </w:tcPr>
          <w:p>
            <w:pPr>
              <w:jc w:val="right"/>
              <w:ind w:right="100"/>
              <w:spacing w:after="0"/>
              <w:rPr>
                <w:sz w:val="20"/>
                <w:szCs w:val="20"/>
                <w:color w:val="auto"/>
              </w:rPr>
            </w:pPr>
            <w:r>
              <w:rPr>
                <w:rFonts w:ascii="Arial" w:cs="Arial" w:eastAsia="Arial" w:hAnsi="Arial"/>
                <w:sz w:val="16"/>
                <w:szCs w:val="16"/>
                <w:i w:val="1"/>
                <w:iCs w:val="1"/>
                <w:color w:val="auto"/>
              </w:rPr>
              <w:t>(Repo)</w:t>
            </w:r>
          </w:p>
        </w:tc>
        <w:tc>
          <w:tcPr>
            <w:tcW w:w="144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060" w:type="dxa"/>
            <w:vAlign w:val="bottom"/>
          </w:tcPr>
          <w:p>
            <w:pPr>
              <w:spacing w:after="0"/>
              <w:rPr>
                <w:sz w:val="9"/>
                <w:szCs w:val="9"/>
                <w:color w:val="auto"/>
              </w:rPr>
            </w:pPr>
          </w:p>
        </w:tc>
        <w:tc>
          <w:tcPr>
            <w:tcW w:w="2480" w:type="dxa"/>
            <w:vAlign w:val="bottom"/>
            <w:gridSpan w:val="2"/>
            <w:vMerge w:val="continue"/>
          </w:tcPr>
          <w:p>
            <w:pPr>
              <w:spacing w:after="0"/>
              <w:rPr>
                <w:sz w:val="9"/>
                <w:szCs w:val="9"/>
                <w:color w:val="auto"/>
              </w:rPr>
            </w:pPr>
          </w:p>
        </w:tc>
        <w:tc>
          <w:tcPr>
            <w:tcW w:w="1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Other Money Markets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740,653</w:t>
            </w:r>
          </w:p>
        </w:tc>
        <w:tc>
          <w:tcPr>
            <w:tcW w:w="8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17,827</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1,143,289</w:t>
            </w:r>
          </w:p>
        </w:tc>
        <w:tc>
          <w:tcPr>
            <w:tcW w:w="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(35.20)%</w:t>
            </w:r>
          </w:p>
        </w:tc>
        <w:tc>
          <w:tcPr>
            <w:tcW w:w="0" w:type="dxa"/>
            <w:vAlign w:val="bottom"/>
          </w:tcPr>
          <w:p>
            <w:pPr>
              <w:spacing w:after="0"/>
              <w:rPr>
                <w:sz w:val="1"/>
                <w:szCs w:val="1"/>
                <w:color w:val="auto"/>
              </w:rPr>
            </w:pPr>
          </w:p>
        </w:tc>
      </w:tr>
      <w:tr>
        <w:trPr>
          <w:trHeight w:val="230"/>
        </w:trPr>
        <w:tc>
          <w:tcPr>
            <w:tcW w:w="106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261,590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16,847,205</w:t>
            </w: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228,795</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14,701,645</w:t>
            </w: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14.33 %</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Equities</w:t>
            </w: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Cash</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5,408</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349,289</w:t>
            </w:r>
          </w:p>
        </w:tc>
        <w:tc>
          <w:tcPr>
            <w:tcW w:w="8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4,499</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291,410</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20.21 %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U.S. ETFs</w:t>
            </w:r>
          </w:p>
        </w:tc>
        <w:tc>
          <w:tcPr>
            <w:tcW w:w="1440" w:type="dxa"/>
            <w:vAlign w:val="bottom"/>
          </w:tcPr>
          <w:p>
            <w:pPr>
              <w:jc w:val="right"/>
              <w:spacing w:after="0"/>
              <w:rPr>
                <w:sz w:val="20"/>
                <w:szCs w:val="20"/>
                <w:color w:val="auto"/>
              </w:rPr>
            </w:pPr>
            <w:r>
              <w:rPr>
                <w:rFonts w:ascii="Arial" w:cs="Arial" w:eastAsia="Arial" w:hAnsi="Arial"/>
                <w:sz w:val="16"/>
                <w:szCs w:val="16"/>
                <w:color w:val="auto"/>
              </w:rPr>
              <w:t>3,815</w:t>
            </w:r>
          </w:p>
        </w:tc>
        <w:tc>
          <w:tcPr>
            <w:tcW w:w="1500" w:type="dxa"/>
            <w:vAlign w:val="bottom"/>
          </w:tcPr>
          <w:p>
            <w:pPr>
              <w:jc w:val="right"/>
              <w:spacing w:after="0"/>
              <w:rPr>
                <w:sz w:val="20"/>
                <w:szCs w:val="20"/>
                <w:color w:val="auto"/>
              </w:rPr>
            </w:pPr>
            <w:r>
              <w:rPr>
                <w:rFonts w:ascii="Arial" w:cs="Arial" w:eastAsia="Arial" w:hAnsi="Arial"/>
                <w:sz w:val="16"/>
                <w:szCs w:val="16"/>
                <w:color w:val="auto"/>
              </w:rPr>
              <w:t>244,189</w:t>
            </w:r>
          </w:p>
        </w:tc>
        <w:tc>
          <w:tcPr>
            <w:tcW w:w="80" w:type="dxa"/>
            <w:vAlign w:val="bottom"/>
          </w:tcPr>
          <w:p>
            <w:pPr>
              <w:spacing w:after="0"/>
              <w:rPr>
                <w:sz w:val="20"/>
                <w:szCs w:val="20"/>
                <w:color w:val="auto"/>
              </w:rPr>
            </w:pPr>
          </w:p>
        </w:tc>
        <w:tc>
          <w:tcPr>
            <w:tcW w:w="1960" w:type="dxa"/>
            <w:vAlign w:val="bottom"/>
          </w:tcPr>
          <w:p>
            <w:pPr>
              <w:jc w:val="right"/>
              <w:ind w:right="479"/>
              <w:spacing w:after="0"/>
              <w:rPr>
                <w:sz w:val="20"/>
                <w:szCs w:val="20"/>
                <w:color w:val="auto"/>
              </w:rPr>
            </w:pPr>
            <w:r>
              <w:rPr>
                <w:rFonts w:ascii="Arial" w:cs="Arial" w:eastAsia="Arial" w:hAnsi="Arial"/>
                <w:sz w:val="16"/>
                <w:szCs w:val="16"/>
                <w:color w:val="auto"/>
              </w:rPr>
              <w:t>2,755</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176,292</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38.51 %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Europe ETFs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105,101</w:t>
            </w:r>
          </w:p>
        </w:tc>
        <w:tc>
          <w:tcPr>
            <w:tcW w:w="8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1,744</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115,118</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Derivatives</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3,624</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233,482</w:t>
            </w:r>
          </w:p>
        </w:tc>
        <w:tc>
          <w:tcPr>
            <w:tcW w:w="80" w:type="dxa"/>
            <w:vAlign w:val="bottom"/>
          </w:tcPr>
          <w:p>
            <w:pPr>
              <w:spacing w:after="0"/>
              <w:rPr>
                <w:sz w:val="20"/>
                <w:szCs w:val="20"/>
                <w:color w:val="auto"/>
              </w:rPr>
            </w:pPr>
          </w:p>
        </w:tc>
        <w:tc>
          <w:tcPr>
            <w:tcW w:w="1960" w:type="dxa"/>
            <w:vAlign w:val="bottom"/>
          </w:tcPr>
          <w:p>
            <w:pPr>
              <w:jc w:val="right"/>
              <w:ind w:right="479"/>
              <w:spacing w:after="0"/>
              <w:rPr>
                <w:sz w:val="20"/>
                <w:szCs w:val="20"/>
                <w:color w:val="auto"/>
              </w:rPr>
            </w:pPr>
            <w:r>
              <w:rPr>
                <w:rFonts w:ascii="Arial" w:cs="Arial" w:eastAsia="Arial" w:hAnsi="Arial"/>
                <w:sz w:val="16"/>
                <w:szCs w:val="16"/>
                <w:b w:val="1"/>
                <w:bCs w:val="1"/>
                <w:color w:val="auto"/>
              </w:rPr>
              <w:t>2,846</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184,720</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27.32 %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Options/Convertibles/Swaps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77,469</w:t>
            </w:r>
          </w:p>
        </w:tc>
        <w:tc>
          <w:tcPr>
            <w:tcW w:w="8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1,275</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83,725</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36"/>
        </w:trPr>
        <w:tc>
          <w:tcPr>
            <w:tcW w:w="106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i w:val="1"/>
                <w:iCs w:val="1"/>
                <w:color w:val="auto"/>
              </w:rPr>
              <w:t>Futures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156,014</w:t>
            </w: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1,571</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100,996</w:t>
            </w: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55.00 %</w:t>
            </w:r>
          </w:p>
        </w:tc>
        <w:tc>
          <w:tcPr>
            <w:tcW w:w="0" w:type="dxa"/>
            <w:vAlign w:val="bottom"/>
          </w:tcPr>
          <w:p>
            <w:pPr>
              <w:spacing w:after="0"/>
              <w:rPr>
                <w:sz w:val="1"/>
                <w:szCs w:val="1"/>
                <w:color w:val="auto"/>
              </w:rPr>
            </w:pPr>
          </w:p>
        </w:tc>
      </w:tr>
      <w:tr>
        <w:trPr>
          <w:trHeight w:val="237"/>
        </w:trPr>
        <w:tc>
          <w:tcPr>
            <w:tcW w:w="106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9,032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582,772</w:t>
            </w:r>
          </w:p>
        </w:tc>
        <w:tc>
          <w:tcPr>
            <w:tcW w:w="8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7,345</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476,130</w:t>
            </w:r>
          </w:p>
        </w:tc>
        <w:tc>
          <w:tcPr>
            <w:tcW w:w="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22.96 %</w:t>
            </w: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1">
            <w:col w:w="11260"/>
          </w:cols>
          <w:pgMar w:left="320" w:top="1012" w:right="319" w:bottom="1440" w:gutter="0" w:footer="0" w:header="0"/>
        </w:sectPr>
      </w:pPr>
    </w:p>
    <w:p>
      <w:pPr>
        <w:spacing w:after="0" w:line="298"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7"/>
        </w:trPr>
        <w:tc>
          <w:tcPr>
            <w:tcW w:w="1480" w:type="dxa"/>
            <w:vAlign w:val="bottom"/>
            <w:tcBorders>
              <w:top w:val="single" w:sz="8" w:color="auto"/>
              <w:left w:val="single" w:sz="8" w:color="auto"/>
              <w:right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ADV (USD mm)</w:t>
            </w:r>
          </w:p>
        </w:tc>
        <w:tc>
          <w:tcPr>
            <w:tcW w:w="1560" w:type="dxa"/>
            <w:vAlign w:val="bottom"/>
            <w:tcBorders>
              <w:top w:val="single" w:sz="8" w:color="auto"/>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Volume (USD mm)</w:t>
            </w:r>
          </w:p>
        </w:tc>
        <w:tc>
          <w:tcPr>
            <w:tcW w:w="1500" w:type="dxa"/>
            <w:vAlign w:val="bottom"/>
            <w:tcBorders>
              <w:top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ADV (USD mm)</w:t>
            </w:r>
          </w:p>
        </w:tc>
        <w:tc>
          <w:tcPr>
            <w:tcW w:w="158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Volume (USD mm)</w:t>
            </w:r>
          </w:p>
        </w:tc>
        <w:tc>
          <w:tcPr>
            <w:tcW w:w="1600" w:type="dxa"/>
            <w:vAlign w:val="bottom"/>
            <w:tcBorders>
              <w:top w:val="single" w:sz="8" w:color="auto"/>
              <w:right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YoY</w:t>
            </w:r>
          </w:p>
        </w:tc>
      </w:tr>
      <w:tr>
        <w:trPr>
          <w:trHeight w:val="257"/>
        </w:trPr>
        <w:tc>
          <w:tcPr>
            <w:tcW w:w="1480" w:type="dxa"/>
            <w:vAlign w:val="bottom"/>
            <w:tcBorders>
              <w:left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780,311</w:t>
            </w:r>
          </w:p>
        </w:tc>
        <w:tc>
          <w:tcPr>
            <w:tcW w:w="156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50,265,034</w:t>
            </w:r>
          </w:p>
        </w:tc>
        <w:tc>
          <w:tcPr>
            <w:tcW w:w="15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816,774</w:t>
            </w:r>
          </w:p>
        </w:tc>
        <w:tc>
          <w:tcPr>
            <w:tcW w:w="1580" w:type="dxa"/>
            <w:vAlign w:val="bottom"/>
            <w:tcBorders>
              <w:right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52,602,097</w:t>
            </w:r>
          </w:p>
        </w:tc>
        <w:tc>
          <w:tcPr>
            <w:tcW w:w="16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(4.46)%</w:t>
            </w:r>
          </w:p>
        </w:tc>
      </w:tr>
      <w:tr>
        <w:trPr>
          <w:trHeight w:val="33"/>
        </w:trPr>
        <w:tc>
          <w:tcPr>
            <w:tcW w:w="1480" w:type="dxa"/>
            <w:vAlign w:val="bottom"/>
            <w:tcBorders>
              <w:left w:val="single" w:sz="8" w:color="auto"/>
              <w:right w:val="single" w:sz="8" w:color="auto"/>
            </w:tcBorders>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-170815</wp:posOffset>
            </wp:positionV>
            <wp:extent cx="64033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033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20"/>
          </w:cols>
          <w:pgMar w:left="320" w:top="1012" w:right="31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55FC1"/>
        </w:rPr>
        <w:t>https://www.tradeweb.com/newsroom/monthly-activity-reports/</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60"/>
          </w:cols>
          <w:pgMar w:left="320" w:top="1012" w:right="3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FORWARD-LOOKING STATEMENTS</w:t>
      </w:r>
    </w:p>
    <w:p>
      <w:pPr>
        <w:spacing w:after="0" w:line="13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2020 guidance, and future performance, the industry and markets in which we operate, our expectations, beliefs, plans, strategies, objectives, prospects and assumptions and future events are forward-looking statements. In addition, statements herein relating to the COVID-19 pandemic, the potential impacts of which remain inherently uncertain, are forward-looking statements.</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PRESENTATION</w:t>
      </w:r>
    </w:p>
    <w:p>
      <w:pPr>
        <w:spacing w:after="0" w:line="13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The historical financial information and other disclosures contained in this press release relate to periods that ended both prior to and after the completion of the Reorganization Transactions and the IPO of Tradeweb Markets Inc. (unless the context otherwise requires, together with its subsidiaries, referred to as “we,” “our,” “Tradeweb,” “Tradeweb Markets” or the “Company”). The IPO closed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 The historical financial information contained in this press release relating to periods prior to and including March 31, 2019, which we refer to as the “pre-IPO period,” pertain to TWM LLC, the predecessor of Tradeweb Markets Inc. for financial reporting purposes. The historical financial information contained in this press release relating to periods beginning on April 1, 2019, and through and including September 30, 2020, which we refer to as the “post-IPO period,” pertain to Tradeweb Markets Inc. The pre-IPO period excludes, and the post-IPO period includes, our financial results from April 1, 2019 through April 3, 2019, which are not material.</w:t>
      </w:r>
    </w:p>
    <w:p>
      <w:pPr>
        <w:spacing w:after="0" w:line="23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October 1, 2018, Refinitiv Holdings Ltd. (“Refinitiv”), which is controlled by certain investment funds affiliated with The Blackstone Group L.P., an affiliate of Canada Pension Plan Investment Board, an affiliate of GIC Special Investments Pte. Ltd. and certain co-investors, indirectly acquired substantially all of the financial and risk business of Thomson Reuters Corporation and Thomson Reuters Corporation indirectly acquired a non-controlling ownership interest in Refinitiv (collectively, the “Refinitiv Transaction”). As a result of the Refinitiv Transaction, as a consolidating subsidiary of Refinitiv, we accounted for the Refinitiv Transaction using pushdown accounting. Due to the change in the basis of accounting resulting from the application of pushdown accounting, the financial information for the period beginning on October 1, 2018, and through and including September 30, 2020, or the “successor period,” and the financial information for the periods prior to, and including, September 30, 2018, or the “predecessor period,” are not comparable. However, the change in basis resulting from the Refinitiv Transaction did not impact certain financial information, specifically revenues and certain expenses.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98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NON-GAAP FINANCIAL MEASURES</w:t>
      </w:r>
    </w:p>
    <w:p>
      <w:pPr>
        <w:spacing w:after="0" w:line="13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Diluted EPS, Adjusted Expenses and Free Cash Flow, which are supplemental financial measures that are not calculated or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23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229"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22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222"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expenditures for capitalized software development costs and furniture, equipment and leasehold improvements.</w:t>
      </w:r>
    </w:p>
    <w:p>
      <w:pPr>
        <w:spacing w:after="0" w:line="2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EBIT, Adjusted EBIT margin, Adjusted Net Income, Adjusted Diluted EPS, Adjusted Expenses and Free Cash Flow, you should be aware that in the future, we may incur expenses similar to the adjustments in the presentation of these non-GAAP financial measures. 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206"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average exchange rates for the prior period. We use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 and may not be comparable to similarly titled measures used by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13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1)"/>
      <w:numFmt w:val="decimal"/>
      <w:start w:val="1"/>
    </w:lvl>
    <w:lvl w:ilvl="1">
      <w:lvlJc w:val="left"/>
      <w:lvlText w:val="(%2)"/>
      <w:numFmt w:val="lowerLetter"/>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lvl w:ilvl="1">
      <w:lvlJc w:val="left"/>
      <w:lvlText w:val="(%2)"/>
      <w:numFmt w:val="lowerLetter"/>
      <w:start w:val="1"/>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decimal"/>
      <w:start w:val="7"/>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2020-10-28T06:05:27Z</dcterms:created>
  <dcterms:modified xsi:type="dcterms:W3CDTF">2020-10-28T06:05:27Z</dcterms:modified>
</cp:coreProperties>
</file>