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3255" cy="6483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8398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03/15/2021</w:t>
      </w:r>
    </w:p>
    <w:p>
      <w:pPr>
        <w:spacing w:after="0" w:line="20" w:lineRule="exact"/>
        <w:rPr>
          <w:sz w:val="24"/>
          <w:szCs w:val="24"/>
          <w:color w:val="auto"/>
        </w:rPr>
      </w:pPr>
      <w:r>
        <w:rPr>
          <w:sz w:val="24"/>
          <w:szCs w:val="24"/>
          <w:color w:val="auto"/>
        </w:rPr>
        <w:br w:type="column"/>
      </w:r>
    </w:p>
    <w:p>
      <w:pPr>
        <w:ind w:left="-2" w:right="620" w:firstLine="2"/>
        <w:spacing w:after="0" w:line="262"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3" w:lineRule="exact"/>
        <w:rPr>
          <w:sz w:val="24"/>
          <w:szCs w:val="24"/>
          <w:color w:val="auto"/>
        </w:rPr>
      </w:pPr>
    </w:p>
    <w:p>
      <w:pPr>
        <w:sectPr>
          <w:pgSz w:w="11900" w:h="16838" w:orient="portrait"/>
          <w:cols w:equalWidth="0" w:num="3">
            <w:col w:w="3200" w:space="720"/>
            <w:col w:w="3102" w:space="720"/>
            <w:col w:w="3338"/>
          </w:cols>
          <w:pgMar w:left="460" w:top="216" w:right="359" w:bottom="126"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7" w:lineRule="exact"/>
        <w:rPr>
          <w:sz w:val="24"/>
          <w:szCs w:val="24"/>
          <w:color w:val="auto"/>
        </w:rPr>
      </w:pPr>
    </w:p>
    <w:p>
      <w:pPr>
        <w:sectPr>
          <w:pgSz w:w="11900" w:h="16838" w:orient="portrait"/>
          <w:cols w:equalWidth="0" w:num="2">
            <w:col w:w="3760" w:space="160"/>
            <w:col w:w="7160"/>
          </w:cols>
          <w:pgMar w:left="460" w:top="216" w:right="359" w:bottom="1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03/15/2021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24,844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415,222</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03/15/2021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95,238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510,460</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03/15/2021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95,238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74.5767</w:t>
            </w:r>
            <w:r>
              <w:rPr>
                <w:rFonts w:ascii="Times New Roman" w:cs="Times New Roman" w:eastAsia="Times New Roman" w:hAnsi="Times New Roman"/>
                <w:sz w:val="21"/>
                <w:szCs w:val="21"/>
                <w:color w:val="008000"/>
                <w:w w:val="96"/>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415,222</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56,769</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471,991</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54,935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74.8997</w:t>
            </w:r>
            <w:r>
              <w:rPr>
                <w:rFonts w:ascii="Times New Roman" w:cs="Times New Roman" w:eastAsia="Times New Roman" w:hAnsi="Times New Roman"/>
                <w:sz w:val="21"/>
                <w:szCs w:val="21"/>
                <w:color w:val="008000"/>
                <w:w w:val="96"/>
                <w:vertAlign w:val="superscript"/>
              </w:rPr>
              <w:t>(5)</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417,056</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03/16/2021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1,834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75.4629</w:t>
            </w:r>
            <w:r>
              <w:rPr>
                <w:rFonts w:ascii="Times New Roman" w:cs="Times New Roman" w:eastAsia="Times New Roman" w:hAnsi="Times New Roman"/>
                <w:sz w:val="21"/>
                <w:szCs w:val="21"/>
                <w:color w:val="008000"/>
                <w:w w:val="96"/>
                <w:vertAlign w:val="superscript"/>
              </w:rPr>
              <w:t>(6)</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415,222</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(3)</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95,238</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03/15/2021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95,238</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569,557</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(3)</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56,769</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03/16/2021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56,769</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512,788</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-2550795</wp:posOffset>
            </wp:positionV>
            <wp:extent cx="29210" cy="255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8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2021.</w:t>
      </w:r>
    </w:p>
    <w:p>
      <w:pPr>
        <w:spacing w:after="0" w:line="16" w:lineRule="exact"/>
        <w:rPr>
          <w:rFonts w:ascii="Times New Roman" w:cs="Times New Roman" w:eastAsia="Times New Roman" w:hAnsi="Times New Roman"/>
          <w:sz w:val="13"/>
          <w:szCs w:val="13"/>
          <w:color w:val="008000"/>
        </w:rPr>
      </w:pPr>
    </w:p>
    <w:p>
      <w:pPr>
        <w:jc w:val="both"/>
        <w:ind w:left="40" w:right="20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249,102 unvested RSUs in respect of Class A Common Stock which are scheduled to vest on January 1, 2022, (ii) 28,728 unvested RSUs in respect of Class A Common Stock which are scheduled to vest in equal installments on each of March 17, 2022 and March 17, 2023, (iii) 86,184 unvested RSUs in respect of Class A Common Stock which are scheduled to vest on January 1, 2023, and (iv) 24,844 RSUs in respect of Class A Common Stock which are scheduled to vest as described in footnote 1 to this Form 4, in each case subject to the reporting person's continued employment through the applicable vesting date. In addition, this amount includes 14,364 RSUs which are fully vested as of the date hereof and will be settled in shares of Class A Common Stock on March 18, 2021.</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4, 2020.</w:t>
      </w:r>
    </w:p>
    <w:p>
      <w:pPr>
        <w:spacing w:after="0" w:line="44"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$74.15 to $75.07,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4, 5 and 6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$74.42 to $75.41,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$75.42 to $75.53,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03/17/2021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2021-03-17T20:22:17Z</dcterms:created>
  <dcterms:modified xsi:type="dcterms:W3CDTF">2021-03-17T20:22:17Z</dcterms:modified>
</cp:coreProperties>
</file>