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Managing Director, Corp. Dev.</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70,000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154,447</w:t>
            </w:r>
            <w:r>
              <w:rPr>
                <w:rFonts w:ascii="Arial" w:cs="Arial" w:eastAsia="Arial" w:hAnsi="Arial"/>
                <w:sz w:val="21"/>
                <w:szCs w:val="21"/>
                <w:color w:val="008000"/>
                <w:w w:val="83"/>
                <w:vertAlign w:val="superscript"/>
              </w:rPr>
              <w:t>(2)(3)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46,209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84.4376</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108,238</w:t>
            </w:r>
            <w:r>
              <w:rPr>
                <w:rFonts w:ascii="Arial" w:cs="Arial" w:eastAsia="Arial" w:hAnsi="Arial"/>
                <w:sz w:val="21"/>
                <w:szCs w:val="21"/>
                <w:color w:val="008000"/>
                <w:w w:val="83"/>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23,791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84.8244</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84,447</w:t>
            </w:r>
            <w:r>
              <w:rPr>
                <w:rFonts w:ascii="Arial" w:cs="Arial" w:eastAsia="Arial" w:hAnsi="Arial"/>
                <w:sz w:val="21"/>
                <w:szCs w:val="21"/>
                <w:color w:val="008000"/>
                <w:w w:val="83"/>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70,000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70,000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87,028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18, 2021.</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Total in this Column 5 is updated to correct an error in reporting the beneficial ownership of the reporting person in the Form 4 filed on May 10,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$83.71 to $84.70,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$84.71 to $85.02,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06/21/2021</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7"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2021-06-21T20:03:27Z</dcterms:created>
  <dcterms:modified xsi:type="dcterms:W3CDTF">2021-06-21T20:03:27Z</dcterms:modified>
</cp:coreProperties>
</file>