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80"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9" w:lineRule="exact"/>
        <w:rPr>
          <w:sz w:val="24"/>
          <w:szCs w:val="24"/>
          <w:color w:val="auto"/>
        </w:rPr>
      </w:pPr>
    </w:p>
    <w:p>
      <w:pPr>
        <w:ind w:left="4200" w:right="1740" w:hanging="4174"/>
        <w:spacing w:after="0" w:line="391" w:lineRule="auto"/>
        <w:tabs>
          <w:tab w:leader="none" w:pos="39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001-38860</w:t>
      </w:r>
    </w:p>
    <w:p>
      <w:pPr>
        <w:jc w:val="center"/>
        <w:spacing w:after="0"/>
        <w:rPr>
          <w:sz w:val="20"/>
          <w:szCs w:val="20"/>
          <w:color w:val="auto"/>
        </w:rPr>
      </w:pPr>
      <w:r>
        <w:rPr>
          <w:rFonts w:ascii="Arial" w:cs="Arial" w:eastAsia="Arial" w:hAnsi="Arial"/>
          <w:sz w:val="29"/>
          <w:szCs w:val="29"/>
          <w:b w:val="1"/>
          <w:bCs w:val="1"/>
          <w:color w:val="auto"/>
        </w:rPr>
        <w:t>TRADEWEB MARKETS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8"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126" w:lineRule="exact"/>
        <w:rPr>
          <w:sz w:val="24"/>
          <w:szCs w:val="24"/>
          <w:color w:val="auto"/>
        </w:rPr>
      </w:pPr>
    </w:p>
    <w:tbl>
      <w:tblPr>
        <w:tblLayout w:type="fixed"/>
        <w:tblInd w:w="560" w:type="dxa"/>
        <w:tblCellMar>
          <w:top w:w="0" w:type="dxa"/>
          <w:left w:w="0" w:type="dxa"/>
          <w:bottom w:w="0" w:type="dxa"/>
          <w:right w:w="0" w:type="dxa"/>
        </w:tblCellMar>
      </w:tblPr>
      <w:tr>
        <w:trPr>
          <w:trHeight w:val="234"/>
        </w:trPr>
        <w:tc>
          <w:tcPr>
            <w:tcW w:w="440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4880" w:type="dxa"/>
            <w:vAlign w:val="bottom"/>
          </w:tcPr>
          <w:p>
            <w:pPr>
              <w:jc w:val="right"/>
              <w:ind w:right="770"/>
              <w:spacing w:after="0"/>
              <w:rPr>
                <w:sz w:val="20"/>
                <w:szCs w:val="20"/>
                <w:color w:val="auto"/>
              </w:rPr>
            </w:pPr>
            <w:r>
              <w:rPr>
                <w:rFonts w:ascii="Arial" w:cs="Arial" w:eastAsia="Arial" w:hAnsi="Arial"/>
                <w:sz w:val="18"/>
                <w:szCs w:val="18"/>
                <w:b w:val="1"/>
                <w:bCs w:val="1"/>
                <w:color w:val="auto"/>
              </w:rPr>
              <w:t>83-2456358</w:t>
            </w:r>
          </w:p>
        </w:tc>
      </w:tr>
      <w:tr>
        <w:trPr>
          <w:trHeight w:val="270"/>
        </w:trPr>
        <w:tc>
          <w:tcPr>
            <w:tcW w:w="4400" w:type="dxa"/>
            <w:vAlign w:val="bottom"/>
          </w:tcPr>
          <w:p>
            <w:pPr>
              <w:jc w:val="center"/>
              <w:ind w:right="10"/>
              <w:spacing w:after="0"/>
              <w:rPr>
                <w:sz w:val="20"/>
                <w:szCs w:val="20"/>
                <w:color w:val="auto"/>
              </w:rPr>
            </w:pPr>
            <w:r>
              <w:rPr>
                <w:rFonts w:ascii="Arial" w:cs="Arial" w:eastAsia="Arial" w:hAnsi="Arial"/>
                <w:sz w:val="18"/>
                <w:szCs w:val="18"/>
                <w:color w:val="auto"/>
                <w:w w:val="92"/>
              </w:rPr>
              <w:t>(State of other jurisdiction of incorporation or organization)</w:t>
            </w:r>
          </w:p>
        </w:tc>
        <w:tc>
          <w:tcPr>
            <w:tcW w:w="4880" w:type="dxa"/>
            <w:vAlign w:val="bottom"/>
          </w:tcPr>
          <w:p>
            <w:pPr>
              <w:jc w:val="center"/>
              <w:ind w:left="2170"/>
              <w:spacing w:after="0"/>
              <w:rPr>
                <w:sz w:val="20"/>
                <w:szCs w:val="20"/>
                <w:color w:val="auto"/>
              </w:rPr>
            </w:pPr>
            <w:r>
              <w:rPr>
                <w:rFonts w:ascii="Arial" w:cs="Arial" w:eastAsia="Arial" w:hAnsi="Arial"/>
                <w:sz w:val="18"/>
                <w:szCs w:val="18"/>
                <w:color w:val="auto"/>
                <w:w w:val="94"/>
              </w:rPr>
              <w:t>(I.R.S. Employer Identification No.)</w:t>
            </w:r>
          </w:p>
        </w:tc>
      </w:tr>
      <w:tr>
        <w:trPr>
          <w:trHeight w:val="373"/>
        </w:trPr>
        <w:tc>
          <w:tcPr>
            <w:tcW w:w="440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1177 Avenue of the Americas</w:t>
            </w:r>
          </w:p>
        </w:tc>
        <w:tc>
          <w:tcPr>
            <w:tcW w:w="4880" w:type="dxa"/>
            <w:vAlign w:val="bottom"/>
          </w:tcPr>
          <w:p>
            <w:pPr>
              <w:spacing w:after="0"/>
              <w:rPr>
                <w:sz w:val="24"/>
                <w:szCs w:val="24"/>
                <w:color w:val="auto"/>
              </w:rPr>
            </w:pPr>
          </w:p>
        </w:tc>
      </w:tr>
      <w:tr>
        <w:trPr>
          <w:trHeight w:val="261"/>
        </w:trPr>
        <w:tc>
          <w:tcPr>
            <w:tcW w:w="440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New York, New York</w:t>
            </w:r>
          </w:p>
        </w:tc>
        <w:tc>
          <w:tcPr>
            <w:tcW w:w="4880" w:type="dxa"/>
            <w:vAlign w:val="bottom"/>
          </w:tcPr>
          <w:p>
            <w:pPr>
              <w:jc w:val="right"/>
              <w:ind w:right="990"/>
              <w:spacing w:after="0"/>
              <w:rPr>
                <w:sz w:val="20"/>
                <w:szCs w:val="20"/>
                <w:color w:val="auto"/>
              </w:rPr>
            </w:pPr>
            <w:r>
              <w:rPr>
                <w:rFonts w:ascii="Arial" w:cs="Arial" w:eastAsia="Arial" w:hAnsi="Arial"/>
                <w:sz w:val="18"/>
                <w:szCs w:val="18"/>
                <w:b w:val="1"/>
                <w:bCs w:val="1"/>
                <w:color w:val="auto"/>
              </w:rPr>
              <w:t>10036</w:t>
            </w:r>
          </w:p>
        </w:tc>
      </w:tr>
      <w:tr>
        <w:trPr>
          <w:trHeight w:val="243"/>
        </w:trPr>
        <w:tc>
          <w:tcPr>
            <w:tcW w:w="4400" w:type="dxa"/>
            <w:vAlign w:val="bottom"/>
          </w:tcPr>
          <w:p>
            <w:pPr>
              <w:jc w:val="center"/>
              <w:ind w:right="10"/>
              <w:spacing w:after="0"/>
              <w:rPr>
                <w:sz w:val="20"/>
                <w:szCs w:val="20"/>
                <w:color w:val="auto"/>
              </w:rPr>
            </w:pPr>
            <w:r>
              <w:rPr>
                <w:rFonts w:ascii="Arial" w:cs="Arial" w:eastAsia="Arial" w:hAnsi="Arial"/>
                <w:sz w:val="18"/>
                <w:szCs w:val="18"/>
                <w:color w:val="auto"/>
                <w:w w:val="92"/>
              </w:rPr>
              <w:t>(Address of principal executive offices)</w:t>
            </w:r>
          </w:p>
        </w:tc>
        <w:tc>
          <w:tcPr>
            <w:tcW w:w="4880" w:type="dxa"/>
            <w:vAlign w:val="bottom"/>
          </w:tcPr>
          <w:p>
            <w:pPr>
              <w:jc w:val="center"/>
              <w:ind w:left="2190"/>
              <w:spacing w:after="0"/>
              <w:rPr>
                <w:sz w:val="20"/>
                <w:szCs w:val="20"/>
                <w:color w:val="auto"/>
              </w:rPr>
            </w:pPr>
            <w:r>
              <w:rPr>
                <w:rFonts w:ascii="Arial" w:cs="Arial" w:eastAsia="Arial" w:hAnsi="Arial"/>
                <w:sz w:val="18"/>
                <w:szCs w:val="18"/>
                <w:color w:val="auto"/>
                <w:w w:val="94"/>
              </w:rPr>
              <w:t>(Zip Code)</w:t>
            </w:r>
          </w:p>
        </w:tc>
      </w:tr>
      <w:tr>
        <w:trPr>
          <w:trHeight w:val="338"/>
        </w:trPr>
        <w:tc>
          <w:tcPr>
            <w:tcW w:w="4400" w:type="dxa"/>
            <w:vAlign w:val="bottom"/>
          </w:tcPr>
          <w:p>
            <w:pPr>
              <w:spacing w:after="0"/>
              <w:rPr>
                <w:sz w:val="24"/>
                <w:szCs w:val="24"/>
                <w:color w:val="auto"/>
              </w:rPr>
            </w:pPr>
          </w:p>
        </w:tc>
        <w:tc>
          <w:tcPr>
            <w:tcW w:w="4880" w:type="dxa"/>
            <w:vAlign w:val="bottom"/>
          </w:tcPr>
          <w:p>
            <w:pPr>
              <w:jc w:val="right"/>
              <w:ind w:right="3570"/>
              <w:spacing w:after="0"/>
              <w:rPr>
                <w:sz w:val="20"/>
                <w:szCs w:val="20"/>
                <w:color w:val="auto"/>
              </w:rPr>
            </w:pPr>
            <w:r>
              <w:rPr>
                <w:rFonts w:ascii="Arial" w:cs="Arial" w:eastAsia="Arial" w:hAnsi="Arial"/>
                <w:sz w:val="18"/>
                <w:szCs w:val="18"/>
                <w:b w:val="1"/>
                <w:bCs w:val="1"/>
                <w:color w:val="auto"/>
                <w:w w:val="97"/>
              </w:rPr>
              <w:t>(646) 430-6000</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560" w:type="dxa"/>
            <w:vAlign w:val="bottom"/>
          </w:tcPr>
          <w:p>
            <w:pPr>
              <w:spacing w:after="0"/>
              <w:rPr>
                <w:sz w:val="20"/>
                <w:szCs w:val="20"/>
                <w:color w:val="auto"/>
              </w:rPr>
            </w:pPr>
            <w:r>
              <w:rPr>
                <w:rFonts w:ascii="Arial" w:cs="Arial" w:eastAsia="Arial" w:hAnsi="Arial"/>
                <w:sz w:val="14"/>
                <w:szCs w:val="14"/>
                <w:color w:val="auto"/>
                <w:w w:val="99"/>
              </w:rPr>
              <w:t>Securities registered pursuant to Section 12(b) of the Act:</w:t>
            </w:r>
          </w:p>
        </w:tc>
        <w:tc>
          <w:tcPr>
            <w:tcW w:w="2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40" w:type="dxa"/>
            <w:vAlign w:val="bottom"/>
          </w:tcPr>
          <w:p>
            <w:pPr>
              <w:spacing w:after="0"/>
              <w:rPr>
                <w:sz w:val="15"/>
                <w:szCs w:val="15"/>
                <w:color w:val="auto"/>
              </w:rPr>
            </w:pPr>
          </w:p>
        </w:tc>
      </w:tr>
      <w:tr>
        <w:trPr>
          <w:trHeight w:val="324"/>
        </w:trPr>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8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28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5"/>
        </w:trPr>
        <w:tc>
          <w:tcPr>
            <w:tcW w:w="35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184"/>
        </w:trPr>
        <w:tc>
          <w:tcPr>
            <w:tcW w:w="3560" w:type="dxa"/>
            <w:vAlign w:val="bottom"/>
          </w:tcPr>
          <w:p>
            <w:pPr>
              <w:jc w:val="center"/>
              <w:spacing w:after="0"/>
              <w:rPr>
                <w:sz w:val="20"/>
                <w:szCs w:val="20"/>
                <w:color w:val="auto"/>
              </w:rPr>
            </w:pPr>
            <w:r>
              <w:rPr>
                <w:rFonts w:ascii="Arial" w:cs="Arial" w:eastAsia="Arial" w:hAnsi="Arial"/>
                <w:sz w:val="14"/>
                <w:szCs w:val="14"/>
                <w:color w:val="auto"/>
                <w:w w:val="91"/>
              </w:rPr>
              <w:t>Class A common stock, par value $0.00001</w:t>
            </w:r>
          </w:p>
        </w:tc>
        <w:tc>
          <w:tcPr>
            <w:tcW w:w="280" w:type="dxa"/>
            <w:vAlign w:val="bottom"/>
          </w:tcPr>
          <w:p>
            <w:pPr>
              <w:spacing w:after="0"/>
              <w:rPr>
                <w:sz w:val="16"/>
                <w:szCs w:val="16"/>
                <w:color w:val="auto"/>
              </w:rPr>
            </w:pPr>
          </w:p>
        </w:tc>
        <w:tc>
          <w:tcPr>
            <w:tcW w:w="3560" w:type="dxa"/>
            <w:vAlign w:val="bottom"/>
          </w:tcPr>
          <w:p>
            <w:pPr>
              <w:jc w:val="center"/>
              <w:spacing w:after="0"/>
              <w:rPr>
                <w:sz w:val="20"/>
                <w:szCs w:val="20"/>
                <w:color w:val="auto"/>
              </w:rPr>
            </w:pPr>
            <w:r>
              <w:rPr>
                <w:rFonts w:ascii="Arial" w:cs="Arial" w:eastAsia="Arial" w:hAnsi="Arial"/>
                <w:sz w:val="14"/>
                <w:szCs w:val="14"/>
                <w:color w:val="auto"/>
              </w:rPr>
              <w:t>TW</w:t>
            </w:r>
          </w:p>
        </w:tc>
        <w:tc>
          <w:tcPr>
            <w:tcW w:w="280" w:type="dxa"/>
            <w:vAlign w:val="bottom"/>
          </w:tcPr>
          <w:p>
            <w:pPr>
              <w:spacing w:after="0"/>
              <w:rPr>
                <w:sz w:val="16"/>
                <w:szCs w:val="16"/>
                <w:color w:val="auto"/>
              </w:rPr>
            </w:pPr>
          </w:p>
        </w:tc>
        <w:tc>
          <w:tcPr>
            <w:tcW w:w="3540" w:type="dxa"/>
            <w:vAlign w:val="bottom"/>
          </w:tcPr>
          <w:p>
            <w:pPr>
              <w:jc w:val="center"/>
              <w:spacing w:after="0"/>
              <w:rPr>
                <w:sz w:val="20"/>
                <w:szCs w:val="20"/>
                <w:color w:val="auto"/>
              </w:rPr>
            </w:pPr>
            <w:r>
              <w:rPr>
                <w:rFonts w:ascii="Arial" w:cs="Arial" w:eastAsia="Arial" w:hAnsi="Arial"/>
                <w:sz w:val="14"/>
                <w:szCs w:val="14"/>
                <w:color w:val="auto"/>
                <w:w w:val="93"/>
              </w:rPr>
              <w:t>Nasdaq Global Select Market</w:t>
            </w:r>
          </w:p>
        </w:tc>
      </w:tr>
    </w:tbl>
    <w:p>
      <w:pPr>
        <w:spacing w:after="0" w:line="196" w:lineRule="exact"/>
        <w:rPr>
          <w:sz w:val="24"/>
          <w:szCs w:val="24"/>
          <w:color w:val="auto"/>
        </w:rPr>
      </w:pPr>
    </w:p>
    <w:p>
      <w:pPr>
        <w:ind w:right="220"/>
        <w:spacing w:after="0" w:line="22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61" w:lineRule="exact"/>
        <w:rPr>
          <w:sz w:val="24"/>
          <w:szCs w:val="24"/>
          <w:color w:val="auto"/>
        </w:rPr>
      </w:pPr>
    </w:p>
    <w:p>
      <w:pPr>
        <w:ind w:right="100"/>
        <w:spacing w:after="0" w:line="22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4"/>
          <w:szCs w:val="14"/>
          <w:color w:val="auto"/>
        </w:rPr>
        <w:t xml:space="preserve"> 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61" w:lineRule="exact"/>
        <w:rPr>
          <w:sz w:val="24"/>
          <w:szCs w:val="24"/>
          <w:color w:val="auto"/>
        </w:rPr>
      </w:pPr>
    </w:p>
    <w:p>
      <w:pPr>
        <w:ind w:right="440"/>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440" w:gutter="0" w:footer="0" w:header="0"/>
        </w:sectPr>
      </w:pPr>
    </w:p>
    <w:p>
      <w:pPr>
        <w:spacing w:after="0" w:line="93" w:lineRule="exact"/>
        <w:rPr>
          <w:sz w:val="24"/>
          <w:szCs w:val="24"/>
          <w:color w:val="auto"/>
        </w:rPr>
      </w:pPr>
    </w:p>
    <w:p>
      <w:pPr>
        <w:ind w:left="20" w:right="780"/>
        <w:spacing w:after="0" w:line="420" w:lineRule="auto"/>
        <w:rPr>
          <w:sz w:val="20"/>
          <w:szCs w:val="20"/>
          <w:color w:val="auto"/>
        </w:rPr>
      </w:pPr>
      <w:r>
        <w:rPr>
          <w:rFonts w:ascii="Arial" w:cs="Arial" w:eastAsia="Arial" w:hAnsi="Arial"/>
          <w:sz w:val="13"/>
          <w:szCs w:val="13"/>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22" w:lineRule="exact"/>
        <w:rPr>
          <w:sz w:val="24"/>
          <w:szCs w:val="24"/>
          <w:color w:val="auto"/>
        </w:rPr>
      </w:pPr>
    </w:p>
    <w:p>
      <w:pPr>
        <w:sectPr>
          <w:pgSz w:w="11900" w:h="16838" w:orient="portrait"/>
          <w:cols w:equalWidth="0" w:num="6">
            <w:col w:w="2380" w:space="720"/>
            <w:col w:w="120" w:space="680"/>
            <w:col w:w="2340" w:space="720"/>
            <w:col w:w="140" w:space="660"/>
            <w:col w:w="2340" w:space="720"/>
            <w:col w:w="420"/>
          </w:cols>
          <w:pgMar w:left="320" w:top="233" w:right="339" w:bottom="1440" w:gutter="0" w:footer="0" w:header="0"/>
          <w:type w:val="continuous"/>
        </w:sectPr>
      </w:pPr>
    </w:p>
    <w:p>
      <w:pPr>
        <w:ind w:right="560"/>
        <w:spacing w:after="0" w:line="220" w:lineRule="exact"/>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4"/>
          <w:szCs w:val="14"/>
          <w:color w:val="auto"/>
        </w:rPr>
        <w:t xml:space="preserve"> 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5480" w:type="dxa"/>
            <w:vAlign w:val="bottom"/>
          </w:tcPr>
          <w:p>
            <w:pPr>
              <w:ind w:left="2340"/>
              <w:spacing w:after="0"/>
              <w:rPr>
                <w:sz w:val="20"/>
                <w:szCs w:val="20"/>
                <w:color w:val="auto"/>
              </w:rPr>
            </w:pPr>
            <w:r>
              <w:rPr>
                <w:rFonts w:ascii="Arial" w:cs="Arial" w:eastAsia="Arial" w:hAnsi="Arial"/>
                <w:sz w:val="14"/>
                <w:szCs w:val="14"/>
                <w:color w:val="auto"/>
              </w:rPr>
              <w:t>Class of Stock</w:t>
            </w:r>
          </w:p>
        </w:tc>
        <w:tc>
          <w:tcPr>
            <w:tcW w:w="280" w:type="dxa"/>
            <w:vAlign w:val="bottom"/>
          </w:tcPr>
          <w:p>
            <w:pPr>
              <w:spacing w:after="0"/>
              <w:rPr>
                <w:sz w:val="17"/>
                <w:szCs w:val="17"/>
                <w:color w:val="auto"/>
              </w:rPr>
            </w:pPr>
          </w:p>
        </w:tc>
        <w:tc>
          <w:tcPr>
            <w:tcW w:w="5480" w:type="dxa"/>
            <w:vAlign w:val="bottom"/>
          </w:tcPr>
          <w:p>
            <w:pPr>
              <w:jc w:val="right"/>
              <w:ind w:right="1548"/>
              <w:spacing w:after="0"/>
              <w:rPr>
                <w:sz w:val="20"/>
                <w:szCs w:val="20"/>
                <w:color w:val="auto"/>
              </w:rPr>
            </w:pPr>
            <w:r>
              <w:rPr>
                <w:rFonts w:ascii="Arial" w:cs="Arial" w:eastAsia="Arial" w:hAnsi="Arial"/>
                <w:sz w:val="14"/>
                <w:szCs w:val="14"/>
                <w:color w:val="auto"/>
              </w:rPr>
              <w:t>Shares Outstanding as of July 20, 2023</w:t>
            </w:r>
          </w:p>
        </w:tc>
      </w:tr>
      <w:tr>
        <w:trPr>
          <w:trHeight w:val="25"/>
        </w:trPr>
        <w:tc>
          <w:tcPr>
            <w:tcW w:w="54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184"/>
        </w:trPr>
        <w:tc>
          <w:tcPr>
            <w:tcW w:w="5480" w:type="dxa"/>
            <w:vAlign w:val="bottom"/>
          </w:tcPr>
          <w:p>
            <w:pPr>
              <w:ind w:left="20"/>
              <w:spacing w:after="0"/>
              <w:rPr>
                <w:sz w:val="20"/>
                <w:szCs w:val="20"/>
                <w:color w:val="auto"/>
              </w:rPr>
            </w:pPr>
            <w:r>
              <w:rPr>
                <w:rFonts w:ascii="Arial" w:cs="Arial" w:eastAsia="Arial" w:hAnsi="Arial"/>
                <w:sz w:val="14"/>
                <w:szCs w:val="14"/>
                <w:color w:val="auto"/>
              </w:rPr>
              <w:t>Class A Common Stock, par value $0.00001 per share</w:t>
            </w:r>
          </w:p>
        </w:tc>
        <w:tc>
          <w:tcPr>
            <w:tcW w:w="280" w:type="dxa"/>
            <w:vAlign w:val="bottom"/>
          </w:tcPr>
          <w:p>
            <w:pPr>
              <w:spacing w:after="0"/>
              <w:rPr>
                <w:sz w:val="16"/>
                <w:szCs w:val="16"/>
                <w:color w:val="auto"/>
              </w:rPr>
            </w:pPr>
          </w:p>
        </w:tc>
        <w:tc>
          <w:tcPr>
            <w:tcW w:w="5480" w:type="dxa"/>
            <w:vAlign w:val="bottom"/>
          </w:tcPr>
          <w:p>
            <w:pPr>
              <w:jc w:val="right"/>
              <w:spacing w:after="0"/>
              <w:rPr>
                <w:sz w:val="20"/>
                <w:szCs w:val="20"/>
                <w:color w:val="auto"/>
              </w:rPr>
            </w:pPr>
            <w:r>
              <w:rPr>
                <w:rFonts w:ascii="Arial" w:cs="Arial" w:eastAsia="Arial" w:hAnsi="Arial"/>
                <w:sz w:val="14"/>
                <w:szCs w:val="14"/>
                <w:color w:val="auto"/>
              </w:rPr>
              <w:t>114,645,098</w:t>
            </w:r>
          </w:p>
        </w:tc>
      </w:tr>
      <w:tr>
        <w:trPr>
          <w:trHeight w:val="229"/>
        </w:trPr>
        <w:tc>
          <w:tcPr>
            <w:tcW w:w="5480" w:type="dxa"/>
            <w:vAlign w:val="bottom"/>
          </w:tcPr>
          <w:p>
            <w:pPr>
              <w:ind w:left="20"/>
              <w:spacing w:after="0"/>
              <w:rPr>
                <w:sz w:val="20"/>
                <w:szCs w:val="20"/>
                <w:color w:val="auto"/>
              </w:rPr>
            </w:pPr>
            <w:r>
              <w:rPr>
                <w:rFonts w:ascii="Arial" w:cs="Arial" w:eastAsia="Arial" w:hAnsi="Arial"/>
                <w:sz w:val="14"/>
                <w:szCs w:val="14"/>
                <w:color w:val="auto"/>
              </w:rPr>
              <w:t>Class B Common Stock, par value $0.00001 per share</w:t>
            </w:r>
          </w:p>
        </w:tc>
        <w:tc>
          <w:tcPr>
            <w:tcW w:w="5760" w:type="dxa"/>
            <w:vAlign w:val="bottom"/>
            <w:gridSpan w:val="2"/>
          </w:tcPr>
          <w:p>
            <w:pPr>
              <w:jc w:val="right"/>
              <w:spacing w:after="0"/>
              <w:rPr>
                <w:sz w:val="20"/>
                <w:szCs w:val="20"/>
                <w:color w:val="auto"/>
              </w:rPr>
            </w:pPr>
            <w:r>
              <w:rPr>
                <w:rFonts w:ascii="Arial" w:cs="Arial" w:eastAsia="Arial" w:hAnsi="Arial"/>
                <w:sz w:val="14"/>
                <w:szCs w:val="14"/>
                <w:color w:val="auto"/>
              </w:rPr>
              <w:t>96,933,192</w:t>
            </w:r>
          </w:p>
        </w:tc>
      </w:tr>
      <w:tr>
        <w:trPr>
          <w:trHeight w:val="230"/>
        </w:trPr>
        <w:tc>
          <w:tcPr>
            <w:tcW w:w="5480" w:type="dxa"/>
            <w:vAlign w:val="bottom"/>
          </w:tcPr>
          <w:p>
            <w:pPr>
              <w:ind w:left="20"/>
              <w:spacing w:after="0"/>
              <w:rPr>
                <w:sz w:val="20"/>
                <w:szCs w:val="20"/>
                <w:color w:val="auto"/>
              </w:rPr>
            </w:pPr>
            <w:r>
              <w:rPr>
                <w:rFonts w:ascii="Arial" w:cs="Arial" w:eastAsia="Arial" w:hAnsi="Arial"/>
                <w:sz w:val="14"/>
                <w:szCs w:val="14"/>
                <w:color w:val="auto"/>
              </w:rPr>
              <w:t>Class C Common Stock, par value $0.00001 per share</w:t>
            </w:r>
          </w:p>
        </w:tc>
        <w:tc>
          <w:tcPr>
            <w:tcW w:w="280" w:type="dxa"/>
            <w:vAlign w:val="bottom"/>
          </w:tcPr>
          <w:p>
            <w:pPr>
              <w:spacing w:after="0"/>
              <w:rPr>
                <w:sz w:val="19"/>
                <w:szCs w:val="19"/>
                <w:color w:val="auto"/>
              </w:rPr>
            </w:pPr>
          </w:p>
        </w:tc>
        <w:tc>
          <w:tcPr>
            <w:tcW w:w="5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480" w:type="dxa"/>
            <w:vAlign w:val="bottom"/>
          </w:tcPr>
          <w:p>
            <w:pPr>
              <w:ind w:left="20"/>
              <w:spacing w:after="0"/>
              <w:rPr>
                <w:sz w:val="20"/>
                <w:szCs w:val="20"/>
                <w:color w:val="auto"/>
              </w:rPr>
            </w:pPr>
            <w:r>
              <w:rPr>
                <w:rFonts w:ascii="Arial" w:cs="Arial" w:eastAsia="Arial" w:hAnsi="Arial"/>
                <w:sz w:val="14"/>
                <w:szCs w:val="14"/>
                <w:color w:val="auto"/>
              </w:rPr>
              <w:t>Class D Common Stock, par value $0.00001 per share</w:t>
            </w:r>
          </w:p>
        </w:tc>
        <w:tc>
          <w:tcPr>
            <w:tcW w:w="5760" w:type="dxa"/>
            <w:vAlign w:val="bottom"/>
            <w:gridSpan w:val="2"/>
          </w:tcPr>
          <w:p>
            <w:pPr>
              <w:jc w:val="right"/>
              <w:spacing w:after="0"/>
              <w:rPr>
                <w:sz w:val="20"/>
                <w:szCs w:val="20"/>
                <w:color w:val="auto"/>
              </w:rPr>
            </w:pPr>
            <w:r>
              <w:rPr>
                <w:rFonts w:ascii="Arial" w:cs="Arial" w:eastAsia="Arial" w:hAnsi="Arial"/>
                <w:sz w:val="14"/>
                <w:szCs w:val="14"/>
                <w:color w:val="auto"/>
              </w:rPr>
              <w:t>23,080,571</w:t>
            </w:r>
          </w:p>
        </w:tc>
      </w:tr>
      <w:tr>
        <w:trPr>
          <w:trHeight w:val="174"/>
        </w:trPr>
        <w:tc>
          <w:tcPr>
            <w:tcW w:w="54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480" w:type="dxa"/>
            <w:vAlign w:val="bottom"/>
            <w:tcBorders>
              <w:bottom w:val="single" w:sz="8" w:color="auto"/>
            </w:tcBorders>
          </w:tcPr>
          <w:p>
            <w:pPr>
              <w:spacing w:after="0"/>
              <w:rPr>
                <w:sz w:val="15"/>
                <w:szCs w:val="15"/>
                <w:color w:val="auto"/>
              </w:rPr>
            </w:pP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r>
      <w:tr>
        <w:trPr>
          <w:trHeight w:val="1013"/>
        </w:trPr>
        <w:tc>
          <w:tcPr>
            <w:tcW w:w="5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JUNE 30, 2023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2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940" w:type="dxa"/>
            <w:vAlign w:val="bottom"/>
            <w:gridSpan w:val="8"/>
            <w:vMerge w:val="restart"/>
          </w:tcPr>
          <w:p>
            <w:pPr>
              <w:spacing w:after="0"/>
              <w:rPr>
                <w:sz w:val="20"/>
                <w:szCs w:val="20"/>
                <w:color w:val="auto"/>
              </w:rPr>
            </w:pPr>
            <w:r>
              <w:rPr>
                <w:rFonts w:ascii="Arial" w:cs="Arial" w:eastAsia="Arial" w:hAnsi="Arial"/>
                <w:sz w:val="18"/>
                <w:szCs w:val="18"/>
                <w:color w:val="3051F2"/>
                <w:w w:val="95"/>
              </w:rPr>
              <w:t>INTRODUCTORY NOTE</w:t>
            </w:r>
          </w:p>
        </w:tc>
        <w:tc>
          <w:tcPr>
            <w:tcW w:w="8300" w:type="dxa"/>
            <w:vAlign w:val="bottom"/>
            <w:gridSpan w:val="18"/>
            <w:vMerge w:val="restart"/>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1940" w:type="dxa"/>
            <w:vAlign w:val="bottom"/>
            <w:tcBorders>
              <w:bottom w:val="single" w:sz="8" w:color="3051F2"/>
            </w:tcBorders>
            <w:gridSpan w:val="8"/>
            <w:vMerge w:val="continue"/>
          </w:tcPr>
          <w:p>
            <w:pPr>
              <w:spacing w:after="0"/>
              <w:rPr>
                <w:sz w:val="15"/>
                <w:szCs w:val="15"/>
                <w:color w:val="auto"/>
              </w:rPr>
            </w:pPr>
          </w:p>
        </w:tc>
        <w:tc>
          <w:tcPr>
            <w:tcW w:w="8300" w:type="dxa"/>
            <w:vAlign w:val="bottom"/>
            <w:gridSpan w:val="18"/>
            <w:vMerge w:val="continue"/>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620" w:type="dxa"/>
            <w:vAlign w:val="bottom"/>
            <w:tcBorders>
              <w:bottom w:val="single" w:sz="8" w:color="3051F2"/>
            </w:tcBorders>
            <w:gridSpan w:val="15"/>
          </w:tcPr>
          <w:p>
            <w:pPr>
              <w:spacing w:after="0"/>
              <w:rPr>
                <w:sz w:val="20"/>
                <w:szCs w:val="20"/>
                <w:color w:val="auto"/>
              </w:rPr>
            </w:pPr>
            <w:r>
              <w:rPr>
                <w:rFonts w:ascii="Arial" w:cs="Arial" w:eastAsia="Arial" w:hAnsi="Arial"/>
                <w:sz w:val="18"/>
                <w:szCs w:val="18"/>
                <w:color w:val="3051F2"/>
                <w:w w:val="96"/>
              </w:rPr>
              <w:t>USE OF NON-GAAP FINANCIAL MEASURES</w:t>
            </w:r>
          </w:p>
        </w:tc>
        <w:tc>
          <w:tcPr>
            <w:tcW w:w="6620" w:type="dxa"/>
            <w:vAlign w:val="bottom"/>
            <w:gridSpan w:val="11"/>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240" w:type="dxa"/>
            <w:vAlign w:val="bottom"/>
            <w:gridSpan w:val="26"/>
          </w:tcPr>
          <w:p>
            <w:pPr>
              <w:spacing w:after="0"/>
              <w:rPr>
                <w:sz w:val="20"/>
                <w:szCs w:val="20"/>
                <w:color w:val="auto"/>
              </w:rPr>
            </w:pPr>
            <w:r>
              <w:rPr>
                <w:rFonts w:ascii="Arial" w:cs="Arial" w:eastAsia="Arial" w:hAnsi="Arial"/>
                <w:sz w:val="18"/>
                <w:szCs w:val="18"/>
                <w:color w:val="3051F2"/>
              </w:rPr>
              <w:t>CAUTIONARY NOTE REGARDING FORWARD-LOOKING STATEMENTS</w:t>
            </w:r>
          </w:p>
        </w:tc>
        <w:tc>
          <w:tcPr>
            <w:tcW w:w="980" w:type="dxa"/>
            <w:vAlign w:val="bottom"/>
          </w:tcPr>
          <w:p>
            <w:pPr>
              <w:jc w:val="right"/>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060" w:type="dxa"/>
            <w:vAlign w:val="bottom"/>
            <w:tcBorders>
              <w:top w:val="single" w:sz="8" w:color="3051F2"/>
              <w:bottom w:val="single" w:sz="8" w:color="3051F2"/>
            </w:tcBorders>
            <w:gridSpan w:val="13"/>
          </w:tcPr>
          <w:p>
            <w:pPr>
              <w:spacing w:after="0"/>
              <w:rPr>
                <w:sz w:val="20"/>
                <w:szCs w:val="20"/>
                <w:color w:val="auto"/>
              </w:rPr>
            </w:pPr>
            <w:r>
              <w:rPr>
                <w:rFonts w:ascii="Arial" w:cs="Arial" w:eastAsia="Arial" w:hAnsi="Arial"/>
                <w:sz w:val="18"/>
                <w:szCs w:val="18"/>
                <w:color w:val="3051F2"/>
                <w:w w:val="97"/>
              </w:rPr>
              <w:t>PART I — FINANCIAL INFORMATION</w:t>
            </w:r>
          </w:p>
        </w:tc>
        <w:tc>
          <w:tcPr>
            <w:tcW w:w="2720" w:type="dxa"/>
            <w:vAlign w:val="bottom"/>
            <w:tcBorders>
              <w:top w:val="single" w:sz="8" w:color="3051F2"/>
            </w:tcBorders>
            <w:gridSpan w:val="6"/>
          </w:tcPr>
          <w:p>
            <w:pPr>
              <w:spacing w:after="0"/>
              <w:rPr>
                <w:sz w:val="24"/>
                <w:szCs w:val="24"/>
                <w:color w:val="auto"/>
              </w:rPr>
            </w:pPr>
          </w:p>
        </w:tc>
        <w:tc>
          <w:tcPr>
            <w:tcW w:w="4460" w:type="dxa"/>
            <w:vAlign w:val="bottom"/>
            <w:gridSpan w:val="7"/>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Arial" w:cs="Arial" w:eastAsia="Arial" w:hAnsi="Arial"/>
                <w:sz w:val="18"/>
                <w:szCs w:val="18"/>
                <w:color w:val="3051F2"/>
                <w:w w:val="90"/>
              </w:rPr>
              <w:t>Item 1.</w:t>
            </w:r>
          </w:p>
        </w:tc>
        <w:tc>
          <w:tcPr>
            <w:tcW w:w="460" w:type="dxa"/>
            <w:vAlign w:val="bottom"/>
            <w:gridSpan w:val="2"/>
          </w:tcPr>
          <w:p>
            <w:pPr>
              <w:spacing w:after="0"/>
              <w:rPr>
                <w:sz w:val="24"/>
                <w:szCs w:val="24"/>
                <w:color w:val="auto"/>
              </w:rPr>
            </w:pPr>
          </w:p>
        </w:tc>
        <w:tc>
          <w:tcPr>
            <w:tcW w:w="1520" w:type="dxa"/>
            <w:vAlign w:val="bottom"/>
            <w:tcBorders>
              <w:bottom w:val="single" w:sz="8" w:color="3051F2"/>
            </w:tcBorders>
            <w:gridSpan w:val="7"/>
          </w:tcPr>
          <w:p>
            <w:pPr>
              <w:spacing w:after="0"/>
              <w:rPr>
                <w:sz w:val="20"/>
                <w:szCs w:val="20"/>
                <w:color w:val="auto"/>
              </w:rPr>
            </w:pPr>
            <w:r>
              <w:rPr>
                <w:rFonts w:ascii="Arial" w:cs="Arial" w:eastAsia="Arial" w:hAnsi="Arial"/>
                <w:sz w:val="18"/>
                <w:szCs w:val="18"/>
                <w:color w:val="3051F2"/>
                <w:w w:val="89"/>
              </w:rPr>
              <w:t>Financial Statements</w:t>
            </w:r>
          </w:p>
        </w:tc>
        <w:tc>
          <w:tcPr>
            <w:tcW w:w="7740" w:type="dxa"/>
            <w:vAlign w:val="bottom"/>
            <w:gridSpan w:val="16"/>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20" w:type="dxa"/>
            <w:vAlign w:val="bottom"/>
            <w:tcBorders>
              <w:bottom w:val="single" w:sz="8" w:color="3051F2"/>
            </w:tcBorders>
            <w:gridSpan w:val="18"/>
          </w:tcPr>
          <w:p>
            <w:pPr>
              <w:spacing w:after="0"/>
              <w:rPr>
                <w:sz w:val="20"/>
                <w:szCs w:val="20"/>
                <w:color w:val="auto"/>
              </w:rPr>
            </w:pPr>
            <w:r>
              <w:rPr>
                <w:rFonts w:ascii="Arial" w:cs="Arial" w:eastAsia="Arial" w:hAnsi="Arial"/>
                <w:sz w:val="18"/>
                <w:szCs w:val="18"/>
                <w:color w:val="3051F2"/>
                <w:w w:val="89"/>
              </w:rPr>
              <w:t>Condensed Consolidated Statements of Financial Condition as of June 30, 2023 and December 31, 2022</w:t>
            </w:r>
          </w:p>
        </w:tc>
        <w:tc>
          <w:tcPr>
            <w:tcW w:w="1520" w:type="dxa"/>
            <w:vAlign w:val="bottom"/>
            <w:gridSpan w:val="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40" w:type="dxa"/>
            <w:vAlign w:val="bottom"/>
            <w:gridSpan w:val="22"/>
          </w:tcPr>
          <w:p>
            <w:pPr>
              <w:spacing w:after="0"/>
              <w:rPr>
                <w:sz w:val="20"/>
                <w:szCs w:val="20"/>
                <w:color w:val="auto"/>
              </w:rPr>
            </w:pPr>
            <w:r>
              <w:rPr>
                <w:rFonts w:ascii="Arial" w:cs="Arial" w:eastAsia="Arial" w:hAnsi="Arial"/>
                <w:sz w:val="18"/>
                <w:szCs w:val="18"/>
                <w:color w:val="3051F2"/>
              </w:rPr>
              <w:t>Condensed Consolidated Statements of Income for the three and six months ended June 30, 2023 and 2022</w:t>
            </w:r>
          </w:p>
        </w:tc>
        <w:tc>
          <w:tcPr>
            <w:tcW w:w="980" w:type="dxa"/>
            <w:vAlign w:val="bottom"/>
          </w:tcPr>
          <w:p>
            <w:pPr>
              <w:jc w:val="right"/>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420" w:type="dxa"/>
            <w:vAlign w:val="bottom"/>
            <w:tcBorders>
              <w:right w:val="single" w:sz="8" w:color="3051F2"/>
            </w:tcBorders>
            <w:gridSpan w:val="2"/>
            <w:shd w:val="clear" w:color="auto" w:fill="3051F2"/>
          </w:tcPr>
          <w:p>
            <w:pPr>
              <w:spacing w:after="0" w:line="20" w:lineRule="exact"/>
              <w:rPr>
                <w:sz w:val="1"/>
                <w:szCs w:val="1"/>
                <w:color w:val="auto"/>
              </w:rPr>
            </w:pPr>
          </w:p>
        </w:tc>
        <w:tc>
          <w:tcPr>
            <w:tcW w:w="44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540" w:type="dxa"/>
            <w:vAlign w:val="bottom"/>
            <w:gridSpan w:val="2"/>
            <w:shd w:val="clear" w:color="auto" w:fill="3051F2"/>
          </w:tcPr>
          <w:p>
            <w:pPr>
              <w:spacing w:after="0" w:line="20" w:lineRule="exact"/>
              <w:rPr>
                <w:sz w:val="1"/>
                <w:szCs w:val="1"/>
                <w:color w:val="auto"/>
              </w:rPr>
            </w:pPr>
          </w:p>
        </w:tc>
        <w:tc>
          <w:tcPr>
            <w:tcW w:w="188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100" w:type="dxa"/>
            <w:vAlign w:val="bottom"/>
            <w:gridSpan w:val="2"/>
            <w:shd w:val="clear" w:color="auto" w:fill="3051F2"/>
          </w:tcPr>
          <w:p>
            <w:pPr>
              <w:spacing w:after="0" w:line="20" w:lineRule="exact"/>
              <w:rPr>
                <w:sz w:val="1"/>
                <w:szCs w:val="1"/>
                <w:color w:val="auto"/>
              </w:rPr>
            </w:pPr>
          </w:p>
        </w:tc>
        <w:tc>
          <w:tcPr>
            <w:tcW w:w="1060" w:type="dxa"/>
            <w:vAlign w:val="bottom"/>
            <w:shd w:val="clear" w:color="auto" w:fill="3051F2"/>
          </w:tcPr>
          <w:p>
            <w:pPr>
              <w:spacing w:after="0" w:line="20" w:lineRule="exact"/>
              <w:rPr>
                <w:sz w:val="1"/>
                <w:szCs w:val="1"/>
                <w:color w:val="auto"/>
              </w:rPr>
            </w:pPr>
          </w:p>
        </w:tc>
        <w:tc>
          <w:tcPr>
            <w:tcW w:w="400" w:type="dxa"/>
            <w:vAlign w:val="bottom"/>
            <w:gridSpan w:val="2"/>
            <w:shd w:val="clear" w:color="auto" w:fill="3051F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40" w:type="dxa"/>
            <w:vAlign w:val="bottom"/>
            <w:gridSpan w:val="22"/>
          </w:tcPr>
          <w:p>
            <w:pPr>
              <w:spacing w:after="0"/>
              <w:rPr>
                <w:sz w:val="20"/>
                <w:szCs w:val="20"/>
                <w:color w:val="auto"/>
              </w:rPr>
            </w:pPr>
            <w:r>
              <w:rPr>
                <w:rFonts w:ascii="Arial" w:cs="Arial" w:eastAsia="Arial" w:hAnsi="Arial"/>
                <w:sz w:val="18"/>
                <w:szCs w:val="18"/>
                <w:color w:val="3051F2"/>
                <w:w w:val="90"/>
              </w:rPr>
              <w:t>Condensed Consolidated Statements of Comprehensive Income for the three and six months ended June 30, 2023 and 2022</w:t>
            </w:r>
          </w:p>
        </w:tc>
        <w:tc>
          <w:tcPr>
            <w:tcW w:w="980" w:type="dxa"/>
            <w:vAlign w:val="bottom"/>
          </w:tcPr>
          <w:p>
            <w:pPr>
              <w:jc w:val="right"/>
              <w:spacing w:after="0"/>
              <w:rPr>
                <w:sz w:val="20"/>
                <w:szCs w:val="20"/>
                <w:color w:val="auto"/>
              </w:rPr>
            </w:pPr>
            <w:r>
              <w:rPr>
                <w:rFonts w:ascii="Arial" w:cs="Arial" w:eastAsia="Arial" w:hAnsi="Arial"/>
                <w:sz w:val="18"/>
                <w:szCs w:val="18"/>
                <w:color w:val="0000FF"/>
              </w:rPr>
              <w:t>10</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500" w:type="dxa"/>
            <w:vAlign w:val="bottom"/>
            <w:tcBorders>
              <w:top w:val="single" w:sz="8" w:color="3051F2"/>
              <w:bottom w:val="single" w:sz="8" w:color="3051F2"/>
            </w:tcBorders>
            <w:gridSpan w:val="20"/>
          </w:tcPr>
          <w:p>
            <w:pPr>
              <w:spacing w:after="0"/>
              <w:rPr>
                <w:sz w:val="20"/>
                <w:szCs w:val="20"/>
                <w:color w:val="auto"/>
              </w:rPr>
            </w:pPr>
            <w:r>
              <w:rPr>
                <w:rFonts w:ascii="Arial" w:cs="Arial" w:eastAsia="Arial" w:hAnsi="Arial"/>
                <w:sz w:val="18"/>
                <w:szCs w:val="18"/>
                <w:color w:val="3051F2"/>
                <w:w w:val="89"/>
              </w:rPr>
              <w:t>Condensed Consolidated Statements of Changes in Equity for the three and six months ended June 30, 2023 and 2022</w:t>
            </w:r>
          </w:p>
        </w:tc>
        <w:tc>
          <w:tcPr>
            <w:tcW w:w="380" w:type="dxa"/>
            <w:vAlign w:val="bottom"/>
            <w:tcBorders>
              <w:top w:val="single" w:sz="8" w:color="3051F2"/>
            </w:tcBorders>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11</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40" w:type="dxa"/>
            <w:vAlign w:val="bottom"/>
            <w:gridSpan w:val="22"/>
          </w:tcPr>
          <w:p>
            <w:pPr>
              <w:spacing w:after="0"/>
              <w:rPr>
                <w:sz w:val="20"/>
                <w:szCs w:val="20"/>
                <w:color w:val="auto"/>
              </w:rPr>
            </w:pPr>
            <w:r>
              <w:rPr>
                <w:rFonts w:ascii="Arial" w:cs="Arial" w:eastAsia="Arial" w:hAnsi="Arial"/>
                <w:sz w:val="18"/>
                <w:szCs w:val="18"/>
                <w:color w:val="3051F2"/>
              </w:rPr>
              <w:t>Condensed Consolidated Statements of Cash Flows for the six months ended June 30, 2023 and 2022</w:t>
            </w:r>
          </w:p>
        </w:tc>
        <w:tc>
          <w:tcPr>
            <w:tcW w:w="980" w:type="dxa"/>
            <w:vAlign w:val="bottom"/>
          </w:tcPr>
          <w:p>
            <w:pPr>
              <w:jc w:val="right"/>
              <w:spacing w:after="0"/>
              <w:rPr>
                <w:sz w:val="20"/>
                <w:szCs w:val="20"/>
                <w:color w:val="auto"/>
              </w:rPr>
            </w:pPr>
            <w:r>
              <w:rPr>
                <w:rFonts w:ascii="Arial" w:cs="Arial" w:eastAsia="Arial" w:hAnsi="Arial"/>
                <w:sz w:val="18"/>
                <w:szCs w:val="18"/>
                <w:color w:val="0000FF"/>
              </w:rPr>
              <w:t>13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Borders>
              <w:top w:val="single" w:sz="8" w:color="3051F2"/>
              <w:bottom w:val="single" w:sz="8" w:color="3051F2"/>
            </w:tcBorders>
            <w:gridSpan w:val="12"/>
          </w:tcPr>
          <w:p>
            <w:pPr>
              <w:spacing w:after="0"/>
              <w:rPr>
                <w:sz w:val="20"/>
                <w:szCs w:val="20"/>
                <w:color w:val="auto"/>
              </w:rPr>
            </w:pPr>
            <w:r>
              <w:rPr>
                <w:rFonts w:ascii="Arial" w:cs="Arial" w:eastAsia="Arial" w:hAnsi="Arial"/>
                <w:sz w:val="18"/>
                <w:szCs w:val="18"/>
                <w:color w:val="3051F2"/>
                <w:w w:val="88"/>
              </w:rPr>
              <w:t>Notes to Condensed Consolidated Financial Statements</w:t>
            </w:r>
          </w:p>
        </w:tc>
        <w:tc>
          <w:tcPr>
            <w:tcW w:w="3300" w:type="dxa"/>
            <w:vAlign w:val="bottom"/>
            <w:tcBorders>
              <w:top w:val="single" w:sz="8" w:color="3051F2"/>
            </w:tcBorders>
            <w:gridSpan w:val="5"/>
          </w:tcPr>
          <w:p>
            <w:pPr>
              <w:spacing w:after="0"/>
              <w:rPr>
                <w:sz w:val="24"/>
                <w:szCs w:val="24"/>
                <w:color w:val="auto"/>
              </w:rPr>
            </w:pPr>
          </w:p>
        </w:tc>
        <w:tc>
          <w:tcPr>
            <w:tcW w:w="1740" w:type="dxa"/>
            <w:vAlign w:val="bottom"/>
            <w:gridSpan w:val="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15</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640" w:type="dxa"/>
            <w:vAlign w:val="bottom"/>
            <w:tcBorders>
              <w:bottom w:val="single" w:sz="8" w:color="3051F2"/>
            </w:tcBorders>
            <w:gridSpan w:val="2"/>
          </w:tcPr>
          <w:p>
            <w:pPr>
              <w:spacing w:after="0"/>
              <w:rPr>
                <w:sz w:val="20"/>
                <w:szCs w:val="20"/>
                <w:color w:val="auto"/>
              </w:rPr>
            </w:pPr>
            <w:r>
              <w:rPr>
                <w:rFonts w:ascii="Arial" w:cs="Arial" w:eastAsia="Arial" w:hAnsi="Arial"/>
                <w:sz w:val="18"/>
                <w:szCs w:val="18"/>
                <w:color w:val="3051F2"/>
              </w:rPr>
              <w:t>Item 2.</w:t>
            </w:r>
          </w:p>
        </w:tc>
        <w:tc>
          <w:tcPr>
            <w:tcW w:w="340" w:type="dxa"/>
            <w:vAlign w:val="bottom"/>
          </w:tcPr>
          <w:p>
            <w:pPr>
              <w:spacing w:after="0"/>
              <w:rPr>
                <w:sz w:val="24"/>
                <w:szCs w:val="24"/>
                <w:color w:val="auto"/>
              </w:rPr>
            </w:pPr>
          </w:p>
        </w:tc>
        <w:tc>
          <w:tcPr>
            <w:tcW w:w="6460" w:type="dxa"/>
            <w:vAlign w:val="bottom"/>
            <w:tcBorders>
              <w:bottom w:val="single" w:sz="8" w:color="3051F2"/>
            </w:tcBorders>
            <w:gridSpan w:val="17"/>
          </w:tcPr>
          <w:p>
            <w:pPr>
              <w:spacing w:after="0"/>
              <w:rPr>
                <w:sz w:val="20"/>
                <w:szCs w:val="20"/>
                <w:color w:val="auto"/>
              </w:rPr>
            </w:pPr>
            <w:r>
              <w:rPr>
                <w:rFonts w:ascii="Arial" w:cs="Arial" w:eastAsia="Arial" w:hAnsi="Arial"/>
                <w:sz w:val="18"/>
                <w:szCs w:val="18"/>
                <w:color w:val="3051F2"/>
                <w:w w:val="90"/>
              </w:rPr>
              <w:t>Management’s Discussion and Analysis of Financial Condition and Results of Operations</w:t>
            </w:r>
          </w:p>
        </w:tc>
        <w:tc>
          <w:tcPr>
            <w:tcW w:w="2800" w:type="dxa"/>
            <w:vAlign w:val="bottom"/>
            <w:gridSpan w:val="6"/>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Arial" w:cs="Arial" w:eastAsia="Arial" w:hAnsi="Arial"/>
                <w:sz w:val="18"/>
                <w:szCs w:val="18"/>
                <w:color w:val="3051F2"/>
                <w:w w:val="90"/>
              </w:rPr>
              <w:t>Item 3.</w:t>
            </w:r>
          </w:p>
        </w:tc>
        <w:tc>
          <w:tcPr>
            <w:tcW w:w="460" w:type="dxa"/>
            <w:vAlign w:val="bottom"/>
            <w:gridSpan w:val="2"/>
          </w:tcPr>
          <w:p>
            <w:pPr>
              <w:spacing w:after="0"/>
              <w:rPr>
                <w:sz w:val="24"/>
                <w:szCs w:val="24"/>
                <w:color w:val="auto"/>
              </w:rPr>
            </w:pPr>
          </w:p>
        </w:tc>
        <w:tc>
          <w:tcPr>
            <w:tcW w:w="4320" w:type="dxa"/>
            <w:vAlign w:val="bottom"/>
            <w:tcBorders>
              <w:bottom w:val="single" w:sz="8" w:color="3051F2"/>
            </w:tcBorders>
            <w:gridSpan w:val="14"/>
          </w:tcPr>
          <w:p>
            <w:pPr>
              <w:spacing w:after="0"/>
              <w:rPr>
                <w:sz w:val="20"/>
                <w:szCs w:val="20"/>
                <w:color w:val="auto"/>
              </w:rPr>
            </w:pPr>
            <w:r>
              <w:rPr>
                <w:rFonts w:ascii="Arial" w:cs="Arial" w:eastAsia="Arial" w:hAnsi="Arial"/>
                <w:sz w:val="18"/>
                <w:szCs w:val="18"/>
                <w:color w:val="3051F2"/>
                <w:w w:val="91"/>
              </w:rPr>
              <w:t>Quantitative and Qualitative Disclosures about Market Risk</w:t>
            </w:r>
          </w:p>
        </w:tc>
        <w:tc>
          <w:tcPr>
            <w:tcW w:w="4940" w:type="dxa"/>
            <w:vAlign w:val="bottom"/>
            <w:gridSpan w:val="9"/>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74</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Arial" w:cs="Arial" w:eastAsia="Arial" w:hAnsi="Arial"/>
                <w:sz w:val="18"/>
                <w:szCs w:val="18"/>
                <w:color w:val="3051F2"/>
                <w:w w:val="90"/>
              </w:rPr>
              <w:t>Item 4.</w:t>
            </w:r>
          </w:p>
        </w:tc>
        <w:tc>
          <w:tcPr>
            <w:tcW w:w="460" w:type="dxa"/>
            <w:vAlign w:val="bottom"/>
            <w:gridSpan w:val="2"/>
          </w:tcPr>
          <w:p>
            <w:pPr>
              <w:spacing w:after="0"/>
              <w:rPr>
                <w:sz w:val="24"/>
                <w:szCs w:val="24"/>
                <w:color w:val="auto"/>
              </w:rPr>
            </w:pPr>
          </w:p>
        </w:tc>
        <w:tc>
          <w:tcPr>
            <w:tcW w:w="1800" w:type="dxa"/>
            <w:vAlign w:val="bottom"/>
            <w:tcBorders>
              <w:bottom w:val="single" w:sz="8" w:color="3051F2"/>
            </w:tcBorders>
            <w:gridSpan w:val="9"/>
          </w:tcPr>
          <w:p>
            <w:pPr>
              <w:spacing w:after="0"/>
              <w:rPr>
                <w:sz w:val="20"/>
                <w:szCs w:val="20"/>
                <w:color w:val="auto"/>
              </w:rPr>
            </w:pPr>
            <w:r>
              <w:rPr>
                <w:rFonts w:ascii="Arial" w:cs="Arial" w:eastAsia="Arial" w:hAnsi="Arial"/>
                <w:sz w:val="18"/>
                <w:szCs w:val="18"/>
                <w:color w:val="3051F2"/>
                <w:w w:val="89"/>
              </w:rPr>
              <w:t>Controls and Procedures</w:t>
            </w:r>
          </w:p>
        </w:tc>
        <w:tc>
          <w:tcPr>
            <w:tcW w:w="7460" w:type="dxa"/>
            <w:vAlign w:val="bottom"/>
            <w:gridSpan w:val="1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76</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2760" w:type="dxa"/>
            <w:vAlign w:val="bottom"/>
            <w:tcBorders>
              <w:bottom w:val="single" w:sz="8" w:color="3051F2"/>
            </w:tcBorders>
            <w:gridSpan w:val="11"/>
          </w:tcPr>
          <w:p>
            <w:pPr>
              <w:spacing w:after="0"/>
              <w:rPr>
                <w:sz w:val="20"/>
                <w:szCs w:val="20"/>
                <w:color w:val="auto"/>
              </w:rPr>
            </w:pPr>
            <w:r>
              <w:rPr>
                <w:rFonts w:ascii="Arial" w:cs="Arial" w:eastAsia="Arial" w:hAnsi="Arial"/>
                <w:sz w:val="18"/>
                <w:szCs w:val="18"/>
                <w:color w:val="3051F2"/>
                <w:w w:val="96"/>
              </w:rPr>
              <w:t>PART II — OTHER INFORMATION</w:t>
            </w:r>
          </w:p>
        </w:tc>
        <w:tc>
          <w:tcPr>
            <w:tcW w:w="7480" w:type="dxa"/>
            <w:vAlign w:val="bottom"/>
            <w:gridSpan w:val="1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77</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3051F2"/>
              </w:rPr>
              <w:t>Item 1.</w:t>
            </w:r>
          </w:p>
        </w:tc>
        <w:tc>
          <w:tcPr>
            <w:tcW w:w="340" w:type="dxa"/>
            <w:vAlign w:val="bottom"/>
          </w:tcPr>
          <w:p>
            <w:pPr>
              <w:spacing w:after="0"/>
              <w:rPr>
                <w:sz w:val="24"/>
                <w:szCs w:val="24"/>
                <w:color w:val="auto"/>
              </w:rPr>
            </w:pPr>
          </w:p>
        </w:tc>
        <w:tc>
          <w:tcPr>
            <w:tcW w:w="9260" w:type="dxa"/>
            <w:vAlign w:val="bottom"/>
            <w:gridSpan w:val="23"/>
          </w:tcPr>
          <w:p>
            <w:pPr>
              <w:spacing w:after="0"/>
              <w:rPr>
                <w:sz w:val="20"/>
                <w:szCs w:val="20"/>
                <w:color w:val="auto"/>
              </w:rPr>
            </w:pPr>
            <w:r>
              <w:rPr>
                <w:rFonts w:ascii="Arial" w:cs="Arial" w:eastAsia="Arial" w:hAnsi="Arial"/>
                <w:sz w:val="18"/>
                <w:szCs w:val="18"/>
                <w:color w:val="3051F2"/>
              </w:rPr>
              <w:t>Legal Proceedings</w:t>
            </w:r>
          </w:p>
        </w:tc>
        <w:tc>
          <w:tcPr>
            <w:tcW w:w="980" w:type="dxa"/>
            <w:vAlign w:val="bottom"/>
          </w:tcPr>
          <w:p>
            <w:pPr>
              <w:jc w:val="right"/>
              <w:spacing w:after="0"/>
              <w:rPr>
                <w:sz w:val="20"/>
                <w:szCs w:val="20"/>
                <w:color w:val="auto"/>
              </w:rPr>
            </w:pPr>
            <w:r>
              <w:rPr>
                <w:rFonts w:ascii="Arial" w:cs="Arial" w:eastAsia="Arial" w:hAnsi="Arial"/>
                <w:sz w:val="18"/>
                <w:szCs w:val="18"/>
                <w:color w:val="0000FF"/>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3051F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420" w:type="dxa"/>
            <w:vAlign w:val="bottom"/>
            <w:tcBorders>
              <w:right w:val="single" w:sz="8" w:color="3051F2"/>
            </w:tcBorders>
            <w:gridSpan w:val="2"/>
            <w:shd w:val="clear" w:color="auto" w:fill="3051F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0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8"/>
                <w:szCs w:val="18"/>
                <w:color w:val="3051F2"/>
              </w:rPr>
              <w:t>Item 1A.</w:t>
            </w:r>
          </w:p>
        </w:tc>
        <w:tc>
          <w:tcPr>
            <w:tcW w:w="9260" w:type="dxa"/>
            <w:vAlign w:val="bottom"/>
            <w:gridSpan w:val="23"/>
          </w:tcPr>
          <w:p>
            <w:pPr>
              <w:spacing w:after="0"/>
              <w:rPr>
                <w:sz w:val="20"/>
                <w:szCs w:val="20"/>
                <w:color w:val="auto"/>
              </w:rPr>
            </w:pPr>
            <w:r>
              <w:rPr>
                <w:rFonts w:ascii="Arial" w:cs="Arial" w:eastAsia="Arial" w:hAnsi="Arial"/>
                <w:sz w:val="18"/>
                <w:szCs w:val="18"/>
                <w:color w:val="3051F2"/>
              </w:rPr>
              <w:t>Risk Factors</w:t>
            </w:r>
          </w:p>
        </w:tc>
        <w:tc>
          <w:tcPr>
            <w:tcW w:w="980" w:type="dxa"/>
            <w:vAlign w:val="bottom"/>
          </w:tcPr>
          <w:p>
            <w:pPr>
              <w:jc w:val="right"/>
              <w:spacing w:after="0"/>
              <w:rPr>
                <w:sz w:val="20"/>
                <w:szCs w:val="20"/>
                <w:color w:val="auto"/>
              </w:rPr>
            </w:pPr>
            <w:r>
              <w:rPr>
                <w:rFonts w:ascii="Arial" w:cs="Arial" w:eastAsia="Arial" w:hAnsi="Arial"/>
                <w:sz w:val="18"/>
                <w:szCs w:val="18"/>
                <w:color w:val="0000FF"/>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3051F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0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Arial" w:cs="Arial" w:eastAsia="Arial" w:hAnsi="Arial"/>
                <w:sz w:val="18"/>
                <w:szCs w:val="18"/>
                <w:color w:val="3051F2"/>
                <w:w w:val="90"/>
              </w:rPr>
              <w:t>Item 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60" w:type="dxa"/>
            <w:vAlign w:val="bottom"/>
            <w:tcBorders>
              <w:bottom w:val="single" w:sz="8" w:color="3051F2"/>
            </w:tcBorders>
            <w:gridSpan w:val="15"/>
          </w:tcPr>
          <w:p>
            <w:pPr>
              <w:spacing w:after="0"/>
              <w:rPr>
                <w:sz w:val="20"/>
                <w:szCs w:val="20"/>
                <w:color w:val="auto"/>
              </w:rPr>
            </w:pPr>
            <w:r>
              <w:rPr>
                <w:rFonts w:ascii="Arial" w:cs="Arial" w:eastAsia="Arial" w:hAnsi="Arial"/>
                <w:sz w:val="18"/>
                <w:szCs w:val="18"/>
                <w:color w:val="3051F2"/>
                <w:w w:val="89"/>
              </w:rPr>
              <w:t>Unregistered Sales of Equity Securities and Use of Proceeds</w:t>
            </w:r>
          </w:p>
        </w:tc>
        <w:tc>
          <w:tcPr>
            <w:tcW w:w="4900" w:type="dxa"/>
            <w:vAlign w:val="bottom"/>
            <w:gridSpan w:val="8"/>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77</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Arial" w:cs="Arial" w:eastAsia="Arial" w:hAnsi="Arial"/>
                <w:sz w:val="18"/>
                <w:szCs w:val="18"/>
                <w:color w:val="3051F2"/>
                <w:w w:val="90"/>
              </w:rPr>
              <w:t>Item 3.</w:t>
            </w:r>
          </w:p>
        </w:tc>
        <w:tc>
          <w:tcPr>
            <w:tcW w:w="460" w:type="dxa"/>
            <w:vAlign w:val="bottom"/>
            <w:gridSpan w:val="2"/>
          </w:tcPr>
          <w:p>
            <w:pPr>
              <w:spacing w:after="0"/>
              <w:rPr>
                <w:sz w:val="24"/>
                <w:szCs w:val="24"/>
                <w:color w:val="auto"/>
              </w:rPr>
            </w:pPr>
          </w:p>
        </w:tc>
        <w:tc>
          <w:tcPr>
            <w:tcW w:w="2340" w:type="dxa"/>
            <w:vAlign w:val="bottom"/>
            <w:tcBorders>
              <w:bottom w:val="single" w:sz="8" w:color="3051F2"/>
            </w:tcBorders>
            <w:gridSpan w:val="11"/>
          </w:tcPr>
          <w:p>
            <w:pPr>
              <w:spacing w:after="0"/>
              <w:rPr>
                <w:sz w:val="20"/>
                <w:szCs w:val="20"/>
                <w:color w:val="auto"/>
              </w:rPr>
            </w:pPr>
            <w:r>
              <w:rPr>
                <w:rFonts w:ascii="Arial" w:cs="Arial" w:eastAsia="Arial" w:hAnsi="Arial"/>
                <w:sz w:val="18"/>
                <w:szCs w:val="18"/>
                <w:color w:val="3051F2"/>
                <w:w w:val="90"/>
              </w:rPr>
              <w:t>Defaults Upon Senior Securities</w:t>
            </w:r>
          </w:p>
        </w:tc>
        <w:tc>
          <w:tcPr>
            <w:tcW w:w="6920" w:type="dxa"/>
            <w:vAlign w:val="bottom"/>
            <w:gridSpan w:val="12"/>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77</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Arial" w:cs="Arial" w:eastAsia="Arial" w:hAnsi="Arial"/>
                <w:sz w:val="18"/>
                <w:szCs w:val="18"/>
                <w:color w:val="3051F2"/>
                <w:w w:val="90"/>
              </w:rPr>
              <w:t>Item 4.</w:t>
            </w:r>
          </w:p>
        </w:tc>
        <w:tc>
          <w:tcPr>
            <w:tcW w:w="460" w:type="dxa"/>
            <w:vAlign w:val="bottom"/>
            <w:gridSpan w:val="2"/>
          </w:tcPr>
          <w:p>
            <w:pPr>
              <w:spacing w:after="0"/>
              <w:rPr>
                <w:sz w:val="24"/>
                <w:szCs w:val="24"/>
                <w:color w:val="auto"/>
              </w:rPr>
            </w:pPr>
          </w:p>
        </w:tc>
        <w:tc>
          <w:tcPr>
            <w:tcW w:w="1800" w:type="dxa"/>
            <w:vAlign w:val="bottom"/>
            <w:tcBorders>
              <w:bottom w:val="single" w:sz="8" w:color="3051F2"/>
            </w:tcBorders>
            <w:gridSpan w:val="9"/>
          </w:tcPr>
          <w:p>
            <w:pPr>
              <w:spacing w:after="0"/>
              <w:rPr>
                <w:sz w:val="20"/>
                <w:szCs w:val="20"/>
                <w:color w:val="auto"/>
              </w:rPr>
            </w:pPr>
            <w:r>
              <w:rPr>
                <w:rFonts w:ascii="Arial" w:cs="Arial" w:eastAsia="Arial" w:hAnsi="Arial"/>
                <w:sz w:val="18"/>
                <w:szCs w:val="18"/>
                <w:color w:val="3051F2"/>
                <w:w w:val="92"/>
              </w:rPr>
              <w:t>Mine Safety Disclosures</w:t>
            </w:r>
          </w:p>
        </w:tc>
        <w:tc>
          <w:tcPr>
            <w:tcW w:w="7460" w:type="dxa"/>
            <w:vAlign w:val="bottom"/>
            <w:gridSpan w:val="1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77</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3051F2"/>
                <w:w w:val="90"/>
              </w:rPr>
              <w:t>Item 5.</w:t>
            </w:r>
          </w:p>
        </w:tc>
        <w:tc>
          <w:tcPr>
            <w:tcW w:w="460" w:type="dxa"/>
            <w:vAlign w:val="bottom"/>
            <w:gridSpan w:val="2"/>
          </w:tcPr>
          <w:p>
            <w:pPr>
              <w:spacing w:after="0"/>
              <w:rPr>
                <w:sz w:val="24"/>
                <w:szCs w:val="24"/>
                <w:color w:val="auto"/>
              </w:rPr>
            </w:pPr>
          </w:p>
        </w:tc>
        <w:tc>
          <w:tcPr>
            <w:tcW w:w="9260" w:type="dxa"/>
            <w:vAlign w:val="bottom"/>
            <w:gridSpan w:val="23"/>
          </w:tcPr>
          <w:p>
            <w:pPr>
              <w:spacing w:after="0"/>
              <w:rPr>
                <w:sz w:val="20"/>
                <w:szCs w:val="20"/>
                <w:color w:val="auto"/>
              </w:rPr>
            </w:pPr>
            <w:r>
              <w:rPr>
                <w:rFonts w:ascii="Arial" w:cs="Arial" w:eastAsia="Arial" w:hAnsi="Arial"/>
                <w:sz w:val="18"/>
                <w:szCs w:val="18"/>
                <w:color w:val="3051F2"/>
              </w:rPr>
              <w:t>Other Information</w:t>
            </w:r>
          </w:p>
        </w:tc>
        <w:tc>
          <w:tcPr>
            <w:tcW w:w="980" w:type="dxa"/>
            <w:vAlign w:val="bottom"/>
          </w:tcPr>
          <w:p>
            <w:pPr>
              <w:jc w:val="right"/>
              <w:spacing w:after="0"/>
              <w:rPr>
                <w:sz w:val="20"/>
                <w:szCs w:val="20"/>
                <w:color w:val="auto"/>
              </w:rPr>
            </w:pPr>
            <w:r>
              <w:rPr>
                <w:rFonts w:ascii="Arial" w:cs="Arial" w:eastAsia="Arial" w:hAnsi="Arial"/>
                <w:sz w:val="18"/>
                <w:szCs w:val="18"/>
                <w:color w:val="0000FF"/>
              </w:rPr>
              <w:t>77</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top w:val="single" w:sz="8" w:color="3051F2"/>
            </w:tcBorders>
          </w:tcPr>
          <w:p>
            <w:pPr>
              <w:spacing w:after="0"/>
              <w:rPr>
                <w:sz w:val="20"/>
                <w:szCs w:val="20"/>
                <w:color w:val="auto"/>
              </w:rPr>
            </w:pPr>
            <w:r>
              <w:rPr>
                <w:rFonts w:ascii="Arial" w:cs="Arial" w:eastAsia="Arial" w:hAnsi="Arial"/>
                <w:sz w:val="18"/>
                <w:szCs w:val="18"/>
                <w:color w:val="3051F2"/>
                <w:w w:val="90"/>
              </w:rPr>
              <w:t>Item 6.</w:t>
            </w:r>
          </w:p>
        </w:tc>
        <w:tc>
          <w:tcPr>
            <w:tcW w:w="460" w:type="dxa"/>
            <w:vAlign w:val="bottom"/>
            <w:gridSpan w:val="2"/>
          </w:tcPr>
          <w:p>
            <w:pPr>
              <w:spacing w:after="0"/>
              <w:rPr>
                <w:sz w:val="24"/>
                <w:szCs w:val="24"/>
                <w:color w:val="auto"/>
              </w:rPr>
            </w:pPr>
          </w:p>
        </w:tc>
        <w:tc>
          <w:tcPr>
            <w:tcW w:w="1340" w:type="dxa"/>
            <w:vAlign w:val="bottom"/>
            <w:tcBorders>
              <w:top w:val="single" w:sz="8" w:color="3051F2"/>
            </w:tcBorders>
            <w:gridSpan w:val="6"/>
          </w:tcPr>
          <w:p>
            <w:pPr>
              <w:spacing w:after="0"/>
              <w:rPr>
                <w:sz w:val="20"/>
                <w:szCs w:val="20"/>
                <w:color w:val="auto"/>
              </w:rPr>
            </w:pPr>
            <w:r>
              <w:rPr>
                <w:rFonts w:ascii="Arial" w:cs="Arial" w:eastAsia="Arial" w:hAnsi="Arial"/>
                <w:sz w:val="18"/>
                <w:szCs w:val="18"/>
                <w:color w:val="3051F2"/>
              </w:rPr>
              <w:t>Exhibits</w:t>
            </w:r>
          </w:p>
        </w:tc>
        <w:tc>
          <w:tcPr>
            <w:tcW w:w="7920" w:type="dxa"/>
            <w:vAlign w:val="bottom"/>
            <w:gridSpan w:val="17"/>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00" w:type="dxa"/>
            <w:vAlign w:val="bottom"/>
            <w:gridSpan w:val="2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60" w:type="dxa"/>
            <w:vAlign w:val="bottom"/>
            <w:gridSpan w:val="23"/>
          </w:tcPr>
          <w:p>
            <w:pPr>
              <w:spacing w:after="0"/>
              <w:rPr>
                <w:sz w:val="20"/>
                <w:szCs w:val="20"/>
                <w:color w:val="auto"/>
              </w:rPr>
            </w:pPr>
            <w:r>
              <w:rPr>
                <w:rFonts w:ascii="Arial" w:cs="Arial" w:eastAsia="Arial" w:hAnsi="Arial"/>
                <w:sz w:val="18"/>
                <w:szCs w:val="18"/>
                <w:color w:val="3051F2"/>
              </w:rPr>
              <w:t>Signatures</w:t>
            </w:r>
          </w:p>
        </w:tc>
        <w:tc>
          <w:tcPr>
            <w:tcW w:w="980" w:type="dxa"/>
            <w:vAlign w:val="bottom"/>
          </w:tcPr>
          <w:p>
            <w:pPr>
              <w:jc w:val="right"/>
              <w:spacing w:after="0"/>
              <w:rPr>
                <w:sz w:val="20"/>
                <w:szCs w:val="20"/>
                <w:color w:val="auto"/>
              </w:rPr>
            </w:pPr>
            <w:r>
              <w:rPr>
                <w:rFonts w:ascii="Arial" w:cs="Arial" w:eastAsia="Arial" w:hAnsi="Arial"/>
                <w:sz w:val="18"/>
                <w:szCs w:val="18"/>
                <w:color w:val="0000FF"/>
              </w:rPr>
              <w:t>80</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Borders>
              <w:top w:val="single" w:sz="8" w:color="3051F2"/>
            </w:tcBorders>
            <w:gridSpan w:val="3"/>
          </w:tcPr>
          <w:p>
            <w:pPr>
              <w:spacing w:after="0"/>
              <w:rPr>
                <w:sz w:val="24"/>
                <w:szCs w:val="24"/>
                <w:color w:val="auto"/>
              </w:rPr>
            </w:pPr>
          </w:p>
        </w:tc>
        <w:tc>
          <w:tcPr>
            <w:tcW w:w="4040" w:type="dxa"/>
            <w:vAlign w:val="bottom"/>
            <w:gridSpan w:val="13"/>
          </w:tcPr>
          <w:p>
            <w:pPr>
              <w:jc w:val="right"/>
              <w:ind w:right="140"/>
              <w:spacing w:after="0"/>
              <w:rPr>
                <w:sz w:val="20"/>
                <w:szCs w:val="20"/>
                <w:color w:val="auto"/>
              </w:rPr>
            </w:pPr>
            <w:r>
              <w:rPr>
                <w:rFonts w:ascii="Arial" w:cs="Arial" w:eastAsia="Arial" w:hAnsi="Arial"/>
                <w:sz w:val="18"/>
                <w:szCs w:val="18"/>
                <w:color w:val="auto"/>
              </w:rPr>
              <w:t>2</w:t>
            </w: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INTRODUCTORY NOTE</w:t>
      </w:r>
    </w:p>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financial statements and other disclosures contained in this report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w:t>
      </w:r>
    </w:p>
    <w:p>
      <w:pPr>
        <w:spacing w:after="0" w:line="146"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Quarterly Report on Form 10-Q, unless the context otherwise requires, references to:</w:t>
      </w:r>
    </w:p>
    <w:p>
      <w:pPr>
        <w:spacing w:after="0" w:line="198" w:lineRule="exact"/>
        <w:rPr>
          <w:sz w:val="20"/>
          <w:szCs w:val="20"/>
          <w:color w:val="auto"/>
        </w:rPr>
      </w:pPr>
    </w:p>
    <w:p>
      <w:pPr>
        <w:ind w:left="660" w:right="2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TWM LLC and all of its subsidiaries and any predecessor entities.</w:t>
      </w:r>
    </w:p>
    <w:p>
      <w:pPr>
        <w:spacing w:after="0" w:line="130" w:lineRule="exact"/>
        <w:rPr>
          <w:rFonts w:ascii="Arial" w:cs="Arial" w:eastAsia="Arial" w:hAnsi="Arial"/>
          <w:sz w:val="17"/>
          <w:szCs w:val="17"/>
          <w:color w:val="auto"/>
        </w:rPr>
      </w:pPr>
    </w:p>
    <w:p>
      <w:pPr>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“Bank Stockholders”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As of June 30, 2023, there were no LLC Interests (as defined below) held by Bank Stockholders.</w:t>
      </w:r>
    </w:p>
    <w:p>
      <w:pPr>
        <w:spacing w:after="0" w:line="147"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“Continuing LLC Owners” refer collectively to (i) those Original LLC Owners (as defined below), including Refinitiv (as defined below), certain of the Bank Stockholders and members of management, that continued to own LLC Interests after the completion of the IPO and Reorganization Transactions and that received shares of our Class C common stock, shares of our Class D common stock or a combination of both, as the case may be, in connection with the completion of the Reorganization Transactions, (ii) any subsequent transferee of any Original LLC Owner that has executed a joinder agreement to TWM LLC’s limited liability company agreement (the “TWM LLC Agreement”) and (iii) solely with respect to the Tax Receivable Agreement (as defined below),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51" w:lineRule="exact"/>
        <w:rPr>
          <w:rFonts w:ascii="Arial" w:cs="Arial" w:eastAsia="Arial" w:hAnsi="Arial"/>
          <w:sz w:val="17"/>
          <w:szCs w:val="17"/>
          <w:color w:val="auto"/>
        </w:rPr>
      </w:pPr>
    </w:p>
    <w:p>
      <w:pPr>
        <w:ind w:left="660" w:right="3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“Investor Group” refer to certain investment funds affiliated with The Blackstone Group Inc. (f/k/a The Blackstone Group L.P.), an affiliate of Canada Pension Plan Investment Board, an affiliate of GIC Special Investments Pte. Ltd. and certain co-investors, which prior to the LSEG Transaction (as defined below) collectively held indirectly a 55% ownership interest in Refinitiv.</w:t>
      </w:r>
    </w:p>
    <w:p>
      <w:pPr>
        <w:spacing w:after="0" w:line="143" w:lineRule="exact"/>
        <w:rPr>
          <w:rFonts w:ascii="Arial" w:cs="Arial" w:eastAsia="Arial" w:hAnsi="Arial"/>
          <w:sz w:val="18"/>
          <w:szCs w:val="18"/>
          <w:color w:val="auto"/>
        </w:rPr>
      </w:pPr>
    </w:p>
    <w:p>
      <w:pPr>
        <w:ind w:left="660" w:right="48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“LLC Interests” refer to the single class of common membership interests of TWM LLC. LLC Interests, other than those held by Tradeweb Markets Inc., are redeemable or exchangeable in accordance with the TWM LLC Agreement for shares of Class A common stock or Class B common stock, as the case may be, on a one-for-one basis.</w:t>
      </w:r>
    </w:p>
    <w:p>
      <w:pPr>
        <w:spacing w:after="0" w:line="143"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“LSEG Transaction” refer to the acquisition of the Refinitiv business by London Stock Exchange Group plc (“LSEG”), in an all share transaction, which closed on January 29, 2021.</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“Original LLC Owners” refer to the owners of TWM LLC prior to the Reorganization Transactions.</w:t>
      </w:r>
    </w:p>
    <w:p>
      <w:pPr>
        <w:spacing w:after="0" w:line="184" w:lineRule="exact"/>
        <w:rPr>
          <w:rFonts w:ascii="Arial" w:cs="Arial" w:eastAsia="Arial" w:hAnsi="Arial"/>
          <w:sz w:val="18"/>
          <w:szCs w:val="18"/>
          <w:color w:val="auto"/>
        </w:rPr>
      </w:pPr>
    </w:p>
    <w:p>
      <w:pPr>
        <w:ind w:left="660" w:right="20" w:hanging="328"/>
        <w:spacing w:after="0" w:line="27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“Refinitiv,” prior to the LSEG Transaction, refer to Refinitiv Holdings Limited, and unless otherwise stated or the context otherwise requires, all of its direct and indirect subsidiaries, and subsequent to the LSEG Transaction, refer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Tradeweb, and was controlled by the Investor Group prior to the LSEG Transaction.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4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“Thomson Reuters” or “TR” refer to Thomson Reuters Corporation, which prior to the LSEG Transaction indirectly held a 45% ownership interest in Refinitiv.</w:t>
      </w:r>
    </w:p>
    <w:p>
      <w:pPr>
        <w:spacing w:after="0" w:line="130"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Numerical figures included in this Quarterly Report on Form 10-Q have been subject to rounding adjustments. Accordingly, numerical figures shown as totals in various tables may not be arithmetic aggregations of the figures that precede them. In addition, we round certain percentages presented in this Quarterly Report on Form 10-Q to the nearest whole number. As a result, figures expressed as percentages in the text may not total 100% or, when aggregated, may not be the arithmetic aggregation of the percentages that precede them.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USE OF NON-GAAP FINANCIAL MEASURES</w:t>
      </w:r>
    </w:p>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This Quarterly Report on Form 10-Q contains “non-GAAP financial measures,” which are financial measures that are not calculated and presented in accordance with accounting principles generally accepted in the United States of America (“GAAP”).</w:t>
      </w:r>
    </w:p>
    <w:p>
      <w:pPr>
        <w:spacing w:after="0" w:line="130"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The Securities and Exchange Commission (“SEC”) has adopted rules to regulate the use of non-GAAP financial measures in filings with the SEC and in other public disclosures. These rules govern the manner in which non-GAAP financial measures are publicly presented and require, among other things:</w:t>
      </w:r>
    </w:p>
    <w:p>
      <w:pPr>
        <w:spacing w:after="0" w:line="83" w:lineRule="exact"/>
        <w:rPr>
          <w:sz w:val="20"/>
          <w:szCs w:val="20"/>
          <w:color w:val="auto"/>
        </w:rPr>
      </w:pPr>
    </w:p>
    <w:p>
      <w:pPr>
        <w:ind w:left="660" w:right="3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presentation with equal or greater prominence of the most comparable financial measure or measures calculated and presented in accordance with GAAP;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statement disclosing the purposes for which the registrant’s management uses the non-GAAP financial measure.</w:t>
      </w:r>
    </w:p>
    <w:p>
      <w:pPr>
        <w:spacing w:after="0" w:line="18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Specifically, we make use of the non-GAAP financial measures “Free Cash Flow,” “Adjusted EBITDA,” “Adjusted EBITDA margin,” “Adjusted EBIT,” “Adjusted EBIT margin,” “Adjusted Net Income” and “Adjusted Diluted EPS,” as well as the change in revenue, Adjusted EBITDA margin and Adjusted EBIT margin on a constant currency basis, in evaluating our historical results and future prospects. For the definition of Free Cash Flow and a reconciliation to cash flow from operating activities, its most directly comparable financial measure presented in accordance with GAAP, see Part I, Item 2.</w:t>
      </w:r>
    </w:p>
    <w:p>
      <w:pPr>
        <w:spacing w:after="0" w:line="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“Management’s Discussion and Analysis of Financial Condition and Results of Operations—Non</w:t>
      </w:r>
      <w:r>
        <w:rPr>
          <w:rFonts w:ascii="Arial" w:cs="Arial" w:eastAsia="Arial" w:hAnsi="Arial"/>
          <w:sz w:val="16"/>
          <w:szCs w:val="16"/>
          <w:b w:val="1"/>
          <w:bCs w:val="1"/>
          <w:color w:val="auto"/>
        </w:rPr>
        <w:t>-</w:t>
      </w:r>
      <w:r>
        <w:rPr>
          <w:rFonts w:ascii="Arial" w:cs="Arial" w:eastAsia="Arial" w:hAnsi="Arial"/>
          <w:sz w:val="16"/>
          <w:szCs w:val="16"/>
          <w:color w:val="auto"/>
        </w:rPr>
        <w:t>GAAP Financial Measures.” For the definitions of Adjusted EBITDA, Adjusted EBIT and Adjusted Net Income and reconciliations to net income and net income attributable to Tradeweb Markets Inc., as applicable, their most directly comparable financial measures presented in accordance with GAAP, see Part I, Item 2. – “Management’s Discussion and Analysis of Financial Condition and Results of Operations—Non-GAAP Financial Measures.” For the definition of constant currency revenue change, see Part I, Item 2. – “Management’s Discussion and Analysis of Financial Condition and Results of Operations—Results of Operations.” Adjusted EBITDA margin and Adjusted EBIT margin are defined as Adjusted EBITDA and Adjusted EBIT, respectively, divided by revenue for the applicable period. For the definition of constant currency change in Adjusted EBITDA margin and Adjusted EBIT margin, see Part I, Item 2. – “Management’s Discussion and Analysis of Financial Condition and Results of Operations—Non-GAAP Financial Measures.”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3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15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program is based in part on components of Adjusted EBITDA and Adjusted EBITDA margin.</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use constant currency measures as supplemental metrics to evaluate our underlying performance between periods by removing the impact of foreign currency fluctuations. We believe that providing certain percentage changes on a constant currency basis provide useful comparisons of our performance and trends between periods.</w:t>
      </w:r>
    </w:p>
    <w:p>
      <w:pPr>
        <w:spacing w:after="0" w:line="1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14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Free Cash Flow, Adjusted EBITDA, Adjusted EBITDA margin, Adjusted EBIT, Adjusted EBIT margin, Adjusted Net Income, Adjusted Diluted EPS and constant currency measures have limitations as analytical tools, and you should not consider such measures either in isolation or as substitutes for analyzing our results as reported under GAAP. Some of these limitations include the following:</w:t>
      </w:r>
    </w:p>
    <w:p>
      <w:pPr>
        <w:spacing w:after="0" w:line="143" w:lineRule="exact"/>
        <w:rPr>
          <w:sz w:val="20"/>
          <w:szCs w:val="20"/>
          <w:color w:val="auto"/>
        </w:rPr>
      </w:pPr>
    </w:p>
    <w:p>
      <w:pPr>
        <w:ind w:left="660" w:right="4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Free Cash Flow, Adjusted EBITDA, Adjusted EBIT, Adjusted Net Income and Adjusted Diluted EPS do not reflect every expenditure, future requirements for capital expenditures or contractual commitments;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Adjusted EBITDA, Adjusted EBIT, Adjusted Net Income and Adjusted Diluted EPS do not reflect changes in our working capital needs;</w:t>
      </w:r>
    </w:p>
    <w:p>
      <w:pPr>
        <w:spacing w:after="0" w:line="196"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and Adjusted EBIT do not reflect any interest expense, or the amounts necessary to service interest or principal payments on any debt obligations;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Adjusted EBITDA and Adjusted EBIT do not reflect income tax expense, which is a necessary element of our costs and ability to operate;</w:t>
      </w:r>
    </w:p>
    <w:p>
      <w:pPr>
        <w:spacing w:after="0" w:line="209" w:lineRule="exact"/>
        <w:rPr>
          <w:rFonts w:ascii="Arial" w:cs="Arial" w:eastAsia="Arial" w:hAnsi="Arial"/>
          <w:sz w:val="17"/>
          <w:szCs w:val="17"/>
          <w:color w:val="auto"/>
        </w:rPr>
      </w:pPr>
    </w:p>
    <w:p>
      <w:pPr>
        <w:ind w:left="660" w:right="20" w:hanging="328"/>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although depreciation and amortization are eliminated in the calculation of Adjusted EBITDA, and the depreciation and amortization related to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24"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and Adjusted Diluted EPS do not reflect the noncash component of certain employee compensation expense or payroll taxes associated with certain option exercises;</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and Adjusted Diluted EPS do not reflect the impact of earnings or charges resulting from matters we consider not to be indicative, on a recurring basis, of our ongoing operations;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Constant currency measures do not reflect the impact of foreign currency fluctuations; and</w:t>
      </w:r>
    </w:p>
    <w:p>
      <w:pPr>
        <w:spacing w:after="0" w:line="184" w:lineRule="exact"/>
        <w:rPr>
          <w:rFonts w:ascii="Arial" w:cs="Arial" w:eastAsia="Arial" w:hAnsi="Arial"/>
          <w:sz w:val="18"/>
          <w:szCs w:val="18"/>
          <w:color w:val="auto"/>
        </w:rPr>
      </w:pPr>
    </w:p>
    <w:p>
      <w:pPr>
        <w:ind w:left="660" w:right="1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other companies in our industry may calculate Free Cash Flow, Adjusted EBITDA, Adjusted EBIT, Adjusted Net Income, Adjusted Diluted EPS, constant currency measures or similarly titled measures differently than we do, limiting their usefulness as comparative measures.</w:t>
      </w:r>
    </w:p>
    <w:p>
      <w:pPr>
        <w:spacing w:after="0" w:line="10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compensate for these limitations by relying primarily on our GAAP results and using Free Cash Flow, Adjusted EBITDA, Adjusted EBIT, Adjusted Net Income, Adjusted Diluted EPS and constant currency measures only as supplemental information.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pending acquisitions or other strategic transactions, any potential tax savings we may realize as a result of our organizational structure, our dividend policy, our share repurchase program and our expectations, beliefs, plans, strategies, objectives, prospects or assumptions regarding future events, our performance or otherwise, contained in this Quarterly Report on Form 10-Q are forward-looking statements.</w:t>
      </w:r>
    </w:p>
    <w:p>
      <w:pPr>
        <w:spacing w:after="0" w:line="15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may cause our actual results, performance or achievements to differ materially from those expressed or implied by these forward-looking statements, or could affect our stock price.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Some of the factors that could cause actual results to differ materially from those expressed or implied by the forward-looking statements include:</w:t>
      </w:r>
    </w:p>
    <w:p>
      <w:pPr>
        <w:spacing w:after="0" w:line="21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economic, political, social and market conditions and the impact of these changes on trading volumes;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dealer clients;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 defects, errors, failures or delays with our platforms or solutions;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third parties for certain market data and certain key functions;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achieve our environmental, social and governance goals;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implement our business strategies profitably;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 or to realize benefits from any strategic alliances, partnerships or joint ventures;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maintain and grow the capacity of our trading platforms, systems and infrastructure;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systems failures, interruptions, delays in services, cybersecurity incidents, catastrophic events and any resulting interruptions;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inadequate protection of our intellectual property;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extensive regulation of our industry;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the services of our senior management team;</w:t>
      </w:r>
    </w:p>
    <w:p>
      <w:pPr>
        <w:spacing w:after="0" w:line="198"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operating our business and incurring additional indebtedness as a result of covenant restrictions under our $500.0 million senior secured revolving credit facility (the “Revolving Credit Facility”) with Citibank, N.A., as administrative agent and collateral agent, and the other lenders party thereto;</w:t>
      </w:r>
    </w:p>
    <w:p>
      <w:pPr>
        <w:spacing w:after="0" w:line="14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realize any benefit from our organizational structure;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Refinitiv’s, and indirectly LSEG’s, control of us and our status as a controlled company; and</w:t>
      </w:r>
    </w:p>
    <w:p>
      <w:pPr>
        <w:spacing w:after="0" w:line="184"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“Risk Factors” of our Annual Report on Form 10-K for the year ended December 31, 2022 (the “2022 Form 10-K”), filed with the Securities and Exchange Commission (“SEC”) and in other filings we may make from time to time with the SEC.</w:t>
      </w:r>
    </w:p>
    <w:p>
      <w:pPr>
        <w:spacing w:after="0" w:line="143"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Given these risks and uncertainties, you are cautioned not to place undue reliance on such forward-looking statements. The forward-looking statements contained in this Quarterly Report on Form 10-Q are not guarantees of future events or performance and future events, our actual results of operations, financial condition or liquidity, and the development of the industry and markets in which we operate, may differ materially from the forward-looking statements contained in this Quarterly Report on Form 10-Q. In addition, even if future events, our results of operations, financial condition or liquidity, and events in the industry and markets in which we operate, are consistent with the forward-looking statements contained in this Quarterly Report on Form 10-Q, they may not be predictive of events, results or developments in future periods.</w:t>
      </w:r>
    </w:p>
    <w:p>
      <w:pPr>
        <w:spacing w:after="0" w:line="15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1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Twitter.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 — FINANCIAL INFORMATION</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Tradeweb Markets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Financial Condition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48"/>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w:t>
            </w:r>
          </w:p>
        </w:tc>
      </w:tr>
      <w:tr>
        <w:trPr>
          <w:trHeight w:val="208"/>
        </w:trPr>
        <w:tc>
          <w:tcPr>
            <w:tcW w:w="8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r>
      <w:tr>
        <w:trPr>
          <w:trHeight w:val="209"/>
        </w:trPr>
        <w:tc>
          <w:tcPr>
            <w:tcW w:w="8440" w:type="dxa"/>
            <w:vAlign w:val="bottom"/>
            <w:tcBorders>
              <w:bottom w:val="single" w:sz="8" w:color="CCEEFF"/>
            </w:tcBorders>
            <w:shd w:val="clear" w:color="auto" w:fill="CCEEFF"/>
          </w:tcPr>
          <w:p>
            <w:pPr>
              <w:ind w:left="398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1,395,901</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1,257,229</w:t>
            </w:r>
          </w:p>
        </w:tc>
      </w:tr>
      <w:tr>
        <w:trPr>
          <w:trHeight w:val="186"/>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Receivable from brokers and dealers and clearing organizations</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128,015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11,632</w:t>
            </w:r>
          </w:p>
        </w:tc>
      </w:tr>
      <w:tr>
        <w:trPr>
          <w:trHeight w:val="20"/>
        </w:trPr>
        <w:tc>
          <w:tcPr>
            <w:tcW w:w="8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9"/>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Deposits with clearing organizations</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23,942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23,906</w:t>
            </w:r>
          </w:p>
        </w:tc>
      </w:tr>
      <w:tr>
        <w:trPr>
          <w:trHeight w:val="204"/>
        </w:trPr>
        <w:tc>
          <w:tcPr>
            <w:tcW w:w="8440" w:type="dxa"/>
            <w:vAlign w:val="bottom"/>
          </w:tcPr>
          <w:p>
            <w:pPr>
              <w:ind w:left="20"/>
              <w:spacing w:after="0"/>
              <w:rPr>
                <w:sz w:val="20"/>
                <w:szCs w:val="20"/>
                <w:color w:val="auto"/>
              </w:rPr>
            </w:pPr>
            <w:r>
              <w:rPr>
                <w:rFonts w:ascii="Arial" w:cs="Arial" w:eastAsia="Arial" w:hAnsi="Arial"/>
                <w:sz w:val="14"/>
                <w:szCs w:val="14"/>
                <w:color w:val="auto"/>
              </w:rPr>
              <w:t>Accounts receivable, net of allowance for credit losses of $177 and $129 at June 30, 2023 and December 31, 2022, respectively</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163,219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142,676</w:t>
            </w:r>
          </w:p>
        </w:tc>
      </w:tr>
      <w:tr>
        <w:trPr>
          <w:trHeight w:val="26"/>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equipment, purchased software and leasehold improvements, net of accumulated depreciation and amortization</w:t>
            </w:r>
          </w:p>
        </w:tc>
        <w:tc>
          <w:tcPr>
            <w:tcW w:w="2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35,823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37,413</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Lease right-of-use assets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20,427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24,933</w:t>
            </w:r>
          </w:p>
        </w:tc>
      </w:tr>
      <w:tr>
        <w:trPr>
          <w:trHeight w:val="186"/>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Software development costs, net of accumulated amortization</w:t>
            </w: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135,767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141,833</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2,780,259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2,780,259</w:t>
            </w:r>
          </w:p>
        </w:tc>
      </w:tr>
      <w:tr>
        <w:trPr>
          <w:trHeight w:val="20"/>
        </w:trPr>
        <w:tc>
          <w:tcPr>
            <w:tcW w:w="8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9"/>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 of accumulated amortization</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1,019,219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1,072,818</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Receivable and due from affiliates</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4,441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2,728</w:t>
            </w:r>
          </w:p>
        </w:tc>
      </w:tr>
      <w:tr>
        <w:trPr>
          <w:trHeight w:val="20"/>
        </w:trPr>
        <w:tc>
          <w:tcPr>
            <w:tcW w:w="8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w:t>
            </w:r>
          </w:p>
        </w:tc>
        <w:tc>
          <w:tcPr>
            <w:tcW w:w="2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708,947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689,442</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73,041</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74,262</w:t>
            </w:r>
          </w:p>
        </w:tc>
      </w:tr>
      <w:tr>
        <w:trPr>
          <w:trHeight w:val="213"/>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6,490,501</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6,260,131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8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09"/>
        </w:trPr>
        <w:tc>
          <w:tcPr>
            <w:tcW w:w="8440" w:type="dxa"/>
            <w:vAlign w:val="bottom"/>
            <w:tcBorders>
              <w:bottom w:val="single" w:sz="8" w:color="CCEEFF"/>
            </w:tcBorders>
            <w:shd w:val="clear" w:color="auto" w:fill="CCEEFF"/>
          </w:tcPr>
          <w:p>
            <w:pPr>
              <w:ind w:left="3520"/>
              <w:spacing w:after="0"/>
              <w:rPr>
                <w:sz w:val="20"/>
                <w:szCs w:val="20"/>
                <w:color w:val="auto"/>
              </w:rPr>
            </w:pPr>
            <w:r>
              <w:rPr>
                <w:rFonts w:ascii="Arial" w:cs="Arial" w:eastAsia="Arial" w:hAnsi="Arial"/>
                <w:sz w:val="14"/>
                <w:szCs w:val="14"/>
                <w:b w:val="1"/>
                <w:bCs w:val="1"/>
                <w:color w:val="auto"/>
              </w:rPr>
              <w:t>Liabilities and Equity</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188"/>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4"/>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Payable to brokers and dealers and clearing organizations</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128,009</w:t>
            </w:r>
          </w:p>
        </w:tc>
        <w:tc>
          <w:tcPr>
            <w:tcW w:w="2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11,264</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Accrued compensation</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84,878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150,884</w:t>
            </w:r>
          </w:p>
        </w:tc>
      </w:tr>
      <w:tr>
        <w:trPr>
          <w:trHeight w:val="186"/>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27,412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22,827</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Accounts payable, accrued expenses and other liabilities</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40,914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46,690</w:t>
            </w:r>
          </w:p>
        </w:tc>
      </w:tr>
      <w:tr>
        <w:trPr>
          <w:trHeight w:val="20"/>
        </w:trPr>
        <w:tc>
          <w:tcPr>
            <w:tcW w:w="8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9"/>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liabilities</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23,287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27,943</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Payable and due to affiliates</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1,744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7,232</w:t>
            </w:r>
          </w:p>
        </w:tc>
      </w:tr>
      <w:tr>
        <w:trPr>
          <w:trHeight w:val="20"/>
        </w:trPr>
        <w:tc>
          <w:tcPr>
            <w:tcW w:w="8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liability</w:t>
            </w:r>
          </w:p>
        </w:tc>
        <w:tc>
          <w:tcPr>
            <w:tcW w:w="2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18,913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21,251</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Tax receivable agreement liability</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447,976</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425,724</w:t>
            </w:r>
          </w:p>
        </w:tc>
      </w:tr>
      <w:tr>
        <w:trPr>
          <w:trHeight w:val="193"/>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liabilities</w:t>
            </w:r>
          </w:p>
        </w:tc>
        <w:tc>
          <w:tcPr>
            <w:tcW w:w="2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773,133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713,815</w:t>
            </w:r>
          </w:p>
        </w:tc>
      </w:tr>
      <w:tr>
        <w:trPr>
          <w:trHeight w:val="135"/>
        </w:trPr>
        <w:tc>
          <w:tcPr>
            <w:tcW w:w="8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13)</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148"/>
        </w:trPr>
        <w:tc>
          <w:tcPr>
            <w:tcW w:w="8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4"/>
                <w:szCs w:val="14"/>
                <w:color w:val="auto"/>
              </w:rPr>
              <w:t>Preferred stock, $0.00001 par value; 250,000,000 shares authorized; none issued or outstanding</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Class A common stock, $0.00001 par value; 1,000,000,000 shares authorized; 114,668,017 and 110,746,606 shares issued and outstanding as of</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1"/>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June 30, 2023 and December 31, 2022, respectively</w:t>
            </w: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4"/>
        </w:trPr>
        <w:tc>
          <w:tcPr>
            <w:tcW w:w="8440" w:type="dxa"/>
            <w:vAlign w:val="bottom"/>
          </w:tcPr>
          <w:p>
            <w:pPr>
              <w:ind w:left="20"/>
              <w:spacing w:after="0"/>
              <w:rPr>
                <w:sz w:val="20"/>
                <w:szCs w:val="20"/>
                <w:color w:val="auto"/>
              </w:rPr>
            </w:pPr>
            <w:r>
              <w:rPr>
                <w:rFonts w:ascii="Arial" w:cs="Arial" w:eastAsia="Arial" w:hAnsi="Arial"/>
                <w:sz w:val="14"/>
                <w:szCs w:val="14"/>
                <w:color w:val="auto"/>
                <w:w w:val="95"/>
              </w:rPr>
              <w:t>Class B common stock, $0.00001 par value; 450,000,000 shares authorized; 96,933,192 and 96,933,192 shares issued and outstanding as of</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8440" w:type="dxa"/>
            <w:vAlign w:val="bottom"/>
          </w:tcPr>
          <w:p>
            <w:pPr>
              <w:ind w:left="20"/>
              <w:spacing w:after="0"/>
              <w:rPr>
                <w:sz w:val="20"/>
                <w:szCs w:val="20"/>
                <w:color w:val="auto"/>
              </w:rPr>
            </w:pPr>
            <w:r>
              <w:rPr>
                <w:rFonts w:ascii="Arial" w:cs="Arial" w:eastAsia="Arial" w:hAnsi="Arial"/>
                <w:sz w:val="14"/>
                <w:szCs w:val="14"/>
                <w:color w:val="auto"/>
              </w:rPr>
              <w:t>June 30, 2023 and December 31, 2022, respectively</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5"/>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7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Class C common stock, $0.00001 par value; 350,000,000 shares authorized; none and 3,251,177 shares issued and outstanding as of June 30,</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21"/>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 and December 31, 2022, respectively</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8440" w:type="dxa"/>
            <w:vAlign w:val="bottom"/>
          </w:tcPr>
          <w:p>
            <w:pPr>
              <w:ind w:left="20"/>
              <w:spacing w:after="0"/>
              <w:rPr>
                <w:sz w:val="20"/>
                <w:szCs w:val="20"/>
                <w:color w:val="auto"/>
              </w:rPr>
            </w:pPr>
            <w:r>
              <w:rPr>
                <w:rFonts w:ascii="Arial" w:cs="Arial" w:eastAsia="Arial" w:hAnsi="Arial"/>
                <w:sz w:val="14"/>
                <w:szCs w:val="14"/>
                <w:color w:val="auto"/>
                <w:w w:val="95"/>
              </w:rPr>
              <w:t>Class D common stock, $0.00001 par value; 300,000,000 shares authorized; 23,080,571 and 23,092,704 shares issued and outstanding as of</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8440" w:type="dxa"/>
            <w:vAlign w:val="bottom"/>
          </w:tcPr>
          <w:p>
            <w:pPr>
              <w:ind w:left="20"/>
              <w:spacing w:after="0"/>
              <w:rPr>
                <w:sz w:val="20"/>
                <w:szCs w:val="20"/>
                <w:color w:val="auto"/>
              </w:rPr>
            </w:pPr>
            <w:r>
              <w:rPr>
                <w:rFonts w:ascii="Arial" w:cs="Arial" w:eastAsia="Arial" w:hAnsi="Arial"/>
                <w:sz w:val="14"/>
                <w:szCs w:val="14"/>
                <w:color w:val="auto"/>
              </w:rPr>
              <w:t>June 30, 2023 and December 31, 2022, respectively</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2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4,693,795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4,577,270</w:t>
            </w:r>
          </w:p>
        </w:tc>
      </w:tr>
      <w:tr>
        <w:trPr>
          <w:trHeight w:val="210"/>
        </w:trPr>
        <w:tc>
          <w:tcPr>
            <w:tcW w:w="8440" w:type="dxa"/>
            <w:vAlign w:val="bottom"/>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(10,113)</w:t>
            </w:r>
          </w:p>
        </w:tc>
      </w:tr>
      <w:tr>
        <w:trPr>
          <w:trHeight w:val="20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Retained earnings</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495,481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386,632</w:t>
            </w:r>
          </w:p>
        </w:tc>
      </w:tr>
      <w:tr>
        <w:trPr>
          <w:trHeight w:val="176"/>
        </w:trPr>
        <w:tc>
          <w:tcPr>
            <w:tcW w:w="8440" w:type="dxa"/>
            <w:vAlign w:val="bottom"/>
          </w:tcPr>
          <w:p>
            <w:pPr>
              <w:ind w:left="140"/>
              <w:spacing w:after="0"/>
              <w:rPr>
                <w:sz w:val="20"/>
                <w:szCs w:val="20"/>
                <w:color w:val="auto"/>
              </w:rPr>
            </w:pPr>
            <w:r>
              <w:rPr>
                <w:rFonts w:ascii="Arial" w:cs="Arial" w:eastAsia="Arial" w:hAnsi="Arial"/>
                <w:sz w:val="14"/>
                <w:szCs w:val="14"/>
                <w:color w:val="auto"/>
              </w:rPr>
              <w:t>Total stockholders’ equity attributable to Tradeweb Markets Inc.</w:t>
            </w: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5,182,460</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4,953,791</w:t>
            </w:r>
          </w:p>
        </w:tc>
      </w:tr>
      <w:tr>
        <w:trPr>
          <w:trHeight w:val="20"/>
        </w:trPr>
        <w:tc>
          <w:tcPr>
            <w:tcW w:w="8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6"/>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2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534,908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592,525</w:t>
            </w:r>
          </w:p>
        </w:tc>
      </w:tr>
      <w:tr>
        <w:trPr>
          <w:trHeight w:val="193"/>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equity</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5,717,368</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5,546,316</w:t>
            </w:r>
          </w:p>
        </w:tc>
      </w:tr>
      <w:tr>
        <w:trPr>
          <w:trHeight w:val="22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6,490,501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6,260,131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Income</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00" w:type="dxa"/>
            <w:vAlign w:val="bottom"/>
          </w:tcPr>
          <w:p>
            <w:pPr>
              <w:ind w:left="140"/>
              <w:spacing w:after="0"/>
              <w:rPr>
                <w:sz w:val="20"/>
                <w:szCs w:val="20"/>
                <w:color w:val="auto"/>
              </w:rPr>
            </w:pPr>
            <w:r>
              <w:rPr>
                <w:rFonts w:ascii="Arial" w:cs="Arial" w:eastAsia="Arial" w:hAnsi="Arial"/>
                <w:sz w:val="14"/>
                <w:szCs w:val="14"/>
                <w:color w:val="auto"/>
              </w:rPr>
              <w:t>Transaction fees and commissions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246,461</w:t>
            </w:r>
          </w:p>
        </w:tc>
        <w:tc>
          <w:tcPr>
            <w:tcW w:w="4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237,669</w:t>
            </w: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513,059</w:t>
            </w:r>
          </w:p>
        </w:tc>
        <w:tc>
          <w:tcPr>
            <w:tcW w:w="62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489,474</w:t>
            </w:r>
          </w:p>
        </w:tc>
        <w:tc>
          <w:tcPr>
            <w:tcW w:w="0" w:type="dxa"/>
            <w:vAlign w:val="bottom"/>
          </w:tcPr>
          <w:p>
            <w:pPr>
              <w:spacing w:after="0"/>
              <w:rPr>
                <w:sz w:val="1"/>
                <w:szCs w:val="1"/>
                <w:color w:val="auto"/>
              </w:rPr>
            </w:pPr>
          </w:p>
        </w:tc>
      </w:tr>
      <w:tr>
        <w:trPr>
          <w:trHeight w:val="186"/>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Subscription fees</w:t>
            </w: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45,748</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41,540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90,122</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82,995</w:t>
            </w:r>
          </w:p>
        </w:tc>
        <w:tc>
          <w:tcPr>
            <w:tcW w:w="0" w:type="dxa"/>
            <w:vAlign w:val="bottom"/>
          </w:tcPr>
          <w:p>
            <w:pPr>
              <w:spacing w:after="0"/>
              <w:rPr>
                <w:sz w:val="1"/>
                <w:szCs w:val="1"/>
                <w:color w:val="auto"/>
              </w:rPr>
            </w:pPr>
          </w:p>
        </w:tc>
      </w:tr>
      <w:tr>
        <w:trPr>
          <w:trHeight w:val="182"/>
        </w:trPr>
        <w:tc>
          <w:tcPr>
            <w:tcW w:w="5600" w:type="dxa"/>
            <w:vAlign w:val="bottom"/>
          </w:tcPr>
          <w:p>
            <w:pPr>
              <w:ind w:left="140"/>
              <w:spacing w:after="0"/>
              <w:rPr>
                <w:sz w:val="20"/>
                <w:szCs w:val="20"/>
                <w:color w:val="auto"/>
              </w:rPr>
            </w:pPr>
            <w:r>
              <w:rPr>
                <w:rFonts w:ascii="Arial" w:cs="Arial" w:eastAsia="Arial" w:hAnsi="Arial"/>
                <w:sz w:val="14"/>
                <w:szCs w:val="14"/>
                <w:color w:val="auto"/>
              </w:rPr>
              <w:t>Refinitiv market data fees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15,461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15,426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31,055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30,984</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2,503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5,626</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5,171</w:t>
            </w:r>
          </w:p>
        </w:tc>
        <w:tc>
          <w:tcPr>
            <w:tcW w:w="0" w:type="dxa"/>
            <w:vAlign w:val="bottom"/>
          </w:tcPr>
          <w:p>
            <w:pPr>
              <w:spacing w:after="0"/>
              <w:rPr>
                <w:sz w:val="1"/>
                <w:szCs w:val="1"/>
                <w:color w:val="auto"/>
              </w:rPr>
            </w:pPr>
          </w:p>
        </w:tc>
      </w:tr>
      <w:tr>
        <w:trPr>
          <w:trHeight w:val="201"/>
        </w:trPr>
        <w:tc>
          <w:tcPr>
            <w:tcW w:w="5600" w:type="dxa"/>
            <w:vAlign w:val="bottom"/>
          </w:tcPr>
          <w:p>
            <w:pPr>
              <w:ind w:left="220"/>
              <w:spacing w:after="0"/>
              <w:rPr>
                <w:sz w:val="20"/>
                <w:szCs w:val="20"/>
                <w:color w:val="auto"/>
              </w:rPr>
            </w:pPr>
            <w:r>
              <w:rPr>
                <w:rFonts w:ascii="Arial" w:cs="Arial" w:eastAsia="Arial" w:hAnsi="Arial"/>
                <w:sz w:val="14"/>
                <w:szCs w:val="14"/>
                <w:b w:val="1"/>
                <w:bCs w:val="1"/>
                <w:color w:val="auto"/>
              </w:rPr>
              <w:t>Total revenue</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310,613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297,138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639,862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608,624</w:t>
            </w: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6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Employee compensation and benefits</w:t>
            </w: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103,924</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109,890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218,417</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227,881</w:t>
            </w:r>
          </w:p>
        </w:tc>
        <w:tc>
          <w:tcPr>
            <w:tcW w:w="0" w:type="dxa"/>
            <w:vAlign w:val="bottom"/>
          </w:tcPr>
          <w:p>
            <w:pPr>
              <w:spacing w:after="0"/>
              <w:rPr>
                <w:sz w:val="1"/>
                <w:szCs w:val="1"/>
                <w:color w:val="auto"/>
              </w:rPr>
            </w:pPr>
          </w:p>
        </w:tc>
      </w:tr>
      <w:tr>
        <w:trPr>
          <w:trHeight w:val="182"/>
        </w:trPr>
        <w:tc>
          <w:tcPr>
            <w:tcW w:w="560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45,887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44,770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91,291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89,220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Technology and communications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18,701</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16,034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36,268</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31,810</w:t>
            </w:r>
          </w:p>
        </w:tc>
        <w:tc>
          <w:tcPr>
            <w:tcW w:w="0" w:type="dxa"/>
            <w:vAlign w:val="bottom"/>
          </w:tcPr>
          <w:p>
            <w:pPr>
              <w:spacing w:after="0"/>
              <w:rPr>
                <w:sz w:val="1"/>
                <w:szCs w:val="1"/>
                <w:color w:val="auto"/>
              </w:rPr>
            </w:pPr>
          </w:p>
        </w:tc>
      </w:tr>
      <w:tr>
        <w:trPr>
          <w:trHeight w:val="182"/>
        </w:trPr>
        <w:tc>
          <w:tcPr>
            <w:tcW w:w="560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11,072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7,601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24,992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17,914</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Professional fees</w:t>
            </w: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10,666</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8,575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21,842</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16,432</w:t>
            </w:r>
          </w:p>
        </w:tc>
        <w:tc>
          <w:tcPr>
            <w:tcW w:w="0" w:type="dxa"/>
            <w:vAlign w:val="bottom"/>
          </w:tcPr>
          <w:p>
            <w:pPr>
              <w:spacing w:after="0"/>
              <w:rPr>
                <w:sz w:val="1"/>
                <w:szCs w:val="1"/>
                <w:color w:val="auto"/>
              </w:rPr>
            </w:pPr>
          </w:p>
        </w:tc>
      </w:tr>
      <w:tr>
        <w:trPr>
          <w:trHeight w:val="186"/>
        </w:trPr>
        <w:tc>
          <w:tcPr>
            <w:tcW w:w="5600" w:type="dxa"/>
            <w:vAlign w:val="bottom"/>
          </w:tcPr>
          <w:p>
            <w:pPr>
              <w:ind w:left="140"/>
              <w:spacing w:after="0"/>
              <w:rPr>
                <w:sz w:val="20"/>
                <w:szCs w:val="20"/>
                <w:color w:val="auto"/>
              </w:rPr>
            </w:pPr>
            <w:r>
              <w:rPr>
                <w:rFonts w:ascii="Arial" w:cs="Arial" w:eastAsia="Arial" w:hAnsi="Arial"/>
                <w:sz w:val="14"/>
                <w:szCs w:val="14"/>
                <w:color w:val="auto"/>
              </w:rPr>
              <w:t>Occupancy</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4,028</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3,661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8,151</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7,158</w:t>
            </w:r>
          </w:p>
        </w:tc>
        <w:tc>
          <w:tcPr>
            <w:tcW w:w="0" w:type="dxa"/>
            <w:vAlign w:val="bottom"/>
          </w:tcPr>
          <w:p>
            <w:pPr>
              <w:spacing w:after="0"/>
              <w:rPr>
                <w:sz w:val="1"/>
                <w:szCs w:val="1"/>
                <w:color w:val="auto"/>
              </w:rPr>
            </w:pPr>
          </w:p>
        </w:tc>
      </w:tr>
      <w:tr>
        <w:trPr>
          <w:trHeight w:val="193"/>
        </w:trPr>
        <w:tc>
          <w:tcPr>
            <w:tcW w:w="5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Total expenses</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194,278</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190,531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400,961</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390,415</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Operating income</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116,335</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106,607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238,901</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218,209</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interest income (expense)</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15,109</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541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27,600</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82"/>
        </w:trPr>
        <w:tc>
          <w:tcPr>
            <w:tcW w:w="5600" w:type="dxa"/>
            <w:vAlign w:val="bottom"/>
          </w:tcPr>
          <w:p>
            <w:pPr>
              <w:ind w:left="140"/>
              <w:spacing w:after="0"/>
              <w:rPr>
                <w:sz w:val="20"/>
                <w:szCs w:val="20"/>
                <w:color w:val="auto"/>
              </w:rPr>
            </w:pPr>
            <w:r>
              <w:rPr>
                <w:rFonts w:ascii="Arial" w:cs="Arial" w:eastAsia="Arial" w:hAnsi="Arial"/>
                <w:sz w:val="14"/>
                <w:szCs w:val="14"/>
                <w:color w:val="auto"/>
              </w:rPr>
              <w:t>Other income (loss), net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taxes</w:t>
            </w: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130,988</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107,148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266,386</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218,303</w:t>
            </w:r>
          </w:p>
        </w:tc>
        <w:tc>
          <w:tcPr>
            <w:tcW w:w="0" w:type="dxa"/>
            <w:vAlign w:val="bottom"/>
          </w:tcPr>
          <w:p>
            <w:pPr>
              <w:spacing w:after="0"/>
              <w:rPr>
                <w:sz w:val="1"/>
                <w:szCs w:val="1"/>
                <w:color w:val="auto"/>
              </w:rPr>
            </w:pPr>
          </w:p>
        </w:tc>
      </w:tr>
      <w:tr>
        <w:trPr>
          <w:trHeight w:val="177"/>
        </w:trPr>
        <w:tc>
          <w:tcPr>
            <w:tcW w:w="560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(29,049)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(25,548)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(62,254)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(39,258)</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101,939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81,600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204,132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179,045</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12,857</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13,256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27,194</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27,736</w:t>
            </w:r>
          </w:p>
        </w:tc>
        <w:tc>
          <w:tcPr>
            <w:tcW w:w="0" w:type="dxa"/>
            <w:vAlign w:val="bottom"/>
          </w:tcPr>
          <w:p>
            <w:pPr>
              <w:spacing w:after="0"/>
              <w:rPr>
                <w:sz w:val="1"/>
                <w:szCs w:val="1"/>
                <w:color w:val="auto"/>
              </w:rPr>
            </w:pPr>
          </w:p>
        </w:tc>
      </w:tr>
      <w:tr>
        <w:trPr>
          <w:trHeight w:val="213"/>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Tradeweb Markets Inc.</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89,082</w:t>
            </w:r>
          </w:p>
        </w:tc>
        <w:tc>
          <w:tcPr>
            <w:tcW w:w="46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68,344</w:t>
            </w:r>
          </w:p>
        </w:tc>
        <w:tc>
          <w:tcPr>
            <w:tcW w:w="4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176,938</w:t>
            </w:r>
          </w:p>
        </w:tc>
        <w:tc>
          <w:tcPr>
            <w:tcW w:w="620" w:type="dxa"/>
            <w:vAlign w:val="bottom"/>
            <w:gridSpan w:val="2"/>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151,309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4"/>
              </w:rPr>
              <w:t>Earnings per share attributable to Tradeweb Markets Inc. Class A and B common stockholders:</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600" w:type="dxa"/>
            <w:vAlign w:val="bottom"/>
          </w:tcPr>
          <w:p>
            <w:pPr>
              <w:ind w:left="140"/>
              <w:spacing w:after="0"/>
              <w:rPr>
                <w:sz w:val="20"/>
                <w:szCs w:val="20"/>
                <w:color w:val="auto"/>
              </w:rPr>
            </w:pPr>
            <w:r>
              <w:rPr>
                <w:rFonts w:ascii="Arial" w:cs="Arial" w:eastAsia="Arial" w:hAnsi="Arial"/>
                <w:sz w:val="14"/>
                <w:szCs w:val="14"/>
                <w:color w:val="auto"/>
              </w:rPr>
              <w:t>Basic</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0.42</w:t>
            </w:r>
          </w:p>
        </w:tc>
        <w:tc>
          <w:tcPr>
            <w:tcW w:w="4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0.33</w:t>
            </w: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0.84</w:t>
            </w:r>
          </w:p>
        </w:tc>
        <w:tc>
          <w:tcPr>
            <w:tcW w:w="62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0.73</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 average shares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211,569,728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204,501,035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209,847,153</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204,282,406</w:t>
            </w:r>
          </w:p>
        </w:tc>
        <w:tc>
          <w:tcPr>
            <w:tcW w:w="0" w:type="dxa"/>
            <w:vAlign w:val="bottom"/>
          </w:tcPr>
          <w:p>
            <w:pPr>
              <w:spacing w:after="0"/>
              <w:rPr>
                <w:sz w:val="1"/>
                <w:szCs w:val="1"/>
                <w:color w:val="auto"/>
              </w:rPr>
            </w:pPr>
          </w:p>
        </w:tc>
      </w:tr>
      <w:tr>
        <w:trPr>
          <w:trHeight w:val="182"/>
        </w:trPr>
        <w:tc>
          <w:tcPr>
            <w:tcW w:w="5600" w:type="dxa"/>
            <w:vAlign w:val="bottom"/>
          </w:tcPr>
          <w:p>
            <w:pPr>
              <w:ind w:left="140"/>
              <w:spacing w:after="0"/>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213,156,753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207,272,675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211,659,814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207,371,372</w:t>
            </w:r>
          </w:p>
        </w:tc>
        <w:tc>
          <w:tcPr>
            <w:tcW w:w="0" w:type="dxa"/>
            <w:vAlign w:val="bottom"/>
          </w:tcPr>
          <w:p>
            <w:pPr>
              <w:spacing w:after="0"/>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6"/>
                <w:szCs w:val="16"/>
                <w:color w:val="auto"/>
              </w:rPr>
            </w:pPr>
          </w:p>
        </w:tc>
      </w:tr>
      <w:tr>
        <w:trPr>
          <w:trHeight w:val="189"/>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r>
      <w:tr>
        <w:trPr>
          <w:trHeight w:val="26"/>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5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w w:val="89"/>
              </w:rPr>
              <w:t>2022</w:t>
            </w:r>
          </w:p>
        </w:tc>
      </w:tr>
      <w:tr>
        <w:trPr>
          <w:trHeight w:val="18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101,939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81,600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204,132</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179,045</w:t>
            </w: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47"/>
        </w:trPr>
        <w:tc>
          <w:tcPr>
            <w:tcW w:w="562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w w:val="99"/>
              </w:rPr>
              <w:t>Foreign currency translation adjustments, with no tax benefit for each of the three and six</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88"/>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months ended June 30, 2023 and 2022</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w w:val="94"/>
              </w:rPr>
              <w:t>(9,677)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3,833</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(13,775)</w:t>
            </w:r>
          </w:p>
        </w:tc>
      </w:tr>
      <w:tr>
        <w:trPr>
          <w:trHeight w:val="182"/>
        </w:trPr>
        <w:tc>
          <w:tcPr>
            <w:tcW w:w="562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1,184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ind w:left="540"/>
              <w:spacing w:after="0"/>
              <w:rPr>
                <w:sz w:val="20"/>
                <w:szCs w:val="20"/>
                <w:color w:val="auto"/>
              </w:rPr>
            </w:pPr>
            <w:r>
              <w:rPr>
                <w:rFonts w:ascii="Arial" w:cs="Arial" w:eastAsia="Arial" w:hAnsi="Arial"/>
                <w:sz w:val="14"/>
                <w:szCs w:val="14"/>
                <w:color w:val="auto"/>
                <w:w w:val="94"/>
              </w:rPr>
              <w:t>(9,677)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3,833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(13,775)</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6"/>
        </w:trPr>
        <w:tc>
          <w:tcPr>
            <w:tcW w:w="5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82"/>
        </w:trPr>
        <w:tc>
          <w:tcPr>
            <w:tcW w:w="562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103,123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ind w:left="520"/>
              <w:spacing w:after="0"/>
              <w:rPr>
                <w:sz w:val="20"/>
                <w:szCs w:val="20"/>
                <w:color w:val="auto"/>
              </w:rPr>
            </w:pPr>
            <w:r>
              <w:rPr>
                <w:rFonts w:ascii="Arial" w:cs="Arial" w:eastAsia="Arial" w:hAnsi="Arial"/>
                <w:sz w:val="14"/>
                <w:szCs w:val="14"/>
                <w:color w:val="auto"/>
              </w:rPr>
              <w:t>71,923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207,965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165,270</w:t>
            </w:r>
          </w:p>
        </w:tc>
      </w:tr>
      <w:tr>
        <w:trPr>
          <w:trHeight w:val="20"/>
        </w:trPr>
        <w:tc>
          <w:tcPr>
            <w:tcW w:w="5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12,857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13,256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27,194</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27,736</w:t>
            </w:r>
          </w:p>
        </w:tc>
      </w:tr>
      <w:tr>
        <w:trPr>
          <w:trHeight w:val="182"/>
        </w:trPr>
        <w:tc>
          <w:tcPr>
            <w:tcW w:w="5620" w:type="dxa"/>
            <w:vAlign w:val="bottom"/>
          </w:tcPr>
          <w:p>
            <w:pPr>
              <w:ind w:left="20"/>
              <w:spacing w:after="0"/>
              <w:rPr>
                <w:sz w:val="20"/>
                <w:szCs w:val="20"/>
                <w:color w:val="auto"/>
              </w:rPr>
            </w:pPr>
            <w:r>
              <w:rPr>
                <w:rFonts w:ascii="Arial" w:cs="Arial" w:eastAsia="Arial" w:hAnsi="Arial"/>
                <w:sz w:val="14"/>
                <w:szCs w:val="14"/>
                <w:color w:val="auto"/>
              </w:rPr>
              <w:t>Less: Foreign currency translation adjustments attributable to non-controlling interests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ind w:left="540"/>
              <w:spacing w:after="0"/>
              <w:rPr>
                <w:sz w:val="20"/>
                <w:szCs w:val="20"/>
                <w:color w:val="auto"/>
              </w:rPr>
            </w:pPr>
            <w:r>
              <w:rPr>
                <w:rFonts w:ascii="Arial" w:cs="Arial" w:eastAsia="Arial" w:hAnsi="Arial"/>
                <w:sz w:val="14"/>
                <w:szCs w:val="14"/>
                <w:color w:val="auto"/>
                <w:w w:val="94"/>
              </w:rPr>
              <w:t>(1,237)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(1,767)</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0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Tradeweb Markets Inc.</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90,149</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59,904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180,357</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139,301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Changes in Equity</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9"/>
          </w:tcPr>
          <w:p>
            <w:pPr>
              <w:ind w:left="160"/>
              <w:spacing w:after="0"/>
              <w:rPr>
                <w:sz w:val="20"/>
                <w:szCs w:val="20"/>
                <w:color w:val="auto"/>
              </w:rPr>
            </w:pPr>
            <w:r>
              <w:rPr>
                <w:rFonts w:ascii="Arial" w:cs="Arial" w:eastAsia="Arial" w:hAnsi="Arial"/>
                <w:sz w:val="13"/>
                <w:szCs w:val="13"/>
                <w:b w:val="1"/>
                <w:bCs w:val="1"/>
                <w:color w:val="auto"/>
                <w:w w:val="88"/>
              </w:rPr>
              <w:t>Tradeweb Markets Inc. Stockholders’ Equity</w:t>
            </w: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400"/>
              <w:spacing w:after="0"/>
              <w:rPr>
                <w:sz w:val="20"/>
                <w:szCs w:val="20"/>
                <w:color w:val="auto"/>
              </w:rPr>
            </w:pPr>
            <w:r>
              <w:rPr>
                <w:rFonts w:ascii="Arial" w:cs="Arial" w:eastAsia="Arial" w:hAnsi="Arial"/>
                <w:sz w:val="13"/>
                <w:szCs w:val="13"/>
                <w:b w:val="1"/>
                <w:bCs w:val="1"/>
                <w:color w:val="auto"/>
              </w:rPr>
              <w:t>Par Value</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center"/>
              <w:ind w:right="49"/>
              <w:spacing w:after="0"/>
              <w:rPr>
                <w:sz w:val="20"/>
                <w:szCs w:val="20"/>
                <w:color w:val="auto"/>
              </w:rPr>
            </w:pPr>
            <w:r>
              <w:rPr>
                <w:rFonts w:ascii="Arial" w:cs="Arial" w:eastAsia="Arial" w:hAnsi="Arial"/>
                <w:sz w:val="13"/>
                <w:szCs w:val="13"/>
                <w:b w:val="1"/>
                <w:bCs w:val="1"/>
                <w:color w:val="auto"/>
                <w:w w:val="83"/>
              </w:rPr>
              <w:t>Class A</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center"/>
              <w:ind w:right="49"/>
              <w:spacing w:after="0"/>
              <w:rPr>
                <w:sz w:val="20"/>
                <w:szCs w:val="20"/>
                <w:color w:val="auto"/>
              </w:rPr>
            </w:pPr>
            <w:r>
              <w:rPr>
                <w:rFonts w:ascii="Arial" w:cs="Arial" w:eastAsia="Arial" w:hAnsi="Arial"/>
                <w:sz w:val="13"/>
                <w:szCs w:val="13"/>
                <w:b w:val="1"/>
                <w:bCs w:val="1"/>
                <w:color w:val="auto"/>
                <w:w w:val="83"/>
              </w:rPr>
              <w:t>Class B</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center"/>
              <w:ind w:right="29"/>
              <w:spacing w:after="0"/>
              <w:rPr>
                <w:sz w:val="20"/>
                <w:szCs w:val="20"/>
                <w:color w:val="auto"/>
              </w:rPr>
            </w:pPr>
            <w:r>
              <w:rPr>
                <w:rFonts w:ascii="Arial" w:cs="Arial" w:eastAsia="Arial" w:hAnsi="Arial"/>
                <w:sz w:val="13"/>
                <w:szCs w:val="13"/>
                <w:b w:val="1"/>
                <w:bCs w:val="1"/>
                <w:color w:val="auto"/>
                <w:w w:val="83"/>
              </w:rPr>
              <w:t>Class C</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center"/>
              <w:ind w:right="29"/>
              <w:spacing w:after="0"/>
              <w:rPr>
                <w:sz w:val="20"/>
                <w:szCs w:val="20"/>
                <w:color w:val="auto"/>
              </w:rPr>
            </w:pPr>
            <w:r>
              <w:rPr>
                <w:rFonts w:ascii="Arial" w:cs="Arial" w:eastAsia="Arial" w:hAnsi="Arial"/>
                <w:sz w:val="13"/>
                <w:szCs w:val="13"/>
                <w:b w:val="1"/>
                <w:bCs w:val="1"/>
                <w:color w:val="auto"/>
                <w:w w:val="87"/>
              </w:rPr>
              <w:t>Class 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ind w:right="49"/>
              <w:spacing w:after="0" w:line="122"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center"/>
              <w:ind w:right="29"/>
              <w:spacing w:after="0"/>
              <w:rPr>
                <w:sz w:val="20"/>
                <w:szCs w:val="20"/>
                <w:color w:val="auto"/>
              </w:rPr>
            </w:pPr>
            <w:r>
              <w:rPr>
                <w:rFonts w:ascii="Arial" w:cs="Arial" w:eastAsia="Arial" w:hAnsi="Arial"/>
                <w:sz w:val="13"/>
                <w:szCs w:val="13"/>
                <w:b w:val="1"/>
                <w:bCs w:val="1"/>
                <w:color w:val="auto"/>
                <w:w w:val="87"/>
              </w:rPr>
              <w:t>Non-</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right="49"/>
              <w:spacing w:after="0" w:line="131"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49"/>
              <w:spacing w:after="0" w:line="126" w:lineRule="exact"/>
              <w:rPr>
                <w:sz w:val="20"/>
                <w:szCs w:val="20"/>
                <w:color w:val="auto"/>
              </w:rPr>
            </w:pPr>
            <w:r>
              <w:rPr>
                <w:rFonts w:ascii="Arial" w:cs="Arial" w:eastAsia="Arial" w:hAnsi="Arial"/>
                <w:sz w:val="13"/>
                <w:szCs w:val="13"/>
                <w:b w:val="1"/>
                <w:bCs w:val="1"/>
                <w:color w:val="auto"/>
                <w:w w:val="85"/>
              </w:rPr>
              <w:t>Common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ind w:right="49"/>
              <w:spacing w:after="0" w:line="126" w:lineRule="exact"/>
              <w:rPr>
                <w:sz w:val="20"/>
                <w:szCs w:val="20"/>
                <w:color w:val="auto"/>
              </w:rPr>
            </w:pPr>
            <w:r>
              <w:rPr>
                <w:rFonts w:ascii="Arial" w:cs="Arial" w:eastAsia="Arial" w:hAnsi="Arial"/>
                <w:sz w:val="13"/>
                <w:szCs w:val="13"/>
                <w:b w:val="1"/>
                <w:bCs w:val="1"/>
                <w:color w:val="auto"/>
                <w:w w:val="85"/>
              </w:rPr>
              <w:t>Common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right="49"/>
              <w:spacing w:after="0" w:line="126" w:lineRule="exact"/>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29"/>
              <w:spacing w:after="0" w:line="126" w:lineRule="exact"/>
              <w:rPr>
                <w:sz w:val="20"/>
                <w:szCs w:val="20"/>
                <w:color w:val="auto"/>
              </w:rPr>
            </w:pPr>
            <w:r>
              <w:rPr>
                <w:rFonts w:ascii="Arial" w:cs="Arial" w:eastAsia="Arial" w:hAnsi="Arial"/>
                <w:sz w:val="13"/>
                <w:szCs w:val="13"/>
                <w:b w:val="1"/>
                <w:bCs w:val="1"/>
                <w:color w:val="auto"/>
                <w:w w:val="88"/>
              </w:rPr>
              <w:t>Common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149"/>
              <w:spacing w:after="0" w:line="126"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ind w:right="49"/>
              <w:spacing w:after="0" w:line="126" w:lineRule="exact"/>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109"/>
              <w:spacing w:after="0" w:line="126" w:lineRule="exact"/>
              <w:rPr>
                <w:sz w:val="20"/>
                <w:szCs w:val="20"/>
                <w:color w:val="auto"/>
              </w:rPr>
            </w:pPr>
            <w:r>
              <w:rPr>
                <w:rFonts w:ascii="Arial" w:cs="Arial" w:eastAsia="Arial" w:hAnsi="Arial"/>
                <w:sz w:val="13"/>
                <w:szCs w:val="13"/>
                <w:b w:val="1"/>
                <w:bCs w:val="1"/>
                <w:color w:val="auto"/>
                <w:w w:val="90"/>
              </w:rPr>
              <w:t>Retained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29"/>
              <w:spacing w:after="0" w:line="126" w:lineRule="exact"/>
              <w:rPr>
                <w:sz w:val="20"/>
                <w:szCs w:val="20"/>
                <w:color w:val="auto"/>
              </w:rPr>
            </w:pPr>
            <w:r>
              <w:rPr>
                <w:rFonts w:ascii="Arial" w:cs="Arial" w:eastAsia="Arial" w:hAnsi="Arial"/>
                <w:sz w:val="13"/>
                <w:szCs w:val="13"/>
                <w:b w:val="1"/>
                <w:bCs w:val="1"/>
                <w:color w:val="auto"/>
                <w:w w:val="89"/>
              </w:rPr>
              <w:t>Controlling</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ind w:right="229"/>
              <w:spacing w:after="0" w:line="126"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3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4"/>
              </w:rPr>
              <w:t>Stock</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4"/>
              </w:rPr>
              <w:t>Stock</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4"/>
              </w:rPr>
              <w:t>Stock</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3"/>
              </w:rPr>
              <w:t>Earnings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4"/>
              </w:rPr>
              <w:t>Interests</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2"/>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4,577,270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(10,113)</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386,632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592,525</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5,546,316</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 from equity incentive</w:t>
            </w:r>
          </w:p>
        </w:tc>
        <w:tc>
          <w:tcPr>
            <w:tcW w:w="100" w:type="dxa"/>
            <w:vAlign w:val="bottom"/>
          </w:tcPr>
          <w:p>
            <w:pPr>
              <w:spacing w:after="0"/>
              <w:rPr>
                <w:sz w:val="11"/>
                <w:szCs w:val="11"/>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6,320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6,320</w:t>
            </w:r>
          </w:p>
        </w:tc>
        <w:tc>
          <w:tcPr>
            <w:tcW w:w="0" w:type="dxa"/>
            <w:vAlign w:val="bottom"/>
          </w:tcPr>
          <w:p>
            <w:pPr>
              <w:spacing w:after="0"/>
              <w:rPr>
                <w:sz w:val="1"/>
                <w:szCs w:val="1"/>
                <w:color w:val="auto"/>
              </w:rPr>
            </w:pPr>
          </w:p>
        </w:tc>
      </w:tr>
      <w:tr>
        <w:trPr>
          <w:trHeight w:val="182"/>
        </w:trPr>
        <w:tc>
          <w:tcPr>
            <w:tcW w:w="3040" w:type="dxa"/>
            <w:vAlign w:val="bottom"/>
          </w:tcPr>
          <w:p>
            <w:pPr>
              <w:ind w:left="20"/>
              <w:spacing w:after="0"/>
              <w:rPr>
                <w:sz w:val="20"/>
                <w:szCs w:val="20"/>
                <w:color w:val="auto"/>
              </w:rPr>
            </w:pPr>
            <w:r>
              <w:rPr>
                <w:rFonts w:ascii="Arial" w:cs="Arial" w:eastAsia="Arial" w:hAnsi="Arial"/>
                <w:sz w:val="14"/>
                <w:szCs w:val="14"/>
                <w:color w:val="auto"/>
              </w:rPr>
              <w:t>plans</w:t>
            </w: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8"/>
              </w:rPr>
              <w:t>Share repurchases pursuant to share repurchase</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programs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(22,706)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(22,706)</w:t>
            </w:r>
          </w:p>
        </w:tc>
        <w:tc>
          <w:tcPr>
            <w:tcW w:w="0" w:type="dxa"/>
            <w:vAlign w:val="bottom"/>
          </w:tcPr>
          <w:p>
            <w:pPr>
              <w:spacing w:after="0"/>
              <w:rPr>
                <w:sz w:val="1"/>
                <w:szCs w:val="1"/>
                <w:color w:val="auto"/>
              </w:rPr>
            </w:pPr>
          </w:p>
        </w:tc>
      </w:tr>
      <w:tr>
        <w:trPr>
          <w:trHeight w:val="143"/>
        </w:trPr>
        <w:tc>
          <w:tcPr>
            <w:tcW w:w="3040" w:type="dxa"/>
            <w:vAlign w:val="bottom"/>
          </w:tcPr>
          <w:p>
            <w:pPr>
              <w:ind w:left="20"/>
              <w:spacing w:after="0" w:line="143" w:lineRule="exact"/>
              <w:rPr>
                <w:sz w:val="20"/>
                <w:szCs w:val="20"/>
                <w:color w:val="auto"/>
              </w:rPr>
            </w:pPr>
            <w:r>
              <w:rPr>
                <w:rFonts w:ascii="Arial" w:cs="Arial" w:eastAsia="Arial" w:hAnsi="Arial"/>
                <w:sz w:val="14"/>
                <w:szCs w:val="14"/>
                <w:color w:val="auto"/>
              </w:rPr>
              <w:t>Tax receivable agreement liability and deferred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Arial" w:cs="Arial" w:eastAsia="Arial" w:hAnsi="Arial"/>
                <w:sz w:val="14"/>
                <w:szCs w:val="14"/>
                <w:color w:val="auto"/>
              </w:rPr>
              <w:t>taxes arising from LLC Interest ownership</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line="141" w:lineRule="exact"/>
              <w:rPr>
                <w:sz w:val="20"/>
                <w:szCs w:val="20"/>
                <w:color w:val="auto"/>
              </w:rPr>
            </w:pPr>
            <w:r>
              <w:rPr>
                <w:rFonts w:ascii="Arial" w:cs="Arial" w:eastAsia="Arial" w:hAnsi="Arial"/>
                <w:sz w:val="14"/>
                <w:szCs w:val="14"/>
                <w:color w:val="auto"/>
              </w:rPr>
              <w:t>exchanges and the issuance of common stock</w:t>
            </w:r>
          </w:p>
        </w:tc>
        <w:tc>
          <w:tcPr>
            <w:tcW w:w="100" w:type="dxa"/>
            <w:vAlign w:val="bottom"/>
          </w:tcPr>
          <w:p>
            <w:pPr>
              <w:spacing w:after="0"/>
              <w:rPr>
                <w:sz w:val="12"/>
                <w:szCs w:val="12"/>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15,082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15,082</w:t>
            </w:r>
          </w:p>
        </w:tc>
        <w:tc>
          <w:tcPr>
            <w:tcW w:w="0" w:type="dxa"/>
            <w:vAlign w:val="bottom"/>
          </w:tcPr>
          <w:p>
            <w:pPr>
              <w:spacing w:after="0"/>
              <w:rPr>
                <w:sz w:val="1"/>
                <w:szCs w:val="1"/>
                <w:color w:val="auto"/>
              </w:rPr>
            </w:pPr>
          </w:p>
        </w:tc>
      </w:tr>
      <w:tr>
        <w:trPr>
          <w:trHeight w:val="182"/>
        </w:trPr>
        <w:tc>
          <w:tcPr>
            <w:tcW w:w="3040" w:type="dxa"/>
            <w:vAlign w:val="bottom"/>
          </w:tcPr>
          <w:p>
            <w:pPr>
              <w:ind w:left="20"/>
              <w:spacing w:after="0"/>
              <w:rPr>
                <w:sz w:val="20"/>
                <w:szCs w:val="20"/>
                <w:color w:val="auto"/>
              </w:rPr>
            </w:pPr>
            <w:r>
              <w:rPr>
                <w:rFonts w:ascii="Arial" w:cs="Arial" w:eastAsia="Arial" w:hAnsi="Arial"/>
                <w:sz w:val="14"/>
                <w:szCs w:val="14"/>
                <w:color w:val="auto"/>
              </w:rPr>
              <w:t>from equity incentive plans</w:t>
            </w: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non-controlling interests</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6,910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(6,906)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04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(2,283)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(2,283)</w:t>
            </w:r>
          </w:p>
        </w:tc>
        <w:tc>
          <w:tcPr>
            <w:tcW w:w="0" w:type="dxa"/>
            <w:vAlign w:val="bottom"/>
          </w:tcPr>
          <w:p>
            <w:pPr>
              <w:spacing w:after="0"/>
              <w:rPr>
                <w:sz w:val="1"/>
                <w:szCs w:val="1"/>
                <w:color w:val="auto"/>
              </w:rPr>
            </w:pPr>
          </w:p>
        </w:tc>
      </w:tr>
      <w:tr>
        <w:trPr>
          <w:trHeight w:val="186"/>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Dividends ($0.09 per share)</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(18,733)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(18,733)</w:t>
            </w:r>
          </w:p>
        </w:tc>
        <w:tc>
          <w:tcPr>
            <w:tcW w:w="0" w:type="dxa"/>
            <w:vAlign w:val="bottom"/>
          </w:tcPr>
          <w:p>
            <w:pPr>
              <w:spacing w:after="0"/>
              <w:rPr>
                <w:sz w:val="1"/>
                <w:szCs w:val="1"/>
                <w:color w:val="auto"/>
              </w:rPr>
            </w:pPr>
          </w:p>
        </w:tc>
      </w:tr>
      <w:tr>
        <w:trPr>
          <w:trHeight w:val="143"/>
        </w:trPr>
        <w:tc>
          <w:tcPr>
            <w:tcW w:w="3040" w:type="dxa"/>
            <w:vAlign w:val="bottom"/>
          </w:tcPr>
          <w:p>
            <w:pPr>
              <w:ind w:left="20"/>
              <w:spacing w:after="0" w:line="143" w:lineRule="exact"/>
              <w:rPr>
                <w:sz w:val="20"/>
                <w:szCs w:val="20"/>
                <w:color w:val="auto"/>
              </w:rPr>
            </w:pPr>
            <w:r>
              <w:rPr>
                <w:rFonts w:ascii="Arial" w:cs="Arial" w:eastAsia="Arial" w:hAnsi="Arial"/>
                <w:sz w:val="14"/>
                <w:szCs w:val="14"/>
                <w:color w:val="auto"/>
              </w:rPr>
              <w:t>Stock-based compensation expense under the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40" w:type="dxa"/>
            <w:vAlign w:val="bottom"/>
          </w:tcPr>
          <w:p>
            <w:pPr>
              <w:ind w:left="20"/>
              <w:spacing w:after="0"/>
              <w:rPr>
                <w:sz w:val="20"/>
                <w:szCs w:val="20"/>
                <w:color w:val="auto"/>
              </w:rPr>
            </w:pPr>
            <w:r>
              <w:rPr>
                <w:rFonts w:ascii="Arial" w:cs="Arial" w:eastAsia="Arial" w:hAnsi="Arial"/>
                <w:sz w:val="14"/>
                <w:szCs w:val="14"/>
                <w:color w:val="auto"/>
              </w:rPr>
              <w:t>PSU Plan</w:t>
            </w:r>
          </w:p>
        </w:tc>
        <w:tc>
          <w:tcPr>
            <w:tcW w:w="10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Stock-based compensation expense under the</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PRSU Plan</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4,273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4,273</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Arial" w:cs="Arial" w:eastAsia="Arial" w:hAnsi="Arial"/>
                <w:sz w:val="14"/>
                <w:szCs w:val="14"/>
                <w:color w:val="auto"/>
              </w:rPr>
              <w:t>Stock-based compensation expense under the</w:t>
            </w:r>
          </w:p>
        </w:tc>
        <w:tc>
          <w:tcPr>
            <w:tcW w:w="100" w:type="dxa"/>
            <w:vAlign w:val="bottom"/>
          </w:tcPr>
          <w:p>
            <w:pPr>
              <w:spacing w:after="0"/>
              <w:rPr>
                <w:sz w:val="11"/>
                <w:szCs w:val="11"/>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6,810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6,810</w:t>
            </w:r>
          </w:p>
        </w:tc>
        <w:tc>
          <w:tcPr>
            <w:tcW w:w="0" w:type="dxa"/>
            <w:vAlign w:val="bottom"/>
          </w:tcPr>
          <w:p>
            <w:pPr>
              <w:spacing w:after="0"/>
              <w:rPr>
                <w:sz w:val="1"/>
                <w:szCs w:val="1"/>
                <w:color w:val="auto"/>
              </w:rPr>
            </w:pPr>
          </w:p>
        </w:tc>
      </w:tr>
      <w:tr>
        <w:trPr>
          <w:trHeight w:val="182"/>
        </w:trPr>
        <w:tc>
          <w:tcPr>
            <w:tcW w:w="3040" w:type="dxa"/>
            <w:vAlign w:val="bottom"/>
          </w:tcPr>
          <w:p>
            <w:pPr>
              <w:ind w:left="20"/>
              <w:spacing w:after="0"/>
              <w:rPr>
                <w:sz w:val="20"/>
                <w:szCs w:val="20"/>
                <w:color w:val="auto"/>
              </w:rPr>
            </w:pPr>
            <w:r>
              <w:rPr>
                <w:rFonts w:ascii="Arial" w:cs="Arial" w:eastAsia="Arial" w:hAnsi="Arial"/>
                <w:sz w:val="14"/>
                <w:szCs w:val="14"/>
                <w:color w:val="auto"/>
              </w:rPr>
              <w:t>RSU Plan</w:t>
            </w: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Stock-based compensation expense under the</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 Plan</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182"/>
        </w:trPr>
        <w:tc>
          <w:tcPr>
            <w:tcW w:w="3040" w:type="dxa"/>
            <w:vAlign w:val="bottom"/>
          </w:tcPr>
          <w:p>
            <w:pPr>
              <w:ind w:left="20"/>
              <w:spacing w:after="0"/>
              <w:rPr>
                <w:sz w:val="20"/>
                <w:szCs w:val="20"/>
                <w:color w:val="auto"/>
              </w:rPr>
            </w:pPr>
            <w:r>
              <w:rPr>
                <w:rFonts w:ascii="Arial" w:cs="Arial" w:eastAsia="Arial" w:hAnsi="Arial"/>
                <w:sz w:val="14"/>
                <w:szCs w:val="14"/>
                <w:color w:val="auto"/>
                <w:w w:val="99"/>
              </w:rPr>
              <w:t>Payroll taxes paid for stock-based compensation</w:t>
            </w:r>
          </w:p>
        </w:tc>
        <w:tc>
          <w:tcPr>
            <w:tcW w:w="10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(39,878)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(39,878)</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87,856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14,337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102,193</w:t>
            </w:r>
          </w:p>
        </w:tc>
        <w:tc>
          <w:tcPr>
            <w:tcW w:w="0" w:type="dxa"/>
            <w:vAlign w:val="bottom"/>
          </w:tcPr>
          <w:p>
            <w:pPr>
              <w:spacing w:after="0"/>
              <w:rPr>
                <w:sz w:val="1"/>
                <w:szCs w:val="1"/>
                <w:color w:val="auto"/>
              </w:rPr>
            </w:pPr>
          </w:p>
        </w:tc>
      </w:tr>
      <w:tr>
        <w:trPr>
          <w:trHeight w:val="186"/>
        </w:trPr>
        <w:tc>
          <w:tcPr>
            <w:tcW w:w="304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2,352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297</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2,649</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March 31, 2023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4,577,609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433,049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597,970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5,600,865</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line="131" w:lineRule="exact"/>
              <w:rPr>
                <w:sz w:val="20"/>
                <w:szCs w:val="20"/>
                <w:color w:val="auto"/>
              </w:rPr>
            </w:pPr>
            <w:r>
              <w:rPr>
                <w:rFonts w:ascii="Arial" w:cs="Arial" w:eastAsia="Arial" w:hAnsi="Arial"/>
                <w:sz w:val="14"/>
                <w:szCs w:val="14"/>
                <w:color w:val="auto"/>
              </w:rPr>
              <w:t>Issuance of common stock from equity incentive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30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3040" w:type="dxa"/>
            <w:vAlign w:val="bottom"/>
          </w:tcPr>
          <w:p>
            <w:pPr>
              <w:ind w:left="20"/>
              <w:spacing w:after="0"/>
              <w:rPr>
                <w:sz w:val="20"/>
                <w:szCs w:val="20"/>
                <w:color w:val="auto"/>
              </w:rPr>
            </w:pPr>
            <w:r>
              <w:rPr>
                <w:rFonts w:ascii="Arial" w:cs="Arial" w:eastAsia="Arial" w:hAnsi="Arial"/>
                <w:sz w:val="14"/>
                <w:szCs w:val="14"/>
                <w:color w:val="auto"/>
              </w:rPr>
              <w:t>plans</w:t>
            </w:r>
          </w:p>
        </w:tc>
        <w:tc>
          <w:tcPr>
            <w:tcW w:w="10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1,262</w:t>
            </w: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Share repurchases pursuant to the Share</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Program</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(7,602)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(7,602)</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Arial" w:cs="Arial" w:eastAsia="Arial" w:hAnsi="Arial"/>
                <w:sz w:val="14"/>
                <w:szCs w:val="14"/>
                <w:color w:val="auto"/>
              </w:rPr>
              <w:t>Tax receivable agreement liability and deferred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040" w:type="dxa"/>
            <w:vAlign w:val="bottom"/>
          </w:tcPr>
          <w:p>
            <w:pPr>
              <w:ind w:left="20"/>
              <w:spacing w:after="0" w:line="143" w:lineRule="exact"/>
              <w:rPr>
                <w:sz w:val="20"/>
                <w:szCs w:val="20"/>
                <w:color w:val="auto"/>
              </w:rPr>
            </w:pPr>
            <w:r>
              <w:rPr>
                <w:rFonts w:ascii="Arial" w:cs="Arial" w:eastAsia="Arial" w:hAnsi="Arial"/>
                <w:sz w:val="14"/>
                <w:szCs w:val="14"/>
                <w:color w:val="auto"/>
              </w:rPr>
              <w:t>taxes arising from LLC Interest ownership</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Arial" w:cs="Arial" w:eastAsia="Arial" w:hAnsi="Arial"/>
                <w:sz w:val="14"/>
                <w:szCs w:val="14"/>
                <w:color w:val="auto"/>
              </w:rPr>
              <w:t>exchanges and the issuance of common stock</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40" w:type="dxa"/>
            <w:vAlign w:val="bottom"/>
          </w:tcPr>
          <w:p>
            <w:pPr>
              <w:ind w:left="20"/>
              <w:spacing w:after="0"/>
              <w:rPr>
                <w:sz w:val="20"/>
                <w:szCs w:val="20"/>
                <w:color w:val="auto"/>
              </w:rPr>
            </w:pPr>
            <w:r>
              <w:rPr>
                <w:rFonts w:ascii="Arial" w:cs="Arial" w:eastAsia="Arial" w:hAnsi="Arial"/>
                <w:sz w:val="14"/>
                <w:szCs w:val="14"/>
                <w:color w:val="auto"/>
              </w:rPr>
              <w:t>from equity incentive plans</w:t>
            </w:r>
          </w:p>
        </w:tc>
        <w:tc>
          <w:tcPr>
            <w:tcW w:w="10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27,827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27,827</w:t>
            </w:r>
          </w:p>
        </w:tc>
        <w:tc>
          <w:tcPr>
            <w:tcW w:w="0" w:type="dxa"/>
            <w:vAlign w:val="bottom"/>
          </w:tcPr>
          <w:p>
            <w:pPr>
              <w:spacing w:after="0"/>
              <w:rPr>
                <w:sz w:val="1"/>
                <w:szCs w:val="1"/>
                <w:color w:val="auto"/>
              </w:rPr>
            </w:pPr>
          </w:p>
        </w:tc>
      </w:tr>
      <w:tr>
        <w:trPr>
          <w:trHeight w:val="189"/>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non-controlling interests</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72,870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(72,750)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04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(3,286)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(3,286)</w:t>
            </w:r>
          </w:p>
        </w:tc>
        <w:tc>
          <w:tcPr>
            <w:tcW w:w="0" w:type="dxa"/>
            <w:vAlign w:val="bottom"/>
          </w:tcPr>
          <w:p>
            <w:pPr>
              <w:spacing w:after="0"/>
              <w:rPr>
                <w:sz w:val="1"/>
                <w:szCs w:val="1"/>
                <w:color w:val="auto"/>
              </w:rPr>
            </w:pPr>
          </w:p>
        </w:tc>
      </w:tr>
      <w:tr>
        <w:trPr>
          <w:trHeight w:val="186"/>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Dividends ($0.09 per share)</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(19,048)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(19,048)</w:t>
            </w:r>
          </w:p>
        </w:tc>
        <w:tc>
          <w:tcPr>
            <w:tcW w:w="0" w:type="dxa"/>
            <w:vAlign w:val="bottom"/>
          </w:tcPr>
          <w:p>
            <w:pPr>
              <w:spacing w:after="0"/>
              <w:rPr>
                <w:sz w:val="1"/>
                <w:szCs w:val="1"/>
                <w:color w:val="auto"/>
              </w:rPr>
            </w:pPr>
          </w:p>
        </w:tc>
      </w:tr>
      <w:tr>
        <w:trPr>
          <w:trHeight w:val="143"/>
        </w:trPr>
        <w:tc>
          <w:tcPr>
            <w:tcW w:w="3040" w:type="dxa"/>
            <w:vAlign w:val="bottom"/>
          </w:tcPr>
          <w:p>
            <w:pPr>
              <w:ind w:left="20"/>
              <w:spacing w:after="0" w:line="143" w:lineRule="exact"/>
              <w:rPr>
                <w:sz w:val="20"/>
                <w:szCs w:val="20"/>
                <w:color w:val="auto"/>
              </w:rPr>
            </w:pPr>
            <w:r>
              <w:rPr>
                <w:rFonts w:ascii="Arial" w:cs="Arial" w:eastAsia="Arial" w:hAnsi="Arial"/>
                <w:sz w:val="14"/>
                <w:szCs w:val="14"/>
                <w:color w:val="auto"/>
              </w:rPr>
              <w:t>Stock-based compensation expense under the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40" w:type="dxa"/>
            <w:vAlign w:val="bottom"/>
          </w:tcPr>
          <w:p>
            <w:pPr>
              <w:ind w:left="20"/>
              <w:spacing w:after="0"/>
              <w:rPr>
                <w:sz w:val="20"/>
                <w:szCs w:val="20"/>
                <w:color w:val="auto"/>
              </w:rPr>
            </w:pPr>
            <w:r>
              <w:rPr>
                <w:rFonts w:ascii="Arial" w:cs="Arial" w:eastAsia="Arial" w:hAnsi="Arial"/>
                <w:sz w:val="14"/>
                <w:szCs w:val="14"/>
                <w:color w:val="auto"/>
              </w:rPr>
              <w:t>PSU Plan</w:t>
            </w:r>
          </w:p>
        </w:tc>
        <w:tc>
          <w:tcPr>
            <w:tcW w:w="10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2,194</w:t>
            </w: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Stock-based compensation expense under the</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PRSU Plan</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5,912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5,912</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Arial" w:cs="Arial" w:eastAsia="Arial" w:hAnsi="Arial"/>
                <w:sz w:val="14"/>
                <w:szCs w:val="14"/>
                <w:color w:val="auto"/>
              </w:rPr>
              <w:t>Stock-based compensation expense under the</w:t>
            </w:r>
          </w:p>
        </w:tc>
        <w:tc>
          <w:tcPr>
            <w:tcW w:w="100" w:type="dxa"/>
            <w:vAlign w:val="bottom"/>
          </w:tcPr>
          <w:p>
            <w:pPr>
              <w:spacing w:after="0"/>
              <w:rPr>
                <w:sz w:val="11"/>
                <w:szCs w:val="11"/>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7,709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7,709</w:t>
            </w:r>
          </w:p>
        </w:tc>
        <w:tc>
          <w:tcPr>
            <w:tcW w:w="0" w:type="dxa"/>
            <w:vAlign w:val="bottom"/>
          </w:tcPr>
          <w:p>
            <w:pPr>
              <w:spacing w:after="0"/>
              <w:rPr>
                <w:sz w:val="1"/>
                <w:szCs w:val="1"/>
                <w:color w:val="auto"/>
              </w:rPr>
            </w:pPr>
          </w:p>
        </w:tc>
      </w:tr>
      <w:tr>
        <w:trPr>
          <w:trHeight w:val="182"/>
        </w:trPr>
        <w:tc>
          <w:tcPr>
            <w:tcW w:w="3040" w:type="dxa"/>
            <w:vAlign w:val="bottom"/>
          </w:tcPr>
          <w:p>
            <w:pPr>
              <w:ind w:left="20"/>
              <w:spacing w:after="0"/>
              <w:rPr>
                <w:sz w:val="20"/>
                <w:szCs w:val="20"/>
                <w:color w:val="auto"/>
              </w:rPr>
            </w:pPr>
            <w:r>
              <w:rPr>
                <w:rFonts w:ascii="Arial" w:cs="Arial" w:eastAsia="Arial" w:hAnsi="Arial"/>
                <w:sz w:val="14"/>
                <w:szCs w:val="14"/>
                <w:color w:val="auto"/>
              </w:rPr>
              <w:t>RSU Plan</w:t>
            </w: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Stock-based compensation expense under the</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 Plan</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82"/>
        </w:trPr>
        <w:tc>
          <w:tcPr>
            <w:tcW w:w="3040" w:type="dxa"/>
            <w:vAlign w:val="bottom"/>
          </w:tcPr>
          <w:p>
            <w:pPr>
              <w:ind w:left="20"/>
              <w:spacing w:after="0"/>
              <w:rPr>
                <w:sz w:val="20"/>
                <w:szCs w:val="20"/>
                <w:color w:val="auto"/>
              </w:rPr>
            </w:pPr>
            <w:r>
              <w:rPr>
                <w:rFonts w:ascii="Arial" w:cs="Arial" w:eastAsia="Arial" w:hAnsi="Arial"/>
                <w:sz w:val="14"/>
                <w:szCs w:val="14"/>
                <w:color w:val="auto"/>
                <w:w w:val="99"/>
              </w:rPr>
              <w:t>Payroll taxes paid for stock-based compensation</w:t>
            </w:r>
          </w:p>
        </w:tc>
        <w:tc>
          <w:tcPr>
            <w:tcW w:w="10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(1,870)</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89,082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12,857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101,939</w:t>
            </w:r>
          </w:p>
        </w:tc>
        <w:tc>
          <w:tcPr>
            <w:tcW w:w="0" w:type="dxa"/>
            <w:vAlign w:val="bottom"/>
          </w:tcPr>
          <w:p>
            <w:pPr>
              <w:spacing w:after="0"/>
              <w:rPr>
                <w:sz w:val="1"/>
                <w:szCs w:val="1"/>
                <w:color w:val="auto"/>
              </w:rPr>
            </w:pPr>
          </w:p>
        </w:tc>
      </w:tr>
      <w:tr>
        <w:trPr>
          <w:trHeight w:val="186"/>
        </w:trPr>
        <w:tc>
          <w:tcPr>
            <w:tcW w:w="304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1,067</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117</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1,184</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June 30, 2023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4,693,795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495,481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534,908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5,717,368</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Condensed Consolidated Statements of Changes in Equity – (Continued)</w:t>
      </w: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3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9"/>
          </w:tcPr>
          <w:p>
            <w:pPr>
              <w:ind w:left="160"/>
              <w:spacing w:after="0"/>
              <w:rPr>
                <w:sz w:val="20"/>
                <w:szCs w:val="20"/>
                <w:color w:val="auto"/>
              </w:rPr>
            </w:pPr>
            <w:r>
              <w:rPr>
                <w:rFonts w:ascii="Arial" w:cs="Arial" w:eastAsia="Arial" w:hAnsi="Arial"/>
                <w:sz w:val="13"/>
                <w:szCs w:val="13"/>
                <w:b w:val="1"/>
                <w:bCs w:val="1"/>
                <w:color w:val="auto"/>
                <w:w w:val="89"/>
              </w:rPr>
              <w:t>Tradeweb Markets Inc. Stockholders’ Equity</w:t>
            </w: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420"/>
              <w:spacing w:after="0"/>
              <w:rPr>
                <w:sz w:val="20"/>
                <w:szCs w:val="20"/>
                <w:color w:val="auto"/>
              </w:rPr>
            </w:pPr>
            <w:r>
              <w:rPr>
                <w:rFonts w:ascii="Arial" w:cs="Arial" w:eastAsia="Arial" w:hAnsi="Arial"/>
                <w:sz w:val="13"/>
                <w:szCs w:val="13"/>
                <w:b w:val="1"/>
                <w:bCs w:val="1"/>
                <w:color w:val="auto"/>
              </w:rPr>
              <w:t>Par Value</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center"/>
              <w:ind w:right="49"/>
              <w:spacing w:after="0"/>
              <w:rPr>
                <w:sz w:val="20"/>
                <w:szCs w:val="20"/>
                <w:color w:val="auto"/>
              </w:rPr>
            </w:pPr>
            <w:r>
              <w:rPr>
                <w:rFonts w:ascii="Arial" w:cs="Arial" w:eastAsia="Arial" w:hAnsi="Arial"/>
                <w:sz w:val="13"/>
                <w:szCs w:val="13"/>
                <w:b w:val="1"/>
                <w:bCs w:val="1"/>
                <w:color w:val="auto"/>
                <w:w w:val="83"/>
              </w:rPr>
              <w:t>Class A</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center"/>
              <w:ind w:right="49"/>
              <w:spacing w:after="0"/>
              <w:rPr>
                <w:sz w:val="20"/>
                <w:szCs w:val="20"/>
                <w:color w:val="auto"/>
              </w:rPr>
            </w:pPr>
            <w:r>
              <w:rPr>
                <w:rFonts w:ascii="Arial" w:cs="Arial" w:eastAsia="Arial" w:hAnsi="Arial"/>
                <w:sz w:val="13"/>
                <w:szCs w:val="13"/>
                <w:b w:val="1"/>
                <w:bCs w:val="1"/>
                <w:color w:val="auto"/>
                <w:w w:val="83"/>
              </w:rPr>
              <w:t>Class B</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center"/>
              <w:ind w:right="29"/>
              <w:spacing w:after="0"/>
              <w:rPr>
                <w:sz w:val="20"/>
                <w:szCs w:val="20"/>
                <w:color w:val="auto"/>
              </w:rPr>
            </w:pPr>
            <w:r>
              <w:rPr>
                <w:rFonts w:ascii="Arial" w:cs="Arial" w:eastAsia="Arial" w:hAnsi="Arial"/>
                <w:sz w:val="13"/>
                <w:szCs w:val="13"/>
                <w:b w:val="1"/>
                <w:bCs w:val="1"/>
                <w:color w:val="auto"/>
                <w:w w:val="83"/>
              </w:rPr>
              <w:t>Class C</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center"/>
              <w:ind w:right="29"/>
              <w:spacing w:after="0"/>
              <w:rPr>
                <w:sz w:val="20"/>
                <w:szCs w:val="20"/>
                <w:color w:val="auto"/>
              </w:rPr>
            </w:pPr>
            <w:r>
              <w:rPr>
                <w:rFonts w:ascii="Arial" w:cs="Arial" w:eastAsia="Arial" w:hAnsi="Arial"/>
                <w:sz w:val="13"/>
                <w:szCs w:val="13"/>
                <w:b w:val="1"/>
                <w:bCs w:val="1"/>
                <w:color w:val="auto"/>
                <w:w w:val="87"/>
              </w:rPr>
              <w:t>Class 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49"/>
              <w:spacing w:after="0" w:line="122" w:lineRule="exact"/>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center"/>
              <w:ind w:right="9"/>
              <w:spacing w:after="0"/>
              <w:rPr>
                <w:sz w:val="20"/>
                <w:szCs w:val="20"/>
                <w:color w:val="auto"/>
              </w:rPr>
            </w:pPr>
            <w:r>
              <w:rPr>
                <w:rFonts w:ascii="Arial" w:cs="Arial" w:eastAsia="Arial" w:hAnsi="Arial"/>
                <w:sz w:val="13"/>
                <w:szCs w:val="13"/>
                <w:b w:val="1"/>
                <w:bCs w:val="1"/>
                <w:color w:val="auto"/>
                <w:w w:val="87"/>
              </w:rPr>
              <w:t>Non-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49"/>
              <w:spacing w:after="0" w:line="131"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29"/>
              <w:spacing w:after="0" w:line="126" w:lineRule="exact"/>
              <w:rPr>
                <w:sz w:val="20"/>
                <w:szCs w:val="20"/>
                <w:color w:val="auto"/>
              </w:rPr>
            </w:pPr>
            <w:r>
              <w:rPr>
                <w:rFonts w:ascii="Arial" w:cs="Arial" w:eastAsia="Arial" w:hAnsi="Arial"/>
                <w:sz w:val="13"/>
                <w:szCs w:val="13"/>
                <w:b w:val="1"/>
                <w:bCs w:val="1"/>
                <w:color w:val="auto"/>
                <w:w w:val="88"/>
              </w:rPr>
              <w:t>Common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ind w:right="29"/>
              <w:spacing w:after="0" w:line="126" w:lineRule="exact"/>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ind w:right="9"/>
              <w:spacing w:after="0" w:line="126" w:lineRule="exact"/>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29"/>
              <w:spacing w:after="0" w:line="126" w:lineRule="exact"/>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ind w:right="169"/>
              <w:spacing w:after="0" w:line="126"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49"/>
              <w:spacing w:after="0" w:line="126" w:lineRule="exact"/>
              <w:rPr>
                <w:sz w:val="20"/>
                <w:szCs w:val="20"/>
                <w:color w:val="auto"/>
              </w:rPr>
            </w:pPr>
            <w:r>
              <w:rPr>
                <w:rFonts w:ascii="Arial" w:cs="Arial" w:eastAsia="Arial" w:hAnsi="Arial"/>
                <w:sz w:val="13"/>
                <w:szCs w:val="13"/>
                <w:b w:val="1"/>
                <w:bCs w:val="1"/>
                <w:color w:val="auto"/>
                <w:w w:val="84"/>
              </w:rPr>
              <w:t>Comprehensive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89"/>
              <w:spacing w:after="0" w:line="126" w:lineRule="exact"/>
              <w:rPr>
                <w:sz w:val="20"/>
                <w:szCs w:val="20"/>
                <w:color w:val="auto"/>
              </w:rPr>
            </w:pPr>
            <w:r>
              <w:rPr>
                <w:rFonts w:ascii="Arial" w:cs="Arial" w:eastAsia="Arial" w:hAnsi="Arial"/>
                <w:sz w:val="13"/>
                <w:szCs w:val="13"/>
                <w:b w:val="1"/>
                <w:bCs w:val="1"/>
                <w:color w:val="auto"/>
                <w:w w:val="94"/>
              </w:rPr>
              <w:t>Retained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9"/>
              <w:spacing w:after="0" w:line="126" w:lineRule="exact"/>
              <w:rPr>
                <w:sz w:val="20"/>
                <w:szCs w:val="20"/>
                <w:color w:val="auto"/>
              </w:rPr>
            </w:pPr>
            <w:r>
              <w:rPr>
                <w:rFonts w:ascii="Arial" w:cs="Arial" w:eastAsia="Arial" w:hAnsi="Arial"/>
                <w:sz w:val="13"/>
                <w:szCs w:val="13"/>
                <w:b w:val="1"/>
                <w:bCs w:val="1"/>
                <w:color w:val="auto"/>
                <w:w w:val="89"/>
              </w:rPr>
              <w:t>Controlling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ind w:right="209"/>
              <w:spacing w:after="0" w:line="126"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4"/>
              </w:rPr>
              <w:t>Stock</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3"/>
              </w:rPr>
              <w:t>Earnings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2"/>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4,401,366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242,623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663,348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5,308,943</w:t>
            </w: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Arial" w:cs="Arial" w:eastAsia="Arial" w:hAnsi="Arial"/>
                <w:sz w:val="14"/>
                <w:szCs w:val="14"/>
                <w:color w:val="auto"/>
                <w:w w:val="99"/>
              </w:rPr>
              <w:t>Issuance of common stock from equity incentive</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692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692</w:t>
            </w:r>
          </w:p>
        </w:tc>
        <w:tc>
          <w:tcPr>
            <w:tcW w:w="0" w:type="dxa"/>
            <w:vAlign w:val="bottom"/>
          </w:tcPr>
          <w:p>
            <w:pPr>
              <w:spacing w:after="0"/>
              <w:rPr>
                <w:sz w:val="1"/>
                <w:szCs w:val="1"/>
                <w:color w:val="auto"/>
              </w:rPr>
            </w:pPr>
          </w:p>
        </w:tc>
      </w:tr>
      <w:tr>
        <w:trPr>
          <w:trHeight w:val="182"/>
        </w:trPr>
        <w:tc>
          <w:tcPr>
            <w:tcW w:w="3020" w:type="dxa"/>
            <w:vAlign w:val="bottom"/>
          </w:tcPr>
          <w:p>
            <w:pPr>
              <w:ind w:left="20"/>
              <w:spacing w:after="0"/>
              <w:rPr>
                <w:sz w:val="20"/>
                <w:szCs w:val="20"/>
                <w:color w:val="auto"/>
              </w:rPr>
            </w:pPr>
            <w:r>
              <w:rPr>
                <w:rFonts w:ascii="Arial" w:cs="Arial" w:eastAsia="Arial" w:hAnsi="Arial"/>
                <w:sz w:val="14"/>
                <w:szCs w:val="14"/>
                <w:color w:val="auto"/>
              </w:rPr>
              <w:t>plans</w:t>
            </w: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7"/>
              </w:rPr>
              <w:t>Share repurchases pursuant to share repurchase</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programs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(47,323)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(47,323)</w:t>
            </w:r>
          </w:p>
        </w:tc>
        <w:tc>
          <w:tcPr>
            <w:tcW w:w="0" w:type="dxa"/>
            <w:vAlign w:val="bottom"/>
          </w:tcPr>
          <w:p>
            <w:pPr>
              <w:spacing w:after="0"/>
              <w:rPr>
                <w:sz w:val="1"/>
                <w:szCs w:val="1"/>
                <w:color w:val="auto"/>
              </w:rPr>
            </w:pPr>
          </w:p>
        </w:tc>
      </w:tr>
      <w:tr>
        <w:trPr>
          <w:trHeight w:val="143"/>
        </w:trPr>
        <w:tc>
          <w:tcPr>
            <w:tcW w:w="3020" w:type="dxa"/>
            <w:vAlign w:val="bottom"/>
          </w:tcPr>
          <w:p>
            <w:pPr>
              <w:ind w:left="20"/>
              <w:spacing w:after="0" w:line="143" w:lineRule="exact"/>
              <w:rPr>
                <w:sz w:val="20"/>
                <w:szCs w:val="20"/>
                <w:color w:val="auto"/>
              </w:rPr>
            </w:pPr>
            <w:r>
              <w:rPr>
                <w:rFonts w:ascii="Arial" w:cs="Arial" w:eastAsia="Arial" w:hAnsi="Arial"/>
                <w:sz w:val="14"/>
                <w:szCs w:val="14"/>
                <w:color w:val="auto"/>
              </w:rPr>
              <w:t>Tax receivable agreement liability and deferred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ind w:left="20"/>
              <w:spacing w:after="0" w:line="149" w:lineRule="exact"/>
              <w:rPr>
                <w:sz w:val="20"/>
                <w:szCs w:val="20"/>
                <w:color w:val="auto"/>
              </w:rPr>
            </w:pPr>
            <w:r>
              <w:rPr>
                <w:rFonts w:ascii="Arial" w:cs="Arial" w:eastAsia="Arial" w:hAnsi="Arial"/>
                <w:sz w:val="14"/>
                <w:szCs w:val="14"/>
                <w:color w:val="auto"/>
              </w:rPr>
              <w:t>taxes arising from LLC Interest ownership</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20" w:type="dxa"/>
            <w:vAlign w:val="bottom"/>
          </w:tcPr>
          <w:p>
            <w:pPr>
              <w:ind w:left="20"/>
              <w:spacing w:after="0" w:line="141" w:lineRule="exact"/>
              <w:rPr>
                <w:sz w:val="20"/>
                <w:szCs w:val="20"/>
                <w:color w:val="auto"/>
              </w:rPr>
            </w:pPr>
            <w:r>
              <w:rPr>
                <w:rFonts w:ascii="Arial" w:cs="Arial" w:eastAsia="Arial" w:hAnsi="Arial"/>
                <w:sz w:val="14"/>
                <w:szCs w:val="14"/>
                <w:color w:val="auto"/>
              </w:rPr>
              <w:t>exchanges and the issuance of common stock</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38,676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38,676</w:t>
            </w:r>
          </w:p>
        </w:tc>
        <w:tc>
          <w:tcPr>
            <w:tcW w:w="0" w:type="dxa"/>
            <w:vAlign w:val="bottom"/>
          </w:tcPr>
          <w:p>
            <w:pPr>
              <w:spacing w:after="0"/>
              <w:rPr>
                <w:sz w:val="1"/>
                <w:szCs w:val="1"/>
                <w:color w:val="auto"/>
              </w:rPr>
            </w:pPr>
          </w:p>
        </w:tc>
      </w:tr>
      <w:tr>
        <w:trPr>
          <w:trHeight w:val="182"/>
        </w:trPr>
        <w:tc>
          <w:tcPr>
            <w:tcW w:w="3020" w:type="dxa"/>
            <w:vAlign w:val="bottom"/>
          </w:tcPr>
          <w:p>
            <w:pPr>
              <w:ind w:left="20"/>
              <w:spacing w:after="0"/>
              <w:rPr>
                <w:sz w:val="20"/>
                <w:szCs w:val="20"/>
                <w:color w:val="auto"/>
              </w:rPr>
            </w:pPr>
            <w:r>
              <w:rPr>
                <w:rFonts w:ascii="Arial" w:cs="Arial" w:eastAsia="Arial" w:hAnsi="Arial"/>
                <w:sz w:val="14"/>
                <w:szCs w:val="14"/>
                <w:color w:val="auto"/>
              </w:rPr>
              <w:t>from equity incentive plans</w:t>
            </w: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non-controlling interests</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30,005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02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(2,178)</w:t>
            </w:r>
          </w:p>
        </w:tc>
        <w:tc>
          <w:tcPr>
            <w:tcW w:w="0" w:type="dxa"/>
            <w:vAlign w:val="bottom"/>
          </w:tcPr>
          <w:p>
            <w:pPr>
              <w:spacing w:after="0"/>
              <w:rPr>
                <w:sz w:val="1"/>
                <w:szCs w:val="1"/>
                <w:color w:val="auto"/>
              </w:rPr>
            </w:pPr>
          </w:p>
        </w:tc>
      </w:tr>
      <w:tr>
        <w:trPr>
          <w:trHeight w:val="186"/>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Dividends ($0.08 per share)</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(16,350)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(16,350)</w:t>
            </w:r>
          </w:p>
        </w:tc>
        <w:tc>
          <w:tcPr>
            <w:tcW w:w="0" w:type="dxa"/>
            <w:vAlign w:val="bottom"/>
          </w:tcPr>
          <w:p>
            <w:pPr>
              <w:spacing w:after="0"/>
              <w:rPr>
                <w:sz w:val="1"/>
                <w:szCs w:val="1"/>
                <w:color w:val="auto"/>
              </w:rPr>
            </w:pPr>
          </w:p>
        </w:tc>
      </w:tr>
      <w:tr>
        <w:trPr>
          <w:trHeight w:val="143"/>
        </w:trPr>
        <w:tc>
          <w:tcPr>
            <w:tcW w:w="3020" w:type="dxa"/>
            <w:vAlign w:val="bottom"/>
          </w:tcPr>
          <w:p>
            <w:pPr>
              <w:ind w:left="20"/>
              <w:spacing w:after="0" w:line="143" w:lineRule="exact"/>
              <w:rPr>
                <w:sz w:val="20"/>
                <w:szCs w:val="20"/>
                <w:color w:val="auto"/>
              </w:rPr>
            </w:pPr>
            <w:r>
              <w:rPr>
                <w:rFonts w:ascii="Arial" w:cs="Arial" w:eastAsia="Arial" w:hAnsi="Arial"/>
                <w:sz w:val="14"/>
                <w:szCs w:val="14"/>
                <w:color w:val="auto"/>
              </w:rPr>
              <w:t>Stock-based compensation expense under the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20" w:type="dxa"/>
            <w:vAlign w:val="bottom"/>
          </w:tcPr>
          <w:p>
            <w:pPr>
              <w:ind w:left="20"/>
              <w:spacing w:after="0"/>
              <w:rPr>
                <w:sz w:val="20"/>
                <w:szCs w:val="20"/>
                <w:color w:val="auto"/>
              </w:rPr>
            </w:pPr>
            <w:r>
              <w:rPr>
                <w:rFonts w:ascii="Arial" w:cs="Arial" w:eastAsia="Arial" w:hAnsi="Arial"/>
                <w:sz w:val="14"/>
                <w:szCs w:val="14"/>
                <w:color w:val="auto"/>
              </w:rPr>
              <w:t>PRSU Plan</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6,351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6,351</w:t>
            </w: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Stock-based compensation expense under the</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RSU Plan</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6,102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6,102</w:t>
            </w: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Arial" w:cs="Arial" w:eastAsia="Arial" w:hAnsi="Arial"/>
                <w:sz w:val="14"/>
                <w:szCs w:val="14"/>
                <w:color w:val="auto"/>
              </w:rPr>
              <w:t>Stock-based compensation expense under the</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1,229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1,229</w:t>
            </w:r>
          </w:p>
        </w:tc>
        <w:tc>
          <w:tcPr>
            <w:tcW w:w="0" w:type="dxa"/>
            <w:vAlign w:val="bottom"/>
          </w:tcPr>
          <w:p>
            <w:pPr>
              <w:spacing w:after="0"/>
              <w:rPr>
                <w:sz w:val="1"/>
                <w:szCs w:val="1"/>
                <w:color w:val="auto"/>
              </w:rPr>
            </w:pPr>
          </w:p>
        </w:tc>
      </w:tr>
      <w:tr>
        <w:trPr>
          <w:trHeight w:val="182"/>
        </w:trPr>
        <w:tc>
          <w:tcPr>
            <w:tcW w:w="3020" w:type="dxa"/>
            <w:vAlign w:val="bottom"/>
          </w:tcPr>
          <w:p>
            <w:pPr>
              <w:ind w:left="20"/>
              <w:spacing w:after="0"/>
              <w:rPr>
                <w:sz w:val="20"/>
                <w:szCs w:val="20"/>
                <w:color w:val="auto"/>
              </w:rPr>
            </w:pPr>
            <w:r>
              <w:rPr>
                <w:rFonts w:ascii="Arial" w:cs="Arial" w:eastAsia="Arial" w:hAnsi="Arial"/>
                <w:sz w:val="14"/>
                <w:szCs w:val="14"/>
                <w:color w:val="auto"/>
              </w:rPr>
              <w:t>Option Plan</w:t>
            </w: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8"/>
              </w:rPr>
              <w:t>Payroll taxes paid for stock-based compensation</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(95,758)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(95,758)</w:t>
            </w:r>
          </w:p>
        </w:tc>
        <w:tc>
          <w:tcPr>
            <w:tcW w:w="0" w:type="dxa"/>
            <w:vAlign w:val="bottom"/>
          </w:tcPr>
          <w:p>
            <w:pPr>
              <w:spacing w:after="0"/>
              <w:rPr>
                <w:sz w:val="1"/>
                <w:szCs w:val="1"/>
                <w:color w:val="auto"/>
              </w:rPr>
            </w:pPr>
          </w:p>
        </w:tc>
      </w:tr>
      <w:tr>
        <w:trPr>
          <w:trHeight w:val="186"/>
        </w:trPr>
        <w:tc>
          <w:tcPr>
            <w:tcW w:w="30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82,965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14,480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97,445</w:t>
            </w:r>
          </w:p>
        </w:tc>
        <w:tc>
          <w:tcPr>
            <w:tcW w:w="0" w:type="dxa"/>
            <w:vAlign w:val="bottom"/>
          </w:tcPr>
          <w:p>
            <w:pPr>
              <w:spacing w:after="0"/>
              <w:rPr>
                <w:sz w:val="1"/>
                <w:szCs w:val="1"/>
                <w:color w:val="auto"/>
              </w:rPr>
            </w:pPr>
          </w:p>
        </w:tc>
      </w:tr>
      <w:tr>
        <w:trPr>
          <w:trHeight w:val="206"/>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(4,098)</w:t>
            </w:r>
          </w:p>
        </w:tc>
        <w:tc>
          <w:tcPr>
            <w:tcW w:w="0" w:type="dxa"/>
            <w:vAlign w:val="bottom"/>
          </w:tcPr>
          <w:p>
            <w:pPr>
              <w:spacing w:after="0"/>
              <w:rPr>
                <w:sz w:val="1"/>
                <w:szCs w:val="1"/>
                <w:color w:val="auto"/>
              </w:rPr>
            </w:pPr>
          </w:p>
        </w:tc>
      </w:tr>
      <w:tr>
        <w:trPr>
          <w:trHeight w:val="196"/>
        </w:trPr>
        <w:tc>
          <w:tcPr>
            <w:tcW w:w="3020" w:type="dxa"/>
            <w:vAlign w:val="bottom"/>
          </w:tcPr>
          <w:p>
            <w:pPr>
              <w:ind w:left="20"/>
              <w:spacing w:after="0"/>
              <w:rPr>
                <w:sz w:val="20"/>
                <w:szCs w:val="20"/>
                <w:color w:val="auto"/>
              </w:rPr>
            </w:pPr>
            <w:r>
              <w:rPr>
                <w:rFonts w:ascii="Arial" w:cs="Arial" w:eastAsia="Arial" w:hAnsi="Arial"/>
                <w:sz w:val="14"/>
                <w:szCs w:val="14"/>
                <w:color w:val="auto"/>
              </w:rPr>
              <w:t>Balance at March 31, 2022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4,388,663</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261,915</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645,115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5,293,731</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02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Issuance of common stock from equity incentive</w:t>
            </w:r>
          </w:p>
        </w:tc>
        <w:tc>
          <w:tcPr>
            <w:tcW w:w="10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6,924</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6,924</w:t>
            </w:r>
          </w:p>
        </w:tc>
        <w:tc>
          <w:tcPr>
            <w:tcW w:w="0" w:type="dxa"/>
            <w:vAlign w:val="bottom"/>
          </w:tcPr>
          <w:p>
            <w:pPr>
              <w:spacing w:after="0"/>
              <w:rPr>
                <w:sz w:val="1"/>
                <w:szCs w:val="1"/>
                <w:color w:val="auto"/>
              </w:rPr>
            </w:pPr>
          </w:p>
        </w:tc>
      </w:tr>
      <w:tr>
        <w:trPr>
          <w:trHeight w:val="183"/>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plans</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020" w:type="dxa"/>
            <w:vAlign w:val="bottom"/>
          </w:tcPr>
          <w:p>
            <w:pPr>
              <w:ind w:left="20"/>
              <w:spacing w:after="0" w:line="143" w:lineRule="exact"/>
              <w:rPr>
                <w:sz w:val="20"/>
                <w:szCs w:val="20"/>
                <w:color w:val="auto"/>
              </w:rPr>
            </w:pPr>
            <w:r>
              <w:rPr>
                <w:rFonts w:ascii="Arial" w:cs="Arial" w:eastAsia="Arial" w:hAnsi="Arial"/>
                <w:sz w:val="14"/>
                <w:szCs w:val="14"/>
                <w:color w:val="auto"/>
              </w:rPr>
              <w:t>Share repurchases pursuant to the Share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20" w:type="dxa"/>
            <w:vAlign w:val="bottom"/>
          </w:tcPr>
          <w:p>
            <w:pPr>
              <w:ind w:left="20"/>
              <w:spacing w:after="0"/>
              <w:rPr>
                <w:sz w:val="20"/>
                <w:szCs w:val="20"/>
                <w:color w:val="auto"/>
              </w:rPr>
            </w:pPr>
            <w:r>
              <w:rPr>
                <w:rFonts w:ascii="Arial" w:cs="Arial" w:eastAsia="Arial" w:hAnsi="Arial"/>
                <w:sz w:val="14"/>
                <w:szCs w:val="14"/>
                <w:color w:val="auto"/>
              </w:rPr>
              <w:t>Repurchase Program</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(9,000)</w:t>
            </w: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Tax receivable agreement liability and deferred</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taxes arising from LLC Interest ownership</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2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exchanges and the issuance of common stock</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7,449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7,449</w:t>
            </w:r>
          </w:p>
        </w:tc>
        <w:tc>
          <w:tcPr>
            <w:tcW w:w="0" w:type="dxa"/>
            <w:vAlign w:val="bottom"/>
          </w:tcPr>
          <w:p>
            <w:pPr>
              <w:spacing w:after="0"/>
              <w:rPr>
                <w:sz w:val="1"/>
                <w:szCs w:val="1"/>
                <w:color w:val="auto"/>
              </w:rPr>
            </w:pPr>
          </w:p>
        </w:tc>
      </w:tr>
      <w:tr>
        <w:trPr>
          <w:trHeight w:val="183"/>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from equity incentive plans</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20" w:type="dxa"/>
            <w:vAlign w:val="bottom"/>
          </w:tcPr>
          <w:p>
            <w:pPr>
              <w:ind w:left="20"/>
              <w:spacing w:after="0"/>
              <w:rPr>
                <w:sz w:val="20"/>
                <w:szCs w:val="20"/>
                <w:color w:val="auto"/>
              </w:rPr>
            </w:pPr>
            <w:r>
              <w:rPr>
                <w:rFonts w:ascii="Arial" w:cs="Arial" w:eastAsia="Arial" w:hAnsi="Arial"/>
                <w:sz w:val="14"/>
                <w:szCs w:val="14"/>
                <w:color w:val="auto"/>
              </w:rPr>
              <w:t>Adjustments to non-controlling interests</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(2,568)</w:t>
            </w:r>
          </w:p>
        </w:tc>
        <w:tc>
          <w:tcPr>
            <w:tcW w:w="0" w:type="dxa"/>
            <w:vAlign w:val="bottom"/>
          </w:tcPr>
          <w:p>
            <w:pPr>
              <w:spacing w:after="0"/>
              <w:rPr>
                <w:sz w:val="1"/>
                <w:szCs w:val="1"/>
                <w:color w:val="auto"/>
              </w:rPr>
            </w:pPr>
          </w:p>
        </w:tc>
      </w:tr>
      <w:tr>
        <w:trPr>
          <w:trHeight w:val="182"/>
        </w:trPr>
        <w:tc>
          <w:tcPr>
            <w:tcW w:w="3020" w:type="dxa"/>
            <w:vAlign w:val="bottom"/>
          </w:tcPr>
          <w:p>
            <w:pPr>
              <w:ind w:left="20"/>
              <w:spacing w:after="0"/>
              <w:rPr>
                <w:sz w:val="20"/>
                <w:szCs w:val="20"/>
                <w:color w:val="auto"/>
              </w:rPr>
            </w:pPr>
            <w:r>
              <w:rPr>
                <w:rFonts w:ascii="Arial" w:cs="Arial" w:eastAsia="Arial" w:hAnsi="Arial"/>
                <w:sz w:val="14"/>
                <w:szCs w:val="14"/>
                <w:color w:val="auto"/>
              </w:rPr>
              <w:t>Dividends ($0.08 per share)</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(16,360)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(16,360)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0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Stock-based compensation expense under the</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11,140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11,140</w:t>
            </w:r>
          </w:p>
        </w:tc>
        <w:tc>
          <w:tcPr>
            <w:tcW w:w="0" w:type="dxa"/>
            <w:vAlign w:val="bottom"/>
          </w:tcPr>
          <w:p>
            <w:pPr>
              <w:spacing w:after="0"/>
              <w:rPr>
                <w:sz w:val="1"/>
                <w:szCs w:val="1"/>
                <w:color w:val="auto"/>
              </w:rPr>
            </w:pPr>
          </w:p>
        </w:tc>
      </w:tr>
      <w:tr>
        <w:trPr>
          <w:trHeight w:val="183"/>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PRSU Plan</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020" w:type="dxa"/>
            <w:vAlign w:val="bottom"/>
          </w:tcPr>
          <w:p>
            <w:pPr>
              <w:ind w:left="20"/>
              <w:spacing w:after="0" w:line="143" w:lineRule="exact"/>
              <w:rPr>
                <w:sz w:val="20"/>
                <w:szCs w:val="20"/>
                <w:color w:val="auto"/>
              </w:rPr>
            </w:pPr>
            <w:r>
              <w:rPr>
                <w:rFonts w:ascii="Arial" w:cs="Arial" w:eastAsia="Arial" w:hAnsi="Arial"/>
                <w:sz w:val="14"/>
                <w:szCs w:val="14"/>
                <w:color w:val="auto"/>
              </w:rPr>
              <w:t>Stock-based compensation expense under the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20" w:type="dxa"/>
            <w:vAlign w:val="bottom"/>
          </w:tcPr>
          <w:p>
            <w:pPr>
              <w:ind w:left="20"/>
              <w:spacing w:after="0"/>
              <w:rPr>
                <w:sz w:val="20"/>
                <w:szCs w:val="20"/>
                <w:color w:val="auto"/>
              </w:rPr>
            </w:pPr>
            <w:r>
              <w:rPr>
                <w:rFonts w:ascii="Arial" w:cs="Arial" w:eastAsia="Arial" w:hAnsi="Arial"/>
                <w:sz w:val="14"/>
                <w:szCs w:val="14"/>
                <w:color w:val="auto"/>
              </w:rPr>
              <w:t>RSU Plan</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9,459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9,459</w:t>
            </w: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Stock-based compensation expense under the</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 Plan</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288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86"/>
        </w:trPr>
        <w:tc>
          <w:tcPr>
            <w:tcW w:w="3020" w:type="dxa"/>
            <w:vAlign w:val="bottom"/>
          </w:tcPr>
          <w:p>
            <w:pPr>
              <w:ind w:left="20"/>
              <w:spacing w:after="0"/>
              <w:rPr>
                <w:sz w:val="20"/>
                <w:szCs w:val="20"/>
                <w:color w:val="auto"/>
              </w:rPr>
            </w:pPr>
            <w:r>
              <w:rPr>
                <w:rFonts w:ascii="Arial" w:cs="Arial" w:eastAsia="Arial" w:hAnsi="Arial"/>
                <w:sz w:val="14"/>
                <w:szCs w:val="14"/>
                <w:color w:val="auto"/>
                <w:w w:val="98"/>
              </w:rPr>
              <w:t>Payroll taxes paid for stock-based compensation</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(2,218)</w:t>
            </w:r>
          </w:p>
        </w:tc>
        <w:tc>
          <w:tcPr>
            <w:tcW w:w="0" w:type="dxa"/>
            <w:vAlign w:val="bottom"/>
          </w:tcPr>
          <w:p>
            <w:pPr>
              <w:spacing w:after="0"/>
              <w:rPr>
                <w:sz w:val="1"/>
                <w:szCs w:val="1"/>
                <w:color w:val="auto"/>
              </w:rPr>
            </w:pPr>
          </w:p>
        </w:tc>
      </w:tr>
      <w:tr>
        <w:trPr>
          <w:trHeight w:val="186"/>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68,344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13,256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81,600</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(8,440)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(9,677)</w:t>
            </w:r>
          </w:p>
        </w:tc>
        <w:tc>
          <w:tcPr>
            <w:tcW w:w="0" w:type="dxa"/>
            <w:vAlign w:val="bottom"/>
          </w:tcPr>
          <w:p>
            <w:pPr>
              <w:spacing w:after="0"/>
              <w:rPr>
                <w:sz w:val="1"/>
                <w:szCs w:val="1"/>
                <w:color w:val="auto"/>
              </w:rPr>
            </w:pPr>
          </w:p>
        </w:tc>
      </w:tr>
      <w:tr>
        <w:trPr>
          <w:trHeight w:val="214"/>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4,420,405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(10,404)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304,899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655,866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5,370,768</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79" w:lineRule="exact"/>
        <w:rPr>
          <w:sz w:val="20"/>
          <w:szCs w:val="20"/>
          <w:color w:val="auto"/>
        </w:rPr>
      </w:pPr>
    </w:p>
    <w:p>
      <w:pPr>
        <w:jc w:val="center"/>
        <w:ind w:left="1120"/>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ind w:left="1120"/>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ind w:left="1120"/>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ind w:left="112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7"/>
                <w:szCs w:val="17"/>
                <w:color w:val="auto"/>
              </w:rPr>
            </w:pPr>
          </w:p>
        </w:tc>
      </w:tr>
      <w:tr>
        <w:trPr>
          <w:trHeight w:val="26"/>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1"/>
        </w:trPr>
        <w:tc>
          <w:tcPr>
            <w:tcW w:w="84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w w:val="89"/>
              </w:rPr>
              <w:t>2022</w:t>
            </w:r>
          </w:p>
        </w:tc>
      </w:tr>
      <w:tr>
        <w:trPr>
          <w:trHeight w:val="197"/>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204,132</w:t>
            </w:r>
          </w:p>
        </w:tc>
        <w:tc>
          <w:tcPr>
            <w:tcW w:w="6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179,045</w:t>
            </w:r>
          </w:p>
        </w:tc>
      </w:tr>
      <w:tr>
        <w:trPr>
          <w:trHeight w:val="21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182"/>
        </w:trPr>
        <w:tc>
          <w:tcPr>
            <w:tcW w:w="84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91,291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89,220</w:t>
            </w:r>
          </w:p>
        </w:tc>
      </w:tr>
      <w:tr>
        <w:trPr>
          <w:trHeight w:val="20"/>
        </w:trPr>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9"/>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27,323</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34,675</w:t>
            </w:r>
          </w:p>
        </w:tc>
      </w:tr>
      <w:tr>
        <w:trPr>
          <w:trHeight w:val="182"/>
        </w:trPr>
        <w:tc>
          <w:tcPr>
            <w:tcW w:w="8440" w:type="dxa"/>
            <w:vAlign w:val="bottom"/>
          </w:tcPr>
          <w:p>
            <w:pPr>
              <w:ind w:left="140"/>
              <w:spacing w:after="0"/>
              <w:rPr>
                <w:sz w:val="20"/>
                <w:szCs w:val="20"/>
                <w:color w:val="auto"/>
              </w:rPr>
            </w:pPr>
            <w:r>
              <w:rPr>
                <w:rFonts w:ascii="Arial" w:cs="Arial" w:eastAsia="Arial" w:hAnsi="Arial"/>
                <w:sz w:val="14"/>
                <w:szCs w:val="14"/>
                <w:color w:val="auto"/>
              </w:rPr>
              <w:t>Deferred taxes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49,264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30,551</w:t>
            </w:r>
          </w:p>
        </w:tc>
      </w:tr>
      <w:tr>
        <w:trPr>
          <w:trHeight w:val="20"/>
        </w:trPr>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(income) loss, net</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440" w:type="dxa"/>
            <w:vAlign w:val="bottom"/>
          </w:tcPr>
          <w:p>
            <w:pPr>
              <w:ind w:left="140"/>
              <w:spacing w:after="0"/>
              <w:rPr>
                <w:sz w:val="20"/>
                <w:szCs w:val="20"/>
                <w:color w:val="auto"/>
              </w:rPr>
            </w:pPr>
            <w:r>
              <w:rPr>
                <w:rFonts w:ascii="Arial" w:cs="Arial" w:eastAsia="Arial" w:hAnsi="Arial"/>
                <w:sz w:val="14"/>
                <w:szCs w:val="14"/>
                <w:color w:val="auto"/>
              </w:rPr>
              <w:t>(Increase) decrease in operating assets: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Receivable from/payable to brokers and dealers and clearing organizations, net</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2"/>
        </w:trPr>
        <w:tc>
          <w:tcPr>
            <w:tcW w:w="8440" w:type="dxa"/>
            <w:vAlign w:val="bottom"/>
          </w:tcPr>
          <w:p>
            <w:pPr>
              <w:ind w:left="220"/>
              <w:spacing w:after="0"/>
              <w:rPr>
                <w:sz w:val="20"/>
                <w:szCs w:val="20"/>
                <w:color w:val="auto"/>
              </w:rPr>
            </w:pPr>
            <w:r>
              <w:rPr>
                <w:rFonts w:ascii="Arial" w:cs="Arial" w:eastAsia="Arial" w:hAnsi="Arial"/>
                <w:sz w:val="14"/>
                <w:szCs w:val="14"/>
                <w:color w:val="auto"/>
              </w:rPr>
              <w:t>Deposits with clearing organizations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(5,666)</w:t>
            </w:r>
          </w:p>
        </w:tc>
      </w:tr>
      <w:tr>
        <w:trPr>
          <w:trHeight w:val="20"/>
        </w:trPr>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9"/>
        </w:trPr>
        <w:tc>
          <w:tcPr>
            <w:tcW w:w="8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(18,239)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(30,638)</w:t>
            </w:r>
          </w:p>
        </w:tc>
      </w:tr>
      <w:tr>
        <w:trPr>
          <w:trHeight w:val="182"/>
        </w:trPr>
        <w:tc>
          <w:tcPr>
            <w:tcW w:w="8440" w:type="dxa"/>
            <w:vAlign w:val="bottom"/>
          </w:tcPr>
          <w:p>
            <w:pPr>
              <w:ind w:left="220"/>
              <w:spacing w:after="0"/>
              <w:rPr>
                <w:sz w:val="20"/>
                <w:szCs w:val="20"/>
                <w:color w:val="auto"/>
              </w:rPr>
            </w:pPr>
            <w:r>
              <w:rPr>
                <w:rFonts w:ascii="Arial" w:cs="Arial" w:eastAsia="Arial" w:hAnsi="Arial"/>
                <w:sz w:val="14"/>
                <w:szCs w:val="14"/>
                <w:color w:val="auto"/>
              </w:rPr>
              <w:t>Receivable and due from affiliates/payable and due to affiliates, net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(5,277)</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(3,928)</w:t>
            </w:r>
          </w:p>
        </w:tc>
      </w:tr>
      <w:tr>
        <w:trPr>
          <w:trHeight w:val="20"/>
        </w:trPr>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 assets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1,334</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(8,063)</w:t>
            </w:r>
          </w:p>
        </w:tc>
      </w:tr>
      <w:tr>
        <w:trPr>
          <w:trHeight w:val="186"/>
        </w:trPr>
        <w:tc>
          <w:tcPr>
            <w:tcW w:w="8440" w:type="dxa"/>
            <w:vAlign w:val="bottom"/>
          </w:tcPr>
          <w:p>
            <w:pPr>
              <w:ind w:left="140"/>
              <w:spacing w:after="0"/>
              <w:rPr>
                <w:sz w:val="20"/>
                <w:szCs w:val="20"/>
                <w:color w:val="auto"/>
              </w:rPr>
            </w:pPr>
            <w:r>
              <w:rPr>
                <w:rFonts w:ascii="Arial" w:cs="Arial" w:eastAsia="Arial" w:hAnsi="Arial"/>
                <w:sz w:val="14"/>
                <w:szCs w:val="14"/>
                <w:color w:val="auto"/>
              </w:rPr>
              <w:t>Increase (decrease) in operating liabilities: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Accrued compensation</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(66,974)</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(61,919)</w:t>
            </w:r>
          </w:p>
        </w:tc>
      </w:tr>
      <w:tr>
        <w:trPr>
          <w:trHeight w:val="186"/>
        </w:trPr>
        <w:tc>
          <w:tcPr>
            <w:tcW w:w="8440" w:type="dxa"/>
            <w:vAlign w:val="bottom"/>
          </w:tcPr>
          <w:p>
            <w:pPr>
              <w:ind w:left="220"/>
              <w:spacing w:after="0"/>
              <w:rPr>
                <w:sz w:val="20"/>
                <w:szCs w:val="20"/>
                <w:color w:val="auto"/>
              </w:rPr>
            </w:pPr>
            <w:r>
              <w:rPr>
                <w:rFonts w:ascii="Arial" w:cs="Arial" w:eastAsia="Arial" w:hAnsi="Arial"/>
                <w:sz w:val="14"/>
                <w:szCs w:val="14"/>
                <w:color w:val="auto"/>
              </w:rPr>
              <w:t>Deferred revenue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4,555</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(966)</w:t>
            </w:r>
          </w:p>
        </w:tc>
      </w:tr>
      <w:tr>
        <w:trPr>
          <w:trHeight w:val="211"/>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Accounts payable, accrued expenses and other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(3,997)</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1,007</w:t>
            </w:r>
          </w:p>
        </w:tc>
      </w:tr>
      <w:tr>
        <w:trPr>
          <w:trHeight w:val="203"/>
        </w:trPr>
        <w:tc>
          <w:tcPr>
            <w:tcW w:w="8440" w:type="dxa"/>
            <w:vAlign w:val="bottom"/>
            <w:tcBorders>
              <w:top w:val="single" w:sz="8" w:color="CCEEFF"/>
            </w:tcBorders>
          </w:tcPr>
          <w:p>
            <w:pPr>
              <w:ind w:left="36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283,939</w:t>
            </w:r>
          </w:p>
        </w:tc>
        <w:tc>
          <w:tcPr>
            <w:tcW w:w="8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223,315</w:t>
            </w:r>
          </w:p>
        </w:tc>
      </w:tr>
      <w:tr>
        <w:trPr>
          <w:trHeight w:val="208"/>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82"/>
        </w:trPr>
        <w:tc>
          <w:tcPr>
            <w:tcW w:w="8440" w:type="dxa"/>
            <w:vAlign w:val="bottom"/>
          </w:tcPr>
          <w:p>
            <w:pPr>
              <w:ind w:left="140"/>
              <w:spacing w:after="0"/>
              <w:rPr>
                <w:sz w:val="20"/>
                <w:szCs w:val="20"/>
                <w:color w:val="auto"/>
              </w:rPr>
            </w:pPr>
            <w:r>
              <w:rPr>
                <w:rFonts w:ascii="Arial" w:cs="Arial" w:eastAsia="Arial" w:hAnsi="Arial"/>
                <w:sz w:val="14"/>
                <w:szCs w:val="14"/>
                <w:color w:val="auto"/>
              </w:rPr>
              <w:t>Cash paid for foreign currency call option</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(2,389)</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9"/>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furniture, equipment, software and leasehold improvements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(11,166)</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(14,823)</w:t>
            </w:r>
          </w:p>
        </w:tc>
      </w:tr>
      <w:tr>
        <w:trPr>
          <w:trHeight w:val="182"/>
        </w:trPr>
        <w:tc>
          <w:tcPr>
            <w:tcW w:w="8440" w:type="dxa"/>
            <w:vAlign w:val="bottom"/>
          </w:tcPr>
          <w:p>
            <w:pPr>
              <w:ind w:left="140"/>
              <w:spacing w:after="0"/>
              <w:rPr>
                <w:sz w:val="20"/>
                <w:szCs w:val="20"/>
                <w:color w:val="auto"/>
              </w:rPr>
            </w:pPr>
            <w:r>
              <w:rPr>
                <w:rFonts w:ascii="Arial" w:cs="Arial" w:eastAsia="Arial" w:hAnsi="Arial"/>
                <w:sz w:val="14"/>
                <w:szCs w:val="14"/>
                <w:color w:val="auto"/>
              </w:rPr>
              <w:t>Capitalized software development costs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(20,505)</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(18,264)</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6"/>
        </w:trPr>
        <w:tc>
          <w:tcPr>
            <w:tcW w:w="8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(34,060)</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(33,087)</w:t>
            </w:r>
          </w:p>
        </w:tc>
      </w:tr>
      <w:tr>
        <w:trPr>
          <w:trHeight w:val="174"/>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218"/>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Share repurchases pursuant to share repurchase programs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(30,056)</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(56,323)</w:t>
            </w:r>
          </w:p>
        </w:tc>
      </w:tr>
      <w:tr>
        <w:trPr>
          <w:trHeight w:val="186"/>
        </w:trPr>
        <w:tc>
          <w:tcPr>
            <w:tcW w:w="8440" w:type="dxa"/>
            <w:vAlign w:val="bottom"/>
          </w:tcPr>
          <w:p>
            <w:pPr>
              <w:ind w:left="140"/>
              <w:spacing w:after="0"/>
              <w:rPr>
                <w:sz w:val="20"/>
                <w:szCs w:val="20"/>
                <w:color w:val="auto"/>
              </w:rPr>
            </w:pPr>
            <w:r>
              <w:rPr>
                <w:rFonts w:ascii="Arial" w:cs="Arial" w:eastAsia="Arial" w:hAnsi="Arial"/>
                <w:sz w:val="14"/>
                <w:szCs w:val="14"/>
                <w:color w:val="auto"/>
              </w:rPr>
              <w:t>Proceeds from stock-based compensation exercises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7,582</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7,616</w:t>
            </w:r>
          </w:p>
        </w:tc>
      </w:tr>
      <w:tr>
        <w:trPr>
          <w:trHeight w:val="186"/>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Dividends</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(37,781)</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(32,710)</w:t>
            </w:r>
          </w:p>
        </w:tc>
      </w:tr>
      <w:tr>
        <w:trPr>
          <w:trHeight w:val="182"/>
        </w:trPr>
        <w:tc>
          <w:tcPr>
            <w:tcW w:w="8440" w:type="dxa"/>
            <w:vAlign w:val="bottom"/>
          </w:tcPr>
          <w:p>
            <w:pPr>
              <w:ind w:left="140"/>
              <w:spacing w:after="0"/>
              <w:rPr>
                <w:sz w:val="20"/>
                <w:szCs w:val="20"/>
                <w:color w:val="auto"/>
              </w:rPr>
            </w:pPr>
            <w:r>
              <w:rPr>
                <w:rFonts w:ascii="Arial" w:cs="Arial" w:eastAsia="Arial" w:hAnsi="Arial"/>
                <w:sz w:val="14"/>
                <w:szCs w:val="14"/>
                <w:color w:val="auto"/>
              </w:rPr>
              <w:t>Distributions to non-controlling interests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(5,569)</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(4,746)</w:t>
            </w:r>
          </w:p>
        </w:tc>
      </w:tr>
      <w:tr>
        <w:trPr>
          <w:trHeight w:val="20"/>
        </w:trPr>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Payroll taxes paid for stock-based compensation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(41,748)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(97,976)</w:t>
            </w:r>
          </w:p>
        </w:tc>
      </w:tr>
      <w:tr>
        <w:trPr>
          <w:trHeight w:val="182"/>
        </w:trPr>
        <w:tc>
          <w:tcPr>
            <w:tcW w:w="8440" w:type="dxa"/>
            <w:vAlign w:val="bottom"/>
          </w:tcPr>
          <w:p>
            <w:pPr>
              <w:ind w:left="140"/>
              <w:spacing w:after="0"/>
              <w:rPr>
                <w:sz w:val="20"/>
                <w:szCs w:val="20"/>
                <w:color w:val="auto"/>
              </w:rPr>
            </w:pPr>
            <w:r>
              <w:rPr>
                <w:rFonts w:ascii="Arial" w:cs="Arial" w:eastAsia="Arial" w:hAnsi="Arial"/>
                <w:sz w:val="14"/>
                <w:szCs w:val="14"/>
                <w:color w:val="auto"/>
              </w:rPr>
              <w:t>Payments on tax receivable agreement liability</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(5,724)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(8,995)</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6"/>
        </w:trPr>
        <w:tc>
          <w:tcPr>
            <w:tcW w:w="8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cash used in financing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(113,296)</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(193,134)</w:t>
            </w:r>
          </w:p>
        </w:tc>
      </w:tr>
      <w:tr>
        <w:trPr>
          <w:trHeight w:val="184"/>
        </w:trPr>
        <w:tc>
          <w:tcPr>
            <w:tcW w:w="844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2,589</w:t>
            </w:r>
          </w:p>
        </w:tc>
        <w:tc>
          <w:tcPr>
            <w:tcW w:w="8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(9,423)</w:t>
            </w:r>
          </w:p>
        </w:tc>
      </w:tr>
      <w:tr>
        <w:trPr>
          <w:trHeight w:val="25"/>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139,172</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(12,329)</w:t>
            </w:r>
          </w:p>
        </w:tc>
      </w:tr>
      <w:tr>
        <w:trPr>
          <w:trHeight w:val="190"/>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9"/>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186"/>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of period</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1,258,229</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973,048</w:t>
            </w:r>
          </w:p>
        </w:tc>
      </w:tr>
      <w:tr>
        <w:trPr>
          <w:trHeight w:val="179"/>
        </w:trPr>
        <w:tc>
          <w:tcPr>
            <w:tcW w:w="8440" w:type="dxa"/>
            <w:vAlign w:val="bottom"/>
          </w:tcPr>
          <w:p>
            <w:pPr>
              <w:ind w:left="20"/>
              <w:spacing w:after="0"/>
              <w:rPr>
                <w:sz w:val="20"/>
                <w:szCs w:val="20"/>
                <w:color w:val="auto"/>
              </w:rPr>
            </w:pPr>
            <w:r>
              <w:rPr>
                <w:rFonts w:ascii="Arial" w:cs="Arial" w:eastAsia="Arial" w:hAnsi="Arial"/>
                <w:sz w:val="14"/>
                <w:szCs w:val="14"/>
                <w:color w:val="auto"/>
              </w:rPr>
              <w:t>End of period</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1,397,401</w:t>
            </w:r>
          </w:p>
        </w:tc>
        <w:tc>
          <w:tcPr>
            <w:tcW w:w="6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960,719</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6"/>
                <w:szCs w:val="16"/>
                <w:color w:val="auto"/>
              </w:rPr>
            </w:pPr>
          </w:p>
        </w:tc>
      </w:tr>
      <w:tr>
        <w:trPr>
          <w:trHeight w:val="189"/>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r>
      <w:tr>
        <w:trPr>
          <w:trHeight w:val="26"/>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w w:val="89"/>
              </w:rPr>
              <w:t>2022</w:t>
            </w:r>
          </w:p>
        </w:tc>
      </w:tr>
      <w:tr>
        <w:trPr>
          <w:trHeight w:val="189"/>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04"/>
        </w:trPr>
        <w:tc>
          <w:tcPr>
            <w:tcW w:w="8440" w:type="dxa"/>
            <w:vAlign w:val="bottom"/>
          </w:tcPr>
          <w:p>
            <w:pPr>
              <w:ind w:left="20"/>
              <w:spacing w:after="0"/>
              <w:rPr>
                <w:sz w:val="20"/>
                <w:szCs w:val="20"/>
                <w:color w:val="auto"/>
              </w:rPr>
            </w:pPr>
            <w:r>
              <w:rPr>
                <w:rFonts w:ascii="Arial" w:cs="Arial" w:eastAsia="Arial" w:hAnsi="Arial"/>
                <w:sz w:val="14"/>
                <w:szCs w:val="14"/>
                <w:color w:val="auto"/>
              </w:rPr>
              <w:t>Income taxes paid, net of (refunds)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19,026</w:t>
            </w:r>
          </w:p>
        </w:tc>
        <w:tc>
          <w:tcPr>
            <w:tcW w:w="6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5,326</w:t>
            </w:r>
          </w:p>
        </w:tc>
      </w:tr>
      <w:tr>
        <w:trPr>
          <w:trHeight w:val="26"/>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9"/>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04"/>
        </w:trPr>
        <w:tc>
          <w:tcPr>
            <w:tcW w:w="8440" w:type="dxa"/>
            <w:vAlign w:val="bottom"/>
          </w:tcPr>
          <w:p>
            <w:pPr>
              <w:ind w:left="20"/>
              <w:spacing w:after="0"/>
              <w:rPr>
                <w:sz w:val="20"/>
                <w:szCs w:val="20"/>
                <w:color w:val="auto"/>
              </w:rPr>
            </w:pPr>
            <w:r>
              <w:rPr>
                <w:rFonts w:ascii="Arial" w:cs="Arial" w:eastAsia="Arial" w:hAnsi="Arial"/>
                <w:sz w:val="14"/>
                <w:szCs w:val="14"/>
                <w:color w:val="auto"/>
              </w:rPr>
              <w:t>Furniture, equipment, software and leasehold improvement additions included in accounts payable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1,203</w:t>
            </w:r>
          </w:p>
        </w:tc>
        <w:tc>
          <w:tcPr>
            <w:tcW w:w="6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Unsettled share repurchases included in other liabilities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6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8440" w:type="dxa"/>
            <w:vAlign w:val="bottom"/>
          </w:tcPr>
          <w:p>
            <w:pPr>
              <w:ind w:left="20"/>
              <w:spacing w:after="0"/>
              <w:rPr>
                <w:sz w:val="20"/>
                <w:szCs w:val="20"/>
                <w:color w:val="auto"/>
              </w:rPr>
            </w:pPr>
            <w:r>
              <w:rPr>
                <w:rFonts w:ascii="Arial" w:cs="Arial" w:eastAsia="Arial" w:hAnsi="Arial"/>
                <w:sz w:val="14"/>
                <w:szCs w:val="14"/>
                <w:color w:val="auto"/>
              </w:rPr>
              <w:t>Items arising from LLC Interest ownership changes: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9"/>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189"/>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Establishment of liabilities under tax receivable agreement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27,976</w:t>
            </w:r>
          </w:p>
        </w:tc>
        <w:tc>
          <w:tcPr>
            <w:tcW w:w="6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5,699</w:t>
            </w:r>
          </w:p>
        </w:tc>
      </w:tr>
      <w:tr>
        <w:trPr>
          <w:trHeight w:val="182"/>
        </w:trPr>
        <w:tc>
          <w:tcPr>
            <w:tcW w:w="8440" w:type="dxa"/>
            <w:vAlign w:val="bottom"/>
          </w:tcPr>
          <w:p>
            <w:pPr>
              <w:ind w:left="140"/>
              <w:spacing w:after="0"/>
              <w:rPr>
                <w:sz w:val="20"/>
                <w:szCs w:val="20"/>
                <w:color w:val="auto"/>
              </w:rPr>
            </w:pPr>
            <w:r>
              <w:rPr>
                <w:rFonts w:ascii="Arial" w:cs="Arial" w:eastAsia="Arial" w:hAnsi="Arial"/>
                <w:sz w:val="14"/>
                <w:szCs w:val="14"/>
                <w:color w:val="auto"/>
              </w:rPr>
              <w:t>Deferred tax asset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70,886</w:t>
            </w:r>
          </w:p>
        </w:tc>
        <w:tc>
          <w:tcPr>
            <w:tcW w:w="6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51,824</w:t>
            </w: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48"/>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w:t>
            </w:r>
          </w:p>
        </w:tc>
      </w:tr>
      <w:tr>
        <w:trPr>
          <w:trHeight w:val="209"/>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Reconciliation of cash, cash equivalents and restricted cash as shown on the statements of financial condition:</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r>
      <w:tr>
        <w:trPr>
          <w:trHeight w:val="182"/>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1,395,901</w:t>
            </w:r>
          </w:p>
        </w:tc>
        <w:tc>
          <w:tcPr>
            <w:tcW w:w="2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1,257,229</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4"/>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shown in the statement of cash flows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1,397,401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1,258,229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3051F2"/>
            </w:tcBorders>
          </w:tcPr>
          <w:p>
            <w:pPr>
              <w:spacing w:after="0" w:line="196" w:lineRule="exact"/>
              <w:rPr>
                <w:sz w:val="20"/>
                <w:szCs w:val="20"/>
                <w:color w:val="auto"/>
              </w:rPr>
            </w:pPr>
            <w:r>
              <w:rPr>
                <w:rFonts w:ascii="Arial" w:cs="Arial" w:eastAsia="Arial" w:hAnsi="Arial"/>
                <w:sz w:val="18"/>
                <w:szCs w:val="18"/>
                <w:color w:val="3051F2"/>
                <w:w w:val="90"/>
              </w:rPr>
              <w:t>Note 1</w:t>
            </w:r>
          </w:p>
        </w:tc>
        <w:tc>
          <w:tcPr>
            <w:tcW w:w="380" w:type="dxa"/>
            <w:vAlign w:val="bottom"/>
            <w:gridSpan w:val="3"/>
          </w:tcPr>
          <w:p>
            <w:pPr>
              <w:spacing w:after="0"/>
              <w:rPr>
                <w:sz w:val="17"/>
                <w:szCs w:val="17"/>
                <w:color w:val="auto"/>
              </w:rPr>
            </w:pPr>
          </w:p>
        </w:tc>
        <w:tc>
          <w:tcPr>
            <w:tcW w:w="940" w:type="dxa"/>
            <w:vAlign w:val="bottom"/>
            <w:tcBorders>
              <w:bottom w:val="single" w:sz="8" w:color="3051F2"/>
            </w:tcBorders>
            <w:gridSpan w:val="4"/>
          </w:tcPr>
          <w:p>
            <w:pPr>
              <w:spacing w:after="0" w:line="196" w:lineRule="exact"/>
              <w:rPr>
                <w:sz w:val="20"/>
                <w:szCs w:val="20"/>
                <w:color w:val="auto"/>
              </w:rPr>
            </w:pPr>
            <w:r>
              <w:rPr>
                <w:rFonts w:ascii="Arial" w:cs="Arial" w:eastAsia="Arial" w:hAnsi="Arial"/>
                <w:sz w:val="18"/>
                <w:szCs w:val="18"/>
                <w:color w:val="3051F2"/>
                <w:w w:val="90"/>
              </w:rPr>
              <w:t>Organization</w:t>
            </w:r>
          </w:p>
        </w:tc>
        <w:tc>
          <w:tcPr>
            <w:tcW w:w="3340" w:type="dxa"/>
            <w:vAlign w:val="bottom"/>
            <w:gridSpan w:val="13"/>
          </w:tcPr>
          <w:p>
            <w:pPr>
              <w:spacing w:after="0"/>
              <w:rPr>
                <w:sz w:val="17"/>
                <w:szCs w:val="17"/>
                <w:color w:val="auto"/>
              </w:rPr>
            </w:pPr>
          </w:p>
        </w:tc>
        <w:tc>
          <w:tcPr>
            <w:tcW w:w="6060" w:type="dxa"/>
            <w:vAlign w:val="bottom"/>
            <w:gridSpan w:val="2"/>
          </w:tcPr>
          <w:p>
            <w:pPr>
              <w:jc w:val="right"/>
              <w:spacing w:after="0" w:line="196" w:lineRule="exact"/>
              <w:rPr>
                <w:sz w:val="20"/>
                <w:szCs w:val="20"/>
                <w:color w:val="auto"/>
              </w:rPr>
            </w:pPr>
            <w:r>
              <w:rPr>
                <w:rFonts w:ascii="Arial" w:cs="Arial" w:eastAsia="Arial" w:hAnsi="Arial"/>
                <w:sz w:val="18"/>
                <w:szCs w:val="18"/>
                <w:color w:val="3051F2"/>
              </w:rPr>
              <w:t>16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Borders>
              <w:bottom w:val="single" w:sz="8" w:color="3051F2"/>
            </w:tcBorders>
          </w:tcPr>
          <w:p>
            <w:pPr>
              <w:spacing w:after="0"/>
              <w:rPr>
                <w:sz w:val="20"/>
                <w:szCs w:val="20"/>
                <w:color w:val="auto"/>
              </w:rPr>
            </w:pPr>
            <w:r>
              <w:rPr>
                <w:rFonts w:ascii="Arial" w:cs="Arial" w:eastAsia="Arial" w:hAnsi="Arial"/>
                <w:sz w:val="18"/>
                <w:szCs w:val="18"/>
                <w:color w:val="3051F2"/>
                <w:w w:val="90"/>
              </w:rPr>
              <w:t>Note 2</w:t>
            </w:r>
          </w:p>
        </w:tc>
        <w:tc>
          <w:tcPr>
            <w:tcW w:w="380" w:type="dxa"/>
            <w:vAlign w:val="bottom"/>
            <w:gridSpan w:val="3"/>
          </w:tcPr>
          <w:p>
            <w:pPr>
              <w:spacing w:after="0"/>
              <w:rPr>
                <w:sz w:val="21"/>
                <w:szCs w:val="21"/>
                <w:color w:val="auto"/>
              </w:rPr>
            </w:pPr>
          </w:p>
        </w:tc>
        <w:tc>
          <w:tcPr>
            <w:tcW w:w="2280" w:type="dxa"/>
            <w:vAlign w:val="bottom"/>
            <w:tcBorders>
              <w:bottom w:val="single" w:sz="8" w:color="3051F2"/>
            </w:tcBorders>
            <w:gridSpan w:val="12"/>
          </w:tcPr>
          <w:p>
            <w:pPr>
              <w:spacing w:after="0"/>
              <w:rPr>
                <w:sz w:val="20"/>
                <w:szCs w:val="20"/>
                <w:color w:val="auto"/>
              </w:rPr>
            </w:pPr>
            <w:r>
              <w:rPr>
                <w:rFonts w:ascii="Arial" w:cs="Arial" w:eastAsia="Arial" w:hAnsi="Arial"/>
                <w:sz w:val="18"/>
                <w:szCs w:val="18"/>
                <w:color w:val="3051F2"/>
                <w:w w:val="92"/>
              </w:rPr>
              <w:t>Significant Accounting Policies</w:t>
            </w:r>
          </w:p>
        </w:tc>
        <w:tc>
          <w:tcPr>
            <w:tcW w:w="2000" w:type="dxa"/>
            <w:vAlign w:val="bottom"/>
            <w:gridSpan w:val="5"/>
          </w:tcPr>
          <w:p>
            <w:pPr>
              <w:spacing w:after="0"/>
              <w:rPr>
                <w:sz w:val="21"/>
                <w:szCs w:val="21"/>
                <w:color w:val="auto"/>
              </w:rPr>
            </w:pPr>
          </w:p>
        </w:tc>
        <w:tc>
          <w:tcPr>
            <w:tcW w:w="6060" w:type="dxa"/>
            <w:vAlign w:val="bottom"/>
            <w:gridSpan w:val="2"/>
          </w:tcPr>
          <w:p>
            <w:pPr>
              <w:jc w:val="right"/>
              <w:spacing w:after="0"/>
              <w:rPr>
                <w:sz w:val="20"/>
                <w:szCs w:val="20"/>
                <w:color w:val="auto"/>
              </w:rPr>
            </w:pPr>
            <w:r>
              <w:rPr>
                <w:rFonts w:ascii="Arial" w:cs="Arial" w:eastAsia="Arial" w:hAnsi="Arial"/>
                <w:sz w:val="18"/>
                <w:szCs w:val="18"/>
                <w:color w:val="3051F2"/>
              </w:rPr>
              <w:t>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Borders>
              <w:bottom w:val="single" w:sz="8" w:color="3051F2"/>
            </w:tcBorders>
          </w:tcPr>
          <w:p>
            <w:pPr>
              <w:spacing w:after="0"/>
              <w:rPr>
                <w:sz w:val="20"/>
                <w:szCs w:val="20"/>
                <w:color w:val="auto"/>
              </w:rPr>
            </w:pPr>
            <w:r>
              <w:rPr>
                <w:rFonts w:ascii="Arial" w:cs="Arial" w:eastAsia="Arial" w:hAnsi="Arial"/>
                <w:sz w:val="18"/>
                <w:szCs w:val="18"/>
                <w:color w:val="3051F2"/>
                <w:w w:val="90"/>
              </w:rPr>
              <w:t>Note 3</w:t>
            </w:r>
          </w:p>
        </w:tc>
        <w:tc>
          <w:tcPr>
            <w:tcW w:w="380" w:type="dxa"/>
            <w:vAlign w:val="bottom"/>
            <w:gridSpan w:val="3"/>
          </w:tcPr>
          <w:p>
            <w:pPr>
              <w:spacing w:after="0"/>
              <w:rPr>
                <w:sz w:val="21"/>
                <w:szCs w:val="21"/>
                <w:color w:val="auto"/>
              </w:rPr>
            </w:pPr>
          </w:p>
        </w:tc>
        <w:tc>
          <w:tcPr>
            <w:tcW w:w="1140" w:type="dxa"/>
            <w:vAlign w:val="bottom"/>
            <w:tcBorders>
              <w:bottom w:val="single" w:sz="8" w:color="3051F2"/>
            </w:tcBorders>
            <w:gridSpan w:val="6"/>
          </w:tcPr>
          <w:p>
            <w:pPr>
              <w:spacing w:after="0"/>
              <w:rPr>
                <w:sz w:val="20"/>
                <w:szCs w:val="20"/>
                <w:color w:val="auto"/>
              </w:rPr>
            </w:pPr>
            <w:r>
              <w:rPr>
                <w:rFonts w:ascii="Arial" w:cs="Arial" w:eastAsia="Arial" w:hAnsi="Arial"/>
                <w:sz w:val="18"/>
                <w:szCs w:val="18"/>
                <w:color w:val="3051F2"/>
                <w:w w:val="87"/>
              </w:rPr>
              <w:t>Restricted Cash</w:t>
            </w:r>
          </w:p>
        </w:tc>
        <w:tc>
          <w:tcPr>
            <w:tcW w:w="3140" w:type="dxa"/>
            <w:vAlign w:val="bottom"/>
            <w:gridSpan w:val="11"/>
          </w:tcPr>
          <w:p>
            <w:pPr>
              <w:spacing w:after="0"/>
              <w:rPr>
                <w:sz w:val="21"/>
                <w:szCs w:val="21"/>
                <w:color w:val="auto"/>
              </w:rPr>
            </w:pPr>
          </w:p>
        </w:tc>
        <w:tc>
          <w:tcPr>
            <w:tcW w:w="6060" w:type="dxa"/>
            <w:vAlign w:val="bottom"/>
            <w:gridSpan w:val="2"/>
          </w:tcPr>
          <w:p>
            <w:pPr>
              <w:jc w:val="right"/>
              <w:spacing w:after="0"/>
              <w:rPr>
                <w:sz w:val="20"/>
                <w:szCs w:val="20"/>
                <w:color w:val="auto"/>
              </w:rPr>
            </w:pPr>
            <w:r>
              <w:rPr>
                <w:rFonts w:ascii="Arial" w:cs="Arial" w:eastAsia="Arial" w:hAnsi="Arial"/>
                <w:sz w:val="18"/>
                <w:szCs w:val="18"/>
                <w:color w:val="3051F2"/>
              </w:rPr>
              <w:t>24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3051F2"/>
                <w:w w:val="90"/>
              </w:rPr>
              <w:t>Note 4</w:t>
            </w:r>
          </w:p>
        </w:tc>
        <w:tc>
          <w:tcPr>
            <w:tcW w:w="380" w:type="dxa"/>
            <w:vAlign w:val="bottom"/>
            <w:gridSpan w:val="3"/>
          </w:tcPr>
          <w:p>
            <w:pPr>
              <w:spacing w:after="0"/>
              <w:rPr>
                <w:sz w:val="20"/>
                <w:szCs w:val="20"/>
                <w:color w:val="auto"/>
              </w:rPr>
            </w:pPr>
          </w:p>
        </w:tc>
        <w:tc>
          <w:tcPr>
            <w:tcW w:w="4280" w:type="dxa"/>
            <w:vAlign w:val="bottom"/>
            <w:gridSpan w:val="17"/>
          </w:tcPr>
          <w:p>
            <w:pPr>
              <w:spacing w:after="0"/>
              <w:rPr>
                <w:sz w:val="20"/>
                <w:szCs w:val="20"/>
                <w:color w:val="auto"/>
              </w:rPr>
            </w:pPr>
            <w:r>
              <w:rPr>
                <w:rFonts w:ascii="Arial" w:cs="Arial" w:eastAsia="Arial" w:hAnsi="Arial"/>
                <w:sz w:val="18"/>
                <w:szCs w:val="18"/>
                <w:color w:val="3051F2"/>
              </w:rPr>
              <w:t>Acquisitions</w:t>
            </w:r>
          </w:p>
        </w:tc>
        <w:tc>
          <w:tcPr>
            <w:tcW w:w="6060" w:type="dxa"/>
            <w:vAlign w:val="bottom"/>
            <w:gridSpan w:val="2"/>
          </w:tcPr>
          <w:p>
            <w:pPr>
              <w:jc w:val="right"/>
              <w:spacing w:after="0"/>
              <w:rPr>
                <w:sz w:val="20"/>
                <w:szCs w:val="20"/>
                <w:color w:val="auto"/>
              </w:rPr>
            </w:pPr>
            <w:r>
              <w:rPr>
                <w:rFonts w:ascii="Arial" w:cs="Arial" w:eastAsia="Arial" w:hAnsi="Arial"/>
                <w:sz w:val="18"/>
                <w:szCs w:val="18"/>
                <w:color w:val="3051F2"/>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Borders>
              <w:top w:val="single" w:sz="8" w:color="3051F2"/>
              <w:bottom w:val="single" w:sz="8" w:color="3051F2"/>
            </w:tcBorders>
          </w:tcPr>
          <w:p>
            <w:pPr>
              <w:spacing w:after="0"/>
              <w:rPr>
                <w:sz w:val="20"/>
                <w:szCs w:val="20"/>
                <w:color w:val="auto"/>
              </w:rPr>
            </w:pPr>
            <w:r>
              <w:rPr>
                <w:rFonts w:ascii="Arial" w:cs="Arial" w:eastAsia="Arial" w:hAnsi="Arial"/>
                <w:sz w:val="18"/>
                <w:szCs w:val="18"/>
                <w:color w:val="3051F2"/>
                <w:w w:val="90"/>
              </w:rPr>
              <w:t>Note 5</w:t>
            </w:r>
          </w:p>
        </w:tc>
        <w:tc>
          <w:tcPr>
            <w:tcW w:w="380" w:type="dxa"/>
            <w:vAlign w:val="bottom"/>
            <w:gridSpan w:val="3"/>
          </w:tcPr>
          <w:p>
            <w:pPr>
              <w:spacing w:after="0"/>
              <w:rPr>
                <w:sz w:val="19"/>
                <w:szCs w:val="19"/>
                <w:color w:val="auto"/>
              </w:rPr>
            </w:pPr>
          </w:p>
        </w:tc>
        <w:tc>
          <w:tcPr>
            <w:tcW w:w="620" w:type="dxa"/>
            <w:vAlign w:val="bottom"/>
            <w:tcBorders>
              <w:top w:val="single" w:sz="8" w:color="3051F2"/>
              <w:bottom w:val="single" w:sz="8" w:color="3051F2"/>
            </w:tcBorders>
          </w:tcPr>
          <w:p>
            <w:pPr>
              <w:spacing w:after="0"/>
              <w:rPr>
                <w:sz w:val="20"/>
                <w:szCs w:val="20"/>
                <w:color w:val="auto"/>
              </w:rPr>
            </w:pPr>
            <w:r>
              <w:rPr>
                <w:rFonts w:ascii="Arial" w:cs="Arial" w:eastAsia="Arial" w:hAnsi="Arial"/>
                <w:sz w:val="18"/>
                <w:szCs w:val="18"/>
                <w:color w:val="3051F2"/>
                <w:w w:val="83"/>
              </w:rPr>
              <w:t>Revenue</w:t>
            </w:r>
          </w:p>
        </w:tc>
        <w:tc>
          <w:tcPr>
            <w:tcW w:w="200" w:type="dxa"/>
            <w:vAlign w:val="bottom"/>
            <w:tcBorders>
              <w:top w:val="single" w:sz="8" w:color="3051F2"/>
              <w:bottom w:val="single" w:sz="8" w:color="3051F2"/>
            </w:tcBorders>
          </w:tcPr>
          <w:p>
            <w:pPr>
              <w:spacing w:after="0"/>
              <w:rPr>
                <w:sz w:val="19"/>
                <w:szCs w:val="19"/>
                <w:color w:val="auto"/>
              </w:rPr>
            </w:pPr>
          </w:p>
        </w:tc>
        <w:tc>
          <w:tcPr>
            <w:tcW w:w="80" w:type="dxa"/>
            <w:vAlign w:val="bottom"/>
            <w:tcBorders>
              <w:top w:val="single" w:sz="8" w:color="3051F2"/>
              <w:bottom w:val="single" w:sz="8" w:color="3051F2"/>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3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60" w:type="dxa"/>
            <w:vAlign w:val="bottom"/>
            <w:gridSpan w:val="2"/>
          </w:tcPr>
          <w:p>
            <w:pPr>
              <w:jc w:val="right"/>
              <w:spacing w:after="0"/>
              <w:rPr>
                <w:sz w:val="20"/>
                <w:szCs w:val="20"/>
                <w:color w:val="auto"/>
              </w:rPr>
            </w:pPr>
            <w:r>
              <w:rPr>
                <w:rFonts w:ascii="Arial" w:cs="Arial" w:eastAsia="Arial" w:hAnsi="Arial"/>
                <w:sz w:val="18"/>
                <w:szCs w:val="18"/>
                <w:color w:val="3051F2"/>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5"/>
            <w:vMerge w:val="restart"/>
          </w:tcPr>
          <w:p>
            <w:pPr>
              <w:spacing w:after="0"/>
              <w:rPr>
                <w:sz w:val="20"/>
                <w:szCs w:val="20"/>
                <w:color w:val="auto"/>
              </w:rPr>
            </w:pPr>
            <w:r>
              <w:rPr>
                <w:rFonts w:ascii="Arial" w:cs="Arial" w:eastAsia="Arial" w:hAnsi="Arial"/>
                <w:sz w:val="18"/>
                <w:szCs w:val="18"/>
                <w:color w:val="3051F2"/>
                <w:w w:val="86"/>
              </w:rPr>
              <w:t>Income Taxes</w:t>
            </w: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60" w:type="dxa"/>
            <w:vAlign w:val="bottom"/>
            <w:gridSpan w:val="2"/>
            <w:vMerge w:val="restart"/>
          </w:tcPr>
          <w:p>
            <w:pPr>
              <w:jc w:val="right"/>
              <w:spacing w:after="0"/>
              <w:rPr>
                <w:sz w:val="20"/>
                <w:szCs w:val="20"/>
                <w:color w:val="auto"/>
              </w:rPr>
            </w:pPr>
            <w:r>
              <w:rPr>
                <w:rFonts w:ascii="Arial" w:cs="Arial" w:eastAsia="Arial" w:hAnsi="Arial"/>
                <w:sz w:val="18"/>
                <w:szCs w:val="18"/>
                <w:color w:val="3051F2"/>
              </w:rPr>
              <w:t>26</w:t>
            </w: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80" w:type="dxa"/>
            <w:vAlign w:val="bottom"/>
            <w:gridSpan w:val="4"/>
          </w:tcPr>
          <w:p>
            <w:pPr>
              <w:spacing w:after="0"/>
              <w:rPr>
                <w:sz w:val="20"/>
                <w:szCs w:val="20"/>
                <w:color w:val="auto"/>
              </w:rPr>
            </w:pPr>
            <w:r>
              <w:rPr>
                <w:rFonts w:ascii="Arial" w:cs="Arial" w:eastAsia="Arial" w:hAnsi="Arial"/>
                <w:sz w:val="18"/>
                <w:szCs w:val="18"/>
                <w:color w:val="3051F2"/>
              </w:rPr>
              <w:t>Note 6</w:t>
            </w:r>
          </w:p>
        </w:tc>
        <w:tc>
          <w:tcPr>
            <w:tcW w:w="1000" w:type="dxa"/>
            <w:vAlign w:val="bottom"/>
            <w:tcBorders>
              <w:bottom w:val="single" w:sz="8" w:color="3051F2"/>
            </w:tcBorders>
            <w:gridSpan w:val="5"/>
            <w:vMerge w:val="continue"/>
          </w:tcPr>
          <w:p>
            <w:pPr>
              <w:spacing w:after="0"/>
              <w:rPr>
                <w:sz w:val="18"/>
                <w:szCs w:val="18"/>
                <w:color w:val="auto"/>
              </w:rPr>
            </w:pPr>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gridSpan w:val="11"/>
            <w:vMerge w:val="restart"/>
          </w:tcPr>
          <w:p>
            <w:pPr>
              <w:spacing w:after="0"/>
              <w:rPr>
                <w:sz w:val="20"/>
                <w:szCs w:val="20"/>
                <w:color w:val="auto"/>
              </w:rPr>
            </w:pPr>
            <w:r>
              <w:rPr>
                <w:rFonts w:ascii="Arial" w:cs="Arial" w:eastAsia="Arial" w:hAnsi="Arial"/>
                <w:sz w:val="18"/>
                <w:szCs w:val="18"/>
                <w:color w:val="3051F2"/>
                <w:w w:val="88"/>
              </w:rPr>
              <w:t>Tax Receivable Agreement</w:t>
            </w: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60" w:type="dxa"/>
            <w:vAlign w:val="bottom"/>
            <w:gridSpan w:val="2"/>
            <w:vMerge w:val="restart"/>
          </w:tcPr>
          <w:p>
            <w:pPr>
              <w:jc w:val="right"/>
              <w:spacing w:after="0"/>
              <w:rPr>
                <w:sz w:val="20"/>
                <w:szCs w:val="20"/>
                <w:color w:val="auto"/>
              </w:rPr>
            </w:pPr>
            <w:r>
              <w:rPr>
                <w:rFonts w:ascii="Arial" w:cs="Arial" w:eastAsia="Arial" w:hAnsi="Arial"/>
                <w:sz w:val="18"/>
                <w:szCs w:val="18"/>
                <w:color w:val="3051F2"/>
              </w:rPr>
              <w:t>27</w:t>
            </w: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80" w:type="dxa"/>
            <w:vAlign w:val="bottom"/>
            <w:gridSpan w:val="4"/>
          </w:tcPr>
          <w:p>
            <w:pPr>
              <w:spacing w:after="0"/>
              <w:rPr>
                <w:sz w:val="20"/>
                <w:szCs w:val="20"/>
                <w:color w:val="auto"/>
              </w:rPr>
            </w:pPr>
            <w:r>
              <w:rPr>
                <w:rFonts w:ascii="Arial" w:cs="Arial" w:eastAsia="Arial" w:hAnsi="Arial"/>
                <w:sz w:val="18"/>
                <w:szCs w:val="18"/>
                <w:color w:val="3051F2"/>
              </w:rPr>
              <w:t>Note 7</w:t>
            </w:r>
          </w:p>
        </w:tc>
        <w:tc>
          <w:tcPr>
            <w:tcW w:w="1940" w:type="dxa"/>
            <w:vAlign w:val="bottom"/>
            <w:tcBorders>
              <w:bottom w:val="single" w:sz="8" w:color="3051F2"/>
            </w:tcBorders>
            <w:gridSpan w:val="11"/>
            <w:vMerge w:val="continue"/>
          </w:tcPr>
          <w:p>
            <w:pPr>
              <w:spacing w:after="0"/>
              <w:rPr>
                <w:sz w:val="18"/>
                <w:szCs w:val="18"/>
                <w:color w:val="auto"/>
              </w:rPr>
            </w:pPr>
          </w:p>
        </w:tc>
        <w:tc>
          <w:tcPr>
            <w:tcW w:w="4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gridSpan w:val="9"/>
            <w:vMerge w:val="restart"/>
          </w:tcPr>
          <w:p>
            <w:pPr>
              <w:spacing w:after="0"/>
              <w:rPr>
                <w:sz w:val="20"/>
                <w:szCs w:val="20"/>
                <w:color w:val="auto"/>
              </w:rPr>
            </w:pPr>
            <w:r>
              <w:rPr>
                <w:rFonts w:ascii="Arial" w:cs="Arial" w:eastAsia="Arial" w:hAnsi="Arial"/>
                <w:sz w:val="18"/>
                <w:szCs w:val="18"/>
                <w:color w:val="3051F2"/>
                <w:w w:val="92"/>
              </w:rPr>
              <w:t>Non-Controlling Interests</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60" w:type="dxa"/>
            <w:vAlign w:val="bottom"/>
            <w:gridSpan w:val="2"/>
            <w:vMerge w:val="restart"/>
          </w:tcPr>
          <w:p>
            <w:pPr>
              <w:jc w:val="right"/>
              <w:spacing w:after="0"/>
              <w:rPr>
                <w:sz w:val="20"/>
                <w:szCs w:val="20"/>
                <w:color w:val="auto"/>
              </w:rPr>
            </w:pPr>
            <w:r>
              <w:rPr>
                <w:rFonts w:ascii="Arial" w:cs="Arial" w:eastAsia="Arial" w:hAnsi="Arial"/>
                <w:sz w:val="18"/>
                <w:szCs w:val="18"/>
                <w:color w:val="3051F2"/>
              </w:rPr>
              <w:t>28</w:t>
            </w: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80" w:type="dxa"/>
            <w:vAlign w:val="bottom"/>
            <w:gridSpan w:val="4"/>
          </w:tcPr>
          <w:p>
            <w:pPr>
              <w:spacing w:after="0"/>
              <w:rPr>
                <w:sz w:val="20"/>
                <w:szCs w:val="20"/>
                <w:color w:val="auto"/>
              </w:rPr>
            </w:pPr>
            <w:r>
              <w:rPr>
                <w:rFonts w:ascii="Arial" w:cs="Arial" w:eastAsia="Arial" w:hAnsi="Arial"/>
                <w:sz w:val="18"/>
                <w:szCs w:val="18"/>
                <w:color w:val="3051F2"/>
              </w:rPr>
              <w:t>Note 8</w:t>
            </w:r>
          </w:p>
        </w:tc>
        <w:tc>
          <w:tcPr>
            <w:tcW w:w="1860" w:type="dxa"/>
            <w:vAlign w:val="bottom"/>
            <w:tcBorders>
              <w:bottom w:val="single" w:sz="8" w:color="3051F2"/>
            </w:tcBorders>
            <w:gridSpan w:val="9"/>
            <w:vMerge w:val="continue"/>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80" w:type="dxa"/>
            <w:vAlign w:val="bottom"/>
            <w:gridSpan w:val="17"/>
            <w:vMerge w:val="restart"/>
          </w:tcPr>
          <w:p>
            <w:pPr>
              <w:spacing w:after="0"/>
              <w:rPr>
                <w:sz w:val="20"/>
                <w:szCs w:val="20"/>
                <w:color w:val="auto"/>
              </w:rPr>
            </w:pPr>
            <w:r>
              <w:rPr>
                <w:rFonts w:ascii="Arial" w:cs="Arial" w:eastAsia="Arial" w:hAnsi="Arial"/>
                <w:sz w:val="18"/>
                <w:szCs w:val="18"/>
                <w:color w:val="3051F2"/>
                <w:w w:val="89"/>
              </w:rPr>
              <w:t>Stockholders’ Equity and Stock-Based Compensation Plans</w:t>
            </w:r>
          </w:p>
        </w:tc>
        <w:tc>
          <w:tcPr>
            <w:tcW w:w="6060" w:type="dxa"/>
            <w:vAlign w:val="bottom"/>
            <w:gridSpan w:val="2"/>
            <w:vMerge w:val="restart"/>
          </w:tcPr>
          <w:p>
            <w:pPr>
              <w:jc w:val="right"/>
              <w:spacing w:after="0"/>
              <w:rPr>
                <w:sz w:val="20"/>
                <w:szCs w:val="20"/>
                <w:color w:val="auto"/>
              </w:rPr>
            </w:pPr>
            <w:r>
              <w:rPr>
                <w:rFonts w:ascii="Arial" w:cs="Arial" w:eastAsia="Arial" w:hAnsi="Arial"/>
                <w:sz w:val="18"/>
                <w:szCs w:val="18"/>
                <w:color w:val="3051F2"/>
              </w:rPr>
              <w:t>28</w:t>
            </w: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80" w:type="dxa"/>
            <w:vAlign w:val="bottom"/>
            <w:gridSpan w:val="4"/>
          </w:tcPr>
          <w:p>
            <w:pPr>
              <w:spacing w:after="0"/>
              <w:rPr>
                <w:sz w:val="20"/>
                <w:szCs w:val="20"/>
                <w:color w:val="auto"/>
              </w:rPr>
            </w:pPr>
            <w:r>
              <w:rPr>
                <w:rFonts w:ascii="Arial" w:cs="Arial" w:eastAsia="Arial" w:hAnsi="Arial"/>
                <w:sz w:val="18"/>
                <w:szCs w:val="18"/>
                <w:color w:val="3051F2"/>
              </w:rPr>
              <w:t>Note 9</w:t>
            </w:r>
          </w:p>
        </w:tc>
        <w:tc>
          <w:tcPr>
            <w:tcW w:w="4280" w:type="dxa"/>
            <w:vAlign w:val="bottom"/>
            <w:tcBorders>
              <w:bottom w:val="single" w:sz="8" w:color="3051F2"/>
            </w:tcBorders>
            <w:gridSpan w:val="17"/>
            <w:vMerge w:val="continue"/>
          </w:tcPr>
          <w:p>
            <w:pPr>
              <w:spacing w:after="0"/>
              <w:rPr>
                <w:sz w:val="18"/>
                <w:szCs w:val="18"/>
                <w:color w:val="auto"/>
              </w:rPr>
            </w:pPr>
          </w:p>
        </w:tc>
        <w:tc>
          <w:tcPr>
            <w:tcW w:w="6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gridSpan w:val="10"/>
            <w:vMerge w:val="restart"/>
          </w:tcPr>
          <w:p>
            <w:pPr>
              <w:spacing w:after="0"/>
              <w:rPr>
                <w:sz w:val="20"/>
                <w:szCs w:val="20"/>
                <w:color w:val="auto"/>
              </w:rPr>
            </w:pPr>
            <w:r>
              <w:rPr>
                <w:rFonts w:ascii="Arial" w:cs="Arial" w:eastAsia="Arial" w:hAnsi="Arial"/>
                <w:sz w:val="18"/>
                <w:szCs w:val="18"/>
                <w:color w:val="3051F2"/>
                <w:w w:val="87"/>
              </w:rPr>
              <w:t>Related Party Transactions</w:t>
            </w: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60" w:type="dxa"/>
            <w:vAlign w:val="bottom"/>
            <w:gridSpan w:val="2"/>
            <w:vMerge w:val="restart"/>
          </w:tcPr>
          <w:p>
            <w:pPr>
              <w:jc w:val="right"/>
              <w:spacing w:after="0"/>
              <w:rPr>
                <w:sz w:val="20"/>
                <w:szCs w:val="20"/>
                <w:color w:val="auto"/>
              </w:rPr>
            </w:pPr>
            <w:r>
              <w:rPr>
                <w:rFonts w:ascii="Arial" w:cs="Arial" w:eastAsia="Arial" w:hAnsi="Arial"/>
                <w:sz w:val="18"/>
                <w:szCs w:val="18"/>
                <w:color w:val="3051F2"/>
              </w:rPr>
              <w:t>31</w:t>
            </w: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80" w:type="dxa"/>
            <w:vAlign w:val="bottom"/>
            <w:gridSpan w:val="4"/>
          </w:tcPr>
          <w:p>
            <w:pPr>
              <w:spacing w:after="0"/>
              <w:rPr>
                <w:sz w:val="20"/>
                <w:szCs w:val="20"/>
                <w:color w:val="auto"/>
              </w:rPr>
            </w:pPr>
            <w:r>
              <w:rPr>
                <w:rFonts w:ascii="Arial" w:cs="Arial" w:eastAsia="Arial" w:hAnsi="Arial"/>
                <w:sz w:val="18"/>
                <w:szCs w:val="18"/>
                <w:color w:val="3051F2"/>
              </w:rPr>
              <w:t>Note 10</w:t>
            </w:r>
          </w:p>
        </w:tc>
        <w:tc>
          <w:tcPr>
            <w:tcW w:w="1920" w:type="dxa"/>
            <w:vAlign w:val="bottom"/>
            <w:tcBorders>
              <w:bottom w:val="single" w:sz="8" w:color="3051F2"/>
            </w:tcBorders>
            <w:gridSpan w:val="10"/>
            <w:vMerge w:val="continue"/>
          </w:tcPr>
          <w:p>
            <w:pPr>
              <w:spacing w:after="0"/>
              <w:rPr>
                <w:sz w:val="18"/>
                <w:szCs w:val="18"/>
                <w:color w:val="auto"/>
              </w:rPr>
            </w:pPr>
          </w:p>
        </w:tc>
        <w:tc>
          <w:tcPr>
            <w:tcW w:w="4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2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gridSpan w:val="15"/>
            <w:vMerge w:val="restart"/>
          </w:tcPr>
          <w:p>
            <w:pPr>
              <w:spacing w:after="0"/>
              <w:rPr>
                <w:sz w:val="20"/>
                <w:szCs w:val="20"/>
                <w:color w:val="auto"/>
              </w:rPr>
            </w:pPr>
            <w:r>
              <w:rPr>
                <w:rFonts w:ascii="Arial" w:cs="Arial" w:eastAsia="Arial" w:hAnsi="Arial"/>
                <w:sz w:val="18"/>
                <w:szCs w:val="18"/>
                <w:color w:val="3051F2"/>
                <w:w w:val="90"/>
              </w:rPr>
              <w:t>Fair Value of Financial Instruments</w:t>
            </w: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60" w:type="dxa"/>
            <w:vAlign w:val="bottom"/>
            <w:gridSpan w:val="2"/>
            <w:vMerge w:val="restart"/>
          </w:tcPr>
          <w:p>
            <w:pPr>
              <w:jc w:val="right"/>
              <w:spacing w:after="0"/>
              <w:rPr>
                <w:sz w:val="20"/>
                <w:szCs w:val="20"/>
                <w:color w:val="auto"/>
              </w:rPr>
            </w:pPr>
            <w:r>
              <w:rPr>
                <w:rFonts w:ascii="Arial" w:cs="Arial" w:eastAsia="Arial" w:hAnsi="Arial"/>
                <w:sz w:val="18"/>
                <w:szCs w:val="18"/>
                <w:color w:val="3051F2"/>
              </w:rPr>
              <w:t>33</w:t>
            </w: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80" w:type="dxa"/>
            <w:vAlign w:val="bottom"/>
            <w:gridSpan w:val="4"/>
          </w:tcPr>
          <w:p>
            <w:pPr>
              <w:spacing w:after="0"/>
              <w:rPr>
                <w:sz w:val="20"/>
                <w:szCs w:val="20"/>
                <w:color w:val="auto"/>
              </w:rPr>
            </w:pPr>
            <w:r>
              <w:rPr>
                <w:rFonts w:ascii="Arial" w:cs="Arial" w:eastAsia="Arial" w:hAnsi="Arial"/>
                <w:sz w:val="18"/>
                <w:szCs w:val="18"/>
                <w:color w:val="3051F2"/>
              </w:rPr>
              <w:t>Note 11</w:t>
            </w:r>
          </w:p>
        </w:tc>
        <w:tc>
          <w:tcPr>
            <w:tcW w:w="2540" w:type="dxa"/>
            <w:vAlign w:val="bottom"/>
            <w:tcBorders>
              <w:bottom w:val="single" w:sz="8" w:color="3051F2"/>
            </w:tcBorders>
            <w:gridSpan w:val="15"/>
            <w:vMerge w:val="continue"/>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3051F2"/>
                <w:w w:val="90"/>
              </w:rPr>
              <w:t>Credit Risk</w:t>
            </w: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60" w:type="dxa"/>
            <w:vAlign w:val="bottom"/>
            <w:gridSpan w:val="2"/>
            <w:vMerge w:val="restart"/>
          </w:tcPr>
          <w:p>
            <w:pPr>
              <w:jc w:val="right"/>
              <w:spacing w:after="0"/>
              <w:rPr>
                <w:sz w:val="20"/>
                <w:szCs w:val="20"/>
                <w:color w:val="auto"/>
              </w:rPr>
            </w:pPr>
            <w:r>
              <w:rPr>
                <w:rFonts w:ascii="Arial" w:cs="Arial" w:eastAsia="Arial" w:hAnsi="Arial"/>
                <w:sz w:val="18"/>
                <w:szCs w:val="18"/>
                <w:color w:val="3051F2"/>
              </w:rPr>
              <w:t>36</w:t>
            </w: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80" w:type="dxa"/>
            <w:vAlign w:val="bottom"/>
            <w:gridSpan w:val="4"/>
          </w:tcPr>
          <w:p>
            <w:pPr>
              <w:spacing w:after="0"/>
              <w:rPr>
                <w:sz w:val="20"/>
                <w:szCs w:val="20"/>
                <w:color w:val="auto"/>
              </w:rPr>
            </w:pPr>
            <w:r>
              <w:rPr>
                <w:rFonts w:ascii="Arial" w:cs="Arial" w:eastAsia="Arial" w:hAnsi="Arial"/>
                <w:sz w:val="18"/>
                <w:szCs w:val="18"/>
                <w:color w:val="3051F2"/>
              </w:rPr>
              <w:t>Note 12</w:t>
            </w:r>
          </w:p>
        </w:tc>
        <w:tc>
          <w:tcPr>
            <w:tcW w:w="820" w:type="dxa"/>
            <w:vAlign w:val="bottom"/>
            <w:tcBorders>
              <w:bottom w:val="single" w:sz="8" w:color="3051F2"/>
            </w:tcBorders>
            <w:gridSpan w:val="2"/>
            <w:vMerge w:val="continue"/>
          </w:tcPr>
          <w:p>
            <w:pPr>
              <w:spacing w:after="0"/>
              <w:rPr>
                <w:sz w:val="18"/>
                <w:szCs w:val="18"/>
                <w:color w:val="auto"/>
              </w:rPr>
            </w:pPr>
          </w:p>
        </w:tc>
        <w:tc>
          <w:tcPr>
            <w:tcW w:w="54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6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3051F2"/>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gridSpan w:val="13"/>
            <w:vMerge w:val="restart"/>
          </w:tcPr>
          <w:p>
            <w:pPr>
              <w:spacing w:after="0"/>
              <w:rPr>
                <w:sz w:val="20"/>
                <w:szCs w:val="20"/>
                <w:color w:val="auto"/>
              </w:rPr>
            </w:pPr>
            <w:r>
              <w:rPr>
                <w:rFonts w:ascii="Arial" w:cs="Arial" w:eastAsia="Arial" w:hAnsi="Arial"/>
                <w:sz w:val="18"/>
                <w:szCs w:val="18"/>
                <w:color w:val="3051F2"/>
                <w:w w:val="89"/>
              </w:rPr>
              <w:t>Commitments and Contingencies</w:t>
            </w: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60" w:type="dxa"/>
            <w:vAlign w:val="bottom"/>
            <w:gridSpan w:val="2"/>
            <w:vMerge w:val="restart"/>
          </w:tcPr>
          <w:p>
            <w:pPr>
              <w:jc w:val="right"/>
              <w:spacing w:after="0"/>
              <w:rPr>
                <w:sz w:val="20"/>
                <w:szCs w:val="20"/>
                <w:color w:val="auto"/>
              </w:rPr>
            </w:pPr>
            <w:r>
              <w:rPr>
                <w:rFonts w:ascii="Arial" w:cs="Arial" w:eastAsia="Arial" w:hAnsi="Arial"/>
                <w:sz w:val="18"/>
                <w:szCs w:val="18"/>
                <w:color w:val="3051F2"/>
              </w:rPr>
              <w:t>36</w:t>
            </w: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80" w:type="dxa"/>
            <w:vAlign w:val="bottom"/>
            <w:gridSpan w:val="4"/>
          </w:tcPr>
          <w:p>
            <w:pPr>
              <w:spacing w:after="0"/>
              <w:rPr>
                <w:sz w:val="20"/>
                <w:szCs w:val="20"/>
                <w:color w:val="auto"/>
              </w:rPr>
            </w:pPr>
            <w:r>
              <w:rPr>
                <w:rFonts w:ascii="Arial" w:cs="Arial" w:eastAsia="Arial" w:hAnsi="Arial"/>
                <w:sz w:val="18"/>
                <w:szCs w:val="18"/>
                <w:color w:val="3051F2"/>
              </w:rPr>
              <w:t>Note 13</w:t>
            </w:r>
          </w:p>
        </w:tc>
        <w:tc>
          <w:tcPr>
            <w:tcW w:w="2400" w:type="dxa"/>
            <w:vAlign w:val="bottom"/>
            <w:tcBorders>
              <w:bottom w:val="single" w:sz="8" w:color="3051F2"/>
            </w:tcBorders>
            <w:gridSpan w:val="13"/>
            <w:vMerge w:val="continue"/>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6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3051F2"/>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gridSpan w:val="8"/>
            <w:vMerge w:val="restart"/>
          </w:tcPr>
          <w:p>
            <w:pPr>
              <w:spacing w:after="0"/>
              <w:rPr>
                <w:sz w:val="20"/>
                <w:szCs w:val="20"/>
                <w:color w:val="auto"/>
              </w:rPr>
            </w:pPr>
            <w:r>
              <w:rPr>
                <w:rFonts w:ascii="Arial" w:cs="Arial" w:eastAsia="Arial" w:hAnsi="Arial"/>
                <w:sz w:val="18"/>
                <w:szCs w:val="18"/>
                <w:color w:val="3051F2"/>
                <w:w w:val="86"/>
              </w:rPr>
              <w:t>Earnings Per Share</w:t>
            </w: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60" w:type="dxa"/>
            <w:vAlign w:val="bottom"/>
            <w:gridSpan w:val="2"/>
            <w:vMerge w:val="restart"/>
          </w:tcPr>
          <w:p>
            <w:pPr>
              <w:jc w:val="right"/>
              <w:spacing w:after="0"/>
              <w:rPr>
                <w:sz w:val="20"/>
                <w:szCs w:val="20"/>
                <w:color w:val="auto"/>
              </w:rPr>
            </w:pPr>
            <w:r>
              <w:rPr>
                <w:rFonts w:ascii="Arial" w:cs="Arial" w:eastAsia="Arial" w:hAnsi="Arial"/>
                <w:sz w:val="18"/>
                <w:szCs w:val="18"/>
                <w:color w:val="3051F2"/>
              </w:rPr>
              <w:t>38</w:t>
            </w: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80" w:type="dxa"/>
            <w:vAlign w:val="bottom"/>
            <w:gridSpan w:val="4"/>
          </w:tcPr>
          <w:p>
            <w:pPr>
              <w:spacing w:after="0"/>
              <w:rPr>
                <w:sz w:val="20"/>
                <w:szCs w:val="20"/>
                <w:color w:val="auto"/>
              </w:rPr>
            </w:pPr>
            <w:r>
              <w:rPr>
                <w:rFonts w:ascii="Arial" w:cs="Arial" w:eastAsia="Arial" w:hAnsi="Arial"/>
                <w:sz w:val="18"/>
                <w:szCs w:val="18"/>
                <w:color w:val="3051F2"/>
              </w:rPr>
              <w:t>Note 14</w:t>
            </w:r>
          </w:p>
        </w:tc>
        <w:tc>
          <w:tcPr>
            <w:tcW w:w="1380" w:type="dxa"/>
            <w:vAlign w:val="bottom"/>
            <w:tcBorders>
              <w:bottom w:val="single" w:sz="8" w:color="3051F2"/>
            </w:tcBorders>
            <w:gridSpan w:val="8"/>
            <w:vMerge w:val="continue"/>
          </w:tcPr>
          <w:p>
            <w:pPr>
              <w:spacing w:after="0"/>
              <w:rPr>
                <w:sz w:val="18"/>
                <w:szCs w:val="18"/>
                <w:color w:val="auto"/>
              </w:rPr>
            </w:pPr>
          </w:p>
        </w:tc>
        <w:tc>
          <w:tcPr>
            <w:tcW w:w="1040" w:type="dxa"/>
            <w:vAlign w:val="bottom"/>
            <w:gridSpan w:val="6"/>
          </w:tcPr>
          <w:p>
            <w:pPr>
              <w:spacing w:after="0"/>
              <w:rPr>
                <w:sz w:val="18"/>
                <w:szCs w:val="18"/>
                <w:color w:val="auto"/>
              </w:rPr>
            </w:pPr>
          </w:p>
        </w:tc>
        <w:tc>
          <w:tcPr>
            <w:tcW w:w="98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6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3051F2"/>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20" w:type="dxa"/>
            <w:vAlign w:val="bottom"/>
            <w:gridSpan w:val="14"/>
            <w:vMerge w:val="restart"/>
          </w:tcPr>
          <w:p>
            <w:pPr>
              <w:spacing w:after="0"/>
              <w:rPr>
                <w:sz w:val="20"/>
                <w:szCs w:val="20"/>
                <w:color w:val="auto"/>
              </w:rPr>
            </w:pPr>
            <w:r>
              <w:rPr>
                <w:rFonts w:ascii="Arial" w:cs="Arial" w:eastAsia="Arial" w:hAnsi="Arial"/>
                <w:sz w:val="18"/>
                <w:szCs w:val="18"/>
                <w:color w:val="3051F2"/>
                <w:w w:val="90"/>
              </w:rPr>
              <w:t>Regulatory Capital Requirements</w:t>
            </w:r>
          </w:p>
        </w:tc>
        <w:tc>
          <w:tcPr>
            <w:tcW w:w="9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60" w:type="dxa"/>
            <w:vAlign w:val="bottom"/>
            <w:gridSpan w:val="2"/>
            <w:vMerge w:val="restart"/>
          </w:tcPr>
          <w:p>
            <w:pPr>
              <w:jc w:val="right"/>
              <w:spacing w:after="0"/>
              <w:rPr>
                <w:sz w:val="20"/>
                <w:szCs w:val="20"/>
                <w:color w:val="auto"/>
              </w:rPr>
            </w:pPr>
            <w:r>
              <w:rPr>
                <w:rFonts w:ascii="Arial" w:cs="Arial" w:eastAsia="Arial" w:hAnsi="Arial"/>
                <w:sz w:val="18"/>
                <w:szCs w:val="18"/>
                <w:color w:val="3051F2"/>
              </w:rPr>
              <w:t>39</w:t>
            </w: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80" w:type="dxa"/>
            <w:vAlign w:val="bottom"/>
            <w:gridSpan w:val="4"/>
          </w:tcPr>
          <w:p>
            <w:pPr>
              <w:spacing w:after="0"/>
              <w:rPr>
                <w:sz w:val="20"/>
                <w:szCs w:val="20"/>
                <w:color w:val="auto"/>
              </w:rPr>
            </w:pPr>
            <w:r>
              <w:rPr>
                <w:rFonts w:ascii="Arial" w:cs="Arial" w:eastAsia="Arial" w:hAnsi="Arial"/>
                <w:sz w:val="18"/>
                <w:szCs w:val="18"/>
                <w:color w:val="3051F2"/>
              </w:rPr>
              <w:t>Note 15</w:t>
            </w:r>
          </w:p>
        </w:tc>
        <w:tc>
          <w:tcPr>
            <w:tcW w:w="2420" w:type="dxa"/>
            <w:vAlign w:val="bottom"/>
            <w:tcBorders>
              <w:bottom w:val="single" w:sz="8" w:color="3051F2"/>
            </w:tcBorders>
            <w:gridSpan w:val="14"/>
            <w:vMerge w:val="continue"/>
          </w:tcPr>
          <w:p>
            <w:pPr>
              <w:spacing w:after="0"/>
              <w:rPr>
                <w:sz w:val="18"/>
                <w:szCs w:val="18"/>
                <w:color w:val="auto"/>
              </w:rPr>
            </w:pPr>
          </w:p>
        </w:tc>
        <w:tc>
          <w:tcPr>
            <w:tcW w:w="98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6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3051F2"/>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0" w:type="dxa"/>
            <w:vAlign w:val="bottom"/>
            <w:gridSpan w:val="16"/>
            <w:vMerge w:val="restart"/>
          </w:tcPr>
          <w:p>
            <w:pPr>
              <w:spacing w:after="0"/>
              <w:rPr>
                <w:sz w:val="20"/>
                <w:szCs w:val="20"/>
                <w:color w:val="auto"/>
              </w:rPr>
            </w:pPr>
            <w:r>
              <w:rPr>
                <w:rFonts w:ascii="Arial" w:cs="Arial" w:eastAsia="Arial" w:hAnsi="Arial"/>
                <w:sz w:val="18"/>
                <w:szCs w:val="18"/>
                <w:color w:val="3051F2"/>
                <w:w w:val="89"/>
              </w:rPr>
              <w:t>Business Segment and Geographic Information</w:t>
            </w:r>
          </w:p>
        </w:tc>
        <w:tc>
          <w:tcPr>
            <w:tcW w:w="880" w:type="dxa"/>
            <w:vAlign w:val="bottom"/>
          </w:tcPr>
          <w:p>
            <w:pPr>
              <w:spacing w:after="0" w:line="20" w:lineRule="exact"/>
              <w:rPr>
                <w:sz w:val="1"/>
                <w:szCs w:val="1"/>
                <w:color w:val="auto"/>
              </w:rPr>
            </w:pPr>
          </w:p>
        </w:tc>
        <w:tc>
          <w:tcPr>
            <w:tcW w:w="6060" w:type="dxa"/>
            <w:vAlign w:val="bottom"/>
            <w:gridSpan w:val="2"/>
            <w:vMerge w:val="restart"/>
          </w:tcPr>
          <w:p>
            <w:pPr>
              <w:jc w:val="right"/>
              <w:spacing w:after="0"/>
              <w:rPr>
                <w:sz w:val="20"/>
                <w:szCs w:val="20"/>
                <w:color w:val="auto"/>
              </w:rPr>
            </w:pPr>
            <w:r>
              <w:rPr>
                <w:rFonts w:ascii="Arial" w:cs="Arial" w:eastAsia="Arial" w:hAnsi="Arial"/>
                <w:sz w:val="18"/>
                <w:szCs w:val="18"/>
                <w:color w:val="3051F2"/>
              </w:rPr>
              <w:t>40</w:t>
            </w: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80" w:type="dxa"/>
            <w:vAlign w:val="bottom"/>
            <w:gridSpan w:val="4"/>
          </w:tcPr>
          <w:p>
            <w:pPr>
              <w:spacing w:after="0"/>
              <w:rPr>
                <w:sz w:val="20"/>
                <w:szCs w:val="20"/>
                <w:color w:val="auto"/>
              </w:rPr>
            </w:pPr>
            <w:r>
              <w:rPr>
                <w:rFonts w:ascii="Arial" w:cs="Arial" w:eastAsia="Arial" w:hAnsi="Arial"/>
                <w:sz w:val="18"/>
                <w:szCs w:val="18"/>
                <w:color w:val="3051F2"/>
              </w:rPr>
              <w:t>Note 16</w:t>
            </w:r>
          </w:p>
        </w:tc>
        <w:tc>
          <w:tcPr>
            <w:tcW w:w="3400" w:type="dxa"/>
            <w:vAlign w:val="bottom"/>
            <w:tcBorders>
              <w:bottom w:val="single" w:sz="8" w:color="3051F2"/>
            </w:tcBorders>
            <w:gridSpan w:val="16"/>
            <w:vMerge w:val="continue"/>
          </w:tcPr>
          <w:p>
            <w:pPr>
              <w:spacing w:after="0"/>
              <w:rPr>
                <w:sz w:val="18"/>
                <w:szCs w:val="18"/>
                <w:color w:val="auto"/>
              </w:rPr>
            </w:pPr>
          </w:p>
        </w:tc>
        <w:tc>
          <w:tcPr>
            <w:tcW w:w="880" w:type="dxa"/>
            <w:vAlign w:val="bottom"/>
          </w:tcPr>
          <w:p>
            <w:pPr>
              <w:spacing w:after="0"/>
              <w:rPr>
                <w:sz w:val="18"/>
                <w:szCs w:val="18"/>
                <w:color w:val="auto"/>
              </w:rPr>
            </w:pPr>
          </w:p>
        </w:tc>
        <w:tc>
          <w:tcPr>
            <w:tcW w:w="6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3051F2"/>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7"/>
            <w:vMerge w:val="restart"/>
          </w:tcPr>
          <w:p>
            <w:pPr>
              <w:spacing w:after="0"/>
              <w:rPr>
                <w:sz w:val="20"/>
                <w:szCs w:val="20"/>
                <w:color w:val="auto"/>
              </w:rPr>
            </w:pPr>
            <w:r>
              <w:rPr>
                <w:rFonts w:ascii="Arial" w:cs="Arial" w:eastAsia="Arial" w:hAnsi="Arial"/>
                <w:sz w:val="18"/>
                <w:szCs w:val="18"/>
                <w:color w:val="3051F2"/>
                <w:w w:val="85"/>
              </w:rPr>
              <w:t>Subsequent Events</w:t>
            </w:r>
          </w:p>
        </w:tc>
        <w:tc>
          <w:tcPr>
            <w:tcW w:w="204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60" w:type="dxa"/>
            <w:vAlign w:val="bottom"/>
            <w:gridSpan w:val="2"/>
            <w:vMerge w:val="restart"/>
          </w:tcPr>
          <w:p>
            <w:pPr>
              <w:jc w:val="right"/>
              <w:spacing w:after="0"/>
              <w:rPr>
                <w:sz w:val="20"/>
                <w:szCs w:val="20"/>
                <w:color w:val="auto"/>
              </w:rPr>
            </w:pPr>
            <w:r>
              <w:rPr>
                <w:rFonts w:ascii="Arial" w:cs="Arial" w:eastAsia="Arial" w:hAnsi="Arial"/>
                <w:sz w:val="18"/>
                <w:szCs w:val="18"/>
                <w:color w:val="3051F2"/>
              </w:rPr>
              <w:t>41</w:t>
            </w: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80" w:type="dxa"/>
            <w:vAlign w:val="bottom"/>
            <w:gridSpan w:val="4"/>
          </w:tcPr>
          <w:p>
            <w:pPr>
              <w:spacing w:after="0"/>
              <w:rPr>
                <w:sz w:val="20"/>
                <w:szCs w:val="20"/>
                <w:color w:val="auto"/>
              </w:rPr>
            </w:pPr>
            <w:r>
              <w:rPr>
                <w:rFonts w:ascii="Arial" w:cs="Arial" w:eastAsia="Arial" w:hAnsi="Arial"/>
                <w:sz w:val="18"/>
                <w:szCs w:val="18"/>
                <w:color w:val="3051F2"/>
              </w:rPr>
              <w:t>Note 17</w:t>
            </w:r>
          </w:p>
        </w:tc>
        <w:tc>
          <w:tcPr>
            <w:tcW w:w="1360" w:type="dxa"/>
            <w:vAlign w:val="bottom"/>
            <w:tcBorders>
              <w:bottom w:val="single" w:sz="8" w:color="3051F2"/>
            </w:tcBorders>
            <w:gridSpan w:val="7"/>
            <w:vMerge w:val="continue"/>
          </w:tcPr>
          <w:p>
            <w:pPr>
              <w:spacing w:after="0"/>
              <w:rPr>
                <w:sz w:val="18"/>
                <w:szCs w:val="18"/>
                <w:color w:val="auto"/>
              </w:rPr>
            </w:pPr>
          </w:p>
        </w:tc>
        <w:tc>
          <w:tcPr>
            <w:tcW w:w="2920" w:type="dxa"/>
            <w:vAlign w:val="bottom"/>
            <w:gridSpan w:val="10"/>
          </w:tcPr>
          <w:p>
            <w:pPr>
              <w:spacing w:after="0"/>
              <w:rPr>
                <w:sz w:val="18"/>
                <w:szCs w:val="18"/>
                <w:color w:val="auto"/>
              </w:rPr>
            </w:pPr>
          </w:p>
        </w:tc>
        <w:tc>
          <w:tcPr>
            <w:tcW w:w="6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80" w:type="dxa"/>
            <w:vAlign w:val="bottom"/>
            <w:vMerge w:val="restart"/>
          </w:tcPr>
          <w:p>
            <w:pPr>
              <w:jc w:val="right"/>
              <w:ind w:right="4450"/>
              <w:spacing w:after="0"/>
              <w:rPr>
                <w:sz w:val="20"/>
                <w:szCs w:val="20"/>
                <w:color w:val="auto"/>
              </w:rPr>
            </w:pPr>
            <w:r>
              <w:rPr>
                <w:rFonts w:ascii="Arial" w:cs="Arial" w:eastAsia="Arial" w:hAnsi="Arial"/>
                <w:sz w:val="18"/>
                <w:szCs w:val="18"/>
                <w:color w:val="auto"/>
              </w:rPr>
              <w:t>15</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w:t>
      </w:r>
    </w:p>
    <w:p>
      <w:pPr>
        <w:spacing w:after="0" w:line="16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w:t>
      </w:r>
    </w:p>
    <w:p>
      <w:pPr>
        <w:spacing w:after="0" w:line="18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Tradeweb Markets Inc. (the “Corporation”) was incorporated as a Delaware corporation on November 7, 2018 to carry on the business of Tradeweb Markets LLC (“TWM LLC”) following the completion of a series of reorganization transactions on April 4, 2019 (the “Reorganization Transactions”), in connection with Tradeweb Markets Inc.’s initial public offering (the “IPO”), which closed on April 8, 2019. Following the Reorganization Transactions, Refinitiv (as defined below) owned an indirect majority ownership interest in the Company (as defined below).</w:t>
      </w:r>
    </w:p>
    <w:p>
      <w:pPr>
        <w:spacing w:after="0" w:line="14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January 29, 2021, London Stock Exchange Group plc (“LSEG”) completed its acquisition of the Refinitiv business from a consortium, including certain investment funds affiliated with The Blackstone Group Inc. (f/k/a The Blackstone Group L.P.) (“Blackstone”) as well as Thomson Reuters Corporation (“TR”), in an all share transaction (the “LSEG Transaction”).</w:t>
      </w:r>
    </w:p>
    <w:p>
      <w:pPr>
        <w:spacing w:after="0" w:line="1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connection with the LSEG Transaction, the Corporation became a consolidating subsidiary of LSEG. Prior to the LSEG Transaction, the Corporation was a consolidating subsidiary of BCP York Holdings (“BCP”), a company owned by certain investment funds affiliated with Blackstone, through BCP’s previous majority ownership interest in Refinitiv. As used herein, “Refinitiv,” prior to the LSEG Transaction, means Refinitiv Holdings Limited, and unless otherwise stated or the context otherwise requires, all of its direct and indirect subsidiaries, and subsequent to the LSEG Transaction, refers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the Company.</w:t>
      </w:r>
    </w:p>
    <w:p>
      <w:pPr>
        <w:spacing w:after="0" w:line="15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condensed consolidated financial statements. As of June 30, 2023, Tradeweb Markets Inc. owned 90.2% of TWM LLC and the non-controlling interest holders owned the remaining 9.8% of TWM LLC. As of December 31, 2022, Tradeweb Markets Inc. owned 88.7% of TWM LLC and the non-controlling interest holders owned the remaining 11.3% of TWM LLC.</w:t>
      </w:r>
    </w:p>
    <w:p>
      <w:pPr>
        <w:spacing w:after="0" w:line="13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Unless the context otherwise requires, references to the “Company” refer to Tradeweb Markets Inc. and its consolidated subsidiaries, including TWM LLC, following the completion of the Reorganization Transactions, and TWM LLC and its consolidated subsidiaries prior to the completion of the Reorganization Transactions.</w:t>
      </w:r>
    </w:p>
    <w:p>
      <w:pPr>
        <w:spacing w:after="0" w:line="14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is a leader in building and operating electronic marketplaces for a global network of clients across the institutional, wholesale and retail client sectors. The Company’s principal subsidiaries include:</w:t>
      </w:r>
    </w:p>
    <w:p>
      <w:pPr>
        <w:spacing w:after="0" w:line="130" w:lineRule="exact"/>
        <w:rPr>
          <w:sz w:val="20"/>
          <w:szCs w:val="20"/>
          <w:color w:val="auto"/>
        </w:rPr>
      </w:pPr>
    </w:p>
    <w:p>
      <w:pPr>
        <w:ind w:left="660" w:right="1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Tradeweb LLC (“TWL”), a registered broker-dealer under the Securities Exchange Act of 1934, as amended (the “Exchange Act”), a member of the Financial Industry Regulatory Authority (“FINRA”), a member of the Municipal Securities Rulemaking Board (“MSRB”), a registered independent introducing broker with the Commodities Future Trading Commission (“CFTC”) and a member of the National Futures Association (“NFA”).</w:t>
      </w:r>
    </w:p>
    <w:p>
      <w:pPr>
        <w:spacing w:after="0" w:line="159"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Dealerweb Inc. (“DW”) (formerly known as Hilliard Farber &amp; Co., Inc.), a registered broker-dealer under the Exchange Act and a member of FINRA and MSRB. DW is also registered as an introducing broker with the CFTC and a member of the NFA.</w:t>
      </w:r>
    </w:p>
    <w:p>
      <w:pPr>
        <w:spacing w:after="0" w:line="129"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Tradeweb Direct LLC (“TWD”) (formerly known as BondDesk Trading LLC), a registered broker-dealer under the Exchange Act and a member of FINRA and MSRB.</w:t>
      </w:r>
    </w:p>
    <w:p>
      <w:pPr>
        <w:spacing w:after="0" w:line="129"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Tradeweb Europe Limited (“TEL”), a MiFID Investment Firm regulated by the Financial Conduct Authority (the “FCA”) in the UK and certain other global regulators and that maintains branches in Asia.</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 SEF LLC (“TW SEF”), a Swap Execution Facility (“SEF”) regulated by the CFTC and certain other global regulators.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DW SEF LLC (“DW SEF”), a SEF regulated by the CFTC and certain other global regulators.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1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Tradeweb Japan K.K. (“TWJ”), a security house regulated by the Japanese Financial Services Agency (“JFSA”) and the Japan Securities Dealers Association (“JSDA”).</w:t>
      </w:r>
    </w:p>
    <w:p>
      <w:pPr>
        <w:spacing w:after="0" w:line="143"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Tradeweb EU B.V. (“TWEU”), a MiFID Investment Firm regulated by the Netherlands Authority for the Financial Markets (“AFM”), the De Nederlandsche Bank (“DNB”) and certain other global regulators and that maintains a branch in France.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Tradeweb Execution Services Limited (“TESL”), an Investment Firm (“BIPRU Firm”) regulated by the FCA in the UK.</w:t>
      </w:r>
    </w:p>
    <w:p>
      <w:pPr>
        <w:spacing w:after="0" w:line="184" w:lineRule="exact"/>
        <w:rPr>
          <w:rFonts w:ascii="Arial" w:cs="Arial" w:eastAsia="Arial" w:hAnsi="Arial"/>
          <w:sz w:val="18"/>
          <w:szCs w:val="18"/>
          <w:color w:val="auto"/>
        </w:rPr>
      </w:pPr>
    </w:p>
    <w:p>
      <w:pPr>
        <w:ind w:left="660" w:right="38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Tradeweb Commercial Information Consulting (Shanghai) Co., Ltd. a wholly-owned foreign enterprise (WOFE) for the purpose of providing consulting and marketing activities in China. The offshore electronic trading platform is recognized by the People’s Bank of China for the provision of Bond Connect and CIBM Direct.</w:t>
      </w:r>
    </w:p>
    <w:p>
      <w:pPr>
        <w:spacing w:after="0" w:line="156"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Tradeweb Execution Services B.V. (“TESBV”), a MiFID investment firm authorized and regulated by the AFM, with permission to trade on a matched principal basis.</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June 2021, the Company acquired Nasdaq’s U.S. fixed income electronic trading platform, formerly known as eSpeed (the “NFI Acquisition”), which is a fully executable central limit order book (CLOB) for electronic trading in on-the-run (OTR) U.S. government bonds. The NFI Acquisition included the acquisition of Execution Access, LLC, (“EA”), a registered broker-dealer under the Exchange Act and a member of FINRA. In November 2022, EA merged with and into DW with DW being the surviving entity.</w:t>
      </w:r>
    </w:p>
    <w:p>
      <w:pPr>
        <w:spacing w:after="0" w:line="146"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A majority interest of Refinitiv (formerly the Thomson Reuters Financial &amp; Risk Business) was acquired by BCP on October 1, 2018 (the “Refinitiv Transaction”) from TR. The Refinitiv Transaction resulted in a new basis of accounting for certain of the Company’s assets and liabilities beginning on October 1, 2018. See Note 2 – Significant Accounting Policies for a description of pushdown accounting applied as a result of the Refinitiv Transaction.</w:t>
      </w:r>
    </w:p>
    <w:p>
      <w:pPr>
        <w:spacing w:after="0" w:line="12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connection with the Reorganization Transactions, TWM LLC’s limited liability company agreement (the “TWM LLC Agreement”) was amended and restated to, among other things, (i) provide for a new single class of common membership interests in TWM LLC (the “LLC Interests”), (ii) exchange all of the then existing membership interests in TWM LLC for LLC Interests and (iii) appoint the Corporation as the sole manager of TWM LLC. LLC Interests, other than those held by the Corporation, are redeemable or exchangeable in accordance with the TWM LLC Agreement for shares of Class A common stock, par value $0.00001 per share, of the Corporation (the “Class A common stock”) or Class B common stock, par value $0.00001 per share, of the Corporation (the “Class B common stock”), as the case may be, on a one-for-one basis.</w:t>
      </w:r>
    </w:p>
    <w:p>
      <w:pPr>
        <w:spacing w:after="0" w:line="13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used herein, references to “Continuing LLC Owners” refer collectively to (i) those owners of TWM LLC prior to the Reorganization Transactions (the “Original LLC Owners”), including an indirect subsidiary of Refinitiv, certain investment and commercial banks (collectively, the “Bank Stockholders”), and members of management, that continued to own LLC Interests after the completion of the IPO and Reorganization Transactions and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 completion of the Reorganization Transactions, (ii) any subsequent transferee of any Original LLC Owner that has executed a joinder agreement to the TWM LLC Agreement and (iii) solely with respect to the Tax Receivable Agreement (as defined in Note 6 – Tax Receivable Agreement),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w:t>
      </w:r>
    </w:p>
    <w:p>
      <w:pPr>
        <w:spacing w:after="0" w:line="198" w:lineRule="exact"/>
        <w:rPr>
          <w:sz w:val="20"/>
          <w:szCs w:val="20"/>
          <w:color w:val="auto"/>
        </w:rPr>
      </w:pPr>
    </w:p>
    <w:p>
      <w:pPr>
        <w:ind w:left="660" w:right="32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public investors collectively owned 114,668,017 shares of Class A common stock, representing 8.7% of the combined voting power of Tradeweb Markets Inc.’s issued and outstanding common stock and indirectly, through Tradeweb Markets Inc., owned 48.9% of the economic interest in TWM LLC;</w:t>
      </w:r>
    </w:p>
    <w:p>
      <w:pPr>
        <w:spacing w:after="0" w:line="143"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Refinitiv collectively owned 96,933,192 shares of Class B common stock and 22,988,329 shares of Class D common stock, representing 91.2% of the combined voting power of Tradeweb Markets Inc.’s issued and outstanding common stock and directly and indirectly, through Tradeweb Markets Inc., owned 51.1% of the economic interest in TWM LLC; and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2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stockholders that continued to own LLC Interests also collectively owned 92,242 shares of Class D common stock, representing 0.1% of the combined voting power of Tradeweb Markets Inc.’s issued and outstanding common stock. Collectively, these stockholders directly owned less than 0.1% of the economic interest in TWM LLC.</w:t>
      </w:r>
    </w:p>
    <w:p>
      <w:pPr>
        <w:spacing w:after="0" w:line="15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addition, the Company’s basic and diluted earnings per share calculations for the three and six months ended June 30, 2023 were impacted by 241,963 and 266,790, respectively, of weighted average shares resulting from unvested restricted stock units and unsettled vested performance</w:t>
      </w:r>
      <w:r>
        <w:rPr>
          <w:rFonts w:ascii="Arial" w:cs="Arial" w:eastAsia="Arial" w:hAnsi="Arial"/>
          <w:sz w:val="16"/>
          <w:szCs w:val="16"/>
          <w:b w:val="1"/>
          <w:bCs w:val="1"/>
          <w:color w:val="auto"/>
        </w:rPr>
        <w:t>-</w:t>
      </w:r>
      <w:r>
        <w:rPr>
          <w:rFonts w:ascii="Arial" w:cs="Arial" w:eastAsia="Arial" w:hAnsi="Arial"/>
          <w:sz w:val="16"/>
          <w:szCs w:val="16"/>
          <w:color w:val="auto"/>
        </w:rPr>
        <w:t>based restricted stock units that were considered participating securities for purposes of calculating earnings per share in accordance with the two</w:t>
      </w:r>
      <w:r>
        <w:rPr>
          <w:rFonts w:ascii="Arial" w:cs="Arial" w:eastAsia="Arial" w:hAnsi="Arial"/>
          <w:sz w:val="16"/>
          <w:szCs w:val="16"/>
          <w:b w:val="1"/>
          <w:bCs w:val="1"/>
          <w:color w:val="auto"/>
        </w:rPr>
        <w:t>-</w:t>
      </w:r>
      <w:r>
        <w:rPr>
          <w:rFonts w:ascii="Arial" w:cs="Arial" w:eastAsia="Arial" w:hAnsi="Arial"/>
          <w:sz w:val="16"/>
          <w:szCs w:val="16"/>
          <w:color w:val="auto"/>
        </w:rPr>
        <w:t>class method. The Company’s diluted earnings per share calculations for the three and six months ended June 30, 2023 also include 1,587,025 and 1,812,661, respectively, of weighted average shares resulting from the dilutive effect of its equity incentive plans. See Note 14 – Earnings Per Share for additional details.</w:t>
      </w:r>
    </w:p>
    <w:p>
      <w:pPr>
        <w:spacing w:after="0" w:line="11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significant accounting policies: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condensed consolidated financial statements include the accounts of the Company and its subsidiaries. All intercompany transactions and balances have been eliminated in consolidation. As discussed in Note 1 – Organization, as a result of the Reorganization Transactions, Tradeweb Markets Inc. consolidates TWM LLC and its subsidiaries and TWM LLC is considered to be the predecessor to Tradeweb Markets Inc. for financial reporting purposes. Tradeweb Markets Inc. had no business transactions or activities and no substantial assets or liabilities prior to the Reorganization Transactions. The condensed consolidated financial statements represent the financial condition and results of operations of the Company and report a non-controlling interest related to the LLC Interests held by Continuing LLC Owners.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These condensed consolidated financial statements are unaudited and should be read in conjunction with the audited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included in the Company’s Annual Report on Form 10-K for the year ended December 31, 2022. The consolidated financial information as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has been derived from audited financial statements not included herein. These unaudited condensed consolidated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been prepared in accordance with accounting principles generally accepted in the United States of America (“GAAP”) and the rules and regulations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U.S. Securities and Exchange Commission (“SEC”) with respect to interim financial reporting and Form 10-Q. In accordance with such rules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regulations, certain disclosures that are normally included in annual financial statements have been omitted. These unaudited condensed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reflect all normal and recurring adjustments that are, in the opinion of management, necessary for a fair statement of the results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interim periods presented. Operating results for interim periods are not necessarily indicative of the results that may be expected for the full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revenues and expenses during the reporting period. Actual results could differ from those estimates and the difference may be material to the condensed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02"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Certain reclassifications have been made to the December 31, 2022 consolidated statement of financial condition, and related financial information, to conform to the current period presentation. These primarily include reclassifying approximately $2.7 million of related party balances from other assets to receivable and due from affiliates and $5.8 million of related party balances from accounts payable, accrued expenses and other liabilities to payable and due to affiliates. These reclassifications had no impact on total assets, total liabilities or total equity on the consolidated statement of financial condition, nor did they have any impact on the consolidated statements of income, comprehensive income, changes in equity or cash flows.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0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Business combinations are accounted for under the purchase method of accounting pursuant to Accounting Standards Codification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Combinations </w:t>
      </w:r>
      <w:r>
        <w:rPr>
          <w:rFonts w:ascii="Arial" w:cs="Arial" w:eastAsia="Arial" w:hAnsi="Arial"/>
          <w:sz w:val="16"/>
          <w:szCs w:val="16"/>
          <w:color w:val="auto"/>
        </w:rPr>
        <w:t>(“ASC 805”). The total cost of an acquisition is allocated to the underlying net assets based on their respective estimated fair values. The</w:t>
      </w:r>
      <w:r>
        <w:rPr>
          <w:rFonts w:ascii="Arial" w:cs="Arial" w:eastAsia="Arial" w:hAnsi="Arial"/>
          <w:sz w:val="16"/>
          <w:szCs w:val="16"/>
          <w:i w:val="1"/>
          <w:iCs w:val="1"/>
          <w:color w:val="auto"/>
        </w:rPr>
        <w:t xml:space="preserve"> </w:t>
      </w:r>
      <w:r>
        <w:rPr>
          <w:rFonts w:ascii="Arial" w:cs="Arial" w:eastAsia="Arial" w:hAnsi="Arial"/>
          <w:sz w:val="16"/>
          <w:szCs w:val="16"/>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Transaction costs incurred to effect a business combination are expensed as incurred and are included as a component of professional fees in the condensed consolidated statements of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Pushdown Accounting</w:t>
      </w:r>
    </w:p>
    <w:p>
      <w:pPr>
        <w:spacing w:after="0" w:line="20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connection with the Refinitiv Transaction, a majority interest of Refinitiv was acquired by BCP on October 1, 2018 from TR. The Refinitiv Transaction was accounted for by Refinitiv in accordance with the acquisition method of accounting pursuant to ASC 805</w:t>
      </w:r>
      <w:r>
        <w:rPr>
          <w:rFonts w:ascii="Arial" w:cs="Arial" w:eastAsia="Arial" w:hAnsi="Arial"/>
          <w:sz w:val="17"/>
          <w:szCs w:val="17"/>
          <w:i w:val="1"/>
          <w:iCs w:val="1"/>
          <w:color w:val="auto"/>
        </w:rPr>
        <w:t>,</w:t>
      </w:r>
      <w:r>
        <w:rPr>
          <w:rFonts w:ascii="Arial" w:cs="Arial" w:eastAsia="Arial" w:hAnsi="Arial"/>
          <w:sz w:val="17"/>
          <w:szCs w:val="17"/>
          <w:color w:val="auto"/>
        </w:rPr>
        <w:t xml:space="preserve"> 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which resulted in a new fair value basis of accounting for certain of the Company’s assets and liabilities beginning on October 1, 2018. Under the pushdown accounting applied, the excess of the fair value of the Company above the fair value accounting basis of the net assets and liabilities of the Company as of October 1, 2018 was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the Company’s long-lived and indefinite-lived intangible assets, including software development costs.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and cash equivalents consists of cash and highly liquid investments (such as short-term money market instruments) with remaining maturities at the time of purchase of three months or less.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4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Additions to the allowance for credit losses are charged to credit loss expense, which is included in general and administrative expenses in the condensed consolidated statements of income. Aged balances that are determined to be uncollectible are written off against the allowance for credit losses. See Note 12 – Credit Risk for additional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from and Payable to Brokers and Dealers and Clearing Organizations</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Receivable from and payable to brokers and dealers and clearing organizations consists of proceeds from transactions executed on the Company’s wholesale platform which failed to settle due to the inability of a transaction party to deliver or receive the transacted security. These securities transactions are generally collateralized by those securities. Until the failed transaction settles, a receivable from (and a matching payable to) brokers and dealers and clearing organizations is recognized for the proceeds from the unsettled transaction.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 with Clearing Organizations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Deposits with clearing organizations are comprised of cash deposits.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Equipment, Purchased Software and Leasehold Improvements</w:t>
      </w:r>
    </w:p>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Furniture, equipment, purchased software and leasehold improvements are tested for impairment whenever events or changes in circumstances suggest that an asset’s carrying value may not be fully recoverable.</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June 30, 2023 and December 31, 2022, accumulated depreciation related to furniture, equipment, purchased software and leasehold improvements totaled $84.7 million and $73.8 million, respectively. Depreciation expense for furniture, equipment, purchased software and leasehold improvements was $5.3 million and $4.9 million for the three months ended June 30, 2023 and 2022, respectively, and $10.5 million and $9.6 million for the six months ended June 30, 2023 and 2022,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capitalizes costs associated with the development of internal use software at the point at which the conceptual formulation, design and testing of possible software project alternatives have been completed. The Company capitalizes employee compensation and related benefits and third party consulting costs incurred during the application development stage which directly contribute to such development. Such costs are amortized on a straight-line basis over three years. Software development costs acquired as part of the NFI Acquisition were amortized over one year. Costs capitalized as part of the Refinitiv Transaction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2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As of June 30, 2023 and December 31, 2022, accumulated amortization related to software development costs totaled $193.9 million and $166.6 million, respectively. Amortization expense for software development costs was $13.8 million and $13.0 million for the three months ended June 30, 2023 and 2022, respectively, and $27.2 million and $26.0 million for the six months ended June 30, 2023 and 2022,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89" w:lineRule="exact"/>
        <w:rPr>
          <w:sz w:val="20"/>
          <w:szCs w:val="20"/>
          <w:color w:val="auto"/>
        </w:rPr>
      </w:pPr>
    </w:p>
    <w:p>
      <w:pPr>
        <w:ind w:right="180"/>
        <w:spacing w:after="0" w:line="280" w:lineRule="auto"/>
        <w:rPr>
          <w:sz w:val="20"/>
          <w:szCs w:val="20"/>
          <w:color w:val="auto"/>
        </w:rPr>
      </w:pPr>
      <w:r>
        <w:rPr>
          <w:rFonts w:ascii="Arial" w:cs="Arial" w:eastAsia="Arial" w:hAnsi="Arial"/>
          <w:sz w:val="16"/>
          <w:szCs w:val="16"/>
          <w:color w:val="auto"/>
        </w:rPr>
        <w:t>Goodwill includes the excess of the fair value of the Company above the fair value accounting basis of the net assets and liabilities of the Company as previously applied under pushdown accounting in connection with the Refinitiv Transaction. Goodwill also includes the cost of acquired companies in excess of the fair value of identifiable net assets at the acquisition date, including the NFI Acquisition. Goodwill is not amortized, but is tested for impairment annually on October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and between annual tests, whenever events or changes in circumstances indicate that the carrying amount may not be fully recoverable. Goodwill is tested at the reporting unit level, which is defined as an operating segment or one level below the operating segment. The Company consists of one reporting unit for goodwill impairment testing purposes. An impairment loss is recognized if the estimated fair value of a reporting unit is less than its net book value. Such loss is calculated as the difference between the estimated fair value of goodwill and its carrying value.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Goodwill was last tested for impairment on October 1, 2022 and no impairment of goodwill was identified.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8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Intangible assets with a finite life are amortized over the estimated lives, ranging from seven to thirteen years. These intangible assets subject to amortization are tested for impairment whenever events or changes in circumstances suggest that an asset’s or asset group’s carrying value may not be fully recoverable. 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13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As of June 30, 2023 and December 31, 2022, accumulated amortization related to intangible assets totaled $487.8 million and $434.2 million, respectively. Amortization expense for definite-lived intangible assets was $26.8 million for both the three months ended June 30, 2023 and 2022 and was $53.6 million for both the six months ended June 30, 2023 and 2022.</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 Without Readily Determinable Fair Values</w:t>
      </w:r>
    </w:p>
    <w:p>
      <w:pPr>
        <w:spacing w:after="0" w:line="202" w:lineRule="exact"/>
        <w:rPr>
          <w:sz w:val="20"/>
          <w:szCs w:val="20"/>
          <w:color w:val="auto"/>
        </w:rPr>
      </w:pPr>
    </w:p>
    <w:p>
      <w:pPr>
        <w:jc w:val="both"/>
        <w:ind w:right="280"/>
        <w:spacing w:after="0" w:line="301" w:lineRule="auto"/>
        <w:rPr>
          <w:sz w:val="20"/>
          <w:szCs w:val="20"/>
          <w:color w:val="auto"/>
        </w:rPr>
      </w:pPr>
      <w:r>
        <w:rPr>
          <w:rFonts w:ascii="Arial" w:cs="Arial" w:eastAsia="Arial" w:hAnsi="Arial"/>
          <w:sz w:val="16"/>
          <w:szCs w:val="16"/>
          <w:color w:val="auto"/>
        </w:rPr>
        <w:t>Equity Investments without a readily determinable fair value are measured at cost, less impairment, plus or minus observable price changes (in orderly transactions) of an identical or similar investment of the same issuer. If the Company determines that the equity investment is impaired on the basis of a qualitative assessment, the Company will recognize an impairment loss equal to the amount by which the investment’s carrying amount exceeds its fair value. Equity investments are included as a component of other assets on the condensed consolidated statements of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Sold Under Agreements to Repurchase</w:t>
      </w:r>
    </w:p>
    <w:p>
      <w:pPr>
        <w:spacing w:after="0" w:line="189"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From time to time, the Company sells securities under agreements to repurchase in order to facilitate the clearance of securities. Securities sold under agreements to purchase are treated as collateralized financings and are presented in the condensed consolidated statements of financial condition at the amounts of cash received. Receivables and payables arising from these agreements are not offset in the condensed consolidated statements of financial condition.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lease commencement, a right-of-use asset and a lease liability are recognized for all leases with an initial term in excess of 12 months based on the initial present value of the fixed lease payments over the lease term. The lease right-of-use asset also reflects the present value of any initial direct costs, prepaid lease payments and lease incentives. The Company’s leases do not provide a readily determinable implicit discount rate. Therefore, management estimates the Company’s incremental borrowing rate used to discount the lease payments based on the information available at lease commencement. The Company includes the term covered by an option to extend a lease when the option is reasonably certain to be exercised. The Company has elected not to separate non-lease components from lease components for all leases. Significant assumptions and judgments in calculating the lease right-of-use assets and lease liabilities include the determination of the applicable borrowing rate for each lease. Operating lease expense is recognized on a straight-line basis over the lease term and included as a component of occupancy expense in the consolidated statements of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Deferred offering costs consist of legal, accounting and other costs directly related to the Company’s efforts to raise capital. These costs are recognized as a reduction in additional paid-in capital within the condensed consolidated statements of financial condition when the offering is effective. No offering costs were incurred during the three and six months ended June 30, 2023 and 2022.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 Company’s classification of revenues in the condensed consolidated statements of income represents revenues from contracts with customers disaggregated by type of revenue. See Note 5 – Revenue for additional details regarding revenue types and the Company’s policies regarding revenue recognition.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Foreign Currency and Foreign Exchange Derivative Contracts</w:t>
      </w:r>
    </w:p>
    <w:p>
      <w:pPr>
        <w:spacing w:after="0" w:line="18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The realized and unrealized losses during both the three months ended June 30, 2023 and 2022 totaled $1.4 million and realized and unrealized losses during the six months ended June 30, 2023 and 2022 totaled $1.8 million and $1.7 million, respectively. Since the condensed consolidated financial statements are presented in U.S. dollars, the Company also translates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enters into foreign currency forward contracts to mitigate its U.S. dollar and British pound sterling versus euro exposure, generally with a duration of less than 12 months. In June 2023, the Company also entered into a foreign currency call option on Australian dollars, see Note 4 – Acquisitions for additional details. The Company’s foreign exchange derivative contracts are not designated as hedges for accounting purposes. Changes in the fair value during the period of foreign currency forward contracts, which were entered into for foreign exchange risk management purposes relating to operating activities, are recognized in the condensed consolidated statements of income within general and administrative expenses and changes in the fair value during the period of the foreign currency call option on Australian dollars, which was entered into for foreign exchange risk management purposes relating to investing activities, are recognized in the condensed consolidated statements of income within other income/loss. The Company does not use derivative instruments for trading or speculative purposes. Realized and unrealized gains on foreign currency forward contracts during the three months ended June 30, 2023 and 2022 totaled $2.2 million and $5.5 million, respectively, and realized and unrealized gains on foreign currency forward contracts during the six months ended June 30, 2023 and 2022 totaled $1.0 million and $6.2 million, respectively. Realized and unrealized gains on the foreign currency call option on Australian dollars during both the three and six months ended June 30, 2023 totaled $0.6 million. As of June 30, 2023 and December 31, 2022, the counterparty on each of the foreign exchange derivative contracts was an affiliate of LSEG and therefore the corresponding assets or liabilities on such contracts were included in receivable and due from affiliates or payable and due to affiliates, respectively, on the accompanying condensed consolidated statements of financial condition. See Note 11 – Fair Value of Financial Instruments for additional details on the Company’s derivative instruments.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8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The Company evaluates the need for valuation allowances based on the weight of positive and negative evidence. The Company records valuation allowances wherever management believes it is more likely than not that the Company will not be able to realize its deferred tax assets in the foreseeable future.</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records uncertain tax positions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likely to be realized upon ultimate settlement with the related tax authority.</w:t>
      </w:r>
    </w:p>
    <w:p>
      <w:pPr>
        <w:spacing w:after="0" w:line="14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recognizes interest and penalties related to income taxes within the provision for income taxes in the condensed consolidated statements of income. Accrued interest and penalties are included within accounts payable, accrued expenses and other liabilities in the condensed consolidated statements of financial condition.</w:t>
      </w:r>
    </w:p>
    <w:p>
      <w:pPr>
        <w:spacing w:after="0" w:line="1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has elected to treat taxes due on future U.S. inclusions in taxable income under the global intangible low-taxed income (“GILTI”) provision of the Tax Cuts and Jobs Act of 2017 as a current period expense when incurred.</w:t>
      </w:r>
    </w:p>
    <w:p>
      <w:pPr>
        <w:spacing w:after="0" w:line="143"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On August 16, 2022, President Biden signed the Inflation Reduction Act of 2022 (“IRA”) into law. The IRA establishes a 15% corporate minimum tax effective for taxable years beginning after December 31, 2022, and imposes a 1% excise tax on the repurchase after December 31, 2022 of stock by publicly traded U.S. corporations. The Company has evaluated the impact of the IRA and concluded it did not have a material impact to our financial condition, results of operations and cash flows as of and for the three and six months ended June 30, 2023. The Company will continue to evaluate the impact of the IRA on subsequent periods.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by January 1, 2024. The Company may be subject to the provisions of the Two Pillar Plan, and related tax impacts per local country adoption, as it is a consolidating subsidiary of LSEG. The Company will continue to monitor and evaluate the impact of the Two Pillar Plan on future periods as further information becomes available.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 The grant-date fair value of stock-based awards that do not require future service (i.e., vested awards) are expensed immediately. Forfeitures of stock-based compensation awards are recognized as they occur.</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grants made during the post-IPO period, the fair value of the equity instruments is determined based on the price of the Class A common stock on the grant date.</w:t>
      </w:r>
    </w:p>
    <w:p>
      <w:pPr>
        <w:spacing w:after="0" w:line="14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Prior to the IPO, the Company awarded options to management and other employees (collectively, the “Special Option Award”) under the Amended and Restated Tradeweb Markets Inc. Option Plan (the “Option Plan”). The significant assumptions used to estimate the fair value as of grant date of the options awarded prior to the IPO did not reflect changes that would have occurred to these assumptions as a result of the IPO. The non-cash stock-based compensation expense associated with the Special Option Award began being expensed in the second quarter of 2019.</w:t>
      </w:r>
    </w:p>
    <w:p>
      <w:pPr>
        <w:spacing w:after="0" w:line="13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uses the Black-Scholes pricing model to value some of its option awards. Determining the appropriate fair value model and calculating the fair value of the option awards requires the input of highly subjective assumptions, including the expected life of the option awards and the stock price volatility.</w:t>
      </w:r>
    </w:p>
    <w:p>
      <w:pPr>
        <w:spacing w:after="0" w:line="14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performance-based restricted stock units that vest based on market conditions, the Company recognizes stock-based compensation based on the estimated grant date fair value of the awards computed with the assistance of a valuation specialist using a Monte Carlo simulation on a binomial model. The significant assumptions used to estimate the fair value of the performance-based restricted stock units that vest based on market conditions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8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Basic and diluted earnings per share are computed in accordance with the two-class method as unvested restricted stock units and unsettled vested performance-based restricted stock units issued to certain retired executives are entitled to non-forfeitable dividend equivalent rights and are considered participating securities prior to being issued and outstanding shares of common stock. The two-class method is an earnings allocation formula that treats a participating security as having rights to earnings that otherwise would have been available to common shareholders. Basic earnings per share is computed by dividing the net income attributable to the Company’s outstanding shares of Class A and Class B common stock by the weighted-average number of the Company’s shares outstanding during the period. For purposes of computing diluted earnings per share, the weighted-average number of the Company’s shares reflects the dilutive effect that could occur if all potentially dilutive securities were converted into or exchanged or exercised for the Company’s Class A or Class B common stock.</w:t>
      </w:r>
    </w:p>
    <w:p>
      <w:pPr>
        <w:spacing w:after="0" w:line="13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dilutive effect of stock options and other stock</w:t>
      </w:r>
      <w:r>
        <w:rPr>
          <w:rFonts w:ascii="Arial" w:cs="Arial" w:eastAsia="Arial" w:hAnsi="Arial"/>
          <w:sz w:val="16"/>
          <w:szCs w:val="16"/>
          <w:b w:val="1"/>
          <w:bCs w:val="1"/>
          <w:color w:val="auto"/>
        </w:rPr>
        <w:t>-</w:t>
      </w:r>
      <w:r>
        <w:rPr>
          <w:rFonts w:ascii="Arial" w:cs="Arial" w:eastAsia="Arial" w:hAnsi="Arial"/>
          <w:sz w:val="16"/>
          <w:szCs w:val="16"/>
          <w:color w:val="auto"/>
        </w:rPr>
        <w:t>based payment awards is calculated using the treasury stock method, which assumes the proceeds from the exercise of these instruments are used to purchase common shares at the average market price for the period. The dilutive effect of LLC Interests is evaluated under the if-converted method, where the securities are assumed to be converted at the beginning of the period, and the resulting common shares are included in the denominator of the diluted earnings per share calculation for the entire period presented. Performance-based awards are considered contingently issuable shares and their dilutive effect is included in the denominator of the diluted earnings per share calculation for the entire period, if those shares would be issuable as of the end of the reporting period, assuming the end of the reporting period was also the end of the contingency period.</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Shares of Class C and Class D common stock do not have economic rights in Tradeweb Markets Inc. and, therefore, are not included in the calculation of basic earnings per share.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w:t>
      </w:r>
    </w:p>
    <w:p>
      <w:pPr>
        <w:spacing w:after="0" w:line="189"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108"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 xml:space="preserve">The fair value hierarchy under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w:t>
      </w:r>
      <w:r>
        <w:rPr>
          <w:rFonts w:ascii="Arial" w:cs="Arial" w:eastAsia="Arial" w:hAnsi="Arial"/>
          <w:sz w:val="16"/>
          <w:szCs w:val="16"/>
          <w:i w:val="1"/>
          <w:iCs w:val="1"/>
          <w:color w:val="auto"/>
        </w:rPr>
        <w:t>,</w:t>
      </w:r>
      <w:r>
        <w:rPr>
          <w:rFonts w:ascii="Arial" w:cs="Arial" w:eastAsia="Arial" w:hAnsi="Arial"/>
          <w:sz w:val="16"/>
          <w:szCs w:val="16"/>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Fair Value Measurement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A financial instrument’s level within the fair value hierarchy is based on the lowest level of any input that is significant to the fair value measurement.</w:t>
      </w:r>
    </w:p>
    <w:p>
      <w:pPr>
        <w:spacing w:after="0" w:line="19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Unadjusted quoted prices in active markets that are accessible at the measurement date for identical, unrestricted assets or liabilities;</w:t>
      </w:r>
    </w:p>
    <w:p>
      <w:pPr>
        <w:spacing w:after="0" w:line="221" w:lineRule="exact"/>
        <w:rPr>
          <w:rFonts w:ascii="Arial" w:cs="Arial" w:eastAsia="Arial" w:hAnsi="Arial"/>
          <w:sz w:val="16"/>
          <w:szCs w:val="16"/>
          <w:color w:val="auto"/>
        </w:rPr>
      </w:pPr>
    </w:p>
    <w:p>
      <w:pPr>
        <w:ind w:left="660" w:right="4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Quoted prices in markets that are not considered to be active or financial instruments for which all significant inputs are observable, either directly or indirectly;</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Prices or valuations that require inputs that are both significant to the fair value measurement and unobservable.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June 2022, the Financial Accounting Standards Board (“FASB”) issued Accounting Standards Update (“ASU”) 2022-03, </w:t>
      </w:r>
      <w:r>
        <w:rPr>
          <w:rFonts w:ascii="Arial" w:cs="Arial" w:eastAsia="Arial" w:hAnsi="Arial"/>
          <w:sz w:val="16"/>
          <w:szCs w:val="16"/>
          <w:i w:val="1"/>
          <w:iCs w:val="1"/>
          <w:color w:val="auto"/>
        </w:rPr>
        <w:t>Fair Value Measurement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820): Fair Value Measurement of Equity Securities Subject to Contractual Sale Restrictions </w:t>
      </w:r>
      <w:r>
        <w:rPr>
          <w:rFonts w:ascii="Arial" w:cs="Arial" w:eastAsia="Arial" w:hAnsi="Arial"/>
          <w:sz w:val="16"/>
          <w:szCs w:val="16"/>
          <w:color w:val="auto"/>
        </w:rPr>
        <w:t>(“ASU 2022-03”), which clarifies that a contractual restriction</w:t>
      </w:r>
      <w:r>
        <w:rPr>
          <w:rFonts w:ascii="Arial" w:cs="Arial" w:eastAsia="Arial" w:hAnsi="Arial"/>
          <w:sz w:val="16"/>
          <w:szCs w:val="16"/>
          <w:i w:val="1"/>
          <w:iCs w:val="1"/>
          <w:color w:val="auto"/>
        </w:rPr>
        <w:t xml:space="preserve"> </w:t>
      </w:r>
      <w:r>
        <w:rPr>
          <w:rFonts w:ascii="Arial" w:cs="Arial" w:eastAsia="Arial" w:hAnsi="Arial"/>
          <w:sz w:val="16"/>
          <w:szCs w:val="16"/>
          <w:color w:val="auto"/>
        </w:rPr>
        <w:t>on the sale of an equity security is not considered part of the unit of account of the equity security and, therefore, is not considered in measuring fair value and that an entity cannot, as a separate unit of account, recognize and measure a contractual sale restriction. ASU 2022-03 also requires the disclosure of the fair value, as reflected in the statement of financial condition, of equity securities subject to contractual sale restrictions and the nature and the disclosure of the remaining duration of those restrictions. ASU 2022-03 is effective for the Company beginning on January 1, 2024 and early adoption is permitted for both interim and annual financial statements that have not yet been issued. The ASU is to be applied prospectively, with any adjustments from the adoption recognized in earnings on the date of adoption. As of June 30, 2023, the Company has not yet adopted ASU 2022-03 and does not expect that the adoption of this ASU will have a material impact on the Company’s consolidated financial statements.</w:t>
      </w:r>
    </w:p>
    <w:p>
      <w:pPr>
        <w:spacing w:after="0" w:line="12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Restricted Cash</w:t>
      </w:r>
    </w:p>
    <w:p>
      <w:pPr>
        <w:spacing w:after="0" w:line="18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Cash has been segregated in a special reserve bank account for the benefit of brokers and dealers under SEC Rule 15c3-3. The Company computes the proprietary accounts of broker-dealers (“PAB”) reserve, which requires the Company to maintain minimum segregated cash in the amount of excess total credits per the reserve computation. As of June 30, 2023 and December 31, 2022, cash in the amount of $1.5 million and $1.0 million, respectively, has been segregated in the PAB reserve account, exceeding the requirements pursuant to SEC Rule 15c3-3.</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Acquisitions</w:t>
      </w:r>
    </w:p>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May 25, 2023, the Company entered into a definitive agreement to acquire all of the outstanding equity interests of Yieldbroker Pty Limited (“Yieldbroker”) for A$125 million in cash ($82.7 million U.S. dollars as translated as of June 30, 2023), subject to working capital adjustments. Yieldbroker is a leading Australian trading platform for Australian and New Zealand government bonds and interest rate derivatives covering the institutional, wholesale and primary markets. The acquisition is expected to close later this year, subject to the satisfaction of customary closing conditions and regulatory reviews.</w:t>
      </w:r>
    </w:p>
    <w:p>
      <w:pPr>
        <w:spacing w:after="0" w:line="14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June 1, 2023, the Company entered into a foreign currency call option on Australian dollars, giving the Company an option to buy A$120.7 million ($79.9 million U.S. dollars as translated as of June 30, 2023), in order to partially mitigate the Company’s U.S. dollar versus Australian dollar foreign exchange exposure on the anticipated payment of the Australian dollar denominated purchase price for the expected Yieldbroker acquisition. The counterparty on the foreign currency call option contract is an affiliate of LSEG and therefore as of June 30, 2023, the corresponding asset related to the fair value of the contract was included in receivable and due from affiliates on the accompanying condensed consolidated statements of financial condition. See Note 11 – Fair Value of Financial Instruments for additional details.</w:t>
      </w:r>
    </w:p>
    <w:p>
      <w:pPr>
        <w:spacing w:after="0" w:line="13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Revenue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enters into contracts with its clients to provide a stand-ready connection to its electronic marketplaces, which facilitates the execution of trades by its clients. The access to the Company’s electronic marketplaces includes market data, continuous pricing data refreshes and the processing of trades thereon. The stand-ready connection to the electronic marketplaces is considered a single performance obligation satisfied over time as the client simultaneously receives and consumes the benefit from the Company’s performance as access is provided (that is, the performance obligation constitutes a series of services that are substantially the same in nature and are provided over time using the same measure of progress). For its services, the Company earns subscription fees for granting access to its electronic marketplaces. Subscription fees, which are generally fixed fees, are recognized as revenue on a monthly basis, in the period that access is provided. The frequency of subscription fee billings varies from monthly to annually, depending on contract terms. Fees received by the Company which are not yet earned are included in deferred revenue on the condensed consolidated statements of financial condition until the revenue recognition criteria have been met. The Company also earns transaction fees and/or commissions from transactions executed on the Company’s electronic marketplaces. The Company earns commission revenue from its electronic and voice brokerage services on a riskless principal basis. Riskless principal revenues are derived on matched principal transactions where revenues are earned on the spread between the buy and sell price of the transacted product. Transaction fees and commissions are generated both on a variable and fixed price basis and vary by geographic region, product type and trade size. Fixed monthly transaction fees or commissions, or monthly transaction fees or commission minimums, are earned on a monthly basis in the period the stand-ready trading services are provided and are generally billed monthly. For variable transaction fees or commissions, the Company charges its clients amounts calculated based on the mix of products traded and the volume of transactions executed. Variable transaction fee or commission revenue is recognized and recorded on a trade-date basis when the individual trade occurs and is generally billed when the trade settles or is billed monthly. Variable discounts or rebates on transaction fees or commissions are earned and applied monthly or quarterly, resolved within the same reporting period and are recorded as a reduction to revenue in the period the relevant trades occur.</w:t>
      </w:r>
    </w:p>
    <w:p>
      <w:pPr>
        <w:spacing w:after="0" w:line="13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earns fees from Refinitiv relating to the sale of market data to Refinitiv, which redistributes that data. Included in these fees, which are billed quarterly, are real-time market data fees which are recognized monthly on a straight-line basis, as Refinitiv receives and consumes the benefit evenly over the contract period, as the data is provided. Also included in these fees are fees for historical data sets which are recognized when the historical data set is provided to Refinitiv. Significant judgments used in accounting for this contract include the following determinations:</w:t>
      </w:r>
    </w:p>
    <w:p>
      <w:pPr>
        <w:spacing w:after="0" w:line="14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29"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transaction price for the performance obligations is determined by using a market assessment analysis. Inputs in this analysis include a consultant study which determined the overall value of the Company’s market data and pricing information for historical data sets provided by other companies.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Some revenues earned by the Company have fixed fee components, such as monthly minimums or fixed monthly fees, and variable components, such as transaction</w:t>
      </w:r>
      <w:r>
        <w:rPr>
          <w:rFonts w:ascii="Arial" w:cs="Arial" w:eastAsia="Arial" w:hAnsi="Arial"/>
          <w:sz w:val="18"/>
          <w:szCs w:val="18"/>
          <w:b w:val="1"/>
          <w:bCs w:val="1"/>
          <w:color w:val="auto"/>
        </w:rPr>
        <w:t>-</w:t>
      </w:r>
      <w:r>
        <w:rPr>
          <w:rFonts w:ascii="Arial" w:cs="Arial" w:eastAsia="Arial" w:hAnsi="Arial"/>
          <w:sz w:val="18"/>
          <w:szCs w:val="18"/>
          <w:color w:val="auto"/>
        </w:rPr>
        <w:t>based fees. The breakdown of revenues between fixed and variable revenues for the three and six months ended June 30, 2023 and 2022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jc w:val="center"/>
              <w:ind w:right="173"/>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3"/>
              </w:rPr>
              <w:t>Three Months Ended</w:t>
            </w:r>
          </w:p>
        </w:tc>
      </w:tr>
      <w:tr>
        <w:trPr>
          <w:trHeight w:val="189"/>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4"/>
          </w:tcPr>
          <w:p>
            <w:pPr>
              <w:jc w:val="center"/>
              <w:ind w:left="558"/>
              <w:spacing w:after="0"/>
              <w:rPr>
                <w:sz w:val="20"/>
                <w:szCs w:val="20"/>
                <w:color w:val="auto"/>
              </w:rPr>
            </w:pPr>
            <w:r>
              <w:rPr>
                <w:rFonts w:ascii="Arial" w:cs="Arial" w:eastAsia="Arial" w:hAnsi="Arial"/>
                <w:sz w:val="14"/>
                <w:szCs w:val="14"/>
                <w:b w:val="1"/>
                <w:bCs w:val="1"/>
                <w:color w:val="auto"/>
                <w:w w:val="90"/>
              </w:rPr>
              <w:t>June 30, 2023</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w w:val="92"/>
              </w:rPr>
              <w:t>June 30, 2022</w:t>
            </w:r>
          </w:p>
        </w:tc>
        <w:tc>
          <w:tcPr>
            <w:tcW w:w="900" w:type="dxa"/>
            <w:vAlign w:val="bottom"/>
          </w:tcPr>
          <w:p>
            <w:pPr>
              <w:spacing w:after="0"/>
              <w:rPr>
                <w:sz w:val="16"/>
                <w:szCs w:val="16"/>
                <w:color w:val="auto"/>
              </w:rPr>
            </w:pPr>
          </w:p>
        </w:tc>
      </w:tr>
      <w:tr>
        <w:trPr>
          <w:trHeight w:val="26"/>
        </w:trPr>
        <w:tc>
          <w:tcPr>
            <w:tcW w:w="5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4"/>
          </w:tcPr>
          <w:p>
            <w:pPr>
              <w:jc w:val="center"/>
              <w:ind w:left="558"/>
              <w:spacing w:after="0"/>
              <w:rPr>
                <w:sz w:val="20"/>
                <w:szCs w:val="20"/>
                <w:color w:val="auto"/>
              </w:rPr>
            </w:pPr>
            <w:r>
              <w:rPr>
                <w:rFonts w:ascii="Arial" w:cs="Arial" w:eastAsia="Arial" w:hAnsi="Arial"/>
                <w:sz w:val="14"/>
                <w:szCs w:val="14"/>
                <w:b w:val="1"/>
                <w:bCs w:val="1"/>
                <w:color w:val="auto"/>
                <w:w w:val="89"/>
              </w:rPr>
              <w:t>(in thousands)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16"/>
                <w:szCs w:val="16"/>
                <w:color w:val="auto"/>
              </w:rPr>
            </w:pPr>
          </w:p>
        </w:tc>
      </w:tr>
      <w:tr>
        <w:trPr>
          <w:trHeight w:val="229"/>
        </w:trPr>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18"/>
              <w:spacing w:after="0"/>
              <w:rPr>
                <w:sz w:val="20"/>
                <w:szCs w:val="20"/>
                <w:color w:val="auto"/>
              </w:rPr>
            </w:pPr>
            <w:r>
              <w:rPr>
                <w:rFonts w:ascii="Arial" w:cs="Arial" w:eastAsia="Arial" w:hAnsi="Arial"/>
                <w:sz w:val="14"/>
                <w:szCs w:val="14"/>
                <w:b w:val="1"/>
                <w:bCs w:val="1"/>
                <w:color w:val="auto"/>
              </w:rPr>
              <w:t>Variable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413"/>
              <w:spacing w:after="0"/>
              <w:rPr>
                <w:sz w:val="20"/>
                <w:szCs w:val="20"/>
                <w:color w:val="auto"/>
              </w:rPr>
            </w:pPr>
            <w:r>
              <w:rPr>
                <w:rFonts w:ascii="Arial" w:cs="Arial" w:eastAsia="Arial" w:hAnsi="Arial"/>
                <w:sz w:val="14"/>
                <w:szCs w:val="14"/>
                <w:b w:val="1"/>
                <w:bCs w:val="1"/>
                <w:color w:val="auto"/>
              </w:rPr>
              <w:t>Fixed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318"/>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413"/>
              <w:spacing w:after="0"/>
              <w:rPr>
                <w:sz w:val="20"/>
                <w:szCs w:val="20"/>
                <w:color w:val="auto"/>
              </w:rPr>
            </w:pPr>
            <w:r>
              <w:rPr>
                <w:rFonts w:ascii="Arial" w:cs="Arial" w:eastAsia="Arial" w:hAnsi="Arial"/>
                <w:sz w:val="14"/>
                <w:szCs w:val="14"/>
                <w:b w:val="1"/>
                <w:bCs w:val="1"/>
                <w:color w:val="auto"/>
              </w:rPr>
              <w:t>Fixed</w:t>
            </w:r>
          </w:p>
        </w:tc>
      </w:tr>
      <w:tr>
        <w:trPr>
          <w:trHeight w:val="39"/>
        </w:trPr>
        <w:tc>
          <w:tcPr>
            <w:tcW w:w="56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70"/>
        </w:trPr>
        <w:tc>
          <w:tcPr>
            <w:tcW w:w="5600" w:type="dxa"/>
            <w:vAlign w:val="bottom"/>
          </w:tcPr>
          <w:p>
            <w:pPr>
              <w:ind w:left="20"/>
              <w:spacing w:after="0"/>
              <w:rPr>
                <w:sz w:val="20"/>
                <w:szCs w:val="20"/>
                <w:color w:val="auto"/>
              </w:rPr>
            </w:pPr>
            <w:r>
              <w:rPr>
                <w:rFonts w:ascii="Arial" w:cs="Arial" w:eastAsia="Arial" w:hAnsi="Arial"/>
                <w:sz w:val="18"/>
                <w:szCs w:val="18"/>
                <w:color w:val="auto"/>
              </w:rPr>
              <w:t>Transaction fees and commissions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209,634</w:t>
            </w:r>
          </w:p>
        </w:tc>
        <w:tc>
          <w:tcPr>
            <w:tcW w:w="54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36,827</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201,199</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36,470</w:t>
            </w:r>
          </w:p>
        </w:tc>
      </w:tr>
      <w:tr>
        <w:trPr>
          <w:trHeight w:val="24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fees</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41,055</w:t>
            </w:r>
          </w:p>
        </w:tc>
      </w:tr>
      <w:tr>
        <w:trPr>
          <w:trHeight w:val="263"/>
        </w:trPr>
        <w:tc>
          <w:tcPr>
            <w:tcW w:w="5600" w:type="dxa"/>
            <w:vAlign w:val="bottom"/>
          </w:tcPr>
          <w:p>
            <w:pPr>
              <w:ind w:left="20"/>
              <w:spacing w:after="0"/>
              <w:rPr>
                <w:sz w:val="20"/>
                <w:szCs w:val="20"/>
                <w:color w:val="auto"/>
              </w:rPr>
            </w:pPr>
            <w:r>
              <w:rPr>
                <w:rFonts w:ascii="Arial" w:cs="Arial" w:eastAsia="Arial" w:hAnsi="Arial"/>
                <w:sz w:val="18"/>
                <w:szCs w:val="18"/>
                <w:color w:val="auto"/>
              </w:rPr>
              <w:t>Refinitiv market data fees</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15,461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15,426</w:t>
            </w:r>
          </w:p>
        </w:tc>
      </w:tr>
      <w:tr>
        <w:trPr>
          <w:trHeight w:val="263"/>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w:t>
            </w: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210,368</w:t>
            </w:r>
          </w:p>
        </w:tc>
        <w:tc>
          <w:tcPr>
            <w:tcW w:w="100" w:type="dxa"/>
            <w:vAlign w:val="bottom"/>
            <w:gridSpan w:val="2"/>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100,245</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201,898</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95,240</w:t>
            </w:r>
          </w:p>
        </w:tc>
      </w:tr>
      <w:tr>
        <w:trPr>
          <w:trHeight w:val="21"/>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r>
      <w:tr>
        <w:trPr>
          <w:trHeight w:val="467"/>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5"/>
          </w:tcPr>
          <w:p>
            <w:pPr>
              <w:jc w:val="center"/>
              <w:ind w:right="173"/>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3"/>
              </w:rPr>
              <w:t>Six Months Ended</w:t>
            </w:r>
          </w:p>
        </w:tc>
      </w:tr>
      <w:tr>
        <w:trPr>
          <w:trHeight w:val="189"/>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4"/>
          </w:tcPr>
          <w:p>
            <w:pPr>
              <w:jc w:val="center"/>
              <w:ind w:left="538"/>
              <w:spacing w:after="0"/>
              <w:rPr>
                <w:sz w:val="20"/>
                <w:szCs w:val="20"/>
                <w:color w:val="auto"/>
              </w:rPr>
            </w:pPr>
            <w:r>
              <w:rPr>
                <w:rFonts w:ascii="Arial" w:cs="Arial" w:eastAsia="Arial" w:hAnsi="Arial"/>
                <w:sz w:val="14"/>
                <w:szCs w:val="14"/>
                <w:b w:val="1"/>
                <w:bCs w:val="1"/>
                <w:color w:val="auto"/>
                <w:w w:val="92"/>
              </w:rPr>
              <w:t>June 30, 2023</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w w:val="92"/>
              </w:rPr>
              <w:t>June 30, 2022</w:t>
            </w:r>
          </w:p>
        </w:tc>
        <w:tc>
          <w:tcPr>
            <w:tcW w:w="900" w:type="dxa"/>
            <w:vAlign w:val="bottom"/>
          </w:tcPr>
          <w:p>
            <w:pPr>
              <w:spacing w:after="0"/>
              <w:rPr>
                <w:sz w:val="16"/>
                <w:szCs w:val="16"/>
                <w:color w:val="auto"/>
              </w:rPr>
            </w:pPr>
          </w:p>
        </w:tc>
      </w:tr>
      <w:tr>
        <w:trPr>
          <w:trHeight w:val="26"/>
        </w:trPr>
        <w:tc>
          <w:tcPr>
            <w:tcW w:w="5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4"/>
          </w:tcPr>
          <w:p>
            <w:pPr>
              <w:jc w:val="center"/>
              <w:ind w:left="538"/>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16"/>
                <w:szCs w:val="16"/>
                <w:color w:val="auto"/>
              </w:rPr>
            </w:pPr>
          </w:p>
        </w:tc>
      </w:tr>
      <w:tr>
        <w:trPr>
          <w:trHeight w:val="229"/>
        </w:trPr>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18"/>
              <w:spacing w:after="0"/>
              <w:rPr>
                <w:sz w:val="20"/>
                <w:szCs w:val="20"/>
                <w:color w:val="auto"/>
              </w:rPr>
            </w:pPr>
            <w:r>
              <w:rPr>
                <w:rFonts w:ascii="Arial" w:cs="Arial" w:eastAsia="Arial" w:hAnsi="Arial"/>
                <w:sz w:val="14"/>
                <w:szCs w:val="14"/>
                <w:b w:val="1"/>
                <w:bCs w:val="1"/>
                <w:color w:val="auto"/>
              </w:rPr>
              <w:t>Variable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413"/>
              <w:spacing w:after="0"/>
              <w:rPr>
                <w:sz w:val="20"/>
                <w:szCs w:val="20"/>
                <w:color w:val="auto"/>
              </w:rPr>
            </w:pPr>
            <w:r>
              <w:rPr>
                <w:rFonts w:ascii="Arial" w:cs="Arial" w:eastAsia="Arial" w:hAnsi="Arial"/>
                <w:sz w:val="14"/>
                <w:szCs w:val="14"/>
                <w:b w:val="1"/>
                <w:bCs w:val="1"/>
                <w:color w:val="auto"/>
              </w:rPr>
              <w:t>Fixed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318"/>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413"/>
              <w:spacing w:after="0"/>
              <w:rPr>
                <w:sz w:val="20"/>
                <w:szCs w:val="20"/>
                <w:color w:val="auto"/>
              </w:rPr>
            </w:pPr>
            <w:r>
              <w:rPr>
                <w:rFonts w:ascii="Arial" w:cs="Arial" w:eastAsia="Arial" w:hAnsi="Arial"/>
                <w:sz w:val="14"/>
                <w:szCs w:val="14"/>
                <w:b w:val="1"/>
                <w:bCs w:val="1"/>
                <w:color w:val="auto"/>
              </w:rPr>
              <w:t>Fixed</w:t>
            </w:r>
          </w:p>
        </w:tc>
      </w:tr>
      <w:tr>
        <w:trPr>
          <w:trHeight w:val="39"/>
        </w:trPr>
        <w:tc>
          <w:tcPr>
            <w:tcW w:w="56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70"/>
        </w:trPr>
        <w:tc>
          <w:tcPr>
            <w:tcW w:w="5600" w:type="dxa"/>
            <w:vAlign w:val="bottom"/>
          </w:tcPr>
          <w:p>
            <w:pPr>
              <w:ind w:left="20"/>
              <w:spacing w:after="0"/>
              <w:rPr>
                <w:sz w:val="20"/>
                <w:szCs w:val="20"/>
                <w:color w:val="auto"/>
              </w:rPr>
            </w:pPr>
            <w:r>
              <w:rPr>
                <w:rFonts w:ascii="Arial" w:cs="Arial" w:eastAsia="Arial" w:hAnsi="Arial"/>
                <w:sz w:val="18"/>
                <w:szCs w:val="18"/>
                <w:color w:val="auto"/>
              </w:rPr>
              <w:t>Transaction fees and commissions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439,815</w:t>
            </w:r>
          </w:p>
        </w:tc>
        <w:tc>
          <w:tcPr>
            <w:tcW w:w="54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73,244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414,935</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74,539</w:t>
            </w:r>
          </w:p>
        </w:tc>
      </w:tr>
      <w:tr>
        <w:trPr>
          <w:trHeight w:val="24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fees</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89,192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82,035</w:t>
            </w:r>
          </w:p>
        </w:tc>
      </w:tr>
      <w:tr>
        <w:trPr>
          <w:trHeight w:val="263"/>
        </w:trPr>
        <w:tc>
          <w:tcPr>
            <w:tcW w:w="5600" w:type="dxa"/>
            <w:vAlign w:val="bottom"/>
          </w:tcPr>
          <w:p>
            <w:pPr>
              <w:ind w:left="20"/>
              <w:spacing w:after="0"/>
              <w:rPr>
                <w:sz w:val="20"/>
                <w:szCs w:val="20"/>
                <w:color w:val="auto"/>
              </w:rPr>
            </w:pPr>
            <w:r>
              <w:rPr>
                <w:rFonts w:ascii="Arial" w:cs="Arial" w:eastAsia="Arial" w:hAnsi="Arial"/>
                <w:sz w:val="18"/>
                <w:szCs w:val="18"/>
                <w:color w:val="auto"/>
              </w:rPr>
              <w:t>Refinitiv market data fees</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31,055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30,984</w:t>
            </w:r>
          </w:p>
        </w:tc>
      </w:tr>
      <w:tr>
        <w:trPr>
          <w:trHeight w:val="263"/>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4,706</w:t>
            </w:r>
          </w:p>
        </w:tc>
      </w:tr>
      <w:tr>
        <w:trPr>
          <w:trHeight w:val="236"/>
        </w:trPr>
        <w:tc>
          <w:tcPr>
            <w:tcW w:w="56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441,211</w:t>
            </w:r>
          </w:p>
        </w:tc>
        <w:tc>
          <w:tcPr>
            <w:tcW w:w="54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198,651</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416,360</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192,264</w:t>
            </w:r>
          </w:p>
        </w:tc>
      </w:tr>
      <w:tr>
        <w:trPr>
          <w:trHeight w:val="21"/>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records deferred revenue when cash payments are received or due in advance of services to be performed. The revenue recognized and the remaining deferred revenue balances are shown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355"/>
              <w:spacing w:after="0"/>
              <w:rPr>
                <w:sz w:val="20"/>
                <w:szCs w:val="20"/>
                <w:color w:val="auto"/>
              </w:rPr>
            </w:pPr>
            <w:r>
              <w:rPr>
                <w:rFonts w:ascii="Arial" w:cs="Arial" w:eastAsia="Arial" w:hAnsi="Arial"/>
                <w:sz w:val="14"/>
                <w:szCs w:val="14"/>
                <w:b w:val="1"/>
                <w:bCs w:val="1"/>
                <w:color w:val="auto"/>
              </w:rPr>
              <w:t>Amount</w:t>
            </w:r>
          </w:p>
        </w:tc>
      </w:tr>
      <w:tr>
        <w:trPr>
          <w:trHeight w:val="39"/>
        </w:trPr>
        <w:tc>
          <w:tcPr>
            <w:tcW w:w="98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8"/>
        </w:trPr>
        <w:tc>
          <w:tcPr>
            <w:tcW w:w="9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55"/>
              <w:spacing w:after="0"/>
              <w:rPr>
                <w:sz w:val="20"/>
                <w:szCs w:val="20"/>
                <w:color w:val="auto"/>
              </w:rPr>
            </w:pPr>
            <w:r>
              <w:rPr>
                <w:rFonts w:ascii="Arial" w:cs="Arial" w:eastAsia="Arial" w:hAnsi="Arial"/>
                <w:sz w:val="14"/>
                <w:szCs w:val="14"/>
                <w:b w:val="1"/>
                <w:bCs w:val="1"/>
                <w:color w:val="auto"/>
                <w:w w:val="97"/>
              </w:rPr>
              <w:t>(in thousands)</w:t>
            </w:r>
          </w:p>
        </w:tc>
      </w:tr>
      <w:tr>
        <w:trPr>
          <w:trHeight w:val="39"/>
        </w:trPr>
        <w:tc>
          <w:tcPr>
            <w:tcW w:w="9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balance -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22,827</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New billings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65,426</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(60,874)</w:t>
            </w:r>
          </w:p>
        </w:tc>
      </w:tr>
      <w:tr>
        <w:trPr>
          <w:trHeight w:val="243"/>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currency exchange rate changes</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balance - June 30,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27,412</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During the six months ended June 30, 2023, the Company recognized $19.6 million in total revenue that was deferred as of December 31, 2022. During the six months ended June 30, 2022, the Company recognized $20.2 million in total revenue that was deferred as of December 31, 2021.</w:t>
      </w:r>
    </w:p>
    <w:p>
      <w:pPr>
        <w:spacing w:after="0" w:line="10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Income Taxes</w:t>
      </w:r>
    </w:p>
    <w:p>
      <w:pPr>
        <w:spacing w:after="0" w:line="20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Corporation is subject to U.S. federal, state and local income taxes with respect to its taxable income, including its allocable share of any taxable income of TWM LLC, and is taxed at prevailing corporate tax rates. The Company’s actual effective tax rate will be impacted by the Corporation’s ownership share of TWM LLC, which will continue to increase as Continuing LLC Owners that continue to hold LLC Interests redeem or exchange their LLC Interests for shares of Class A common stock or Class B common stock, as applicable, or the Corporation purchases LLC Interests from such Continuing LLC Owners. The Company’s consolidated effective tax rate will also vary from period to period depending on changes in the mix of earnings, tax legislation and tax rates in various jurisdictions. The Company’s provision for income taxes includes U.S., federal, state, local and foreign taxes.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Company’s effective tax rate for the three months ended June 30, 2023 and 2022 was approximately 22.2% and 23.8%, respectively. The effective tax rate for the three months ended June 30, 2023 differed from the U.S. federal statutory rate of 21.0% primarily due to the disallowance of compensation expense tax deductions and state, local and foreign taxes, partially offset by the effect of non-controlling interests. The effective tax rate for the three months ended June 30, 2022 differed from the U.S. federal statutory rate of 21.0% primarily due to the effect of state, local and foreign taxes, partially offset by non-controlling interests.</w:t>
      </w:r>
    </w:p>
    <w:p>
      <w:pPr>
        <w:spacing w:after="0" w:line="16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Company’s effective tax rate for the six months ended June 30, 2023 and 2022 was approximately 23.4% and 18.0%, respectively. The effective tax rate for the six months ended June 30, 2023 differed from the U.S. federal statutory rate of 21.0% primarily due to the disallowance of compensation expense tax deductions and state, local and foreign taxes, partially offset by the effect of non-controlling interests. The effective tax rate for the six months ended June 30, 2022 differed from the U.S. federal statutory rate of 21.0% primarily due to the tax impact of the issuance of common stock from equity incentive plans, return-to-provision adjustments and the effect of non-controlling interests, partially offset by state, local and foreign taxes.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had an increase in its share of the tax basis of the assets of TWM LLC when LLC Interests were redeemed or exchanged by Continuing LLC Owners and in connection with certain other qualifying transactions. This increase in tax basis has had, and may in the future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the Corporation may become entitled. The Corporation expects to benefit from the remaining 50% of tax benefits, if any, that the Corporation may actually realize. See Note 7 – Tax Receivable Agreement for further details. The tax benefit has been recognized in deferred tax assets on the condensed consolidated statement of financial condition.</w:t>
      </w:r>
    </w:p>
    <w:p>
      <w:pPr>
        <w:spacing w:after="0" w:line="13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connection with the Reorganization Transactions, a Refinitiv entity was contributed to the Corporation, pursuant to which the Corporation received 96,933,192 LLC Interests and Refinitiv received 96,933,192 shares of Class B common stock (“Refinitiv Contribution”). As a result of the Refinitiv Contribution, the Company assumed the tax liabilities of the contributed entity. During the three months ended June 30, 2023, the contributed entity reached an audit settlement with the State of New Jersey for the tax years 2008 - 2015. As of June 30, 2023 and December 31, 2022, $1.7 million and $2.7 million, respectively is included in accounts payable, accrued expenses and other liabilities on the condensed consolidated statements of financial condition relating to these tax liabilities. The Company is indemnified by Refinitiv for these tax liabilities that were assumed by the Company as a result of the Refinitiv Contribution. As of June 30, 2023 and December 31, 2022, $2.0 million and $2.7 million, respectively, is included in receivable and due from affiliates on the condensed consolidated statements of financial condition associated with this related party indemnification.</w:t>
      </w:r>
    </w:p>
    <w:p>
      <w:pPr>
        <w:spacing w:after="0" w:line="1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Tax Receivable Agreement</w:t>
      </w:r>
    </w:p>
    <w:p>
      <w:pPr>
        <w:spacing w:after="0" w:line="20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connection with the Reorganization Transactions, the Corporation entered into a tax receivable agreement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and any subsequent offerings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made within 150 days after the filing of the tax return based on the actual tax savings realized by the Corporation. The first payment of the Tax Receivable Agreement was made in January 2021. Substantially all payments due under the Tax Receivable Agreement are payable over fifteen years following the purchase of LLC Interests from Continuing LLC Owners or redemption or exchanges by Continuing LLC Owners of LLC Interests.</w:t>
      </w:r>
    </w:p>
    <w:p>
      <w:pPr>
        <w:spacing w:after="0" w:line="1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Corporation accounts for the income tax effects resulting from taxable redemptions or exchanges of LLC Interests by Continuing LLC Owners for shares of Class A common stock or Class B common stock or cash, as the case may be, and purchases by the Corporation of LLC Interests from Continuing LLC Owners by recognizing an increase in deferred tax assets, based on enacted tax rates at the date of each redemption, exchange, or purchase,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The impact of any changes in the total projected obligations recorded under the Tax Receivable Agreement as a result of actual changes in the mix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Company’s earnings, tax legislation and tax rates in various jurisdictions, or other factors that may impact the Corporation’s actual tax savings realized,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reflected in income before taxes on the condensed consolidated statements of income in the period in which the change occurs. As of June 30, 2023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the tax receivable agreement liability on the condensed consolidated statements of financial condition totaled $448.0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$425.7 million, respectively. During each of the three and six months ended June 30, 2023 and 2022, no tax receivable agreement liability adjustment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recognized in the condensed consolidated statements of income.</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Non-Controlling Interests</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condensed consolidated financial statements. The non-controlling interests balance reported on the condensed consolidated statements of financial condition represents the economic interests of TWM LLC held by the holders of LLC Interests other than Tradeweb Markets Inc. Income or loss is attributed to the non-controlling interests based on the relative ownership percentages of LLC Interests held during the period by Tradeweb Markets Inc. and the other holders of LLC Interests.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ownership interest in Tradeweb Markets LLC:</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916"/>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2880" w:type="dxa"/>
            <w:vAlign w:val="bottom"/>
            <w:tcBorders>
              <w:bottom w:val="single" w:sz="8" w:color="auto"/>
            </w:tcBorders>
            <w:gridSpan w:val="3"/>
          </w:tcPr>
          <w:p>
            <w:pPr>
              <w:jc w:val="right"/>
              <w:ind w:right="936"/>
              <w:spacing w:after="0"/>
              <w:rPr>
                <w:sz w:val="20"/>
                <w:szCs w:val="20"/>
                <w:color w:val="auto"/>
              </w:rPr>
            </w:pPr>
            <w:r>
              <w:rPr>
                <w:rFonts w:ascii="Arial" w:cs="Arial" w:eastAsia="Arial" w:hAnsi="Arial"/>
                <w:sz w:val="14"/>
                <w:szCs w:val="14"/>
                <w:b w:val="1"/>
                <w:bCs w:val="1"/>
                <w:color w:val="auto"/>
              </w:rPr>
              <w:t>June 30, 2022</w:t>
            </w:r>
          </w:p>
        </w:tc>
      </w:tr>
      <w:tr>
        <w:trPr>
          <w:trHeight w:val="139"/>
        </w:trPr>
        <w:tc>
          <w:tcPr>
            <w:tcW w:w="5400" w:type="dxa"/>
            <w:vAlign w:val="bottom"/>
          </w:tcPr>
          <w:p>
            <w:pPr>
              <w:spacing w:after="0"/>
              <w:rPr>
                <w:sz w:val="12"/>
                <w:szCs w:val="12"/>
                <w:color w:val="auto"/>
              </w:rPr>
            </w:pPr>
          </w:p>
        </w:tc>
        <w:tc>
          <w:tcPr>
            <w:tcW w:w="1340" w:type="dxa"/>
            <w:vAlign w:val="bottom"/>
          </w:tcPr>
          <w:p>
            <w:pPr>
              <w:jc w:val="right"/>
              <w:ind w:right="439"/>
              <w:spacing w:after="0" w:line="13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1420" w:type="dxa"/>
            <w:vAlign w:val="bottom"/>
          </w:tcPr>
          <w:p>
            <w:pPr>
              <w:jc w:val="right"/>
              <w:ind w:right="276"/>
              <w:spacing w:after="0" w:line="139" w:lineRule="exact"/>
              <w:rPr>
                <w:sz w:val="20"/>
                <w:szCs w:val="20"/>
                <w:color w:val="auto"/>
              </w:rPr>
            </w:pPr>
            <w:r>
              <w:rPr>
                <w:rFonts w:ascii="Arial" w:cs="Arial" w:eastAsia="Arial" w:hAnsi="Arial"/>
                <w:sz w:val="14"/>
                <w:szCs w:val="14"/>
                <w:b w:val="1"/>
                <w:bCs w:val="1"/>
                <w:color w:val="auto"/>
              </w:rPr>
              <w:t>Ownership</w:t>
            </w:r>
          </w:p>
        </w:tc>
        <w:tc>
          <w:tcPr>
            <w:tcW w:w="100" w:type="dxa"/>
            <w:vAlign w:val="bottom"/>
          </w:tcPr>
          <w:p>
            <w:pPr>
              <w:spacing w:after="0"/>
              <w:rPr>
                <w:sz w:val="12"/>
                <w:szCs w:val="12"/>
                <w:color w:val="auto"/>
              </w:rPr>
            </w:pPr>
          </w:p>
        </w:tc>
        <w:tc>
          <w:tcPr>
            <w:tcW w:w="1340" w:type="dxa"/>
            <w:vAlign w:val="bottom"/>
          </w:tcPr>
          <w:p>
            <w:pPr>
              <w:jc w:val="right"/>
              <w:ind w:right="441"/>
              <w:spacing w:after="0" w:line="13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1440" w:type="dxa"/>
            <w:vAlign w:val="bottom"/>
          </w:tcPr>
          <w:p>
            <w:pPr>
              <w:jc w:val="right"/>
              <w:ind w:right="296"/>
              <w:spacing w:after="0" w:line="139" w:lineRule="exact"/>
              <w:rPr>
                <w:sz w:val="20"/>
                <w:szCs w:val="20"/>
                <w:color w:val="auto"/>
              </w:rPr>
            </w:pPr>
            <w:r>
              <w:rPr>
                <w:rFonts w:ascii="Arial" w:cs="Arial" w:eastAsia="Arial" w:hAnsi="Arial"/>
                <w:sz w:val="14"/>
                <w:szCs w:val="14"/>
                <w:b w:val="1"/>
                <w:bCs w:val="1"/>
                <w:color w:val="auto"/>
              </w:rPr>
              <w:t>Ownership</w:t>
            </w:r>
          </w:p>
        </w:tc>
      </w:tr>
      <w:tr>
        <w:trPr>
          <w:trHeight w:val="186"/>
        </w:trPr>
        <w:tc>
          <w:tcPr>
            <w:tcW w:w="5400" w:type="dxa"/>
            <w:vAlign w:val="bottom"/>
          </w:tcPr>
          <w:p>
            <w:pPr>
              <w:spacing w:after="0"/>
              <w:rPr>
                <w:sz w:val="16"/>
                <w:szCs w:val="16"/>
                <w:color w:val="auto"/>
              </w:rPr>
            </w:pPr>
          </w:p>
        </w:tc>
        <w:tc>
          <w:tcPr>
            <w:tcW w:w="1340" w:type="dxa"/>
            <w:vAlign w:val="bottom"/>
          </w:tcPr>
          <w:p>
            <w:pPr>
              <w:jc w:val="right"/>
              <w:ind w:right="319"/>
              <w:spacing w:after="0"/>
              <w:rPr>
                <w:sz w:val="20"/>
                <w:szCs w:val="20"/>
                <w:color w:val="auto"/>
              </w:rPr>
            </w:pPr>
            <w:r>
              <w:rPr>
                <w:rFonts w:ascii="Arial" w:cs="Arial" w:eastAsia="Arial" w:hAnsi="Arial"/>
                <w:sz w:val="14"/>
                <w:szCs w:val="14"/>
                <w:b w:val="1"/>
                <w:bCs w:val="1"/>
                <w:color w:val="auto"/>
              </w:rPr>
              <w:t>Interests</w:t>
            </w:r>
          </w:p>
        </w:tc>
        <w:tc>
          <w:tcPr>
            <w:tcW w:w="1520" w:type="dxa"/>
            <w:vAlign w:val="bottom"/>
            <w:gridSpan w:val="2"/>
          </w:tcPr>
          <w:p>
            <w:pPr>
              <w:jc w:val="right"/>
              <w:ind w:right="5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340" w:type="dxa"/>
            <w:vAlign w:val="bottom"/>
          </w:tcPr>
          <w:p>
            <w:pPr>
              <w:jc w:val="right"/>
              <w:ind w:right="321"/>
              <w:spacing w:after="0"/>
              <w:rPr>
                <w:sz w:val="20"/>
                <w:szCs w:val="20"/>
                <w:color w:val="auto"/>
              </w:rPr>
            </w:pPr>
            <w:r>
              <w:rPr>
                <w:rFonts w:ascii="Arial" w:cs="Arial" w:eastAsia="Arial" w:hAnsi="Arial"/>
                <w:sz w:val="14"/>
                <w:szCs w:val="14"/>
                <w:b w:val="1"/>
                <w:bCs w:val="1"/>
                <w:color w:val="auto"/>
              </w:rPr>
              <w:t>Interests</w:t>
            </w:r>
          </w:p>
        </w:tc>
        <w:tc>
          <w:tcPr>
            <w:tcW w:w="1540" w:type="dxa"/>
            <w:vAlign w:val="bottom"/>
            <w:gridSpan w:val="2"/>
          </w:tcPr>
          <w:p>
            <w:pPr>
              <w:jc w:val="right"/>
              <w:ind w:right="576"/>
              <w:spacing w:after="0"/>
              <w:rPr>
                <w:sz w:val="20"/>
                <w:szCs w:val="20"/>
                <w:color w:val="auto"/>
              </w:rPr>
            </w:pPr>
            <w:r>
              <w:rPr>
                <w:rFonts w:ascii="Arial" w:cs="Arial" w:eastAsia="Arial" w:hAnsi="Arial"/>
                <w:sz w:val="14"/>
                <w:szCs w:val="14"/>
                <w:b w:val="1"/>
                <w:bCs w:val="1"/>
                <w:color w:val="auto"/>
              </w:rPr>
              <w:t>%</w:t>
            </w:r>
          </w:p>
        </w:tc>
      </w:tr>
      <w:tr>
        <w:trPr>
          <w:trHeight w:val="26"/>
        </w:trPr>
        <w:tc>
          <w:tcPr>
            <w:tcW w:w="54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LLC Interests held by Tradeweb Markets Inc.</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211,601,209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204,548,887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87.2 %</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Number of LLC Interests held by non-controlling interests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23,080,571</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29,971,658</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12.8 %</w:t>
            </w:r>
          </w:p>
        </w:tc>
      </w:tr>
      <w:tr>
        <w:trPr>
          <w:trHeight w:val="25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LLC Interests outstanding</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234,681,780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4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234,520,545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LLC Interests held by the Continuing LLC Owners are redeemable in accordance with the TWM LLC Agreement at the election of the members for shares of Class A common stock or Class B common stock, as applicable, on a one-for-one basis or, at the Company’s option, a cash payment in accordance with the terms of the TWM LLC Agreement.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 on Tradeweb Market Inc.’s equity due to changes in the Corporation’s ownership interest in TWM LLC:</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Income Attributable to Tradeweb Markets Inc. and Transfers (to) from the Non-</w:t>
            </w:r>
          </w:p>
        </w:tc>
        <w:tc>
          <w:tcPr>
            <w:tcW w:w="300" w:type="dxa"/>
            <w:vAlign w:val="bottom"/>
          </w:tcPr>
          <w:p>
            <w:pPr>
              <w:spacing w:after="0"/>
              <w:rPr>
                <w:sz w:val="17"/>
                <w:szCs w:val="17"/>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62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Controlling Interests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18"/>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3"/>
          </w:tcPr>
          <w:p>
            <w:pPr>
              <w:ind w:left="580"/>
              <w:spacing w:after="0"/>
              <w:rPr>
                <w:sz w:val="20"/>
                <w:szCs w:val="20"/>
                <w:color w:val="auto"/>
              </w:rPr>
            </w:pPr>
            <w:r>
              <w:rPr>
                <w:rFonts w:ascii="Arial" w:cs="Arial" w:eastAsia="Arial" w:hAnsi="Arial"/>
                <w:sz w:val="14"/>
                <w:szCs w:val="14"/>
                <w:b w:val="1"/>
                <w:bCs w:val="1"/>
                <w:color w:val="auto"/>
                <w:w w:val="95"/>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89,082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68,344</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176,938</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151,309</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Transfers (to) from non-controlling interests: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620" w:type="dxa"/>
            <w:vAlign w:val="bottom"/>
            <w:gridSpan w:val="2"/>
            <w:shd w:val="clear" w:color="auto" w:fill="CCEEFF"/>
          </w:tcPr>
          <w:p>
            <w:pPr>
              <w:ind w:left="220"/>
              <w:spacing w:after="0" w:line="182" w:lineRule="exact"/>
              <w:rPr>
                <w:sz w:val="20"/>
                <w:szCs w:val="20"/>
                <w:color w:val="auto"/>
              </w:rPr>
            </w:pPr>
            <w:r>
              <w:rPr>
                <w:rFonts w:ascii="Arial" w:cs="Arial" w:eastAsia="Arial" w:hAnsi="Arial"/>
                <w:sz w:val="18"/>
                <w:szCs w:val="18"/>
                <w:color w:val="auto"/>
                <w:w w:val="93"/>
              </w:rPr>
              <w:t>Increase/(decrease) in Tradeweb Markets Inc.’s additional paid-in capital</w:t>
            </w: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72,870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ind w:left="420"/>
              <w:spacing w:after="0"/>
              <w:rPr>
                <w:sz w:val="20"/>
                <w:szCs w:val="20"/>
                <w:color w:val="auto"/>
              </w:rPr>
            </w:pPr>
            <w:r>
              <w:rPr>
                <w:rFonts w:ascii="Arial" w:cs="Arial" w:eastAsia="Arial" w:hAnsi="Arial"/>
                <w:sz w:val="18"/>
                <w:szCs w:val="18"/>
                <w:color w:val="auto"/>
                <w:w w:val="94"/>
              </w:rPr>
              <w:t>(1,300)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79,780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28,705</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as a result of ownership changes in TWM LLC</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Net transfers (to) from non-controlling interests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72,870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4"/>
              </w:rPr>
              <w:t>(1,300)</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79,780</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28,705</w:t>
            </w:r>
          </w:p>
        </w:tc>
        <w:tc>
          <w:tcPr>
            <w:tcW w:w="0" w:type="dxa"/>
            <w:vAlign w:val="bottom"/>
          </w:tcPr>
          <w:p>
            <w:pPr>
              <w:spacing w:after="0"/>
              <w:rPr>
                <w:sz w:val="1"/>
                <w:szCs w:val="1"/>
                <w:color w:val="auto"/>
              </w:rPr>
            </w:pPr>
          </w:p>
        </w:tc>
      </w:tr>
      <w:tr>
        <w:trPr>
          <w:trHeight w:val="169"/>
        </w:trPr>
        <w:tc>
          <w:tcPr>
            <w:tcW w:w="56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8"/>
                <w:szCs w:val="18"/>
                <w:color w:val="auto"/>
              </w:rPr>
              <w:t>Change from net income attributable to Tradeweb Markets Inc. and</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161,952</w:t>
            </w:r>
          </w:p>
        </w:tc>
        <w:tc>
          <w:tcPr>
            <w:tcW w:w="4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67,044</w:t>
            </w:r>
          </w:p>
        </w:tc>
        <w:tc>
          <w:tcPr>
            <w:tcW w:w="5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256,718</w:t>
            </w:r>
          </w:p>
        </w:tc>
        <w:tc>
          <w:tcPr>
            <w:tcW w:w="62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180,014</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transfers (to) from non-controlling interests</w:t>
            </w:r>
          </w:p>
        </w:tc>
        <w:tc>
          <w:tcPr>
            <w:tcW w:w="3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and Stock-Based Compensation Plans</w:t>
      </w:r>
    </w:p>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rights and privileges of the Company’s stockholders’ equity and LLC Interests are described in the audited consolidated financial statements included in the Company’s Annual Report on Form 10-K for the year ended December 31, 2022 and there have been no changes to those rights and privileges during the six months ended June 30, 2023.</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movement in the Company’s outstanding shares of common stock during the period: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1340" w:type="dxa"/>
            <w:vAlign w:val="bottom"/>
          </w:tcPr>
          <w:p>
            <w:pPr>
              <w:jc w:val="right"/>
              <w:ind w:right="352"/>
              <w:spacing w:after="0"/>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6"/>
                <w:szCs w:val="16"/>
                <w:color w:val="auto"/>
              </w:rPr>
            </w:pPr>
          </w:p>
        </w:tc>
        <w:tc>
          <w:tcPr>
            <w:tcW w:w="1320" w:type="dxa"/>
            <w:vAlign w:val="bottom"/>
          </w:tcPr>
          <w:p>
            <w:pPr>
              <w:jc w:val="right"/>
              <w:ind w:right="352"/>
              <w:spacing w:after="0"/>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16"/>
                <w:szCs w:val="16"/>
                <w:color w:val="auto"/>
              </w:rPr>
            </w:pPr>
          </w:p>
        </w:tc>
        <w:tc>
          <w:tcPr>
            <w:tcW w:w="1340" w:type="dxa"/>
            <w:vAlign w:val="bottom"/>
          </w:tcPr>
          <w:p>
            <w:pPr>
              <w:jc w:val="right"/>
              <w:ind w:right="352"/>
              <w:spacing w:after="0"/>
              <w:rPr>
                <w:sz w:val="20"/>
                <w:szCs w:val="20"/>
                <w:color w:val="auto"/>
              </w:rPr>
            </w:pPr>
            <w:r>
              <w:rPr>
                <w:rFonts w:ascii="Arial" w:cs="Arial" w:eastAsia="Arial" w:hAnsi="Arial"/>
                <w:sz w:val="14"/>
                <w:szCs w:val="14"/>
                <w:b w:val="1"/>
                <w:bCs w:val="1"/>
                <w:color w:val="auto"/>
              </w:rPr>
              <w:t>Class C</w:t>
            </w:r>
          </w:p>
        </w:tc>
        <w:tc>
          <w:tcPr>
            <w:tcW w:w="100" w:type="dxa"/>
            <w:vAlign w:val="bottom"/>
          </w:tcPr>
          <w:p>
            <w:pPr>
              <w:spacing w:after="0"/>
              <w:rPr>
                <w:sz w:val="16"/>
                <w:szCs w:val="16"/>
                <w:color w:val="auto"/>
              </w:rPr>
            </w:pPr>
          </w:p>
        </w:tc>
        <w:tc>
          <w:tcPr>
            <w:tcW w:w="1320" w:type="dxa"/>
            <w:vAlign w:val="bottom"/>
          </w:tcPr>
          <w:p>
            <w:pPr>
              <w:jc w:val="right"/>
              <w:ind w:right="333"/>
              <w:spacing w:after="0"/>
              <w:rPr>
                <w:sz w:val="20"/>
                <w:szCs w:val="20"/>
                <w:color w:val="auto"/>
              </w:rPr>
            </w:pPr>
            <w:r>
              <w:rPr>
                <w:rFonts w:ascii="Arial" w:cs="Arial" w:eastAsia="Arial" w:hAnsi="Arial"/>
                <w:sz w:val="14"/>
                <w:szCs w:val="14"/>
                <w:b w:val="1"/>
                <w:bCs w:val="1"/>
                <w:color w:val="auto"/>
              </w:rPr>
              <w:t>Class D</w:t>
            </w:r>
          </w:p>
        </w:tc>
        <w:tc>
          <w:tcPr>
            <w:tcW w:w="100" w:type="dxa"/>
            <w:vAlign w:val="bottom"/>
          </w:tcPr>
          <w:p>
            <w:pPr>
              <w:spacing w:after="0"/>
              <w:rPr>
                <w:sz w:val="16"/>
                <w:szCs w:val="16"/>
                <w:color w:val="auto"/>
              </w:rPr>
            </w:pPr>
          </w:p>
        </w:tc>
        <w:tc>
          <w:tcPr>
            <w:tcW w:w="1340" w:type="dxa"/>
            <w:vAlign w:val="bottom"/>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41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110,746,606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96,933,192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3,251,177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23,092,704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234,023,679</w:t>
            </w:r>
          </w:p>
        </w:tc>
        <w:tc>
          <w:tcPr>
            <w:tcW w:w="0" w:type="dxa"/>
            <w:vAlign w:val="bottom"/>
          </w:tcPr>
          <w:p>
            <w:pPr>
              <w:spacing w:after="0"/>
              <w:rPr>
                <w:sz w:val="1"/>
                <w:szCs w:val="1"/>
                <w:color w:val="auto"/>
              </w:rPr>
            </w:pP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Activities related to exchanges of LLC Interests</w:t>
            </w:r>
          </w:p>
        </w:tc>
        <w:tc>
          <w:tcPr>
            <w:tcW w:w="1340" w:type="dxa"/>
            <w:vAlign w:val="bottom"/>
          </w:tcPr>
          <w:p>
            <w:pPr>
              <w:jc w:val="right"/>
              <w:spacing w:after="0"/>
              <w:rPr>
                <w:sz w:val="20"/>
                <w:szCs w:val="20"/>
                <w:color w:val="auto"/>
              </w:rPr>
            </w:pPr>
            <w:r>
              <w:rPr>
                <w:rFonts w:ascii="Arial" w:cs="Arial" w:eastAsia="Arial" w:hAnsi="Arial"/>
                <w:sz w:val="18"/>
                <w:szCs w:val="18"/>
                <w:color w:val="auto"/>
              </w:rPr>
              <w:t>8,733</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(8,733)</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986,090</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986,090</w:t>
            </w:r>
          </w:p>
        </w:tc>
        <w:tc>
          <w:tcPr>
            <w:tcW w:w="0" w:type="dxa"/>
            <w:vAlign w:val="bottom"/>
          </w:tcPr>
          <w:p>
            <w:pPr>
              <w:spacing w:after="0"/>
              <w:rPr>
                <w:sz w:val="1"/>
                <w:szCs w:val="1"/>
                <w:color w:val="auto"/>
              </w:rPr>
            </w:pPr>
          </w:p>
        </w:tc>
      </w:tr>
      <w:tr>
        <w:trPr>
          <w:trHeight w:val="176"/>
        </w:trPr>
        <w:tc>
          <w:tcPr>
            <w:tcW w:w="4180" w:type="dxa"/>
            <w:vAlign w:val="bottom"/>
          </w:tcPr>
          <w:p>
            <w:pPr>
              <w:ind w:left="20"/>
              <w:spacing w:after="0" w:line="176" w:lineRule="exact"/>
              <w:rPr>
                <w:sz w:val="20"/>
                <w:szCs w:val="20"/>
                <w:color w:val="auto"/>
              </w:rPr>
            </w:pPr>
            <w:r>
              <w:rPr>
                <w:rFonts w:ascii="Arial" w:cs="Arial" w:eastAsia="Arial" w:hAnsi="Arial"/>
                <w:sz w:val="18"/>
                <w:szCs w:val="18"/>
                <w:color w:val="auto"/>
              </w:rPr>
              <w:t>Share repurchases pursuant to share repurchase</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(313,311)</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(313,311)</w:t>
            </w:r>
          </w:p>
        </w:tc>
        <w:tc>
          <w:tcPr>
            <w:tcW w:w="0" w:type="dxa"/>
            <w:vAlign w:val="bottom"/>
          </w:tcPr>
          <w:p>
            <w:pPr>
              <w:spacing w:after="0"/>
              <w:rPr>
                <w:sz w:val="1"/>
                <w:szCs w:val="1"/>
                <w:color w:val="auto"/>
              </w:rPr>
            </w:pPr>
          </w:p>
        </w:tc>
      </w:tr>
      <w:tr>
        <w:trPr>
          <w:trHeight w:val="234"/>
        </w:trPr>
        <w:tc>
          <w:tcPr>
            <w:tcW w:w="4180" w:type="dxa"/>
            <w:vAlign w:val="bottom"/>
          </w:tcPr>
          <w:p>
            <w:pPr>
              <w:ind w:left="20"/>
              <w:spacing w:after="0"/>
              <w:rPr>
                <w:sz w:val="20"/>
                <w:szCs w:val="20"/>
                <w:color w:val="auto"/>
              </w:rPr>
            </w:pPr>
            <w:r>
              <w:rPr>
                <w:rFonts w:ascii="Arial" w:cs="Arial" w:eastAsia="Arial" w:hAnsi="Arial"/>
                <w:sz w:val="18"/>
                <w:szCs w:val="18"/>
                <w:color w:val="auto"/>
              </w:rPr>
              <w:t>programs</w:t>
            </w: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2023</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111,428,118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96,933,192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3,251,177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23,083,971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234,696,458</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20"/>
              <w:spacing w:after="0"/>
              <w:rPr>
                <w:sz w:val="20"/>
                <w:szCs w:val="20"/>
                <w:color w:val="auto"/>
              </w:rPr>
            </w:pPr>
            <w:r>
              <w:rPr>
                <w:rFonts w:ascii="Arial" w:cs="Arial" w:eastAsia="Arial" w:hAnsi="Arial"/>
                <w:sz w:val="18"/>
                <w:szCs w:val="18"/>
                <w:color w:val="auto"/>
              </w:rPr>
              <w:t>Activities related to exchanges of LLC Interests</w:t>
            </w: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vMerge w:val="continue"/>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3,254,577</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(3,251,177)</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92,687</w:t>
            </w:r>
          </w:p>
        </w:tc>
        <w:tc>
          <w:tcPr>
            <w:tcW w:w="0" w:type="dxa"/>
            <w:vAlign w:val="bottom"/>
          </w:tcPr>
          <w:p>
            <w:pPr>
              <w:spacing w:after="0"/>
              <w:rPr>
                <w:sz w:val="1"/>
                <w:szCs w:val="1"/>
                <w:color w:val="auto"/>
              </w:rPr>
            </w:pPr>
          </w:p>
        </w:tc>
      </w:tr>
      <w:tr>
        <w:trPr>
          <w:trHeight w:val="188"/>
        </w:trPr>
        <w:tc>
          <w:tcPr>
            <w:tcW w:w="4180" w:type="dxa"/>
            <w:vAlign w:val="bottom"/>
          </w:tcPr>
          <w:p>
            <w:pPr>
              <w:ind w:left="20"/>
              <w:spacing w:after="0" w:line="189" w:lineRule="exact"/>
              <w:rPr>
                <w:sz w:val="20"/>
                <w:szCs w:val="20"/>
                <w:color w:val="auto"/>
              </w:rPr>
            </w:pPr>
            <w:r>
              <w:rPr>
                <w:rFonts w:ascii="Arial" w:cs="Arial" w:eastAsia="Arial" w:hAnsi="Arial"/>
                <w:sz w:val="18"/>
                <w:szCs w:val="18"/>
                <w:color w:val="auto"/>
              </w:rPr>
              <w:t>Share repurchases pursuant to share repurchase</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(107,365)</w:t>
            </w:r>
          </w:p>
        </w:tc>
        <w:tc>
          <w:tcPr>
            <w:tcW w:w="1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(107,365)</w:t>
            </w:r>
          </w:p>
        </w:tc>
        <w:tc>
          <w:tcPr>
            <w:tcW w:w="0" w:type="dxa"/>
            <w:vAlign w:val="bottom"/>
          </w:tcPr>
          <w:p>
            <w:pPr>
              <w:spacing w:after="0"/>
              <w:rPr>
                <w:sz w:val="1"/>
                <w:szCs w:val="1"/>
                <w:color w:val="auto"/>
              </w:rPr>
            </w:pPr>
          </w:p>
        </w:tc>
      </w:tr>
      <w:tr>
        <w:trPr>
          <w:trHeight w:val="222"/>
        </w:trPr>
        <w:tc>
          <w:tcPr>
            <w:tcW w:w="4180" w:type="dxa"/>
            <w:vAlign w:val="bottom"/>
          </w:tcPr>
          <w:p>
            <w:pPr>
              <w:ind w:left="20"/>
              <w:spacing w:after="0"/>
              <w:rPr>
                <w:sz w:val="20"/>
                <w:szCs w:val="20"/>
                <w:color w:val="auto"/>
              </w:rPr>
            </w:pPr>
            <w:r>
              <w:rPr>
                <w:rFonts w:ascii="Arial" w:cs="Arial" w:eastAsia="Arial" w:hAnsi="Arial"/>
                <w:sz w:val="18"/>
                <w:szCs w:val="18"/>
                <w:color w:val="auto"/>
              </w:rPr>
              <w:t>programs</w:t>
            </w: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114,668,017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96,933,192</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23,080,571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234,681,780</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180" w:type="dxa"/>
            <w:vAlign w:val="bottom"/>
          </w:tcPr>
          <w:p>
            <w:pPr>
              <w:spacing w:after="0"/>
              <w:rPr>
                <w:sz w:val="24"/>
                <w:szCs w:val="24"/>
                <w:color w:val="auto"/>
              </w:rPr>
            </w:pPr>
          </w:p>
        </w:tc>
        <w:tc>
          <w:tcPr>
            <w:tcW w:w="13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24"/>
                <w:szCs w:val="24"/>
                <w:color w:val="auto"/>
              </w:rPr>
            </w:pPr>
          </w:p>
        </w:tc>
        <w:tc>
          <w:tcPr>
            <w:tcW w:w="13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Class C</w:t>
            </w:r>
          </w:p>
        </w:tc>
        <w:tc>
          <w:tcPr>
            <w:tcW w:w="100" w:type="dxa"/>
            <w:vAlign w:val="bottom"/>
          </w:tcPr>
          <w:p>
            <w:pPr>
              <w:spacing w:after="0"/>
              <w:rPr>
                <w:sz w:val="24"/>
                <w:szCs w:val="24"/>
                <w:color w:val="auto"/>
              </w:rPr>
            </w:pPr>
          </w:p>
        </w:tc>
        <w:tc>
          <w:tcPr>
            <w:tcW w:w="13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Class D</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106,286,821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96,933,192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1,654,825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28,873,139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233,747,977</w:t>
            </w:r>
          </w:p>
        </w:tc>
        <w:tc>
          <w:tcPr>
            <w:tcW w:w="0" w:type="dxa"/>
            <w:vAlign w:val="bottom"/>
          </w:tcPr>
          <w:p>
            <w:pPr>
              <w:spacing w:after="0"/>
              <w:rPr>
                <w:sz w:val="1"/>
                <w:szCs w:val="1"/>
                <w:color w:val="auto"/>
              </w:rPr>
            </w:pP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Activities related to exchanges of LLC Interests</w:t>
            </w:r>
          </w:p>
        </w:tc>
        <w:tc>
          <w:tcPr>
            <w:tcW w:w="1340" w:type="dxa"/>
            <w:vAlign w:val="bottom"/>
          </w:tcPr>
          <w:p>
            <w:pPr>
              <w:jc w:val="right"/>
              <w:spacing w:after="0"/>
              <w:rPr>
                <w:sz w:val="20"/>
                <w:szCs w:val="20"/>
                <w:color w:val="auto"/>
              </w:rPr>
            </w:pPr>
            <w:r>
              <w:rPr>
                <w:rFonts w:ascii="Arial" w:cs="Arial" w:eastAsia="Arial" w:hAnsi="Arial"/>
                <w:sz w:val="18"/>
                <w:szCs w:val="18"/>
                <w:color w:val="auto"/>
              </w:rPr>
              <w:t>552,606</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(552,606)</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1,068,080</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1,068,080</w:t>
            </w:r>
          </w:p>
        </w:tc>
        <w:tc>
          <w:tcPr>
            <w:tcW w:w="0" w:type="dxa"/>
            <w:vAlign w:val="bottom"/>
          </w:tcPr>
          <w:p>
            <w:pPr>
              <w:spacing w:after="0"/>
              <w:rPr>
                <w:sz w:val="1"/>
                <w:szCs w:val="1"/>
                <w:color w:val="auto"/>
              </w:rPr>
            </w:pPr>
          </w:p>
        </w:tc>
      </w:tr>
      <w:tr>
        <w:trPr>
          <w:trHeight w:val="176"/>
        </w:trPr>
        <w:tc>
          <w:tcPr>
            <w:tcW w:w="4180" w:type="dxa"/>
            <w:vAlign w:val="bottom"/>
          </w:tcPr>
          <w:p>
            <w:pPr>
              <w:ind w:left="20"/>
              <w:spacing w:after="0" w:line="176" w:lineRule="exact"/>
              <w:rPr>
                <w:sz w:val="20"/>
                <w:szCs w:val="20"/>
                <w:color w:val="auto"/>
              </w:rPr>
            </w:pPr>
            <w:r>
              <w:rPr>
                <w:rFonts w:ascii="Arial" w:cs="Arial" w:eastAsia="Arial" w:hAnsi="Arial"/>
                <w:sz w:val="18"/>
                <w:szCs w:val="18"/>
                <w:color w:val="auto"/>
              </w:rPr>
              <w:t>Share repurchases pursuant to share repurchase</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(559,428)</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(559,428)</w:t>
            </w:r>
          </w:p>
        </w:tc>
        <w:tc>
          <w:tcPr>
            <w:tcW w:w="0" w:type="dxa"/>
            <w:vAlign w:val="bottom"/>
          </w:tcPr>
          <w:p>
            <w:pPr>
              <w:spacing w:after="0"/>
              <w:rPr>
                <w:sz w:val="1"/>
                <w:szCs w:val="1"/>
                <w:color w:val="auto"/>
              </w:rPr>
            </w:pPr>
          </w:p>
        </w:tc>
      </w:tr>
      <w:tr>
        <w:trPr>
          <w:trHeight w:val="234"/>
        </w:trPr>
        <w:tc>
          <w:tcPr>
            <w:tcW w:w="4180" w:type="dxa"/>
            <w:vAlign w:val="bottom"/>
          </w:tcPr>
          <w:p>
            <w:pPr>
              <w:ind w:left="20"/>
              <w:spacing w:after="0"/>
              <w:rPr>
                <w:sz w:val="20"/>
                <w:szCs w:val="20"/>
                <w:color w:val="auto"/>
              </w:rPr>
            </w:pPr>
            <w:r>
              <w:rPr>
                <w:rFonts w:ascii="Arial" w:cs="Arial" w:eastAsia="Arial" w:hAnsi="Arial"/>
                <w:sz w:val="18"/>
                <w:szCs w:val="18"/>
                <w:color w:val="auto"/>
              </w:rPr>
              <w:t>programs</w:t>
            </w: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107,348,079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96,933,192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1,654,825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28,320,533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234,256,629</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20"/>
              <w:spacing w:after="0"/>
              <w:rPr>
                <w:sz w:val="20"/>
                <w:szCs w:val="20"/>
                <w:color w:val="auto"/>
              </w:rPr>
            </w:pPr>
            <w:r>
              <w:rPr>
                <w:rFonts w:ascii="Arial" w:cs="Arial" w:eastAsia="Arial" w:hAnsi="Arial"/>
                <w:sz w:val="18"/>
                <w:szCs w:val="18"/>
                <w:color w:val="auto"/>
              </w:rPr>
              <w:t>Activities related to exchanges of LLC Interests</w:t>
            </w: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vMerge w:val="continue"/>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367,374</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367,374</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line="176" w:lineRule="exact"/>
              <w:rPr>
                <w:sz w:val="20"/>
                <w:szCs w:val="20"/>
                <w:color w:val="auto"/>
              </w:rPr>
            </w:pPr>
            <w:r>
              <w:rPr>
                <w:rFonts w:ascii="Arial" w:cs="Arial" w:eastAsia="Arial" w:hAnsi="Arial"/>
                <w:sz w:val="18"/>
                <w:szCs w:val="18"/>
                <w:color w:val="auto"/>
              </w:rPr>
              <w:t>Share repurchases pursuant to share repurchase</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(103,458)</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(103,458)</w:t>
            </w:r>
          </w:p>
        </w:tc>
        <w:tc>
          <w:tcPr>
            <w:tcW w:w="0" w:type="dxa"/>
            <w:vAlign w:val="bottom"/>
          </w:tcPr>
          <w:p>
            <w:pPr>
              <w:spacing w:after="0"/>
              <w:rPr>
                <w:sz w:val="1"/>
                <w:szCs w:val="1"/>
                <w:color w:val="auto"/>
              </w:rPr>
            </w:pPr>
          </w:p>
        </w:tc>
      </w:tr>
      <w:tr>
        <w:trPr>
          <w:trHeight w:val="235"/>
        </w:trPr>
        <w:tc>
          <w:tcPr>
            <w:tcW w:w="4180" w:type="dxa"/>
            <w:vAlign w:val="bottom"/>
          </w:tcPr>
          <w:p>
            <w:pPr>
              <w:ind w:left="20"/>
              <w:spacing w:after="0"/>
              <w:rPr>
                <w:sz w:val="20"/>
                <w:szCs w:val="20"/>
                <w:color w:val="auto"/>
              </w:rPr>
            </w:pPr>
            <w:r>
              <w:rPr>
                <w:rFonts w:ascii="Arial" w:cs="Arial" w:eastAsia="Arial" w:hAnsi="Arial"/>
                <w:sz w:val="18"/>
                <w:szCs w:val="18"/>
                <w:color w:val="auto"/>
              </w:rPr>
              <w:t>programs</w:t>
            </w: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107,615,695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96,933,192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1,654,825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28,316,833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234,520,545</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On April 3, 2023, the stockholder that owned 3,251,177 LLC Interests and 3,251,177 shares of Class C common stock, redeemed its LLC Interests for 3,251,177 shares of Class A common stock, and the shares of Class C common stock previously held by the stockholder were cancelled.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Plans</w:t>
      </w:r>
    </w:p>
    <w:p>
      <w:pPr>
        <w:spacing w:after="0" w:line="18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Under the Tradeweb Markets Inc. 2019 Omnibus Equity Incentive Plan, the Company is authorized to issue up to 8,841,864 new shares of Class A common stock to employees, officers and non-employee directors. Under this plan, the Company may grant awards in respect of shares of Class A common stock, including performance-based restricted stock units, stock options, restricted stock units (“RSUs”) and dividend equivalent rights. The awards may have performance-based and/or time-based vesting conditions. RSUs and performance-based restricted stock units each represent promises to issue actual shares of Class A common stock at the end of a vesting period. Stock options have a maximum contractual term of 10 years.</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February 16, 2022, the Company announced that Mr. Olesky would retire as Chief Executive Officer (“CEO”) of the Company, effective December 31, 2022, resulting in an acceleration of the total unamortized stock-based compensation associated with equity awards granted to him. The unamortized expense was accelerated over a revised estimated service period that ended on August 11, 2022, representing Mr. Olesky’s required six month notice period under the Company’s 2019 Omnibus Equity Incentive Plan. In addition, in December 2022, $5.5 million in stock-based compensation awards, relating to 2022 performance, were granted to Mr. Olesky and immediately recognized into expense upon grant.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During the year ended December 31, 2022, the Company recorded a total of $15.0 million in accelerated stock-based compensation expenses (“CEO Retirement Accelerated Stock-Based Compensation Expense”) and related payroll that would not have been recognized if Mr. Olesky had not announced his retirement, including $5.7 million and $7.4 million recognized during the three and six months ended June 30, 2022, respectively. There was no CEO Retirement Accelerated Stock-Based Compensation Expense recorded during the three and six months ended June 30, 2023.</w:t>
      </w:r>
    </w:p>
    <w:p>
      <w:pPr>
        <w:spacing w:after="0" w:line="13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addition to the performance-based restricted stock units previously awarded pursuant to the 2019 Omnibus Equity Incentive Plan, which vest based on the financial performance of the Company (“PRSUs”), on March 15, 2023, the Company granted to certain executives, an aggregate of 251,113 performance-based restricted stock units that vest based on market conditions (“PSUs”). PSUs are promises to issue actual shares of Class A common stock which cliff vest on January 1 of the third calendar year from the calendar year of the date of grant. The number of shares a participant will receive upon vesting is determined by a performance modifier, which is adjusted as a result of the Company’s total shareholder return over a three-year performance period. The performance modifier can vary between 0% (minimum) and 250% (maximum) of the target (100%) award amount. The PSUs granted on March 15, 2023 had a grant date fair value of $98.33 per share, or $24.7 million in total, which will be expensed on a straight-line basis through December 31, 2025, the end of the three-year performance period. The grant date fair value of the March 2023 PSUs was estimated using the Monte Carlo simulation model and the significant valuation assumptions used in the valuation were a maturity of 2.8 years annualized volatility of 28.81% and a risk-free interest rate of 3.77%. There were no PSUs granted during the three months ended June 30, 2023 or the three and six months ended June 30, 2022.</w:t>
      </w:r>
    </w:p>
    <w:p>
      <w:pPr>
        <w:spacing w:after="0" w:line="12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During the three months ended June 30, 2023, the Company granted 15,320 RSUs at a weighted-average grant-date fair value of $72.80. No PRSUs were granted during the three months ended June 30, 2023. During the six months ended June 30, 2023, the Company granted 570,237 RSUs and 326,050 PRSUs at a weighted-average grant-date fair value of $69.61 and $69.56, respectively. RSU awards granted to employees will generally vest one-third each year over a three-year period, and RSU awards granted to non-employee directors will vest after one year. PRSUs generally cliff vest on January 1 of the third calendar year from the calendar year of the date of grant and the number of shares a participant will receive upon vesting is determined by a performance modifier, which is adjusted as a result of the financial performance of the Company in the grant year. The performance modifier can vary between 0% (minimum) and 200% (maximum) of the target (100%) award amount for awards granted during 2022 and prior years. PRSUs granted during 2023 have a 250% maximum performance modifier.</w:t>
      </w:r>
    </w:p>
    <w:p>
      <w:pPr>
        <w:spacing w:after="0" w:line="1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summary of the Company’s total stock-based compensation expense, including the CEO Retirement Accelerated Stock-Based Compensation Expense, is presented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jc w:val="center"/>
              <w:ind w:right="242"/>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gridSpan w:val="3"/>
          </w:tcPr>
          <w:p>
            <w:pPr>
              <w:jc w:val="center"/>
              <w:ind w:left="284"/>
              <w:spacing w:after="0"/>
              <w:rPr>
                <w:sz w:val="20"/>
                <w:szCs w:val="20"/>
                <w:color w:val="auto"/>
              </w:rPr>
            </w:pPr>
            <w:r>
              <w:rPr>
                <w:rFonts w:ascii="Arial" w:cs="Arial" w:eastAsia="Arial" w:hAnsi="Arial"/>
                <w:sz w:val="14"/>
                <w:szCs w:val="14"/>
                <w:b w:val="1"/>
                <w:bCs w:val="1"/>
                <w:color w:val="auto"/>
                <w:w w:val="93"/>
              </w:rPr>
              <w:t>Six Months Ended</w:t>
            </w:r>
          </w:p>
        </w:tc>
        <w:tc>
          <w:tcPr>
            <w:tcW w:w="820" w:type="dxa"/>
            <w:vAlign w:val="bottom"/>
          </w:tcPr>
          <w:p>
            <w:pPr>
              <w:spacing w:after="0"/>
              <w:rPr>
                <w:sz w:val="16"/>
                <w:szCs w:val="16"/>
                <w:color w:val="auto"/>
              </w:rPr>
            </w:pPr>
          </w:p>
        </w:tc>
      </w:tr>
      <w:tr>
        <w:trPr>
          <w:trHeight w:val="189"/>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center"/>
              <w:ind w:left="584"/>
              <w:spacing w:after="0"/>
              <w:rPr>
                <w:sz w:val="20"/>
                <w:szCs w:val="20"/>
                <w:color w:val="auto"/>
              </w:rPr>
            </w:pPr>
            <w:r>
              <w:rPr>
                <w:rFonts w:ascii="Arial" w:cs="Arial" w:eastAsia="Arial" w:hAnsi="Arial"/>
                <w:sz w:val="14"/>
                <w:szCs w:val="14"/>
                <w:b w:val="1"/>
                <w:bCs w:val="1"/>
                <w:color w:val="auto"/>
                <w:w w:val="89"/>
              </w:rPr>
              <w:t>June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gridSpan w:val="3"/>
          </w:tcPr>
          <w:p>
            <w:pPr>
              <w:jc w:val="center"/>
              <w:ind w:left="304"/>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Pr>
          <w:p>
            <w:pPr>
              <w:spacing w:after="0"/>
              <w:rPr>
                <w:sz w:val="16"/>
                <w:szCs w:val="16"/>
                <w:color w:val="auto"/>
              </w:rPr>
            </w:pPr>
          </w:p>
        </w:tc>
      </w:tr>
      <w:tr>
        <w:trPr>
          <w:trHeight w:val="25"/>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8"/>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4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44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jc w:val="right"/>
              <w:ind w:right="439"/>
              <w:spacing w:after="0"/>
              <w:rPr>
                <w:sz w:val="20"/>
                <w:szCs w:val="20"/>
                <w:color w:val="auto"/>
              </w:rPr>
            </w:pPr>
            <w:r>
              <w:rPr>
                <w:rFonts w:ascii="Arial" w:cs="Arial" w:eastAsia="Arial" w:hAnsi="Arial"/>
                <w:sz w:val="14"/>
                <w:szCs w:val="14"/>
                <w:b w:val="1"/>
                <w:bCs w:val="1"/>
                <w:color w:val="auto"/>
                <w:w w:val="89"/>
              </w:rPr>
              <w:t>2022</w:t>
            </w:r>
          </w:p>
        </w:tc>
      </w:tr>
      <w:tr>
        <w:trPr>
          <w:trHeight w:val="25"/>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1"/>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20,963</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27,323</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34,675</w:t>
            </w:r>
          </w:p>
        </w:tc>
      </w:tr>
    </w:tbl>
    <w:p>
      <w:pPr>
        <w:spacing w:after="0" w:line="25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stock-based compensation expense above excludes $0.4 million and $0.6 million of stock-based compensation expense capitalized to software development costs during the three and six months ended June 30, 2023,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9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On December 5, 2022, the Company announced that its board of directors authorized a new share repurchase program (the “2022 Share Repurchase Program”), after completing in October 2022, the $150.0 million of total repurchases of the Company’s Class A common stock previously authorized in February 2021 (the “2021 Share Repurchase Program”). The 2022 Share Repurchase Program was authorized to continue to offset annual dilution from stock-based compensation plans, as well as to opportunistically repurchase the Company’s Class A common stock. The 2022 Share Repurchase Program authorizes the purchase of up to $300.0 million of the Company’s Class A common stock at the Company’s discretion and has no termination date. The 2022 Share Repurchase Program can be effected through regular open-market purchases (which may include repurchase plans designed to comply with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the Company’s Class A common stock and other factors. The 2022 Share Repurchase Program does not require the Company to acquire a specific number of shares and may be suspended, amended or discontinued at any time. During the three months ended June 30, 2023 and 2022, the Company acquired a total of 107,365 and 103,458 shares of Class A common stock, at an average price of $70.81 and $86.99, for purchases totaling $7.6 million and $9.0 million, respectively. During the six months ended June 30, 2023 and 2022, the Company acquired a total of 420,676 and 662,886 shares of Class A common stock, at an average price of $72.05 and $84.97, for purchases totaling $30.3 million and $56.3 million, respectively.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Each share of Class A common stock repurchased pursuant to the 2021 and 2022 Share Repurchase Programs was funded with the proceeds, on a dollar-for-dollar basis, from the repurchase by Tradeweb Markets LLC of an LLC Interest from the Corporation in order to maintain the one-to-one ratio between outstanding shares of the Class A common stock and Class B common stock and the LLC Interests owned by the Corporation. Subsequent to their repurchase, the shares of Class A common stock and the LLC Interests were all cancelled and retired. As of June 30, 2023, a total of $244.7 million remained available for repurchase pursuant to the 2022 Share Repurchase Program.</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shares repurchased pursuant to the 2021 and 2022 Share Repurchase Programs, the excess of the repurchase price paid over the par value of the Class A common stock is be recorded as a reduction to retained earnings.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 Repurchases</w:t>
      </w:r>
    </w:p>
    <w:p>
      <w:pPr>
        <w:spacing w:after="0" w:line="185"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During the three months ended June 30, 2023 and 2022, the Company withheld 26,259 and 29,530 shares, respectively, of common stock from employee stock option, PRSU and RSU awards, at an average price per share of $71.23 and $75.14, respectively, and an aggregate value of $1.9 million and</w:t>
      </w:r>
    </w:p>
    <w:p>
      <w:pPr>
        <w:spacing w:after="0" w:line="273" w:lineRule="auto"/>
        <w:rPr>
          <w:sz w:val="20"/>
          <w:szCs w:val="20"/>
          <w:color w:val="auto"/>
        </w:rPr>
      </w:pPr>
      <w:r>
        <w:rPr>
          <w:rFonts w:ascii="Arial" w:cs="Arial" w:eastAsia="Arial" w:hAnsi="Arial"/>
          <w:sz w:val="17"/>
          <w:szCs w:val="17"/>
          <w:color w:val="auto"/>
        </w:rPr>
        <w:t>$2.2 million, respectively, based on the price of the Class A common stock on the date the relevant withholding occurred. During the six months ended June 30, 2023 and 2022, the Company withheld 601,083 and 1,015,489 shares, respectively, of common stock from employee stock option, PRSU and RSU awards, at an average price per share of $69.42 and $96.49, respectively, and an aggregate value of $41.7 million and $98.0 million, respectively, based on the price of the Class A common stock on the date the relevant withholding occurred.</w:t>
      </w:r>
    </w:p>
    <w:p>
      <w:pPr>
        <w:spacing w:after="0" w:line="1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shares are withheld in order for the Company to cover the payroll tax withholding obligations upon the exercise of stock options and settlement of RSUs and PRSUs and such shares were not withheld in connection with the share repurchase programs discussed above.</w:t>
      </w:r>
    </w:p>
    <w:p>
      <w:pPr>
        <w:spacing w:after="0" w:line="1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enters into transactions with its affiliates from time to time which are considered to be related party transactions.</w:t>
      </w:r>
    </w:p>
    <w:p>
      <w:pPr>
        <w:spacing w:after="0" w:line="19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June 30, 2023 and December 31, 2022, the following balances with such affiliates were included in the condensed consolidated statements of financial condition in the following line items: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336"/>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75"/>
              <w:spacing w:after="0"/>
              <w:rPr>
                <w:sz w:val="20"/>
                <w:szCs w:val="20"/>
                <w:color w:val="auto"/>
              </w:rPr>
            </w:pPr>
            <w:r>
              <w:rPr>
                <w:rFonts w:ascii="Arial" w:cs="Arial" w:eastAsia="Arial" w:hAnsi="Arial"/>
                <w:sz w:val="14"/>
                <w:szCs w:val="14"/>
                <w:b w:val="1"/>
                <w:bCs w:val="1"/>
                <w:color w:val="auto"/>
                <w:w w:val="98"/>
              </w:rPr>
              <w:t>December 31,</w:t>
            </w:r>
          </w:p>
        </w:tc>
      </w:tr>
      <w:tr>
        <w:trPr>
          <w:trHeight w:val="208"/>
        </w:trPr>
        <w:tc>
          <w:tcPr>
            <w:tcW w:w="48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r>
      <w:tr>
        <w:trPr>
          <w:trHeight w:val="237"/>
        </w:trPr>
        <w:tc>
          <w:tcPr>
            <w:tcW w:w="48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4"/>
          </w:tcPr>
          <w:p>
            <w:pPr>
              <w:jc w:val="right"/>
              <w:ind w:right="875"/>
              <w:spacing w:after="0"/>
              <w:rPr>
                <w:sz w:val="20"/>
                <w:szCs w:val="20"/>
                <w:color w:val="auto"/>
              </w:rPr>
            </w:pPr>
            <w:r>
              <w:rPr>
                <w:rFonts w:ascii="Arial" w:cs="Arial" w:eastAsia="Arial" w:hAnsi="Arial"/>
                <w:sz w:val="14"/>
                <w:szCs w:val="14"/>
                <w:b w:val="1"/>
                <w:bCs w:val="1"/>
                <w:color w:val="auto"/>
              </w:rPr>
              <w:t>(in thousands)</w:t>
            </w:r>
          </w:p>
        </w:tc>
      </w:tr>
      <w:tr>
        <w:trPr>
          <w:trHeight w:val="24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Receivable and due from affiliates</w:t>
            </w:r>
          </w:p>
        </w:tc>
        <w:tc>
          <w:tcPr>
            <w:tcW w:w="3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2,728</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70"/>
        </w:trPr>
        <w:tc>
          <w:tcPr>
            <w:tcW w:w="4820" w:type="dxa"/>
            <w:vAlign w:val="bottom"/>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3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6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Payable and due to affiliates</w:t>
            </w:r>
          </w:p>
        </w:tc>
        <w:tc>
          <w:tcPr>
            <w:tcW w:w="3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7,232</w:t>
            </w:r>
          </w:p>
        </w:tc>
      </w:tr>
      <w:tr>
        <w:trPr>
          <w:trHeight w:val="904"/>
        </w:trPr>
        <w:tc>
          <w:tcPr>
            <w:tcW w:w="4820" w:type="dxa"/>
            <w:vAlign w:val="bottom"/>
          </w:tcPr>
          <w:p>
            <w:pPr>
              <w:spacing w:after="0"/>
              <w:rPr>
                <w:sz w:val="24"/>
                <w:szCs w:val="24"/>
                <w:color w:val="auto"/>
              </w:rPr>
            </w:pPr>
          </w:p>
        </w:tc>
        <w:tc>
          <w:tcPr>
            <w:tcW w:w="3620" w:type="dxa"/>
            <w:vAlign w:val="bottom"/>
          </w:tcPr>
          <w:p>
            <w:pPr>
              <w:jc w:val="right"/>
              <w:ind w:right="263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balances with such affiliates were included in the condensed consolidated statements of income in the following line items: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gridSpan w:val="3"/>
          </w:tcPr>
          <w:p>
            <w:pPr>
              <w:jc w:val="center"/>
              <w:ind w:left="275"/>
              <w:spacing w:after="0"/>
              <w:rPr>
                <w:sz w:val="20"/>
                <w:szCs w:val="20"/>
                <w:color w:val="auto"/>
              </w:rPr>
            </w:pPr>
            <w:r>
              <w:rPr>
                <w:rFonts w:ascii="Arial" w:cs="Arial" w:eastAsia="Arial" w:hAnsi="Arial"/>
                <w:sz w:val="14"/>
                <w:szCs w:val="14"/>
                <w:b w:val="1"/>
                <w:bCs w:val="1"/>
                <w:color w:val="auto"/>
                <w:w w:val="93"/>
              </w:rPr>
              <w:t>Six Months Ended</w:t>
            </w:r>
          </w:p>
        </w:tc>
        <w:tc>
          <w:tcPr>
            <w:tcW w:w="820" w:type="dxa"/>
            <w:vAlign w:val="bottom"/>
          </w:tcPr>
          <w:p>
            <w:pPr>
              <w:spacing w:after="0"/>
              <w:rPr>
                <w:sz w:val="16"/>
                <w:szCs w:val="16"/>
                <w:color w:val="auto"/>
              </w:rPr>
            </w:pPr>
          </w:p>
        </w:tc>
      </w:tr>
      <w:tr>
        <w:trPr>
          <w:trHeight w:val="189"/>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center"/>
              <w:ind w:left="575"/>
              <w:spacing w:after="0"/>
              <w:rPr>
                <w:sz w:val="20"/>
                <w:szCs w:val="20"/>
                <w:color w:val="auto"/>
              </w:rPr>
            </w:pPr>
            <w:r>
              <w:rPr>
                <w:rFonts w:ascii="Arial" w:cs="Arial" w:eastAsia="Arial" w:hAnsi="Arial"/>
                <w:sz w:val="14"/>
                <w:szCs w:val="14"/>
                <w:b w:val="1"/>
                <w:bCs w:val="1"/>
                <w:color w:val="auto"/>
                <w:w w:val="89"/>
              </w:rPr>
              <w:t>June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gridSpan w:val="3"/>
          </w:tcPr>
          <w:p>
            <w:pPr>
              <w:jc w:val="center"/>
              <w:ind w:left="295"/>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Pr>
          <w:p>
            <w:pPr>
              <w:spacing w:after="0"/>
              <w:rPr>
                <w:sz w:val="16"/>
                <w:szCs w:val="16"/>
                <w:color w:val="auto"/>
              </w:rPr>
            </w:pPr>
          </w:p>
        </w:tc>
      </w:tr>
      <w:tr>
        <w:trPr>
          <w:trHeight w:val="26"/>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89"/>
              </w:rPr>
              <w:t>2022</w:t>
            </w:r>
          </w:p>
        </w:tc>
      </w:tr>
      <w:tr>
        <w:trPr>
          <w:trHeight w:val="217"/>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6"/>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70"/>
        </w:trPr>
        <w:tc>
          <w:tcPr>
            <w:tcW w:w="5620" w:type="dxa"/>
            <w:vAlign w:val="bottom"/>
          </w:tcPr>
          <w:p>
            <w:pPr>
              <w:ind w:left="140"/>
              <w:spacing w:after="0"/>
              <w:rPr>
                <w:sz w:val="20"/>
                <w:szCs w:val="20"/>
                <w:color w:val="auto"/>
              </w:rPr>
            </w:pPr>
            <w:r>
              <w:rPr>
                <w:rFonts w:ascii="Arial" w:cs="Arial" w:eastAsia="Arial" w:hAnsi="Arial"/>
                <w:sz w:val="18"/>
                <w:szCs w:val="18"/>
                <w:color w:val="auto"/>
              </w:rPr>
              <w:t>Subscription fees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638</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317</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1,471</w:t>
            </w:r>
          </w:p>
        </w:tc>
        <w:tc>
          <w:tcPr>
            <w:tcW w:w="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229"/>
        </w:trPr>
        <w:tc>
          <w:tcPr>
            <w:tcW w:w="56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Refinitiv market data fees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30,984</w:t>
            </w:r>
          </w:p>
        </w:tc>
      </w:tr>
      <w:tr>
        <w:trPr>
          <w:trHeight w:val="270"/>
        </w:trPr>
        <w:tc>
          <w:tcPr>
            <w:tcW w:w="5620" w:type="dxa"/>
            <w:vAlign w:val="bottom"/>
          </w:tcPr>
          <w:p>
            <w:pPr>
              <w:ind w:left="140"/>
              <w:spacing w:after="0"/>
              <w:rPr>
                <w:sz w:val="20"/>
                <w:szCs w:val="20"/>
                <w:color w:val="auto"/>
              </w:rPr>
            </w:pPr>
            <w:r>
              <w:rPr>
                <w:rFonts w:ascii="Arial" w:cs="Arial" w:eastAsia="Arial" w:hAnsi="Arial"/>
                <w:sz w:val="18"/>
                <w:szCs w:val="18"/>
                <w:color w:val="auto"/>
              </w:rPr>
              <w:t>Other fees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43"/>
        </w:trPr>
        <w:tc>
          <w:tcPr>
            <w:tcW w:w="56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b w:val="1"/>
                <w:bCs w:val="1"/>
                <w:color w:val="auto"/>
              </w:rPr>
              <w:t xml:space="preserve">Expenses: </w:t>
            </w:r>
            <w:r>
              <w:rPr>
                <w:rFonts w:ascii="Arial" w:cs="Arial" w:eastAsia="Arial" w:hAnsi="Arial"/>
                <w:sz w:val="23"/>
                <w:szCs w:val="23"/>
                <w:b w:val="1"/>
                <w:bCs w:val="1"/>
                <w:color w:val="auto"/>
                <w:vertAlign w:val="superscript"/>
              </w:rPr>
              <w:t>(2)</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Employee compensation and benefits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613</w:t>
            </w:r>
          </w:p>
        </w:tc>
      </w:tr>
      <w:tr>
        <w:trPr>
          <w:trHeight w:val="229"/>
        </w:trPr>
        <w:tc>
          <w:tcPr>
            <w:tcW w:w="5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Technology and communications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r>
      <w:tr>
        <w:trPr>
          <w:trHeight w:val="237"/>
        </w:trPr>
        <w:tc>
          <w:tcPr>
            <w:tcW w:w="562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36"/>
        </w:trPr>
        <w:tc>
          <w:tcPr>
            <w:tcW w:w="5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Professional fees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75" w:lineRule="exact"/>
        <w:rPr>
          <w:sz w:val="20"/>
          <w:szCs w:val="20"/>
          <w:color w:val="auto"/>
        </w:rPr>
      </w:pPr>
    </w:p>
    <w:p>
      <w:pPr>
        <w:ind w:left="340" w:right="160" w:hanging="332"/>
        <w:spacing w:after="0" w:line="266"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 maintains a market data license agreement with Refinitiv. Under the agreement, the Company delivers to Refinitiv certain market data feeds which Refinitiv redistributes to its customers. The Company earns license fees and royalties for these feeds.</w:t>
      </w: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 maintains agreements with Refinitiv to provide the Company with certain real estate, payroll, benefits administration and other administrative services.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Measured at Fair Value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instruments measured at fair value on the condensed consolidated statements of financial condition as of June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have been categorized based upon the fair value hierarchy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Quoted Prices in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5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56"/>
              <w:spacing w:after="0"/>
              <w:rPr>
                <w:sz w:val="20"/>
                <w:szCs w:val="20"/>
                <w:color w:val="auto"/>
              </w:rPr>
            </w:pPr>
            <w:r>
              <w:rPr>
                <w:rFonts w:ascii="Arial" w:cs="Arial" w:eastAsia="Arial" w:hAnsi="Arial"/>
                <w:sz w:val="14"/>
                <w:szCs w:val="14"/>
                <w:b w:val="1"/>
                <w:bCs w:val="1"/>
                <w:color w:val="auto"/>
                <w:w w:val="95"/>
              </w:rPr>
              <w:t>active Markets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5"/>
        </w:trPr>
        <w:tc>
          <w:tcPr>
            <w:tcW w:w="5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56"/>
              <w:spacing w:after="0"/>
              <w:rPr>
                <w:sz w:val="20"/>
                <w:szCs w:val="20"/>
                <w:color w:val="auto"/>
              </w:rPr>
            </w:pPr>
            <w:r>
              <w:rPr>
                <w:rFonts w:ascii="Arial" w:cs="Arial" w:eastAsia="Arial" w:hAnsi="Arial"/>
                <w:sz w:val="14"/>
                <w:szCs w:val="14"/>
                <w:b w:val="1"/>
                <w:bCs w:val="1"/>
                <w:color w:val="auto"/>
                <w:w w:val="95"/>
              </w:rPr>
              <w:t>for Identical</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16"/>
              <w:spacing w:after="0"/>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96"/>
              <w:spacing w:after="0"/>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5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56"/>
              <w:spacing w:after="0"/>
              <w:rPr>
                <w:sz w:val="20"/>
                <w:szCs w:val="20"/>
                <w:color w:val="auto"/>
              </w:rPr>
            </w:pPr>
            <w:r>
              <w:rPr>
                <w:rFonts w:ascii="Arial" w:cs="Arial" w:eastAsia="Arial" w:hAnsi="Arial"/>
                <w:sz w:val="14"/>
                <w:szCs w:val="14"/>
                <w:b w:val="1"/>
                <w:bCs w:val="1"/>
                <w:color w:val="auto"/>
                <w:w w:val="87"/>
              </w:rPr>
              <w:t>Assets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36"/>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96"/>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r>
      <w:tr>
        <w:trPr>
          <w:trHeight w:val="26"/>
        </w:trPr>
        <w:tc>
          <w:tcPr>
            <w:tcW w:w="5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5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0" w:type="dxa"/>
            <w:vAlign w:val="bottom"/>
            <w:gridSpan w:val="4"/>
          </w:tcPr>
          <w:p>
            <w:pPr>
              <w:ind w:left="7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8"/>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 of June 30, 2023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70"/>
        </w:trPr>
        <w:tc>
          <w:tcPr>
            <w:tcW w:w="5440" w:type="dxa"/>
            <w:vAlign w:val="bottom"/>
          </w:tcPr>
          <w:p>
            <w:pPr>
              <w:ind w:left="20"/>
              <w:spacing w:after="0"/>
              <w:rPr>
                <w:sz w:val="20"/>
                <w:szCs w:val="20"/>
                <w:color w:val="auto"/>
              </w:rPr>
            </w:pPr>
            <w:r>
              <w:rPr>
                <w:rFonts w:ascii="Arial" w:cs="Arial" w:eastAsia="Arial" w:hAnsi="Arial"/>
                <w:sz w:val="18"/>
                <w:szCs w:val="18"/>
                <w:color w:val="auto"/>
              </w:rPr>
              <w:t>Cash equivalents – Money market funds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1,270,909</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ind w:left="9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1,270,909</w:t>
            </w:r>
          </w:p>
        </w:tc>
      </w:tr>
      <w:tr>
        <w:trPr>
          <w:trHeight w:val="229"/>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Receivable and due from affiliates – Foreign exchange derivative contracts</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Total assets measured at fair value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1,270,909</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ind w:left="9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1,272,851</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i w:val="1"/>
                <w:iCs w:val="1"/>
                <w:color w:val="auto"/>
              </w:rPr>
              <w:t>Liabilities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Payable and due to affiliates – Foreign exchange derivative contracts</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Total liabilities measured at fair value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1,180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ind w:left="9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1,180</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 of December 31, 2022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7"/>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56"/>
        </w:trPr>
        <w:tc>
          <w:tcPr>
            <w:tcW w:w="5440" w:type="dxa"/>
            <w:vAlign w:val="bottom"/>
          </w:tcPr>
          <w:p>
            <w:pPr>
              <w:ind w:left="20"/>
              <w:spacing w:after="0"/>
              <w:rPr>
                <w:sz w:val="20"/>
                <w:szCs w:val="20"/>
                <w:color w:val="auto"/>
              </w:rPr>
            </w:pPr>
            <w:r>
              <w:rPr>
                <w:rFonts w:ascii="Arial" w:cs="Arial" w:eastAsia="Arial" w:hAnsi="Arial"/>
                <w:sz w:val="18"/>
                <w:szCs w:val="18"/>
                <w:color w:val="auto"/>
              </w:rPr>
              <w:t>Cash equivalents – Money market funds</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1,106,916</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1,106,916</w:t>
            </w:r>
          </w:p>
        </w:tc>
      </w:tr>
      <w:tr>
        <w:trPr>
          <w:trHeight w:val="257"/>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measured at fair value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1,106,916</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1,106,916</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w w:val="98"/>
              </w:rPr>
              <w:t xml:space="preserve">Payable and due to affiliates </w:t>
            </w:r>
            <w:r>
              <w:rPr>
                <w:rFonts w:ascii="Arial" w:cs="Arial" w:eastAsia="Arial" w:hAnsi="Arial"/>
                <w:sz w:val="18"/>
                <w:szCs w:val="18"/>
                <w:b w:val="1"/>
                <w:bCs w:val="1"/>
                <w:color w:val="auto"/>
                <w:w w:val="98"/>
              </w:rPr>
              <w:t>–</w:t>
            </w:r>
            <w:r>
              <w:rPr>
                <w:rFonts w:ascii="Arial" w:cs="Arial" w:eastAsia="Arial" w:hAnsi="Arial"/>
                <w:sz w:val="18"/>
                <w:szCs w:val="18"/>
                <w:color w:val="auto"/>
                <w:w w:val="98"/>
              </w:rPr>
              <w:t xml:space="preserve"> Foreign exchange derivative contracts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ind w:left="9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1,002</w:t>
            </w:r>
          </w:p>
        </w:tc>
      </w:tr>
      <w:tr>
        <w:trPr>
          <w:trHeight w:val="248"/>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measured at fair value</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money market funds are classified within level 1 of the fair value hierarchy because they are valued using quoted market prices in active markets.</w:t>
      </w:r>
    </w:p>
    <w:p>
      <w:pPr>
        <w:spacing w:after="0" w:line="14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valuations for the Company’s foreign currency forward contracts and foreign currency call option are primarily based on the difference between the exchange rate associated with the contract and the exchange rate at the current period end for the tenor of the contract. Foreign currency forward contracts and the foreign currency call option are categorized as Level 2 in the fair value hierarchy. The Company enters into foreign currency forward contracts to mitigate its U.S. dollar and British pound sterling versus euro exposure, generally with a duration of less than 12 months. On June 1, 2023 the Company entered into the foreign currency call option on Australian dollars , in order to partially mitigate the Company’s U.S. dollar versus Australian dollar foreign exchange exposure on the anticipated payment of the Australian dollar denominated purchase price for the expected Yieldbroker acquisition. See Note 4 – Acquisitions for additional details. As of June 30, 2023 and December 31, 2022, the counterparty on each of the foreign exchange derivative contracts was an affiliate of LSEG and therefore the corresponding assets or liabilities on such contracts were included in receivable and due from affiliates or payable and due to affiliates, respectively, on the accompanying condensed consolidated statements of financial condition.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following table summarizes the aggregate U.S. dollar equivalent notional amount of the Company’s foreign exchange derivative contracts not designated as hedges for accounting purposes: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41"/>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December 31,</w:t>
            </w:r>
          </w:p>
        </w:tc>
      </w:tr>
      <w:tr>
        <w:trPr>
          <w:trHeight w:val="189"/>
        </w:trPr>
        <w:tc>
          <w:tcPr>
            <w:tcW w:w="8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61"/>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459"/>
              <w:spacing w:after="0"/>
              <w:rPr>
                <w:sz w:val="20"/>
                <w:szCs w:val="20"/>
                <w:color w:val="auto"/>
              </w:rPr>
            </w:pPr>
            <w:r>
              <w:rPr>
                <w:rFonts w:ascii="Arial" w:cs="Arial" w:eastAsia="Arial" w:hAnsi="Arial"/>
                <w:sz w:val="14"/>
                <w:szCs w:val="14"/>
                <w:b w:val="1"/>
                <w:bCs w:val="1"/>
                <w:color w:val="auto"/>
              </w:rPr>
              <w:t>2022</w:t>
            </w:r>
          </w:p>
        </w:tc>
      </w:tr>
      <w:tr>
        <w:trPr>
          <w:trHeight w:val="26"/>
        </w:trPr>
        <w:tc>
          <w:tcPr>
            <w:tcW w:w="8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1"/>
        </w:trPr>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4"/>
          </w:tcPr>
          <w:p>
            <w:pPr>
              <w:jc w:val="right"/>
              <w:ind w:right="879"/>
              <w:spacing w:after="0"/>
              <w:rPr>
                <w:sz w:val="20"/>
                <w:szCs w:val="20"/>
                <w:color w:val="auto"/>
              </w:rPr>
            </w:pPr>
            <w:r>
              <w:rPr>
                <w:rFonts w:ascii="Arial" w:cs="Arial" w:eastAsia="Arial" w:hAnsi="Arial"/>
                <w:sz w:val="14"/>
                <w:szCs w:val="14"/>
                <w:b w:val="1"/>
                <w:bCs w:val="1"/>
                <w:color w:val="auto"/>
              </w:rPr>
              <w:t>(in thousands)</w:t>
            </w:r>
          </w:p>
        </w:tc>
      </w:tr>
      <w:tr>
        <w:trPr>
          <w:trHeight w:val="26"/>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 – Gross notional amount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181,363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162,845</w:t>
            </w:r>
          </w:p>
        </w:tc>
      </w:tr>
      <w:tr>
        <w:trPr>
          <w:trHeight w:val="270"/>
        </w:trPr>
        <w:tc>
          <w:tcPr>
            <w:tcW w:w="8440" w:type="dxa"/>
            <w:vAlign w:val="bottom"/>
          </w:tcPr>
          <w:p>
            <w:pPr>
              <w:ind w:left="20"/>
              <w:spacing w:after="0"/>
              <w:rPr>
                <w:sz w:val="20"/>
                <w:szCs w:val="20"/>
                <w:color w:val="auto"/>
              </w:rPr>
            </w:pPr>
            <w:r>
              <w:rPr>
                <w:rFonts w:ascii="Arial" w:cs="Arial" w:eastAsia="Arial" w:hAnsi="Arial"/>
                <w:sz w:val="18"/>
                <w:szCs w:val="18"/>
                <w:color w:val="auto"/>
              </w:rPr>
              <w:t>Foreign currency call option contract – Gross notional amount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
              <w:spacing w:after="0"/>
              <w:rPr>
                <w:sz w:val="20"/>
                <w:szCs w:val="20"/>
                <w:color w:val="auto"/>
              </w:rPr>
            </w:pPr>
            <w:r>
              <w:rPr>
                <w:rFonts w:ascii="Arial" w:cs="Arial" w:eastAsia="Arial" w:hAnsi="Arial"/>
                <w:sz w:val="18"/>
                <w:szCs w:val="18"/>
                <w:color w:val="auto"/>
              </w:rPr>
              <w:t>79,878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Company’s foreign exchange derivative contracts are not designated as hedges for accounting purposes and changes in the fair value of these contracts during the period are recognized in the condensed consolidated statements of income. The total realized and unrealized gains (losses) on foreign currency forward contracts recorded within the condensed consolidated statements of income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right"/>
              <w:ind w:right="63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7"/>
                <w:szCs w:val="17"/>
                <w:color w:val="auto"/>
              </w:rPr>
            </w:pPr>
          </w:p>
        </w:tc>
      </w:tr>
      <w:tr>
        <w:trPr>
          <w:trHeight w:val="26"/>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9"/>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89"/>
              </w:rPr>
              <w:t>2022</w:t>
            </w:r>
          </w:p>
        </w:tc>
      </w:tr>
      <w:tr>
        <w:trPr>
          <w:trHeight w:val="231"/>
        </w:trPr>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6"/>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Foreign currency forward contracts not designated in accounting hedge</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7"/>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relationship – General and administrative (expenses)/income</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5,488</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w w:val="92"/>
              </w:rPr>
              <w:t>Foreign currency call option contract not designated in accounting hedge</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7"/>
        </w:trPr>
        <w:tc>
          <w:tcPr>
            <w:tcW w:w="5400" w:type="dxa"/>
            <w:vAlign w:val="bottom"/>
          </w:tcPr>
          <w:p>
            <w:pPr>
              <w:ind w:left="20"/>
              <w:spacing w:after="0"/>
              <w:rPr>
                <w:sz w:val="20"/>
                <w:szCs w:val="20"/>
                <w:color w:val="auto"/>
              </w:rPr>
            </w:pPr>
            <w:r>
              <w:rPr>
                <w:rFonts w:ascii="Arial" w:cs="Arial" w:eastAsia="Arial" w:hAnsi="Arial"/>
                <w:sz w:val="18"/>
                <w:szCs w:val="18"/>
                <w:color w:val="auto"/>
              </w:rPr>
              <w:t>relationship – Other income/(loss)</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618</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618</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904"/>
        </w:trPr>
        <w:tc>
          <w:tcPr>
            <w:tcW w:w="5400" w:type="dxa"/>
            <w:vAlign w:val="bottom"/>
          </w:tcPr>
          <w:p>
            <w:pPr>
              <w:spacing w:after="0"/>
              <w:rPr>
                <w:sz w:val="24"/>
                <w:szCs w:val="2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Measured at Fair Value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instruments not measured at fair value on the condensed consolidated statements of financial condition as of June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have been categorized based upon the fair value hierarchy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34"/>
              <w:spacing w:after="0"/>
              <w:rPr>
                <w:sz w:val="20"/>
                <w:szCs w:val="20"/>
                <w:color w:val="auto"/>
              </w:rPr>
            </w:pPr>
            <w:r>
              <w:rPr>
                <w:rFonts w:ascii="Arial" w:cs="Arial" w:eastAsia="Arial" w:hAnsi="Arial"/>
                <w:sz w:val="14"/>
                <w:szCs w:val="14"/>
                <w:b w:val="1"/>
                <w:bCs w:val="1"/>
                <w:color w:val="auto"/>
                <w:w w:val="91"/>
              </w:rPr>
              <w:t>Quoted Prices in</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34"/>
              <w:spacing w:after="0"/>
              <w:rPr>
                <w:sz w:val="20"/>
                <w:szCs w:val="20"/>
                <w:color w:val="auto"/>
              </w:rPr>
            </w:pPr>
            <w:r>
              <w:rPr>
                <w:rFonts w:ascii="Arial" w:cs="Arial" w:eastAsia="Arial" w:hAnsi="Arial"/>
                <w:sz w:val="14"/>
                <w:szCs w:val="14"/>
                <w:b w:val="1"/>
                <w:bCs w:val="1"/>
                <w:color w:val="auto"/>
                <w:w w:val="93"/>
              </w:rPr>
              <w:t>active Markets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94"/>
              <w:spacing w:after="0"/>
              <w:rPr>
                <w:sz w:val="20"/>
                <w:szCs w:val="20"/>
                <w:color w:val="auto"/>
              </w:rPr>
            </w:pPr>
            <w:r>
              <w:rPr>
                <w:rFonts w:ascii="Arial" w:cs="Arial" w:eastAsia="Arial" w:hAnsi="Arial"/>
                <w:sz w:val="14"/>
                <w:szCs w:val="14"/>
                <w:b w:val="1"/>
                <w:bCs w:val="1"/>
                <w:color w:val="auto"/>
                <w:w w:val="94"/>
              </w:rPr>
              <w:t>Significant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34"/>
              <w:spacing w:after="0"/>
              <w:rPr>
                <w:sz w:val="20"/>
                <w:szCs w:val="20"/>
                <w:color w:val="auto"/>
              </w:rPr>
            </w:pPr>
            <w:r>
              <w:rPr>
                <w:rFonts w:ascii="Arial" w:cs="Arial" w:eastAsia="Arial" w:hAnsi="Arial"/>
                <w:sz w:val="14"/>
                <w:szCs w:val="14"/>
                <w:b w:val="1"/>
                <w:bCs w:val="1"/>
                <w:color w:val="auto"/>
                <w:w w:val="98"/>
              </w:rPr>
              <w:t>for Identical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4"/>
              <w:spacing w:after="0"/>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34"/>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94"/>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94"/>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1"/>
              <w:spacing w:after="0"/>
              <w:rPr>
                <w:sz w:val="20"/>
                <w:szCs w:val="20"/>
                <w:color w:val="auto"/>
              </w:rPr>
            </w:pPr>
            <w:r>
              <w:rPr>
                <w:rFonts w:ascii="Arial" w:cs="Arial" w:eastAsia="Arial" w:hAnsi="Arial"/>
                <w:sz w:val="14"/>
                <w:szCs w:val="14"/>
                <w:b w:val="1"/>
                <w:bCs w:val="1"/>
                <w:color w:val="auto"/>
                <w:w w:val="97"/>
              </w:rPr>
              <w:t>Carrying Value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71"/>
              <w:spacing w:after="0"/>
              <w:rPr>
                <w:sz w:val="20"/>
                <w:szCs w:val="20"/>
                <w:color w:val="auto"/>
              </w:rPr>
            </w:pPr>
            <w:r>
              <w:rPr>
                <w:rFonts w:ascii="Arial" w:cs="Arial" w:eastAsia="Arial" w:hAnsi="Arial"/>
                <w:sz w:val="14"/>
                <w:szCs w:val="14"/>
                <w:b w:val="1"/>
                <w:bCs w:val="1"/>
                <w:color w:val="auto"/>
                <w:w w:val="95"/>
              </w:rPr>
              <w:t>Total Fair Value</w:t>
            </w:r>
          </w:p>
        </w:tc>
        <w:tc>
          <w:tcPr>
            <w:tcW w:w="0" w:type="dxa"/>
            <w:vAlign w:val="bottom"/>
          </w:tcPr>
          <w:p>
            <w:pPr>
              <w:spacing w:after="0"/>
              <w:rPr>
                <w:sz w:val="1"/>
                <w:szCs w:val="1"/>
                <w:color w:val="auto"/>
              </w:rPr>
            </w:pPr>
          </w:p>
        </w:tc>
      </w:tr>
      <w:tr>
        <w:trPr>
          <w:trHeight w:val="39"/>
        </w:trPr>
        <w:tc>
          <w:tcPr>
            <w:tcW w:w="4160" w:type="dxa"/>
            <w:vAlign w:val="bottom"/>
            <w:gridSpan w:val="2"/>
            <w:vMerge w:val="restart"/>
          </w:tcPr>
          <w:p>
            <w:pPr>
              <w:ind w:left="20"/>
              <w:spacing w:after="0"/>
              <w:rPr>
                <w:sz w:val="20"/>
                <w:szCs w:val="20"/>
                <w:color w:val="auto"/>
              </w:rPr>
            </w:pPr>
            <w:r>
              <w:rPr>
                <w:rFonts w:ascii="Arial" w:cs="Arial" w:eastAsia="Arial" w:hAnsi="Arial"/>
                <w:sz w:val="18"/>
                <w:szCs w:val="18"/>
                <w:color w:val="auto"/>
              </w:rPr>
              <w:t>As of June 30, 2023</w:t>
            </w: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4160" w:type="dxa"/>
            <w:vAlign w:val="bottom"/>
            <w:gridSpan w:val="2"/>
            <w:vMerge w:val="continue"/>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center"/>
              <w:ind w:right="94"/>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Cash and 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126,492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126,492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126,492</w:t>
            </w:r>
          </w:p>
        </w:tc>
        <w:tc>
          <w:tcPr>
            <w:tcW w:w="0" w:type="dxa"/>
            <w:vAlign w:val="bottom"/>
          </w:tcPr>
          <w:p>
            <w:pPr>
              <w:spacing w:after="0"/>
              <w:rPr>
                <w:sz w:val="1"/>
                <w:szCs w:val="1"/>
                <w:color w:val="auto"/>
              </w:rPr>
            </w:pPr>
          </w:p>
        </w:tc>
      </w:tr>
      <w:tr>
        <w:trPr>
          <w:trHeight w:val="188"/>
        </w:trPr>
        <w:tc>
          <w:tcPr>
            <w:tcW w:w="41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Receivable from brokers and dealers and clearing</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128,015</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Deposits with clearing organizations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23,942</w:t>
            </w: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163,219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163,219</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w w:val="95"/>
              </w:rPr>
              <w:t xml:space="preserve">Other assets </w:t>
            </w:r>
            <w:r>
              <w:rPr>
                <w:rFonts w:ascii="Arial" w:cs="Arial" w:eastAsia="Arial" w:hAnsi="Arial"/>
                <w:sz w:val="18"/>
                <w:szCs w:val="18"/>
                <w:b w:val="1"/>
                <w:bCs w:val="1"/>
                <w:color w:val="auto"/>
                <w:w w:val="95"/>
              </w:rPr>
              <w:t>–</w:t>
            </w:r>
            <w:r>
              <w:rPr>
                <w:rFonts w:ascii="Arial" w:cs="Arial" w:eastAsia="Arial" w:hAnsi="Arial"/>
                <w:sz w:val="18"/>
                <w:szCs w:val="18"/>
                <w:color w:val="auto"/>
                <w:w w:val="95"/>
              </w:rPr>
              <w:t xml:space="preserve"> Memberships in clearing organizations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444,085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1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Payable to brokers and dealers and clearing</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128,009</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128,009</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128,009</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128,009</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As of December 31, 2022</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Cash and 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151,313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151,313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151,313</w:t>
            </w:r>
          </w:p>
        </w:tc>
        <w:tc>
          <w:tcPr>
            <w:tcW w:w="0" w:type="dxa"/>
            <w:vAlign w:val="bottom"/>
          </w:tcPr>
          <w:p>
            <w:pPr>
              <w:spacing w:after="0"/>
              <w:rPr>
                <w:sz w:val="1"/>
                <w:szCs w:val="1"/>
                <w:color w:val="auto"/>
              </w:rPr>
            </w:pPr>
          </w:p>
        </w:tc>
      </w:tr>
      <w:tr>
        <w:trPr>
          <w:trHeight w:val="188"/>
        </w:trPr>
        <w:tc>
          <w:tcPr>
            <w:tcW w:w="41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Receivable from brokers and dealers and clearing</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11,632</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Deposits with clearing organizations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23,906</w:t>
            </w: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142,676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142,676</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5"/>
              </w:rPr>
              <w:t xml:space="preserve">Other assets </w:t>
            </w:r>
            <w:r>
              <w:rPr>
                <w:rFonts w:ascii="Arial" w:cs="Arial" w:eastAsia="Arial" w:hAnsi="Arial"/>
                <w:sz w:val="18"/>
                <w:szCs w:val="18"/>
                <w:b w:val="1"/>
                <w:bCs w:val="1"/>
                <w:color w:val="auto"/>
                <w:w w:val="95"/>
              </w:rPr>
              <w:t>–</w:t>
            </w:r>
            <w:r>
              <w:rPr>
                <w:rFonts w:ascii="Arial" w:cs="Arial" w:eastAsia="Arial" w:hAnsi="Arial"/>
                <w:sz w:val="18"/>
                <w:szCs w:val="18"/>
                <w:color w:val="auto"/>
                <w:w w:val="95"/>
              </w:rPr>
              <w:t xml:space="preserve"> Memberships in clearing organizations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331,933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Payable to brokers and dealers and clearing</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11,264</w:t>
            </w:r>
          </w:p>
        </w:tc>
        <w:tc>
          <w:tcPr>
            <w:tcW w:w="10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11,264</w:t>
            </w:r>
          </w:p>
        </w:tc>
        <w:tc>
          <w:tcPr>
            <w:tcW w:w="100" w:type="dxa"/>
            <w:vAlign w:val="bottom"/>
            <w:vMerge w:val="restart"/>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11,264</w:t>
            </w:r>
          </w:p>
        </w:tc>
        <w:tc>
          <w:tcPr>
            <w:tcW w:w="0" w:type="dxa"/>
            <w:vAlign w:val="bottom"/>
          </w:tcPr>
          <w:p>
            <w:pPr>
              <w:spacing w:after="0"/>
              <w:rPr>
                <w:sz w:val="1"/>
                <w:szCs w:val="1"/>
                <w:color w:val="auto"/>
              </w:rPr>
            </w:pPr>
          </w:p>
        </w:tc>
      </w:tr>
      <w:tr>
        <w:trPr>
          <w:trHeight w:val="235"/>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carrying value of financial instruments not measured at fair value classified within level 1 or level 2 of the fair value hierarchy approximates fair value because of the relatively short term nature of the underlying assets or liabilities. The memberships in clearing organizations, which are included in other assets on the condensed consolidated statements of financial condition, are classified within level 3 of the fair value hierarchy because the valuation requires assumptions that are both significant and unobservable.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Without Readily Determinable Fair Values</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Included in other assets on the condensed consolidated statements of financial condition are equity investments without readily determinable fair values of $20.0 million as of both June 30, 2023 and December 31, 2022,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Credit Risk</w:t>
      </w:r>
    </w:p>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Cash and cash equivalents includes cash and money market instruments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normal course of business the Company, as agent, executes transactions with, and on behalf of, other brokers and dealers. If the agency transactions do not settle because of failure to perform by either counterparty, the Company will recognize a receivable from (and a matching payable to) brokers and dealers and clearing organizations for the proceeds from the unsettled transaction, until the failed transaction settles. The Company may be obligated to discharge the obligation of the non-performing party and, as a result, may incur a loss if the market value of the security is different from the contract amount of the transaction. However, from time to time, the Company enters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Fixed Income Clearing Corporation (“FICC”). The FICC operates a continuous net settlement system, whereby as trades are submitted and compared, the FICC becomes the counterparty.</w:t>
      </w:r>
    </w:p>
    <w:p>
      <w:pPr>
        <w:spacing w:after="0" w:line="126" w:lineRule="exact"/>
        <w:rPr>
          <w:sz w:val="20"/>
          <w:szCs w:val="20"/>
          <w:color w:val="auto"/>
        </w:rPr>
      </w:pPr>
    </w:p>
    <w:p>
      <w:pPr>
        <w:ind w:right="480"/>
        <w:spacing w:after="0" w:line="311" w:lineRule="auto"/>
        <w:rPr>
          <w:sz w:val="20"/>
          <w:szCs w:val="20"/>
          <w:color w:val="auto"/>
        </w:rPr>
      </w:pPr>
      <w:r>
        <w:rPr>
          <w:rFonts w:ascii="Arial" w:cs="Arial" w:eastAsia="Arial" w:hAnsi="Arial"/>
          <w:sz w:val="16"/>
          <w:szCs w:val="16"/>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2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18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may be exposed to credit risk regarding its receivables, which are primarily receivables from financial institutions, including investment managers and broker-dealers. The Company maintains an allowance for credit losses based upon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Account balances are pooled based on the following risk characteristics:</w:t>
      </w:r>
    </w:p>
    <w:p>
      <w:pPr>
        <w:spacing w:after="0" w:line="2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Geographic location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Transaction fee type (billing type)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Legal entity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Write-Offs</w:t>
      </w:r>
    </w:p>
    <w:p>
      <w:pPr>
        <w:spacing w:after="0" w:line="18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Once determined uncollectible, aged balances are written off against the allowance for credit losses. This determination is based on careful analysis of individual receivables and aging schedules, which are disaggregated based on the risk characteristics described above. Based on current policy, this generally occurs when the receivable is 360 days past due.</w:t>
      </w:r>
    </w:p>
    <w:p>
      <w:pPr>
        <w:spacing w:after="0" w:line="15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June 30, 2023 and December 31, 2022, the Company maintained an allowance for credit losses with regard to these receivables of $0.2 million and $0.1 million, respectively. For the three months ended June 30, 2023 and 2022, credit loss expense was $21,000 and $49,000, respectively. For the six months ended June 30, 2023, credit loss expense was $47,000 and for the six months ended June 30, 2022, recoveries resulted in a reversal of credit loss expense totaling $25,000.</w:t>
      </w:r>
    </w:p>
    <w:p>
      <w:pPr>
        <w:spacing w:after="0" w:line="14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Commitments and Contingencies</w:t>
      </w:r>
    </w:p>
    <w:p>
      <w:pPr>
        <w:spacing w:after="0" w:line="18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From time to time, the Company is subject to various claims, lawsuits and other legal proceedings, including reviews, investigations and proceedings by governmental and self-regulatory agencies regarding its business. While the ultimate resolution of these matters cannot presently be determined, the Company does not believe that, taking into account any applicable insurance coverage, any of the pending legal proceedings, including the matters set forth below, could reasonably be expected to have a material adverse effect on its business, financial condition or results of operations.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normal course of business, the Company enters into agreements with its customers which provide the customers with indemnification rights, including in the event that the electronic marketplaces of the Company infringe upon the intellectual property or other proprietary right of a third party. The Company’s exposure under these agreements is unknown as this would involve estimating future claims against the Company which have not yet occurred. However, based on its experience, the Company expects the risk of a material loss to be remote.</w:t>
      </w:r>
    </w:p>
    <w:p>
      <w:pPr>
        <w:spacing w:after="0" w:line="16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Company has been named as a defendant, along with other financial institutions, in two consolidated antitrust class actions relating to trading practices in United States Treasury securities auctions. The cases were dismissed in March 2021, with the Court granting the Plaintiffs leave to further amend the complaint by no later than May 14, 2021. The plaintiffs filed an amended complaint on or about May 14, 2021, and the Company moved to dismiss the amended complaint on June 14, 2021. By order dated March 31, 2022, the Court granted the Company’s motion and dismissed all of the claims against it in the amended complaint. The Court also denied the plaintiffs’ request for leave to file a further amended complaint. On April 28, 2022, the Plaintiffs filed a Notice of Appeal of the decision and filed their opening brief on the appeal in the United States Court of Appeals for the Second Circuit on August 18, 2022. The Company filed its brief in response on November 17, 2022. Plaintiffs filed their brief in reply in further support of their appeal on December 14,</w:t>
      </w:r>
    </w:p>
    <w:p>
      <w:pPr>
        <w:spacing w:after="0" w:line="2"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2022. Oral argument in the appeal has been scheduled for October 3, 2023. We believe that we have meritorious defenses to the claims set forth in the complaint and intend to continue to vigorously defend our position.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Company intends to vigorously defend the District Court’s decision on appeal and assert its meritorious defenses to the allegations.</w:t>
      </w:r>
    </w:p>
    <w:p>
      <w:pPr>
        <w:spacing w:after="0" w:line="18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Additionally, the Company was dismissed from a class action relating to an interest rate swaps matter in 2017, but that matter continues against the remaining defendant financial institutions.</w:t>
      </w:r>
    </w:p>
    <w:p>
      <w:pPr>
        <w:spacing w:after="0" w:line="14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matters described above, and therefore does not have any contingency reserves established for any of these matters.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18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April 8, 2019, the Company entered into a five year, $500.0 million senior secured revolving credit facility (“Revolving Credit Facility”) with a syndicate of banks. The Revolving Credit Facility was subsequently amended on November 7, 2019 and March 31, 2023. The Revolving Credit Facility provides additional borrowing capacity to be used to fund ongoing working capital needs, letters of credit and for general corporate purposes, including potential future acquisitions and expansions.</w:t>
      </w:r>
    </w:p>
    <w:p>
      <w:pPr>
        <w:spacing w:after="0" w:line="160"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Under the terms of the credit agreement that governs the Revolving Credit Facility, borrowings under the Revolving Credit Facility bear interest at a rate equal to, at the Company’s option, either (a) a base rate equal to the greatest of (i) the administrative agent’s prime rate, (ii) the federal funds effective rate plus ½ of 1.00% and (iii) one month Term SOFR plus 1.00% plus a credit adjustment spread of 0.10%, in each case plus 0.75%, (b) Term SOFR plus</w:t>
      </w:r>
    </w:p>
    <w:p>
      <w:pPr>
        <w:spacing w:after="0" w:line="2"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1.75% plus a credit adjustment spread of 0.10%, subject to a 0.00% floor, (c) SONIA plus 1.75%, subject to a 0.00% floor or (d) EURIBOR plus 1.75%, subject to a 0.00% floor. The credit agreement also includes a commitment fee of 0.25% for available but unborrowed amounts and other administrative fees that are payable quarterly. The Revolving Credit Facility is available until April 2024, provided the Company is in compliance with all covenants. Financial covenant requirements include maintaining minimum ratios related to interest coverage and leverage.</w:t>
      </w:r>
    </w:p>
    <w:p>
      <w:pPr>
        <w:spacing w:after="0" w:line="13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both June 30, 2023 and December 31, 2022, there were $0.5 million in letters of credit issued under the Revolving Credit Facility and no borrowings outstanding.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operating leases for corporate offices and data centers with initial lease terms ranging from one to ten years. The following table presents the future minimum lease payments and the maturity of lease liabilities as of June 30,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333"/>
              <w:spacing w:after="0"/>
              <w:rPr>
                <w:sz w:val="20"/>
                <w:szCs w:val="20"/>
                <w:color w:val="auto"/>
              </w:rPr>
            </w:pPr>
            <w:r>
              <w:rPr>
                <w:rFonts w:ascii="Arial" w:cs="Arial" w:eastAsia="Arial" w:hAnsi="Arial"/>
                <w:sz w:val="14"/>
                <w:szCs w:val="14"/>
                <w:b w:val="1"/>
                <w:bCs w:val="1"/>
                <w:color w:val="auto"/>
              </w:rPr>
              <w:t>Amount</w:t>
            </w:r>
          </w:p>
        </w:tc>
      </w:tr>
      <w:tr>
        <w:trPr>
          <w:trHeight w:val="39"/>
        </w:trPr>
        <w:tc>
          <w:tcPr>
            <w:tcW w:w="98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4"/>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3"/>
              <w:spacing w:after="0"/>
              <w:rPr>
                <w:sz w:val="20"/>
                <w:szCs w:val="20"/>
                <w:color w:val="auto"/>
              </w:rPr>
            </w:pPr>
            <w:r>
              <w:rPr>
                <w:rFonts w:ascii="Arial" w:cs="Arial" w:eastAsia="Arial" w:hAnsi="Arial"/>
                <w:sz w:val="14"/>
                <w:szCs w:val="14"/>
                <w:b w:val="1"/>
                <w:bCs w:val="1"/>
                <w:color w:val="auto"/>
                <w:w w:val="95"/>
              </w:rPr>
              <w:t>(in thousands)</w:t>
            </w:r>
          </w:p>
        </w:tc>
      </w:tr>
      <w:tr>
        <w:trPr>
          <w:trHeight w:val="39"/>
        </w:trPr>
        <w:tc>
          <w:tcPr>
            <w:tcW w:w="9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6,635</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8,375</w:t>
            </w:r>
          </w:p>
        </w:tc>
      </w:tr>
      <w:tr>
        <w:trPr>
          <w:trHeight w:val="27"/>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3,522</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2,833</w:t>
            </w:r>
          </w:p>
        </w:tc>
      </w:tr>
      <w:tr>
        <w:trPr>
          <w:trHeight w:val="27"/>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9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24,358</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(1,071)</w:t>
            </w:r>
          </w:p>
        </w:tc>
      </w:tr>
      <w:tr>
        <w:trPr>
          <w:trHeight w:val="27"/>
        </w:trPr>
        <w:tc>
          <w:tcPr>
            <w:tcW w:w="9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23,287</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March 31, 2023, the Company entered into a joint venture agreement (the “JV Agreement”) with subsidiaries of Bloomberg Inc. and MarketAxess Holdings Inc. to jointly establish and fund an independent company (the “CTP JV”) for the purpose of participating in the public procurement procedure to become the fixed income consolidated tape (“CTP”) provider in the European Union. The CTP JV will be incorporated prior to the European Securities and Markets Authority (“ESMA”) tender process and in accordance with project planning. The operation of the CTP JV is contingent upon selection through the ESMA tender process and regulatory approvals.</w:t>
      </w:r>
    </w:p>
    <w:p>
      <w:pPr>
        <w:spacing w:after="0" w:line="14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Earnings Per Share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calculations of basic and diluted earnings per share of Class A and Class B common stock for Tradeweb Markets Inc.:</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0" w:type="dxa"/>
            <w:vAlign w:val="bottom"/>
            <w:gridSpan w:val="9"/>
          </w:tcPr>
          <w:p>
            <w:pPr>
              <w:jc w:val="right"/>
              <w:ind w:right="13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1"/>
              </w:rPr>
              <w:t>Numerator:</w:t>
            </w:r>
          </w:p>
        </w:tc>
        <w:tc>
          <w:tcPr>
            <w:tcW w:w="466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Net income attributable to Tradeweb Markets Inc.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89,082</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68,344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176,938</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151,309</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50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w w:val="94"/>
              </w:rPr>
              <w:t>Less: Distributed and undistributed earnings allocated to unvested RSUs</w:t>
            </w:r>
          </w:p>
        </w:tc>
        <w:tc>
          <w:tcPr>
            <w:tcW w:w="2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shd w:val="clear" w:color="auto" w:fill="CCEEFF"/>
          </w:tcPr>
          <w:p>
            <w:pPr>
              <w:spacing w:after="0"/>
              <w:rPr>
                <w:sz w:val="19"/>
                <w:szCs w:val="19"/>
                <w:color w:val="auto"/>
              </w:rPr>
            </w:pPr>
          </w:p>
        </w:tc>
        <w:tc>
          <w:tcPr>
            <w:tcW w:w="5500" w:type="dxa"/>
            <w:vAlign w:val="bottom"/>
            <w:tcBorders>
              <w:bottom w:val="single" w:sz="8" w:color="CCEEFF"/>
            </w:tcBorders>
            <w:gridSpan w:val="3"/>
            <w:shd w:val="clear" w:color="auto" w:fill="CCEEFF"/>
          </w:tcPr>
          <w:p>
            <w:pPr>
              <w:ind w:left="420"/>
              <w:spacing w:after="0" w:line="222" w:lineRule="exact"/>
              <w:rPr>
                <w:sz w:val="20"/>
                <w:szCs w:val="20"/>
                <w:color w:val="auto"/>
              </w:rPr>
            </w:pPr>
            <w:r>
              <w:rPr>
                <w:rFonts w:ascii="Arial" w:cs="Arial" w:eastAsia="Arial" w:hAnsi="Arial"/>
                <w:sz w:val="18"/>
                <w:szCs w:val="18"/>
                <w:color w:val="auto"/>
              </w:rPr>
              <w:t xml:space="preserve">and unsettled vested PRSUs </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00" w:type="dxa"/>
            <w:vAlign w:val="bottom"/>
            <w:gridSpan w:val="3"/>
          </w:tcPr>
          <w:p>
            <w:pPr>
              <w:spacing w:after="0" w:line="169" w:lineRule="exact"/>
              <w:rPr>
                <w:sz w:val="20"/>
                <w:szCs w:val="20"/>
                <w:color w:val="auto"/>
              </w:rPr>
            </w:pPr>
            <w:r>
              <w:rPr>
                <w:rFonts w:ascii="Arial" w:cs="Arial" w:eastAsia="Arial" w:hAnsi="Arial"/>
                <w:sz w:val="18"/>
                <w:szCs w:val="18"/>
                <w:color w:val="auto"/>
                <w:w w:val="99"/>
              </w:rPr>
              <w:t>Net income attributable to outstanding shares of Class A and Class B</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88,980</w:t>
            </w:r>
          </w:p>
        </w:tc>
        <w:tc>
          <w:tcPr>
            <w:tcW w:w="38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68,318</w:t>
            </w:r>
          </w:p>
        </w:tc>
        <w:tc>
          <w:tcPr>
            <w:tcW w:w="34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176,713</w:t>
            </w:r>
          </w:p>
        </w:tc>
        <w:tc>
          <w:tcPr>
            <w:tcW w:w="38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151,256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common stock - Basic and Diluted</w:t>
            </w:r>
          </w:p>
        </w:tc>
        <w:tc>
          <w:tcPr>
            <w:tcW w:w="26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line="189" w:lineRule="exact"/>
              <w:rPr>
                <w:sz w:val="20"/>
                <w:szCs w:val="20"/>
                <w:color w:val="auto"/>
              </w:rPr>
            </w:pPr>
            <w:r>
              <w:rPr>
                <w:rFonts w:ascii="Arial" w:cs="Arial" w:eastAsia="Arial" w:hAnsi="Arial"/>
                <w:sz w:val="18"/>
                <w:szCs w:val="18"/>
                <w:color w:val="auto"/>
              </w:rPr>
              <w:t>Denominator:</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5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Weighted average shares of Class A and Class B common stock</w:t>
            </w:r>
          </w:p>
        </w:tc>
        <w:tc>
          <w:tcPr>
            <w:tcW w:w="2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211,569,728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204,501,035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209,847,153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204,282,406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 Basic</w:t>
            </w:r>
          </w:p>
        </w:tc>
        <w:tc>
          <w:tcPr>
            <w:tcW w:w="2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gridSpan w:val="3"/>
          </w:tcPr>
          <w:p>
            <w:pPr>
              <w:ind w:left="120"/>
              <w:spacing w:after="0"/>
              <w:rPr>
                <w:sz w:val="20"/>
                <w:szCs w:val="20"/>
                <w:color w:val="auto"/>
              </w:rPr>
            </w:pPr>
            <w:r>
              <w:rPr>
                <w:rFonts w:ascii="Arial" w:cs="Arial" w:eastAsia="Arial" w:hAnsi="Arial"/>
                <w:sz w:val="18"/>
                <w:szCs w:val="18"/>
                <w:color w:val="auto"/>
              </w:rPr>
              <w:t>Dilutive effect of PRSUs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350,713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782,955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318,638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765,497</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Dilutive effect of options</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1,143,376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1,839,177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1,306,297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2,080,602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120"/>
              <w:spacing w:after="0"/>
              <w:rPr>
                <w:sz w:val="20"/>
                <w:szCs w:val="20"/>
                <w:color w:val="auto"/>
              </w:rPr>
            </w:pPr>
            <w:r>
              <w:rPr>
                <w:rFonts w:ascii="Arial" w:cs="Arial" w:eastAsia="Arial" w:hAnsi="Arial"/>
                <w:sz w:val="18"/>
                <w:szCs w:val="18"/>
                <w:color w:val="auto"/>
              </w:rPr>
              <w:t>Dilutive effect of RSUs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92,936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149,508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187,726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242,867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Dilutive effect of PSUs</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00" w:type="dxa"/>
            <w:vAlign w:val="bottom"/>
            <w:gridSpan w:val="3"/>
          </w:tcPr>
          <w:p>
            <w:pPr>
              <w:spacing w:after="0" w:line="156" w:lineRule="exact"/>
              <w:rPr>
                <w:sz w:val="20"/>
                <w:szCs w:val="20"/>
                <w:color w:val="auto"/>
              </w:rPr>
            </w:pPr>
            <w:r>
              <w:rPr>
                <w:rFonts w:ascii="Arial" w:cs="Arial" w:eastAsia="Arial" w:hAnsi="Arial"/>
                <w:sz w:val="18"/>
                <w:szCs w:val="18"/>
                <w:color w:val="auto"/>
              </w:rPr>
              <w:t>Weighted average shares of Class A and Class B common stock</w:t>
            </w:r>
          </w:p>
        </w:tc>
        <w:tc>
          <w:tcPr>
            <w:tcW w:w="2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213,156,753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w w:val="97"/>
              </w:rPr>
              <w:t>207,272,675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211,659,814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w w:val="95"/>
              </w:rPr>
              <w:t>207,371,372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outstanding - Diluted</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Earnings per share - 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0.42</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0.33</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0.84</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left="340" w:right="100" w:hanging="332"/>
        <w:spacing w:after="0" w:line="277"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During the three months ended June 30, 2023 and 2022, there was a total of 241,963 and 76,426, respectively, and during the six months ended June 30, 2023 and 2022, there was a total of 266,790 and 80,778, respectively, weighted average unvested RSUs and unsettled vested PRSUs that were considered a participating security for purposes of calculating earnings per share in accordance with the two-class method.</w:t>
      </w:r>
    </w:p>
    <w:p>
      <w:pPr>
        <w:spacing w:after="0" w:line="14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LLC Interests held by Continuing LLC Owners are redeemable in accordance with the TWM LLC Agreement, at the election of such holders, for shares of Class A or Class B common stock, as applicable, of Tradeweb Markets Inc. The potential dilutive effect of LLC Interests are evaluated under the if-converted method. The potential dilutive effect of PRSUs, shares underlying options, RSUs and PSUs are evaluated under the treasury stock method.</w:t>
      </w:r>
    </w:p>
    <w:p>
      <w:pPr>
        <w:spacing w:after="0" w:line="10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following table summarizes the PRSUs, shares underlying options, RSUs, PSUs and weighted-average LLC Interests that were anti-dilutive for the periods indicated. As a result, these shares, which were outstanding, were excluded from the computation of diluted earnings per share for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2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203"/>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780" w:type="dxa"/>
            <w:vAlign w:val="bottom"/>
            <w:gridSpan w:val="3"/>
          </w:tcPr>
          <w:p>
            <w:pPr>
              <w:jc w:val="center"/>
              <w:ind w:left="937"/>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3"/>
          </w:tcPr>
          <w:p>
            <w:pPr>
              <w:jc w:val="center"/>
              <w:ind w:left="919"/>
              <w:spacing w:after="0"/>
              <w:rPr>
                <w:sz w:val="20"/>
                <w:szCs w:val="20"/>
                <w:color w:val="auto"/>
              </w:rPr>
            </w:pPr>
            <w:r>
              <w:rPr>
                <w:rFonts w:ascii="Arial" w:cs="Arial" w:eastAsia="Arial" w:hAnsi="Arial"/>
                <w:sz w:val="14"/>
                <w:szCs w:val="14"/>
                <w:b w:val="1"/>
                <w:bCs w:val="1"/>
                <w:color w:val="auto"/>
                <w:w w:val="89"/>
              </w:rPr>
              <w:t>June 30,</w:t>
            </w:r>
          </w:p>
        </w:tc>
        <w:tc>
          <w:tcPr>
            <w:tcW w:w="1000" w:type="dxa"/>
            <w:vAlign w:val="bottom"/>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3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r>
      <w:tr>
        <w:trPr>
          <w:trHeight w:val="49"/>
        </w:trPr>
        <w:tc>
          <w:tcPr>
            <w:tcW w:w="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40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3"/>
              </w:rPr>
              <w:t>Anti-dilutive Shares:</w:t>
            </w:r>
          </w:p>
        </w:tc>
        <w:tc>
          <w:tcPr>
            <w:tcW w:w="40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PRSUs</w:t>
            </w:r>
          </w:p>
        </w:tc>
        <w:tc>
          <w:tcPr>
            <w:tcW w:w="17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378,265</w:t>
            </w:r>
          </w:p>
        </w:tc>
        <w:tc>
          <w:tcPr>
            <w:tcW w:w="100" w:type="dxa"/>
            <w:vAlign w:val="bottom"/>
          </w:tcPr>
          <w:p>
            <w:pPr>
              <w:spacing w:after="0"/>
              <w:rPr>
                <w:sz w:val="20"/>
                <w:szCs w:val="20"/>
                <w:color w:val="auto"/>
              </w:rPr>
            </w:pPr>
          </w:p>
        </w:tc>
        <w:tc>
          <w:tcPr>
            <w:tcW w:w="17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6"/>
        </w:trPr>
        <w:tc>
          <w:tcPr>
            <w:tcW w:w="20" w:type="dxa"/>
            <w:vAlign w:val="bottom"/>
            <w:shd w:val="clear" w:color="auto" w:fill="CCEEFF"/>
          </w:tcPr>
          <w:p>
            <w:pPr>
              <w:spacing w:after="0"/>
              <w:rPr>
                <w:sz w:val="24"/>
                <w:szCs w:val="24"/>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w:t>
            </w:r>
          </w:p>
        </w:tc>
        <w:tc>
          <w:tcPr>
            <w:tcW w:w="17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7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RSUs</w:t>
            </w:r>
          </w:p>
        </w:tc>
        <w:tc>
          <w:tcPr>
            <w:tcW w:w="1360" w:type="dxa"/>
            <w:vAlign w:val="bottom"/>
          </w:tcPr>
          <w:p>
            <w:pPr>
              <w:jc w:val="right"/>
              <w:spacing w:after="0"/>
              <w:rPr>
                <w:sz w:val="20"/>
                <w:szCs w:val="20"/>
                <w:color w:val="auto"/>
              </w:rPr>
            </w:pPr>
            <w:r>
              <w:rPr>
                <w:rFonts w:ascii="Arial" w:cs="Arial" w:eastAsia="Arial" w:hAnsi="Arial"/>
                <w:sz w:val="18"/>
                <w:szCs w:val="18"/>
                <w:color w:val="auto"/>
              </w:rPr>
              <w:t>113,873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338,109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113,873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43,255</w:t>
            </w:r>
          </w:p>
        </w:tc>
      </w:tr>
      <w:tr>
        <w:trPr>
          <w:trHeight w:val="230"/>
        </w:trPr>
        <w:tc>
          <w:tcPr>
            <w:tcW w:w="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PSUs</w:t>
            </w:r>
          </w:p>
        </w:tc>
        <w:tc>
          <w:tcPr>
            <w:tcW w:w="17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LLC Interests</w:t>
            </w:r>
          </w:p>
        </w:tc>
        <w:tc>
          <w:tcPr>
            <w:tcW w:w="1360" w:type="dxa"/>
            <w:vAlign w:val="bottom"/>
          </w:tcPr>
          <w:p>
            <w:pPr>
              <w:jc w:val="right"/>
              <w:spacing w:after="0"/>
              <w:rPr>
                <w:sz w:val="20"/>
                <w:szCs w:val="20"/>
                <w:color w:val="auto"/>
              </w:rPr>
            </w:pPr>
            <w:r>
              <w:rPr>
                <w:rFonts w:ascii="Arial" w:cs="Arial" w:eastAsia="Arial" w:hAnsi="Arial"/>
                <w:sz w:val="18"/>
                <w:szCs w:val="18"/>
                <w:color w:val="auto"/>
              </w:rPr>
              <w:t>23,153,250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29,971,658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24,738,197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30,133,370</w:t>
            </w:r>
          </w:p>
        </w:tc>
      </w:tr>
    </w:tbl>
    <w:p>
      <w:pPr>
        <w:spacing w:after="0" w:line="25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pacing w:after="0" w:line="1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Regulatory Capital Requirements</w:t>
      </w:r>
    </w:p>
    <w:p>
      <w:pPr>
        <w:spacing w:after="0" w:line="1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TWL, DW and TWD are subject to the Uniform Net Capital Rule 15c3-1 under the Exchange Act. TEL and TESL are subject to certain financial resource requirements with the FCA in the UK, TWJ is subject to certain financial resource requirements with the FCA in Japan and TWEU and TESBV are subject to certain finance resource requirements with the AFM in the Netherlands. At June 30, 2023 and December 31, 2022, the regulatory capital requirements and regulatory capital for these entities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June 30, 2023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TWL</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DW</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TWD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TEL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TWJ</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TWEU</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TESL</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TESBV</w:t>
            </w:r>
          </w:p>
        </w:tc>
      </w:tr>
      <w:tr>
        <w:trPr>
          <w:trHeight w:val="237"/>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6"/>
          </w:tcPr>
          <w:p>
            <w:pPr>
              <w:jc w:val="right"/>
              <w:ind w:right="495"/>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Capital</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143,835</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43,964</w:t>
            </w:r>
          </w:p>
        </w:tc>
        <w:tc>
          <w:tcPr>
            <w:tcW w:w="34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77,482</w:t>
            </w:r>
          </w:p>
        </w:tc>
        <w:tc>
          <w:tcPr>
            <w:tcW w:w="32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Regulatory Capital Requirement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r>
      <w:tr>
        <w:trPr>
          <w:trHeight w:val="243"/>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Regulatory Capital</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36,423</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141,577</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43,293</w:t>
            </w:r>
          </w:p>
        </w:tc>
        <w:tc>
          <w:tcPr>
            <w:tcW w:w="34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43,363</w:t>
            </w:r>
          </w:p>
        </w:tc>
        <w:tc>
          <w:tcPr>
            <w:tcW w:w="32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495"/>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TWL</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DW</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TWD</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TEL</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TWJ</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TWEU</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TESL</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TESBV</w:t>
            </w:r>
          </w:p>
        </w:tc>
      </w:tr>
      <w:tr>
        <w:trPr>
          <w:trHeight w:val="237"/>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6"/>
          </w:tcPr>
          <w:p>
            <w:pPr>
              <w:jc w:val="right"/>
              <w:ind w:right="495"/>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Capital</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41,933</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131,026</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44,094</w:t>
            </w:r>
          </w:p>
        </w:tc>
        <w:tc>
          <w:tcPr>
            <w:tcW w:w="34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59,904</w:t>
            </w:r>
          </w:p>
        </w:tc>
        <w:tc>
          <w:tcPr>
            <w:tcW w:w="32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r>
      <w:tr>
        <w:trPr>
          <w:trHeight w:val="230"/>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Regulatory Capital Requirement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r>
      <w:tr>
        <w:trPr>
          <w:trHeight w:val="248"/>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Regulatory Capital</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2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As SEFs, TW SEF and DW SEF are required to maintain adequate financial resources and liquid financial assets in accordance with CFTC regulations. The required and maintained financial resources and liquid financial assets at June 30, 2023 and December 31, 2022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As of June 30, 2023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As of December 31, 2022</w:t>
            </w:r>
          </w:p>
        </w:tc>
      </w:tr>
      <w:tr>
        <w:trPr>
          <w:trHeight w:val="190"/>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315"/>
              <w:spacing w:after="0"/>
              <w:rPr>
                <w:sz w:val="20"/>
                <w:szCs w:val="20"/>
                <w:color w:val="auto"/>
              </w:rPr>
            </w:pPr>
            <w:r>
              <w:rPr>
                <w:rFonts w:ascii="Arial" w:cs="Arial" w:eastAsia="Arial" w:hAnsi="Arial"/>
                <w:sz w:val="14"/>
                <w:szCs w:val="14"/>
                <w:b w:val="1"/>
                <w:bCs w:val="1"/>
                <w:color w:val="auto"/>
              </w:rPr>
              <w:t>TW SEF</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315"/>
              <w:spacing w:after="0"/>
              <w:rPr>
                <w:sz w:val="20"/>
                <w:szCs w:val="20"/>
                <w:color w:val="auto"/>
              </w:rPr>
            </w:pPr>
            <w:r>
              <w:rPr>
                <w:rFonts w:ascii="Arial" w:cs="Arial" w:eastAsia="Arial" w:hAnsi="Arial"/>
                <w:sz w:val="14"/>
                <w:szCs w:val="14"/>
                <w:b w:val="1"/>
                <w:bCs w:val="1"/>
                <w:color w:val="auto"/>
              </w:rPr>
              <w:t>DW SEF</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315"/>
              <w:spacing w:after="0"/>
              <w:rPr>
                <w:sz w:val="20"/>
                <w:szCs w:val="20"/>
                <w:color w:val="auto"/>
              </w:rPr>
            </w:pPr>
            <w:r>
              <w:rPr>
                <w:rFonts w:ascii="Arial" w:cs="Arial" w:eastAsia="Arial" w:hAnsi="Arial"/>
                <w:sz w:val="14"/>
                <w:szCs w:val="14"/>
                <w:b w:val="1"/>
                <w:bCs w:val="1"/>
                <w:color w:val="auto"/>
                <w:w w:val="98"/>
              </w:rPr>
              <w:t>TW SEF</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313"/>
              <w:spacing w:after="0"/>
              <w:rPr>
                <w:sz w:val="20"/>
                <w:szCs w:val="20"/>
                <w:color w:val="auto"/>
              </w:rPr>
            </w:pPr>
            <w:r>
              <w:rPr>
                <w:rFonts w:ascii="Arial" w:cs="Arial" w:eastAsia="Arial" w:hAnsi="Arial"/>
                <w:sz w:val="14"/>
                <w:szCs w:val="14"/>
                <w:b w:val="1"/>
                <w:bCs w:val="1"/>
                <w:color w:val="auto"/>
              </w:rPr>
              <w:t>DW SEF</w:t>
            </w:r>
          </w:p>
        </w:tc>
      </w:tr>
      <w:tr>
        <w:trPr>
          <w:trHeight w:val="39"/>
        </w:trPr>
        <w:tc>
          <w:tcPr>
            <w:tcW w:w="56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0"/>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Resources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36,172</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13,422</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30,837</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14,714</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Required Financial Resources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8,080</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Financial Resources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Liquid Financial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17,258</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7,428</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9,493</w:t>
            </w:r>
          </w:p>
        </w:tc>
      </w:tr>
      <w:tr>
        <w:trPr>
          <w:trHeight w:val="237"/>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Required Liquid Financial Assets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5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Liquid Financial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Business Segment and Geographic Information</w:t>
      </w:r>
    </w:p>
    <w:p>
      <w:pPr>
        <w:spacing w:after="0" w:line="18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 operates electronic marketplaces for the trading of products across the rates, credit, equities and money markets asset classes and provides related pre-trade and post-trade services. The Company’s operations constitute a single business segment because of the integrated nature of these marketplaces and services.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revenue by client sector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6"/>
                <w:szCs w:val="16"/>
                <w:color w:val="auto"/>
              </w:rPr>
            </w:pPr>
          </w:p>
        </w:tc>
      </w:tr>
      <w:tr>
        <w:trPr>
          <w:trHeight w:val="209"/>
        </w:trPr>
        <w:tc>
          <w:tcPr>
            <w:tcW w:w="5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8"/>
                <w:szCs w:val="18"/>
                <w:color w:val="auto"/>
              </w:rPr>
            </w:pPr>
          </w:p>
        </w:tc>
      </w:tr>
      <w:tr>
        <w:trPr>
          <w:trHeight w:val="195"/>
        </w:trPr>
        <w:tc>
          <w:tcPr>
            <w:tcW w:w="56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89"/>
              </w:rPr>
              <w:t>2022</w:t>
            </w:r>
          </w:p>
        </w:tc>
      </w:tr>
      <w:tr>
        <w:trPr>
          <w:trHeight w:val="218"/>
        </w:trPr>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0"/>
        </w:trPr>
        <w:tc>
          <w:tcPr>
            <w:tcW w:w="5600" w:type="dxa"/>
            <w:vAlign w:val="bottom"/>
          </w:tcPr>
          <w:p>
            <w:pPr>
              <w:ind w:left="140"/>
              <w:spacing w:after="0"/>
              <w:rPr>
                <w:sz w:val="20"/>
                <w:szCs w:val="20"/>
                <w:color w:val="auto"/>
              </w:rPr>
            </w:pPr>
            <w:r>
              <w:rPr>
                <w:rFonts w:ascii="Arial" w:cs="Arial" w:eastAsia="Arial" w:hAnsi="Arial"/>
                <w:sz w:val="18"/>
                <w:szCs w:val="18"/>
                <w:color w:val="auto"/>
              </w:rPr>
              <w:t>Institutional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183,828</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181,298</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382,680</w:t>
            </w:r>
          </w:p>
        </w:tc>
        <w:tc>
          <w:tcPr>
            <w:tcW w:w="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378,508</w:t>
            </w:r>
          </w:p>
        </w:tc>
      </w:tr>
      <w:tr>
        <w:trPr>
          <w:trHeight w:val="243"/>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Wholesale</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73,329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149,429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140,948</w:t>
            </w:r>
          </w:p>
        </w:tc>
      </w:tr>
      <w:tr>
        <w:trPr>
          <w:trHeight w:val="230"/>
        </w:trPr>
        <w:tc>
          <w:tcPr>
            <w:tcW w:w="5600" w:type="dxa"/>
            <w:vAlign w:val="bottom"/>
          </w:tcPr>
          <w:p>
            <w:pPr>
              <w:ind w:left="140"/>
              <w:spacing w:after="0"/>
              <w:rPr>
                <w:sz w:val="20"/>
                <w:szCs w:val="20"/>
                <w:color w:val="auto"/>
              </w:rPr>
            </w:pPr>
            <w:r>
              <w:rPr>
                <w:rFonts w:ascii="Arial" w:cs="Arial" w:eastAsia="Arial" w:hAnsi="Arial"/>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30,680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62,543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46,772</w:t>
            </w:r>
          </w:p>
        </w:tc>
      </w:tr>
      <w:tr>
        <w:trPr>
          <w:trHeight w:val="230"/>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Market Data</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22,776</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45,210</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42,396</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310,613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297,138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639,862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608,624</w:t>
            </w:r>
          </w:p>
        </w:tc>
      </w:tr>
      <w:tr>
        <w:trPr>
          <w:trHeight w:val="263"/>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194,278</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190,531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400,961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390,415</w:t>
            </w:r>
          </w:p>
        </w:tc>
      </w:tr>
      <w:tr>
        <w:trPr>
          <w:trHeight w:val="236"/>
        </w:trPr>
        <w:tc>
          <w:tcPr>
            <w:tcW w:w="56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116,335</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106,607</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238,901</w:t>
            </w:r>
          </w:p>
        </w:tc>
        <w:tc>
          <w:tcPr>
            <w:tcW w:w="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218,209</w:t>
            </w:r>
          </w:p>
        </w:tc>
      </w:tr>
      <w:tr>
        <w:trPr>
          <w:trHeight w:val="21"/>
        </w:trPr>
        <w:tc>
          <w:tcPr>
            <w:tcW w:w="5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Company operates in the U.S. and internationally, primarily in the Europe and Asia regions. Revenues are attributed to geographic area based on the jurisdiction where the underlying transactions take place. The results by geographic region are not meaningful in understanding the Company’s business. Long-lived assets are attributed to the geographic area based on the location of the particular subsidiary.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revenue by geographic area: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4"/>
          </w:tcPr>
          <w:p>
            <w:pPr>
              <w:jc w:val="right"/>
              <w:ind w:right="65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3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7"/>
                <w:szCs w:val="17"/>
                <w:color w:val="auto"/>
              </w:rPr>
            </w:pPr>
          </w:p>
        </w:tc>
      </w:tr>
      <w:tr>
        <w:trPr>
          <w:trHeight w:val="25"/>
        </w:trPr>
        <w:tc>
          <w:tcPr>
            <w:tcW w:w="3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1"/>
        </w:trPr>
        <w:tc>
          <w:tcPr>
            <w:tcW w:w="32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w w:val="89"/>
              </w:rPr>
              <w:t>2022</w:t>
            </w:r>
          </w:p>
        </w:tc>
      </w:tr>
      <w:tr>
        <w:trPr>
          <w:trHeight w:val="232"/>
        </w:trPr>
        <w:tc>
          <w:tcPr>
            <w:tcW w:w="3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3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U.S.</w:t>
            </w:r>
          </w:p>
        </w:tc>
        <w:tc>
          <w:tcPr>
            <w:tcW w:w="2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200,919</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190,150</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409,621</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380,443</w:t>
            </w:r>
          </w:p>
        </w:tc>
      </w:tr>
      <w:tr>
        <w:trPr>
          <w:trHeight w:val="23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3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109,694</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106,988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230,241</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228,181</w:t>
            </w:r>
          </w:p>
        </w:tc>
      </w:tr>
      <w:tr>
        <w:trPr>
          <w:trHeight w:val="236"/>
        </w:trPr>
        <w:tc>
          <w:tcPr>
            <w:tcW w:w="32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3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310,613</w:t>
            </w:r>
          </w:p>
        </w:tc>
        <w:tc>
          <w:tcPr>
            <w:tcW w:w="8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297,138</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639,862</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608,624</w:t>
            </w:r>
          </w:p>
        </w:tc>
      </w:tr>
      <w:tr>
        <w:trPr>
          <w:trHeight w:val="21"/>
        </w:trPr>
        <w:tc>
          <w:tcPr>
            <w:tcW w:w="3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898"/>
        </w:trPr>
        <w:tc>
          <w:tcPr>
            <w:tcW w:w="3280" w:type="dxa"/>
            <w:vAlign w:val="bottom"/>
          </w:tcPr>
          <w:p>
            <w:pPr>
              <w:spacing w:after="0"/>
              <w:rPr>
                <w:sz w:val="24"/>
                <w:szCs w:val="24"/>
                <w:color w:val="auto"/>
              </w:rPr>
            </w:pPr>
          </w:p>
        </w:tc>
        <w:tc>
          <w:tcPr>
            <w:tcW w:w="2640" w:type="dxa"/>
            <w:vAlign w:val="bottom"/>
            <w:gridSpan w:val="2"/>
          </w:tcPr>
          <w:p>
            <w:pPr>
              <w:jc w:val="right"/>
              <w:ind w:right="110"/>
              <w:spacing w:after="0"/>
              <w:rPr>
                <w:sz w:val="20"/>
                <w:szCs w:val="20"/>
                <w:color w:val="auto"/>
              </w:rPr>
            </w:pPr>
            <w:r>
              <w:rPr>
                <w:rFonts w:ascii="Arial" w:cs="Arial" w:eastAsia="Arial" w:hAnsi="Arial"/>
                <w:sz w:val="18"/>
                <w:szCs w:val="18"/>
                <w:color w:val="auto"/>
              </w:rPr>
              <w:t>40</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5"/>
        </w:trPr>
        <w:tc>
          <w:tcPr>
            <w:tcW w:w="328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the attribution of long-lived assets by geographic area: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39"/>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177"/>
              <w:spacing w:after="0"/>
              <w:rPr>
                <w:sz w:val="20"/>
                <w:szCs w:val="20"/>
                <w:color w:val="auto"/>
              </w:rPr>
            </w:pPr>
            <w:r>
              <w:rPr>
                <w:rFonts w:ascii="Arial" w:cs="Arial" w:eastAsia="Arial" w:hAnsi="Arial"/>
                <w:sz w:val="14"/>
                <w:szCs w:val="14"/>
                <w:b w:val="1"/>
                <w:bCs w:val="1"/>
                <w:color w:val="auto"/>
                <w:w w:val="96"/>
              </w:rPr>
              <w:t>December 31,</w:t>
            </w:r>
          </w:p>
        </w:tc>
      </w:tr>
      <w:tr>
        <w:trPr>
          <w:trHeight w:val="189"/>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457"/>
              <w:spacing w:after="0"/>
              <w:rPr>
                <w:sz w:val="20"/>
                <w:szCs w:val="20"/>
                <w:color w:val="auto"/>
              </w:rPr>
            </w:pPr>
            <w:r>
              <w:rPr>
                <w:rFonts w:ascii="Arial" w:cs="Arial" w:eastAsia="Arial" w:hAnsi="Arial"/>
                <w:sz w:val="14"/>
                <w:szCs w:val="14"/>
                <w:b w:val="1"/>
                <w:bCs w:val="1"/>
                <w:color w:val="auto"/>
              </w:rPr>
              <w:t>2022</w:t>
            </w:r>
          </w:p>
        </w:tc>
      </w:tr>
      <w:tr>
        <w:trPr>
          <w:trHeight w:val="26"/>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1"/>
        </w:trPr>
        <w:tc>
          <w:tcPr>
            <w:tcW w:w="8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4"/>
          </w:tcPr>
          <w:p>
            <w:pPr>
              <w:jc w:val="right"/>
              <w:ind w:right="877"/>
              <w:spacing w:after="0"/>
              <w:rPr>
                <w:sz w:val="20"/>
                <w:szCs w:val="20"/>
                <w:color w:val="auto"/>
              </w:rPr>
            </w:pPr>
            <w:r>
              <w:rPr>
                <w:rFonts w:ascii="Arial" w:cs="Arial" w:eastAsia="Arial" w:hAnsi="Arial"/>
                <w:sz w:val="14"/>
                <w:szCs w:val="14"/>
                <w:b w:val="1"/>
                <w:bCs w:val="1"/>
                <w:color w:val="auto"/>
              </w:rPr>
              <w:t>(in thousands)</w:t>
            </w:r>
          </w:p>
        </w:tc>
      </w:tr>
      <w:tr>
        <w:trPr>
          <w:trHeight w:val="26"/>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U.S.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3,980,113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4,044,230</w:t>
            </w:r>
          </w:p>
        </w:tc>
      </w:tr>
      <w:tr>
        <w:trPr>
          <w:trHeight w:val="23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13,026</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3,991,495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4,057,256</w:t>
            </w:r>
          </w:p>
        </w:tc>
      </w:tr>
      <w:tr>
        <w:trPr>
          <w:trHeight w:val="20"/>
        </w:trPr>
        <w:tc>
          <w:tcPr>
            <w:tcW w:w="8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Subsequent Events</w:t>
      </w:r>
    </w:p>
    <w:p>
      <w:pPr>
        <w:spacing w:after="0" w:line="202" w:lineRule="exact"/>
        <w:rPr>
          <w:sz w:val="20"/>
          <w:szCs w:val="20"/>
          <w:color w:val="auto"/>
        </w:rPr>
      </w:pPr>
    </w:p>
    <w:p>
      <w:pPr>
        <w:jc w:val="both"/>
        <w:ind w:right="500"/>
        <w:spacing w:after="0" w:line="342" w:lineRule="auto"/>
        <w:rPr>
          <w:sz w:val="20"/>
          <w:szCs w:val="20"/>
          <w:color w:val="auto"/>
        </w:rPr>
      </w:pPr>
      <w:r>
        <w:rPr>
          <w:rFonts w:ascii="Arial" w:cs="Arial" w:eastAsia="Arial" w:hAnsi="Arial"/>
          <w:sz w:val="16"/>
          <w:szCs w:val="16"/>
          <w:color w:val="auto"/>
        </w:rPr>
        <w:t>On July 27, 2023, the board of directors of Tradeweb Markets Inc. declared a cash dividend of $0.09 per share of Class A common stock and Class B common stock for the third quarter of 2023. This dividend will be payable on September 15, 2023 to stockholders of record as of September 1, 2023.</w:t>
      </w:r>
    </w:p>
    <w:p>
      <w:pPr>
        <w:spacing w:after="0" w:line="83"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On July 27, 2023, Tradeweb Markets Inc., as the sole manager, approved a distribution by TWM LLC to its equityholders, including Tradeweb Markets Inc., in an aggregate amount of $20.0 million, as adjusted by required state and local tax withholdings that will be determined prior to the record date of September 1, 2023, payable on September 13, 2023.</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related notes included elsewhere in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 titled “Cautionary Note Regarding Forward-Looking Statements” included elsewhere in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and the section titled “Item 1A. Risk Factors” in Part I of the 2022 Form 10-K.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65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15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Our institutional client sector serves institutional investors in over 65 countries around the globe and across over 25 currencies.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our wholesale client sector, we provide a broad range of electronic, voice and hybrid platforms to more than 300 dealers and financial institutions with more than 100 actively trading on our electronic or hybrid markets with our Dealerweb platform. This platform was launched in 2008 following the acquisition of inter-dealer broker Hilliard Farber &amp; Co., Inc. In 2011, we acquired the brokerage assets of Rafferty Capital Markets and in June 2021, we acquired Nasdaq’s U.S. fixed income electronic trading platform (formerly known as eSpeed) (the “NFI Acquisition”). Today, Dealerweb actively competes across a range of rates, credit, money markets, derivatives and equity markets.</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16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Impacting Our Performance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Yieldbroker</w:t>
      </w:r>
    </w:p>
    <w:p>
      <w:pPr>
        <w:spacing w:after="0" w:line="185"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On May 25, 2023, we entered into a definitive agreement to acquire all of the outstanding equity interests of Yieldbroker Pty Limited (“Yieldbroker”) for A$125 million in cash ($82.7 million U.S. dollars as translated as of June 30, 2023), subject to working capital adjustments. Yieldbroker is a leading Australian trading platform for Australian and New Zealand government bonds and interest rate derivatives covering the institutional, wholesale and primary markets. The acquisition is expected to close later this year, subject to the satisfaction of customary closing conditions and regulatory reviews.</w:t>
      </w:r>
    </w:p>
    <w:p>
      <w:pPr>
        <w:spacing w:after="0" w:line="11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On June 1, 2023, we entered into a foreign currency call option on Australian dollars, giving the Company an option to buy A$120.7 million ($79.9 million U.S. dollars as translated as of June 30, 2023), in order to partially mitigate the Company’s U.S. dollar versus Australian dollar foreign exchange exposure on the anticipated payment of the Australian dollar denominated purchase price for the expected Yieldbroker acquisition. During each of the three and six months ended June 30, 2023, realized and unrealized gains on the foreign currency call option on Australian dollars totaled $0.6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and Chairperson Transition</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February 16, 2022, we announced that Mr. Lee Olesky would retire as Chief Executive Officer (“CEO”) of the Company, effective December 31, 2022. On February 11, 2022, the board of directors elected our then-current President, Mr. Billy Hult, to succeed Mr. Olesky as CEO of the Company, effective January 1, 2023. On May 9, 2023, Mr. Olesky informed the board of directors that he would resign from his position as Chairperson and as a member of the board of directors, effective as of June 30, 2023. On May 12, 2023, the board of directors elected Jacques Aigrain to succeed Mr. Olesky as Chairperson of the board of directors.</w:t>
      </w:r>
    </w:p>
    <w:p>
      <w:pPr>
        <w:spacing w:after="0" w:line="147" w:lineRule="exact"/>
        <w:rPr>
          <w:sz w:val="20"/>
          <w:szCs w:val="20"/>
          <w:color w:val="auto"/>
        </w:rPr>
      </w:pPr>
    </w:p>
    <w:p>
      <w:pPr>
        <w:ind w:right="440"/>
        <w:spacing w:after="0" w:line="301" w:lineRule="auto"/>
        <w:rPr>
          <w:sz w:val="20"/>
          <w:szCs w:val="20"/>
          <w:color w:val="auto"/>
        </w:rPr>
      </w:pPr>
      <w:r>
        <w:rPr>
          <w:rFonts w:ascii="Arial" w:cs="Arial" w:eastAsia="Arial" w:hAnsi="Arial"/>
          <w:sz w:val="16"/>
          <w:szCs w:val="16"/>
          <w:color w:val="auto"/>
        </w:rPr>
        <w:t>During the year ended December 31, 2022, we recorded a total of $15.0 million in accelerated stock-based compensation expenses (“CEO Retirement Accelerated Stock-Based Compensation Expense”) and related payroll that would not have been recognized if Mr. Olesky had not announced his retirement, including $5.7 million and $7.4 million recognized during the three and six months ended June 30, 2022, respectively. There was no CEO Retirement Accelerated Stock-Based Compensation Expense recorded during the three and six months ended June 30,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Environment</w:t>
      </w:r>
    </w:p>
    <w:p>
      <w:pPr>
        <w:spacing w:after="0" w:line="185" w:lineRule="exact"/>
        <w:rPr>
          <w:sz w:val="20"/>
          <w:szCs w:val="20"/>
          <w:color w:val="auto"/>
        </w:rPr>
      </w:pPr>
    </w:p>
    <w:p>
      <w:pPr>
        <w:ind w:right="480"/>
        <w:spacing w:after="0" w:line="301" w:lineRule="auto"/>
        <w:rPr>
          <w:sz w:val="20"/>
          <w:szCs w:val="20"/>
          <w:color w:val="auto"/>
        </w:rPr>
      </w:pPr>
      <w:r>
        <w:rPr>
          <w:rFonts w:ascii="Arial" w:cs="Arial" w:eastAsia="Arial" w:hAnsi="Arial"/>
          <w:sz w:val="16"/>
          <w:szCs w:val="16"/>
          <w:color w:val="auto"/>
        </w:rPr>
        <w:t>Our business is impacted by the overall market activity and, in particular, trading volumes and market volatility. Lower volatility may result in lower trading volume for our clients and may negatively impact our operating performance and financial condition. Factors that may impact market activity during the remainder of 2023 include, among other things, evolving monetary policies of central banks, economic, political and social conditions, legislative, regulatory or government policy changes and concerns with respect to the banking industry, including as a result of any bank failures.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Because the majority of our financial assets are short-term in nature, they are not significantly affected by inflation. However, the rate of inflation may affect our expenses, such as employee compensation and benefits, technology and communication expenses and occupancy costs, which may not be readily recoverable in the prices of our services. We believe any effects of inflation on our results of operations and financial condition have not been significant during any of the periods presented in this Quarterly Report on Form 10-Q. To the extent inflation, along with other factors, continue to result in rising interest rates and have other adverse effects on the securities markets and the overall economy, they may adversely affect our results of operations and financial condition.</w:t>
      </w:r>
    </w:p>
    <w:p>
      <w:pPr>
        <w:spacing w:after="0" w:line="16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19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business is subject to extensive regulations in the United States and internationally, which may expose us to significant regulatory risk and cause additional legal costs to ensure compliance. The existing legal framework that governs the financial markets is periodically reviewed and amended, resulting in enforcement of new laws and regulations that apply to our business. The current regulatory environment in the United States and abroad may be subject to future legislative and regulatory changes driven by U.S. and global issues and priorities. The impact of any changes in the legal or regulatory landscape on us and our operations remains uncertain.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Environment</w:t>
      </w:r>
    </w:p>
    <w:p>
      <w:pPr>
        <w:spacing w:after="0" w:line="18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Cybersecurity Environment</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continue to increase demand for our platforms and solutions and the volume of transactions on our platforms, and thereby enhance our client relationships, by responding to new trading and information requirements through utilizing technological advances and emerging industry standards and practices in an effective and efficient way. We plan to continue to focus on and invest in technology infrastructure initiatives and continually improve and expand our platforms and solutions to further enhance our market position.</w:t>
      </w:r>
    </w:p>
    <w:p>
      <w:pPr>
        <w:spacing w:after="0" w:line="13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experience cyber-threats and attempted security breaches. If these were successful, these cybersecurity incidents could impact revenue and operating income and increase costs. We therefore continue to make investments to strengthen our cybersecurity infrastructure, which may result in increased costs.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Environment</w:t>
      </w:r>
    </w:p>
    <w:p>
      <w:pPr>
        <w:spacing w:after="0" w:line="1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Part I, Item 3. “Quantitative and Qualitative Disclosures About Market Risk — Foreign Currency and Derivative Risk” elsewhere in this Quarterly Report on Form 10-Q.</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has increased over time primarily due to Continuing LLC Owners redeeming or exchanging their LLC Interests for shares of Class A common stock or Class B common stock, as applicable, and our purchase of LLC Interests from Continuing LLC Owners. Furthermore, in connection with the IPO, we entered into the Tax Receivable Agreement pursuant to which we began to make payments in January 2021, and we expect future payments to be significant. We intend to continue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3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August 16, 2022, President Biden signed the Inflation Reduction Act of 2022 (“IRA”) into law. The IRA establishes a 15% corporate minimum tax effective for taxable years beginning after December 31, 2022, and imposes a 1% excise tax on the repurchase after December 31, 2022 of stock by publicly traded U.S. corporations. The Company has evaluated the impact of the IRA and concluded it did not have a material impact to our financial condition, results of operations and cash flows as of and for the three and six months ended June 30, 2023. The Company will continue to evaluate the impact of the IRA on subsequent periods. The adoption of the IRA will not have an impact to our non-GAAP adjusted effective tax rate used for purposes of calculating our non-GAAP measure of Adjusted Net Income.</w:t>
      </w:r>
    </w:p>
    <w:p>
      <w:pPr>
        <w:spacing w:after="0" w:line="1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by January 1, 2024. The Company may be subject to the provisions of the Two Pillar Plan, and related tax impacts per local country adoption, as it is a consolidating subsidiary of LSEG. The Company will continue to monitor and evaluate the impact of the Two Pillar Plan on future periods as further information becomes available.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revenue is derived primarily from transaction fees, commissions, subscription fees and market data fees.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Fees and Commissions</w:t>
      </w:r>
    </w:p>
    <w:p>
      <w:pPr>
        <w:spacing w:after="0" w:line="18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earn transaction fees from transactions executed on our trading platforms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a fixed transaction fee or variable transaction fees on a per transaction basis. For variable transaction fees, we charge clients fees based on the mix of products traded and the volume of transactions executed.</w:t>
      </w:r>
    </w:p>
    <w:p>
      <w:pPr>
        <w:spacing w:after="0" w:line="13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161"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by our wholesale clients, we also generate revenue from fixed commissions that are generally invoiced monthly.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Fees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earn subscription fees primarily for granting clients access to our markets for trading and market data. For a limited number of products, we only charge subscription fees and no transaction fees or commissions. Subscription fees are generally generated on a fixed price basis.</w:t>
      </w:r>
    </w:p>
    <w:p>
      <w:pPr>
        <w:spacing w:after="0" w:line="13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For purposes of our discussion of our results of operations, we include Refinitiv market data fees in subscription fees. We earn fixed license fees from our market data license agreement with Refinitiv. We also earn royalties from Refinitiv for referrals of new Eikon (a Refinitiv data platform) customers based on customer conversion rates. Royalties may fluctuate from period to period depending on the numbers of customer conversions achieved by Refinitiv during the applicable royalty fee earning period, which is typically five years from the date of the initial referral.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18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Employee compensation and benefits expense consists of wages, employee benefits, bonuses, commissions, stock-based compensation cost and related taxes. Factors that influence employee compensation and benefits expense include revenue and earnings growth, hiring new employees and trading activity which generates broker commissions. We expect employee compensation and benefits expense to increase as we hire additional employees to support revenue and earnings growth. As a result, employee compensation and benefits can vary from period to period.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9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Depreciation and amortization expense consists of costs relating to the depreciation and amortization of acquired and internally developed software, other intangible assets, leasehold improvements, furniture and equipment.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8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General and administrative expense consists of travel and entertainment, marketing, value-added taxes, state use taxes, foreign currency transaction gains and losses, gains and losses on foreign exchange derivative contracts entered into for foreign exchange risk management purposes relating to operating activities, charitable contributions, other administrative expenses and credit loss expense. We expect general and administrative expense to increase as we expand the number of our employees and product offerings and grow our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Communications</w:t>
      </w:r>
    </w:p>
    <w:p>
      <w:pPr>
        <w:spacing w:after="0" w:line="185"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Technology and communications expense consists of costs relating to software and hardware maintenance, our internal network connections, data center costs, clearance and other trading platform related transaction costs and data feeds provided by third-party service providers, including Refinitiv. Factors that influence technology and communications expense include trading volumes and our investments in innovation, data strategy and cybersecurity.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Fees</w:t>
      </w:r>
    </w:p>
    <w:p>
      <w:pPr>
        <w:spacing w:after="0" w:line="19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Professional fees consist primarily of accounting, tax and legal fees and fees paid to technology and software consultants to maintain our trading platforms and infrastructure, as well as costs related to business acquisition transactions.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Occupancy expense consists of operating lease rent and related costs for office space and data centers leased in North America, Europe and Asia.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 Liability Adjustment</w:t>
      </w:r>
    </w:p>
    <w:p>
      <w:pPr>
        <w:spacing w:after="0" w:line="185"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tax receivable agreement liability adjustment reflects changes in the tax receivable agreement liability recorded in our condensed consolidated statement of financial condition as a result of changes in the mix of earnings, tax legislation and tax rates in various jurisdictions which impacted our tax savings. There was no tax receivable agreement liability adjustment during each of the three and six months ended June 30, 2023 and 2022.</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 (Expense)</w:t>
      </w:r>
    </w:p>
    <w:p>
      <w:pPr>
        <w:spacing w:after="0" w:line="198"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Interest income consists of interest earned from our cash deposited with large commercial banks and money market funds. Interest expense consists of commitment fees payable on, and, if applicable, interest payable on any borrowings outstanding under, the Revolving Credit Facility.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 Net</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Other income (loss), net consists of any income or loss earned from investments, any mark-to-market adjustments or impairments recorded on investments, unrealized and realized gain/loss on foreign exchange derivative contracts entered into for foreign exchange risk management purposes relating to investing activities and any other non-operating items.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to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the sole manager of TWM LLC. As a result of this control, and because we have a substantial financial interest in TWM LLC, we consolidate the financial results of TWM LLC and report a non-controlling interest in our condensed consolidated financial statements, representing the economic interests of TWM LLC held by Continuing LLC Owners. Income or loss is attributed to the non-controlling interests based on the relative ownership percentages of LLC Interests held during the period by us and any Continuing LLC Owners.</w:t>
      </w:r>
    </w:p>
    <w:p>
      <w:pPr>
        <w:spacing w:after="0" w:line="14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connection with the Reorganization Transactions, the TWM LLC Agreement was amended and restated to, among other things, (i) provide for LLC Interests and (ii) exchange all of the then existing membership interests in TWM LLC for LLC Interests. LLC Interests held by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Following the completion of the Reorganization Transactions and the IPO, we owned 64.3% of TWM LLC and Continuing LLC Owners owned the remaining 35.7% of TWM LLC. As of June 30, 2023, we owned 90.2% of TWM LLC and Continuing LLC Owners owned the remaining 9.8% of TWM LLC.</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June 30, 2023 and Three Months Ended June 30,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our statements of income for the three months ended June 30, 2023 and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4"/>
          </w:tcPr>
          <w:p>
            <w:pPr>
              <w:jc w:val="center"/>
              <w:ind w:right="232"/>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3"/>
          </w:tcPr>
          <w:p>
            <w:pPr>
              <w:jc w:val="center"/>
              <w:ind w:left="575"/>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
                <w:szCs w:val="2"/>
                <w:color w:val="auto"/>
              </w:rPr>
            </w:pPr>
          </w:p>
        </w:tc>
        <w:tc>
          <w:tcPr>
            <w:tcW w:w="146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20" w:type="dxa"/>
            <w:vAlign w:val="bottom"/>
            <w:gridSpan w:val="4"/>
          </w:tcPr>
          <w:p>
            <w:pPr>
              <w:jc w:val="center"/>
              <w:ind w:right="232"/>
              <w:spacing w:after="0"/>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310,613</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297,138</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194,278</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190,531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3,747</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116,335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70"/>
        </w:trPr>
        <w:tc>
          <w:tcPr>
            <w:tcW w:w="5520" w:type="dxa"/>
            <w:vAlign w:val="bottom"/>
          </w:tcPr>
          <w:p>
            <w:pPr>
              <w:ind w:left="20"/>
              <w:spacing w:after="0"/>
              <w:rPr>
                <w:sz w:val="20"/>
                <w:szCs w:val="20"/>
                <w:color w:val="auto"/>
              </w:rPr>
            </w:pPr>
            <w:r>
              <w:rPr>
                <w:rFonts w:ascii="Arial" w:cs="Arial" w:eastAsia="Arial" w:hAnsi="Arial"/>
                <w:sz w:val="18"/>
                <w:szCs w:val="18"/>
                <w:color w:val="auto"/>
              </w:rPr>
              <w:t>Net interest income (expense)</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15,109</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14,568</w:t>
            </w:r>
          </w:p>
        </w:tc>
        <w:tc>
          <w:tcPr>
            <w:tcW w:w="100" w:type="dxa"/>
            <w:vAlign w:val="bottom"/>
          </w:tcPr>
          <w:p>
            <w:pPr>
              <w:spacing w:after="0"/>
              <w:rPr>
                <w:sz w:val="23"/>
                <w:szCs w:val="23"/>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(loss), net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130,988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107,148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23,840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23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(29,049)</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(25,548)</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101,939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20,339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89,082</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68,344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30.3 %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revenues for the three months ended June 30, 2023 and 2022, and the resulting dollar and percentage changes,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3"/>
          </w:tcPr>
          <w:p>
            <w:pPr>
              <w:jc w:val="center"/>
              <w:ind w:left="708"/>
              <w:spacing w:after="0"/>
              <w:rPr>
                <w:sz w:val="20"/>
                <w:szCs w:val="20"/>
                <w:color w:val="auto"/>
              </w:rPr>
            </w:pPr>
            <w:r>
              <w:rPr>
                <w:rFonts w:ascii="Arial" w:cs="Arial" w:eastAsia="Arial" w:hAnsi="Arial"/>
                <w:sz w:val="14"/>
                <w:szCs w:val="14"/>
                <w:b w:val="1"/>
                <w:bCs w:val="1"/>
                <w:color w:val="auto"/>
                <w:w w:val="95"/>
              </w:rPr>
              <w:t>Three Months Ended</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3"/>
          </w:tcPr>
          <w:p>
            <w:pPr>
              <w:jc w:val="center"/>
              <w:ind w:left="708"/>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7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1168"/>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116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ind w:right="328"/>
              <w:spacing w:after="0"/>
              <w:rPr>
                <w:sz w:val="20"/>
                <w:szCs w:val="20"/>
                <w:color w:val="auto"/>
              </w:rPr>
            </w:pPr>
            <w:r>
              <w:rPr>
                <w:rFonts w:ascii="Arial" w:cs="Arial" w:eastAsia="Arial" w:hAnsi="Arial"/>
                <w:sz w:val="13"/>
                <w:szCs w:val="13"/>
                <w:b w:val="1"/>
                <w:bCs w:val="1"/>
                <w:color w:val="auto"/>
              </w:rPr>
              <w:t>% of Total</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vMerge w:val="restart"/>
          </w:tcPr>
          <w:p>
            <w:pPr>
              <w:jc w:val="right"/>
              <w:ind w:right="478"/>
              <w:spacing w:after="0"/>
              <w:rPr>
                <w:sz w:val="20"/>
                <w:szCs w:val="20"/>
                <w:color w:val="auto"/>
              </w:rPr>
            </w:pPr>
            <w:r>
              <w:rPr>
                <w:rFonts w:ascii="Arial" w:cs="Arial" w:eastAsia="Arial" w:hAnsi="Arial"/>
                <w:sz w:val="10"/>
                <w:szCs w:val="10"/>
                <w:b w:val="1"/>
                <w:bCs w:val="1"/>
                <w:color w:val="auto"/>
                <w:w w:val="71"/>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ind w:right="328"/>
              <w:spacing w:after="0"/>
              <w:rPr>
                <w:sz w:val="20"/>
                <w:szCs w:val="20"/>
                <w:color w:val="auto"/>
              </w:rPr>
            </w:pPr>
            <w:r>
              <w:rPr>
                <w:rFonts w:ascii="Arial" w:cs="Arial" w:eastAsia="Arial" w:hAnsi="Arial"/>
                <w:sz w:val="13"/>
                <w:szCs w:val="13"/>
                <w:b w:val="1"/>
                <w:bCs w:val="1"/>
                <w:color w:val="auto"/>
              </w:rPr>
              <w:t>% of Total</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3"/>
                <w:szCs w:val="13"/>
                <w:color w:val="auto"/>
              </w:rPr>
            </w:pPr>
          </w:p>
        </w:tc>
        <w:tc>
          <w:tcPr>
            <w:tcW w:w="14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8"/>
        </w:trPr>
        <w:tc>
          <w:tcPr>
            <w:tcW w:w="2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388"/>
              <w:spacing w:after="0"/>
              <w:rPr>
                <w:sz w:val="20"/>
                <w:szCs w:val="20"/>
                <w:color w:val="auto"/>
              </w:rPr>
            </w:pPr>
            <w:r>
              <w:rPr>
                <w:rFonts w:ascii="Arial" w:cs="Arial" w:eastAsia="Arial" w:hAnsi="Arial"/>
                <w:sz w:val="13"/>
                <w:szCs w:val="13"/>
                <w:b w:val="1"/>
                <w:bCs w:val="1"/>
                <w:color w:val="auto"/>
              </w:rPr>
              <w:t>Revenue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388"/>
              <w:spacing w:after="0"/>
              <w:rPr>
                <w:sz w:val="20"/>
                <w:szCs w:val="20"/>
                <w:color w:val="auto"/>
              </w:rPr>
            </w:pPr>
            <w:r>
              <w:rPr>
                <w:rFonts w:ascii="Arial" w:cs="Arial" w:eastAsia="Arial" w:hAnsi="Arial"/>
                <w:sz w:val="13"/>
                <w:szCs w:val="13"/>
                <w:b w:val="1"/>
                <w:bCs w:val="1"/>
                <w:color w:val="auto"/>
              </w:rPr>
              <w:t>Revenue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7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4"/>
          </w:tcPr>
          <w:p>
            <w:pPr>
              <w:jc w:val="center"/>
              <w:ind w:left="88"/>
              <w:spacing w:after="0"/>
              <w:rPr>
                <w:sz w:val="20"/>
                <w:szCs w:val="20"/>
                <w:color w:val="auto"/>
              </w:rPr>
            </w:pPr>
            <w:r>
              <w:rPr>
                <w:rFonts w:ascii="Arial" w:cs="Arial" w:eastAsia="Arial" w:hAnsi="Arial"/>
                <w:sz w:val="14"/>
                <w:szCs w:val="14"/>
                <w:b w:val="1"/>
                <w:bCs w:val="1"/>
                <w:color w:val="auto"/>
                <w:w w:val="90"/>
              </w:rPr>
              <w:t>(dollars in thousands)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720" w:type="dxa"/>
            <w:vAlign w:val="bottom"/>
          </w:tcPr>
          <w:p>
            <w:pPr>
              <w:ind w:left="20"/>
              <w:spacing w:after="0"/>
              <w:rPr>
                <w:sz w:val="20"/>
                <w:szCs w:val="20"/>
                <w:color w:val="auto"/>
              </w:rPr>
            </w:pPr>
            <w:r>
              <w:rPr>
                <w:rFonts w:ascii="Arial" w:cs="Arial" w:eastAsia="Arial" w:hAnsi="Arial"/>
                <w:sz w:val="18"/>
                <w:szCs w:val="18"/>
                <w:color w:val="auto"/>
                <w:w w:val="96"/>
              </w:rPr>
              <w:t>Transaction fees and commissions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246,461</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79.3 %</w:t>
            </w:r>
          </w:p>
        </w:tc>
        <w:tc>
          <w:tcPr>
            <w:tcW w:w="72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237,669</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80.0 %</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8,792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Subscription fees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61,209</w:t>
            </w:r>
          </w:p>
        </w:tc>
        <w:tc>
          <w:tcPr>
            <w:tcW w:w="154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56,966</w:t>
            </w:r>
          </w:p>
        </w:tc>
        <w:tc>
          <w:tcPr>
            <w:tcW w:w="154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2,943</w:t>
            </w:r>
          </w:p>
        </w:tc>
        <w:tc>
          <w:tcPr>
            <w:tcW w:w="1540" w:type="dxa"/>
            <w:vAlign w:val="bottom"/>
            <w:gridSpan w:val="3"/>
          </w:tcPr>
          <w:p>
            <w:pPr>
              <w:jc w:val="right"/>
              <w:ind w:right="128"/>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2,503</w:t>
            </w:r>
          </w:p>
        </w:tc>
        <w:tc>
          <w:tcPr>
            <w:tcW w:w="1540" w:type="dxa"/>
            <w:vAlign w:val="bottom"/>
            <w:gridSpan w:val="3"/>
          </w:tcPr>
          <w:p>
            <w:pPr>
              <w:jc w:val="right"/>
              <w:ind w:right="128"/>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48"/>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310,613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297,138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13,475</w:t>
            </w:r>
          </w:p>
        </w:tc>
        <w:tc>
          <w:tcPr>
            <w:tcW w:w="15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7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5"/>
              </w:rPr>
              <w:t>Components of total revenue growth:</w:t>
            </w: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20" w:type="dxa"/>
            <w:vAlign w:val="bottom"/>
          </w:tcPr>
          <w:p>
            <w:pPr>
              <w:ind w:left="20"/>
              <w:spacing w:after="0"/>
              <w:rPr>
                <w:sz w:val="20"/>
                <w:szCs w:val="20"/>
                <w:color w:val="auto"/>
              </w:rPr>
            </w:pPr>
            <w:r>
              <w:rPr>
                <w:rFonts w:ascii="Arial" w:cs="Arial" w:eastAsia="Arial" w:hAnsi="Arial"/>
                <w:sz w:val="18"/>
                <w:szCs w:val="18"/>
                <w:color w:val="auto"/>
              </w:rPr>
              <w:t xml:space="preserve">Constant currency growth </w:t>
            </w:r>
            <w:r>
              <w:rPr>
                <w:rFonts w:ascii="Arial" w:cs="Arial" w:eastAsia="Arial" w:hAnsi="Arial"/>
                <w:sz w:val="23"/>
                <w:szCs w:val="23"/>
                <w:color w:val="auto"/>
                <w:vertAlign w:val="superscript"/>
              </w:rPr>
              <w:t>(2)</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3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impact</w:t>
            </w:r>
          </w:p>
        </w:tc>
        <w:tc>
          <w:tcPr>
            <w:tcW w:w="3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6"/>
        </w:trPr>
        <w:tc>
          <w:tcPr>
            <w:tcW w:w="2720" w:type="dxa"/>
            <w:vAlign w:val="bottom"/>
          </w:tcPr>
          <w:p>
            <w:pPr>
              <w:ind w:left="220"/>
              <w:spacing w:after="0"/>
              <w:rPr>
                <w:sz w:val="20"/>
                <w:szCs w:val="20"/>
                <w:color w:val="auto"/>
              </w:rPr>
            </w:pPr>
            <w:r>
              <w:rPr>
                <w:rFonts w:ascii="Arial" w:cs="Arial" w:eastAsia="Arial" w:hAnsi="Arial"/>
                <w:sz w:val="18"/>
                <w:szCs w:val="18"/>
                <w:color w:val="auto"/>
              </w:rPr>
              <w:t>Total revenue growth</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Subscription fees for the three months ended June 30, 2023 and 2022 include $15.5 million and $15.4 million respectively, of Refinitiv market data fees.</w:t>
      </w:r>
    </w:p>
    <w:p>
      <w:pPr>
        <w:spacing w:after="0" w:line="13" w:lineRule="exact"/>
        <w:rPr>
          <w:rFonts w:ascii="Arial" w:cs="Arial" w:eastAsia="Arial" w:hAnsi="Arial"/>
          <w:sz w:val="14"/>
          <w:szCs w:val="14"/>
          <w:color w:val="auto"/>
        </w:rPr>
      </w:pPr>
    </w:p>
    <w:p>
      <w:pPr>
        <w:ind w:left="340" w:right="300" w:hanging="332"/>
        <w:spacing w:after="0" w:line="292" w:lineRule="auto"/>
        <w:tabs>
          <w:tab w:leader="none" w:pos="3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Constant currency revenue change, which is a non-GAAP financial measure, is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change as a supplemental metric to evaluate our underlying total revenue performance between periods by removing the impact of foreign currency fluctuations. We believe that providing constant currency change provides a useful comparison of our total revenue performance and trends between periods.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general, revenues for the three months ended June 30, 2023 continued to be impacted by a challenging macroeconomic backdrop that lead to client de-risking post the regional bank liquidity crisis, an inverted yield curve that impacted duration traded and overall fees per million and continued above average rate volatility. The primary driver of the $13.5 million increase in revenue was related to an $8.8 million increase in transaction fees and commissions to $246.5 million for the three months ended June 30, 2023 from $237.7 million for the three months ended June 30, 2022, primarily due to higher revenues for U.S. corporate bonds, U.S. government bonds, certificates of deposit and European government bonds partially offset by lower revenues for credit derivatives products.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Our total revenue by asset class for the three months ended June 30, 2023 and 2022, and the resulting dollar and percentage changes,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8"/>
        </w:trPr>
        <w:tc>
          <w:tcPr>
            <w:tcW w:w="5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577"/>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4"/>
        </w:trPr>
        <w:tc>
          <w:tcPr>
            <w:tcW w:w="5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27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60" w:type="dxa"/>
            <w:vAlign w:val="bottom"/>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6"/>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4"/>
        </w:trPr>
        <w:tc>
          <w:tcPr>
            <w:tcW w:w="5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9"/>
        </w:trPr>
        <w:tc>
          <w:tcPr>
            <w:tcW w:w="5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Rates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160,354</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151,586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8,768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5.8 %</w:t>
            </w:r>
          </w:p>
        </w:tc>
      </w:tr>
      <w:tr>
        <w:trPr>
          <w:trHeight w:val="23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84,048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83,991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Equities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30.1 %</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8.3 %</w:t>
            </w:r>
          </w:p>
        </w:tc>
      </w:tr>
      <w:tr>
        <w:trPr>
          <w:trHeight w:val="22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310,613</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297,138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13,475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4.5 %</w:t>
            </w:r>
          </w:p>
        </w:tc>
      </w:tr>
      <w:tr>
        <w:trPr>
          <w:trHeight w:val="21"/>
        </w:trPr>
        <w:tc>
          <w:tcPr>
            <w:tcW w:w="5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Our variable and fixed revenues by asset class for the three months ended June 30, 2023 and 2022, and the resulting dollar and percentage changes,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4"/>
          </w:tcPr>
          <w:p>
            <w:pPr>
              <w:jc w:val="center"/>
              <w:ind w:right="134"/>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8"/>
        </w:trPr>
        <w:tc>
          <w:tcPr>
            <w:tcW w:w="2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0"/>
        </w:trPr>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2023</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 Change</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ind w:left="840"/>
              <w:spacing w:after="0"/>
              <w:rPr>
                <w:sz w:val="20"/>
                <w:szCs w:val="20"/>
                <w:color w:val="auto"/>
              </w:rPr>
            </w:pPr>
            <w:r>
              <w:rPr>
                <w:rFonts w:ascii="Arial" w:cs="Arial" w:eastAsia="Arial" w:hAnsi="Arial"/>
                <w:sz w:val="14"/>
                <w:szCs w:val="14"/>
                <w:b w:val="1"/>
                <w:bCs w:val="1"/>
                <w:color w:val="auto"/>
              </w:rPr>
              <w:t>% Change</w:t>
            </w:r>
          </w:p>
        </w:tc>
        <w:tc>
          <w:tcPr>
            <w:tcW w:w="780" w:type="dxa"/>
            <w:vAlign w:val="bottom"/>
          </w:tcPr>
          <w:p>
            <w:pPr>
              <w:spacing w:after="0"/>
              <w:rPr>
                <w:sz w:val="16"/>
                <w:szCs w:val="16"/>
                <w:color w:val="auto"/>
              </w:rPr>
            </w:pPr>
          </w:p>
        </w:tc>
      </w:tr>
      <w:tr>
        <w:trPr>
          <w:trHeight w:val="39"/>
        </w:trPr>
        <w:tc>
          <w:tcPr>
            <w:tcW w:w="22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4"/>
        </w:trPr>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54"/>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57"/>
              <w:spacing w:after="0"/>
              <w:rPr>
                <w:sz w:val="20"/>
                <w:szCs w:val="20"/>
                <w:color w:val="auto"/>
              </w:rPr>
            </w:pPr>
            <w:r>
              <w:rPr>
                <w:rFonts w:ascii="Arial" w:cs="Arial" w:eastAsia="Arial" w:hAnsi="Arial"/>
                <w:sz w:val="14"/>
                <w:szCs w:val="14"/>
                <w:b w:val="1"/>
                <w:bCs w:val="1"/>
                <w:color w:val="auto"/>
              </w:rPr>
              <w:t>Fixed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Variable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b w:val="1"/>
                <w:bCs w:val="1"/>
                <w:color w:val="auto"/>
              </w:rPr>
              <w:t>Fixed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54"/>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w w:val="98"/>
              </w:rPr>
              <w:t>Fixed</w:t>
            </w:r>
          </w:p>
        </w:tc>
        <w:tc>
          <w:tcPr>
            <w:tcW w:w="100" w:type="dxa"/>
            <w:vAlign w:val="bottom"/>
          </w:tcPr>
          <w:p>
            <w:pPr>
              <w:spacing w:after="0"/>
              <w:rPr>
                <w:sz w:val="16"/>
                <w:szCs w:val="16"/>
                <w:color w:val="auto"/>
              </w:rPr>
            </w:pPr>
          </w:p>
        </w:tc>
        <w:tc>
          <w:tcPr>
            <w:tcW w:w="1560" w:type="dxa"/>
            <w:vAlign w:val="bottom"/>
            <w:gridSpan w:val="3"/>
          </w:tcPr>
          <w:p>
            <w:pPr>
              <w:ind w:left="300"/>
              <w:spacing w:after="0"/>
              <w:rPr>
                <w:sz w:val="20"/>
                <w:szCs w:val="20"/>
                <w:color w:val="auto"/>
              </w:rPr>
            </w:pPr>
            <w:r>
              <w:rPr>
                <w:rFonts w:ascii="Arial" w:cs="Arial" w:eastAsia="Arial" w:hAnsi="Arial"/>
                <w:sz w:val="14"/>
                <w:szCs w:val="14"/>
                <w:b w:val="1"/>
                <w:bCs w:val="1"/>
                <w:color w:val="auto"/>
              </w:rPr>
              <w:t>Variable</w:t>
            </w:r>
          </w:p>
        </w:tc>
        <w:tc>
          <w:tcPr>
            <w:tcW w:w="780" w:type="dxa"/>
            <w:vAlign w:val="bottom"/>
          </w:tcPr>
          <w:p>
            <w:pPr>
              <w:jc w:val="right"/>
              <w:ind w:right="292"/>
              <w:spacing w:after="0"/>
              <w:rPr>
                <w:sz w:val="20"/>
                <w:szCs w:val="20"/>
                <w:color w:val="auto"/>
              </w:rPr>
            </w:pPr>
            <w:r>
              <w:rPr>
                <w:rFonts w:ascii="Arial" w:cs="Arial" w:eastAsia="Arial" w:hAnsi="Arial"/>
                <w:sz w:val="14"/>
                <w:szCs w:val="14"/>
                <w:b w:val="1"/>
                <w:bCs w:val="1"/>
                <w:color w:val="auto"/>
              </w:rPr>
              <w:t>Fixed</w:t>
            </w:r>
          </w:p>
        </w:tc>
      </w:tr>
      <w:tr>
        <w:trPr>
          <w:trHeight w:val="39"/>
        </w:trPr>
        <w:tc>
          <w:tcPr>
            <w:tcW w:w="22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5"/>
        </w:trPr>
        <w:tc>
          <w:tcPr>
            <w:tcW w:w="2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4"/>
          </w:tcPr>
          <w:p>
            <w:pPr>
              <w:jc w:val="center"/>
              <w:ind w:right="134"/>
              <w:spacing w:after="0"/>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9"/>
        </w:trPr>
        <w:tc>
          <w:tcPr>
            <w:tcW w:w="2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43"/>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Rates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101,588</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58,766</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96,334</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55,252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5,254</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3,514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6.4 %</w:t>
            </w:r>
          </w:p>
        </w:tc>
      </w:tr>
      <w:tr>
        <w:trPr>
          <w:trHeight w:val="230"/>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37"/>
        </w:trPr>
        <w:tc>
          <w:tcPr>
            <w:tcW w:w="2240" w:type="dxa"/>
            <w:vAlign w:val="bottom"/>
          </w:tcPr>
          <w:p>
            <w:pPr>
              <w:ind w:left="20"/>
              <w:spacing w:after="0"/>
              <w:rPr>
                <w:sz w:val="20"/>
                <w:szCs w:val="20"/>
                <w:color w:val="auto"/>
              </w:rPr>
            </w:pPr>
            <w:r>
              <w:rPr>
                <w:rFonts w:ascii="Arial" w:cs="Arial" w:eastAsia="Arial" w:hAnsi="Arial"/>
                <w:sz w:val="18"/>
                <w:szCs w:val="18"/>
                <w:color w:val="auto"/>
              </w:rPr>
              <w:t>Equities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3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50.6 %</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19"/>
                <w:szCs w:val="19"/>
                <w:color w:val="auto"/>
              </w:rPr>
            </w:pPr>
          </w:p>
        </w:tc>
        <w:tc>
          <w:tcPr>
            <w:tcW w:w="1560" w:type="dxa"/>
            <w:vAlign w:val="bottom"/>
            <w:gridSpan w:val="3"/>
          </w:tcPr>
          <w:p>
            <w:pPr>
              <w:ind w:left="660"/>
              <w:spacing w:after="0"/>
              <w:rPr>
                <w:sz w:val="20"/>
                <w:szCs w:val="20"/>
                <w:color w:val="auto"/>
              </w:rPr>
            </w:pPr>
            <w:r>
              <w:rPr>
                <w:rFonts w:ascii="Arial" w:cs="Arial" w:eastAsia="Arial" w:hAnsi="Arial"/>
                <w:sz w:val="18"/>
                <w:szCs w:val="18"/>
                <w:color w:val="auto"/>
              </w:rPr>
              <w:t>N/M</w:t>
            </w:r>
          </w:p>
        </w:tc>
        <w:tc>
          <w:tcPr>
            <w:tcW w:w="780" w:type="dxa"/>
            <w:vAlign w:val="bottom"/>
          </w:tcPr>
          <w:p>
            <w:pPr>
              <w:jc w:val="right"/>
              <w:spacing w:after="0"/>
              <w:rPr>
                <w:sz w:val="20"/>
                <w:szCs w:val="20"/>
                <w:color w:val="auto"/>
              </w:rPr>
            </w:pPr>
            <w:r>
              <w:rPr>
                <w:rFonts w:ascii="Arial" w:cs="Arial" w:eastAsia="Arial" w:hAnsi="Arial"/>
                <w:sz w:val="18"/>
                <w:szCs w:val="18"/>
                <w:color w:val="auto"/>
              </w:rPr>
              <w:t>8.1 %</w:t>
            </w:r>
          </w:p>
        </w:tc>
      </w:tr>
      <w:tr>
        <w:trPr>
          <w:trHeight w:val="243"/>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21"/>
                <w:szCs w:val="21"/>
                <w:color w:val="auto"/>
              </w:rPr>
            </w:pPr>
          </w:p>
        </w:tc>
        <w:tc>
          <w:tcPr>
            <w:tcW w:w="15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22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210,368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100,245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201,898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95,240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20"/>
        </w:trPr>
        <w:tc>
          <w:tcPr>
            <w:tcW w:w="2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 significant percentage of our transaction fees and commissions are tied directly to overall trading volumes in the rates, credit, equities and money markets asset classes. The average daily volumes and total volumes on our trading platforms by asset class for the three months ended June 30, 2023 and 2022, and the resulting percentage changes, are summarized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3"/>
          </w:tcPr>
          <w:p>
            <w:pPr>
              <w:jc w:val="center"/>
              <w:ind w:left="615"/>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ADV</w:t>
            </w: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2023</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2022</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ADV</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35"/>
              <w:spacing w:after="0"/>
              <w:rPr>
                <w:sz w:val="20"/>
                <w:szCs w:val="20"/>
                <w:color w:val="auto"/>
              </w:rPr>
            </w:pPr>
            <w:r>
              <w:rPr>
                <w:rFonts w:ascii="Arial" w:cs="Arial" w:eastAsia="Arial" w:hAnsi="Arial"/>
                <w:sz w:val="14"/>
                <w:szCs w:val="14"/>
                <w:b w:val="1"/>
                <w:bCs w:val="1"/>
                <w:color w:val="auto"/>
              </w:rPr>
              <w:t>Volume</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13"/>
              <w:spacing w:after="0"/>
              <w:rPr>
                <w:sz w:val="20"/>
                <w:szCs w:val="20"/>
                <w:color w:val="auto"/>
              </w:rPr>
            </w:pPr>
            <w:r>
              <w:rPr>
                <w:rFonts w:ascii="Arial" w:cs="Arial" w:eastAsia="Arial" w:hAnsi="Arial"/>
                <w:sz w:val="14"/>
                <w:szCs w:val="14"/>
                <w:b w:val="1"/>
                <w:bCs w:val="1"/>
                <w:color w:val="auto"/>
              </w:rPr>
              <w:t>ADV</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31"/>
              <w:spacing w:after="0"/>
              <w:rPr>
                <w:sz w:val="20"/>
                <w:szCs w:val="20"/>
                <w:color w:val="auto"/>
              </w:rPr>
            </w:pPr>
            <w:r>
              <w:rPr>
                <w:rFonts w:ascii="Arial" w:cs="Arial" w:eastAsia="Arial" w:hAnsi="Arial"/>
                <w:sz w:val="14"/>
                <w:szCs w:val="14"/>
                <w:b w:val="1"/>
                <w:bCs w:val="1"/>
                <w:color w:val="auto"/>
              </w:rPr>
              <w:t>Volume</w:t>
            </w: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80" w:type="dxa"/>
            <w:vAlign w:val="bottom"/>
            <w:gridSpan w:val="4"/>
          </w:tcPr>
          <w:p>
            <w:pPr>
              <w:jc w:val="center"/>
              <w:ind w:right="153"/>
              <w:spacing w:after="0"/>
              <w:rPr>
                <w:sz w:val="20"/>
                <w:szCs w:val="20"/>
                <w:color w:val="auto"/>
              </w:rPr>
            </w:pPr>
            <w:r>
              <w:rPr>
                <w:rFonts w:ascii="Arial" w:cs="Arial" w:eastAsia="Arial" w:hAnsi="Arial"/>
                <w:sz w:val="14"/>
                <w:szCs w:val="14"/>
                <w:b w:val="1"/>
                <w:bCs w:val="1"/>
                <w:color w:val="auto"/>
                <w:w w:val="93"/>
              </w:rPr>
              <w:t>(dollars in millions)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4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Rates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773,959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48,261,458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708,971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43,743,321</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9.2 %</w:t>
            </w:r>
          </w:p>
        </w:tc>
        <w:tc>
          <w:tcPr>
            <w:tcW w:w="0" w:type="dxa"/>
            <w:vAlign w:val="bottom"/>
          </w:tcPr>
          <w:p>
            <w:pPr>
              <w:spacing w:after="0"/>
              <w:rPr>
                <w:sz w:val="1"/>
                <w:szCs w:val="1"/>
                <w:color w:val="auto"/>
              </w:rPr>
            </w:pPr>
          </w:p>
        </w:tc>
      </w:tr>
      <w:tr>
        <w:trPr>
          <w:trHeight w:val="237"/>
        </w:trPr>
        <w:tc>
          <w:tcPr>
            <w:tcW w:w="4100" w:type="dxa"/>
            <w:vAlign w:val="bottom"/>
          </w:tcPr>
          <w:p>
            <w:pPr>
              <w:ind w:left="140"/>
              <w:spacing w:after="0"/>
              <w:rPr>
                <w:sz w:val="20"/>
                <w:szCs w:val="20"/>
                <w:color w:val="auto"/>
              </w:rPr>
            </w:pPr>
            <w:r>
              <w:rPr>
                <w:rFonts w:ascii="Arial" w:cs="Arial" w:eastAsia="Arial" w:hAnsi="Arial"/>
                <w:sz w:val="18"/>
                <w:szCs w:val="18"/>
                <w:color w:val="auto"/>
              </w:rPr>
              <w:t>Rates Cash</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344,674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21,627,622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341,367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21,126,389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Rates Derivatives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429,285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26,633,837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367,604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22,616,932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100" w:type="dxa"/>
            <w:vAlign w:val="bottom"/>
          </w:tcPr>
          <w:p>
            <w:pPr>
              <w:ind w:left="240"/>
              <w:spacing w:after="0"/>
              <w:rPr>
                <w:sz w:val="20"/>
                <w:szCs w:val="20"/>
                <w:color w:val="auto"/>
              </w:rPr>
            </w:pPr>
            <w:r>
              <w:rPr>
                <w:rFonts w:ascii="Arial" w:cs="Arial" w:eastAsia="Arial" w:hAnsi="Arial"/>
                <w:sz w:val="18"/>
                <w:szCs w:val="18"/>
                <w:color w:val="auto"/>
              </w:rPr>
              <w:t>Swaps / Swaptions Tenor (greater than 1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273,533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16,961,570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221,191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13,602,492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40"/>
              <w:spacing w:after="0" w:line="243" w:lineRule="exact"/>
              <w:rPr>
                <w:sz w:val="20"/>
                <w:szCs w:val="20"/>
                <w:color w:val="auto"/>
              </w:rPr>
            </w:pPr>
            <w:r>
              <w:rPr>
                <w:rFonts w:ascii="Arial" w:cs="Arial" w:eastAsia="Arial" w:hAnsi="Arial"/>
                <w:sz w:val="18"/>
                <w:szCs w:val="18"/>
                <w:color w:val="auto"/>
              </w:rPr>
              <w:t xml:space="preserve">Other Rates Derivatives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155,752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9,672,267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9,014,440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Credit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1,183,072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1,639,309</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(28.8)%</w:t>
            </w: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line="243" w:lineRule="exact"/>
              <w:rPr>
                <w:sz w:val="20"/>
                <w:szCs w:val="20"/>
                <w:color w:val="auto"/>
              </w:rPr>
            </w:pPr>
            <w:r>
              <w:rPr>
                <w:rFonts w:ascii="Arial" w:cs="Arial" w:eastAsia="Arial" w:hAnsi="Arial"/>
                <w:sz w:val="18"/>
                <w:szCs w:val="18"/>
                <w:color w:val="auto"/>
              </w:rPr>
              <w:t xml:space="preserve">Cash Credit </w:t>
            </w:r>
            <w:r>
              <w:rPr>
                <w:rFonts w:ascii="Arial" w:cs="Arial" w:eastAsia="Arial" w:hAnsi="Arial"/>
                <w:sz w:val="23"/>
                <w:szCs w:val="23"/>
                <w:color w:val="auto"/>
                <w:vertAlign w:val="superscript"/>
              </w:rPr>
              <w:t>(2)</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472,866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439,970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Derivatives and U.S. Cash “EP”</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1,199,339</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(41.6) %</w:t>
            </w:r>
          </w:p>
        </w:tc>
        <w:tc>
          <w:tcPr>
            <w:tcW w:w="0" w:type="dxa"/>
            <w:vAlign w:val="bottom"/>
          </w:tcPr>
          <w:p>
            <w:pPr>
              <w:spacing w:after="0"/>
              <w:rPr>
                <w:sz w:val="1"/>
                <w:szCs w:val="1"/>
                <w:color w:val="auto"/>
              </w:rPr>
            </w:pPr>
          </w:p>
        </w:tc>
      </w:tr>
      <w:tr>
        <w:trPr>
          <w:trHeight w:val="257"/>
        </w:trPr>
        <w:tc>
          <w:tcPr>
            <w:tcW w:w="4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1,196,751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1,032,390</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15.9 %</w:t>
            </w:r>
          </w:p>
        </w:tc>
        <w:tc>
          <w:tcPr>
            <w:tcW w:w="0" w:type="dxa"/>
            <w:vAlign w:val="bottom"/>
          </w:tcPr>
          <w:p>
            <w:pPr>
              <w:spacing w:after="0"/>
              <w:rPr>
                <w:sz w:val="1"/>
                <w:szCs w:val="1"/>
                <w:color w:val="auto"/>
              </w:rPr>
            </w:pP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rPr>
              <w:t>Equities Cash</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612,223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613,843</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Equities Derivatives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584,528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418,547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Money Markets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484,307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30,339,463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423,984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26,205,599</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0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1,296,611</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80,980,743</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1,176,333</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72,620,618</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Total excluding Other Rates Derivatives </w:t>
            </w:r>
            <w:r>
              <w:rPr>
                <w:rFonts w:ascii="Arial" w:cs="Arial" w:eastAsia="Arial" w:hAnsi="Arial"/>
                <w:sz w:val="23"/>
                <w:szCs w:val="23"/>
                <w:b w:val="1"/>
                <w:bCs w:val="1"/>
                <w:color w:val="auto"/>
                <w:vertAlign w:val="superscript"/>
              </w:rPr>
              <w:t>(3)</w:t>
            </w: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5"/>
        </w:trPr>
        <w:tc>
          <w:tcPr>
            <w:tcW w:w="4080" w:type="dxa"/>
            <w:vAlign w:val="bottom"/>
            <w:vMerge w:val="continue"/>
          </w:tcPr>
          <w:p>
            <w:pPr>
              <w:spacing w:after="0"/>
              <w:rPr>
                <w:sz w:val="24"/>
                <w:szCs w:val="24"/>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1,140,859</w:t>
            </w:r>
          </w:p>
        </w:tc>
        <w:tc>
          <w:tcPr>
            <w:tcW w:w="100" w:type="dxa"/>
            <w:vAlign w:val="bottom"/>
          </w:tcPr>
          <w:p>
            <w:pPr>
              <w:spacing w:after="0"/>
              <w:rPr>
                <w:sz w:val="24"/>
                <w:szCs w:val="24"/>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71,308,476</w:t>
            </w:r>
          </w:p>
        </w:tc>
        <w:tc>
          <w:tcPr>
            <w:tcW w:w="100" w:type="dxa"/>
            <w:vAlign w:val="bottom"/>
          </w:tcPr>
          <w:p>
            <w:pPr>
              <w:spacing w:after="0"/>
              <w:rPr>
                <w:sz w:val="24"/>
                <w:szCs w:val="24"/>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1,029,919</w:t>
            </w:r>
          </w:p>
        </w:tc>
        <w:tc>
          <w:tcPr>
            <w:tcW w:w="100" w:type="dxa"/>
            <w:vAlign w:val="bottom"/>
          </w:tcPr>
          <w:p>
            <w:pPr>
              <w:spacing w:after="0"/>
              <w:rPr>
                <w:sz w:val="24"/>
                <w:szCs w:val="24"/>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63,606,178</w:t>
            </w: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Swaps/Swaptions of tenor less than 1 year and Rates Futures.</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“Cash Credit” category represents the “Credit” asset class excluding (1) Credit Derivatives and (2) U.S. High Grade and High Yield electronically processed (“EP”) activity.</w:t>
      </w:r>
    </w:p>
    <w:p>
      <w:pPr>
        <w:spacing w:after="0" w:line="26" w:lineRule="exact"/>
        <w:rPr>
          <w:rFonts w:ascii="Arial" w:cs="Arial" w:eastAsia="Arial" w:hAnsi="Arial"/>
          <w:sz w:val="13"/>
          <w:szCs w:val="13"/>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Included to contextualize the impact of short-tenored Swaps/Swaptions and Rates Futures on totals for all periods presented.</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10.2 %</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10.8 %</w:t>
      </w:r>
    </w:p>
    <w:p>
      <w:pPr>
        <w:spacing w:after="0" w:line="821" w:lineRule="exact"/>
        <w:rPr>
          <w:sz w:val="20"/>
          <w:szCs w:val="20"/>
          <w:color w:val="auto"/>
        </w:rPr>
      </w:pPr>
    </w:p>
    <w:p>
      <w:pPr>
        <w:sectPr>
          <w:pgSz w:w="11900" w:h="16838" w:orient="portrait"/>
          <w:cols w:equalWidth="0" w:num="2">
            <w:col w:w="10520" w:space="160"/>
            <w:col w:w="560"/>
          </w:cols>
          <w:pgMar w:left="320" w:top="125" w:right="339" w:bottom="1440" w:gutter="0" w:footer="0" w:header="0"/>
          <w:type w:val="continuous"/>
        </w:sectPr>
      </w:pPr>
    </w:p>
    <w:p>
      <w:pPr>
        <w:ind w:right="80"/>
        <w:spacing w:after="0" w:line="273" w:lineRule="auto"/>
        <w:rPr>
          <w:sz w:val="20"/>
          <w:szCs w:val="20"/>
          <w:color w:val="auto"/>
        </w:rPr>
      </w:pPr>
      <w:r>
        <w:rPr>
          <w:rFonts w:ascii="Arial" w:cs="Arial" w:eastAsia="Arial" w:hAnsi="Arial"/>
          <w:sz w:val="17"/>
          <w:szCs w:val="17"/>
          <w:color w:val="auto"/>
        </w:rPr>
        <w:t>The average variable fees per million dollars of volume traded on our trading platforms by asset class for the three months ended June 30, 2023 and 2022 are summarized below. There are four potential drivers of quarterly fluctuations in our average variable fees per million: (1) the mix and duration of cash and derivatives products traded, (2) the mix of protocols underpinning cash and derivatives products, (3) volume discounts and (4) clients moving between fixed and variable pricing structures. Average variable fees per million should be reviewed in conjunction with our trading volumes and total revenue by asset class. Since variable fees are sometimes subject to fee plans with tiered pricing based on product mix and volume, average variable fees per million for a specific asset class may not correlate with volumes or revenue growth.</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Rates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37"/>
        </w:trPr>
        <w:tc>
          <w:tcPr>
            <w:tcW w:w="5500" w:type="dxa"/>
            <w:vAlign w:val="bottom"/>
          </w:tcPr>
          <w:p>
            <w:pPr>
              <w:ind w:left="140"/>
              <w:spacing w:after="0"/>
              <w:rPr>
                <w:sz w:val="20"/>
                <w:szCs w:val="20"/>
                <w:color w:val="auto"/>
              </w:rPr>
            </w:pPr>
            <w:r>
              <w:rPr>
                <w:rFonts w:ascii="Arial" w:cs="Arial" w:eastAsia="Arial" w:hAnsi="Arial"/>
                <w:sz w:val="18"/>
                <w:szCs w:val="18"/>
                <w:color w:val="auto"/>
              </w:rPr>
              <w:t>Rates Cash</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2.44</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2.27</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36"/>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Rates Derivatives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29"/>
        </w:trPr>
        <w:tc>
          <w:tcPr>
            <w:tcW w:w="5500" w:type="dxa"/>
            <w:vAlign w:val="bottom"/>
          </w:tcPr>
          <w:p>
            <w:pPr>
              <w:ind w:left="240"/>
              <w:spacing w:after="0"/>
              <w:rPr>
                <w:sz w:val="20"/>
                <w:szCs w:val="20"/>
                <w:color w:val="auto"/>
              </w:rPr>
            </w:pPr>
            <w:r>
              <w:rPr>
                <w:rFonts w:ascii="Arial" w:cs="Arial" w:eastAsia="Arial" w:hAnsi="Arial"/>
                <w:sz w:val="18"/>
                <w:szCs w:val="18"/>
                <w:color w:val="auto"/>
              </w:rPr>
              <w:t>Rates Derivatives (greater than 1 year)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2.75</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3.42</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(0.67)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ind w:left="240"/>
              <w:spacing w:after="0" w:line="243" w:lineRule="exact"/>
              <w:rPr>
                <w:sz w:val="20"/>
                <w:szCs w:val="20"/>
                <w:color w:val="auto"/>
              </w:rPr>
            </w:pPr>
            <w:r>
              <w:rPr>
                <w:rFonts w:ascii="Arial" w:cs="Arial" w:eastAsia="Arial" w:hAnsi="Arial"/>
                <w:sz w:val="18"/>
                <w:szCs w:val="18"/>
                <w:color w:val="auto"/>
              </w:rPr>
              <w:t xml:space="preserve">Other Rates Derivatives </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Credit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65.37</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47.31</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18.06</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38.2 %</w:t>
            </w: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Cash Credit </w:t>
            </w:r>
            <w:r>
              <w:rPr>
                <w:rFonts w:ascii="Arial" w:cs="Arial" w:eastAsia="Arial" w:hAnsi="Arial"/>
                <w:sz w:val="23"/>
                <w:szCs w:val="23"/>
                <w:color w:val="auto"/>
                <w:vertAlign w:val="superscript"/>
              </w:rPr>
              <w:t>(2)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151.91</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155.56</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Derivatives and U.S. Cash “EP”</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57"/>
        </w:trPr>
        <w:tc>
          <w:tcPr>
            <w:tcW w:w="5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16.60</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19.77</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0" w:type="dxa"/>
            <w:vAlign w:val="bottom"/>
          </w:tcPr>
          <w:p>
            <w:pPr>
              <w:spacing w:after="0"/>
              <w:rPr>
                <w:sz w:val="1"/>
                <w:szCs w:val="1"/>
                <w:color w:val="auto"/>
              </w:rPr>
            </w:pPr>
          </w:p>
        </w:tc>
      </w:tr>
      <w:tr>
        <w:trPr>
          <w:trHeight w:val="237"/>
        </w:trPr>
        <w:tc>
          <w:tcPr>
            <w:tcW w:w="5500" w:type="dxa"/>
            <w:vAlign w:val="bottom"/>
          </w:tcPr>
          <w:p>
            <w:pPr>
              <w:ind w:left="140"/>
              <w:spacing w:after="0"/>
              <w:rPr>
                <w:sz w:val="20"/>
                <w:szCs w:val="20"/>
                <w:color w:val="auto"/>
              </w:rPr>
            </w:pPr>
            <w:r>
              <w:rPr>
                <w:rFonts w:ascii="Arial" w:cs="Arial" w:eastAsia="Arial" w:hAnsi="Arial"/>
                <w:sz w:val="18"/>
                <w:szCs w:val="18"/>
                <w:color w:val="auto"/>
              </w:rPr>
              <w:t>Equities Cash</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26.59</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29.20</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36"/>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Equities Derivatives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57"/>
        </w:trPr>
        <w:tc>
          <w:tcPr>
            <w:tcW w:w="5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Money Markets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0.38</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0.29</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30.1 %</w:t>
            </w:r>
          </w:p>
        </w:tc>
        <w:tc>
          <w:tcPr>
            <w:tcW w:w="0" w:type="dxa"/>
            <w:vAlign w:val="bottom"/>
          </w:tcPr>
          <w:p>
            <w:pPr>
              <w:spacing w:after="0"/>
              <w:rPr>
                <w:sz w:val="1"/>
                <w:szCs w:val="1"/>
                <w:color w:val="auto"/>
              </w:rPr>
            </w:pPr>
          </w:p>
        </w:tc>
      </w:tr>
      <w:tr>
        <w:trPr>
          <w:trHeight w:val="257"/>
        </w:trPr>
        <w:tc>
          <w:tcPr>
            <w:tcW w:w="5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306"/>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 xml:space="preserve">Total excluding Other Rates Derivatives </w:t>
            </w:r>
            <w:r>
              <w:rPr>
                <w:rFonts w:ascii="Arial" w:cs="Arial" w:eastAsia="Arial" w:hAnsi="Arial"/>
                <w:sz w:val="23"/>
                <w:szCs w:val="23"/>
                <w:b w:val="1"/>
                <w:bCs w:val="1"/>
                <w:color w:val="auto"/>
                <w:vertAlign w:val="superscript"/>
              </w:rPr>
              <w:t>(3)</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2.92</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3.14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(0.22)</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Swaps/Swaptions of tenor less than 1 year and Rates Futures.</w:t>
      </w:r>
    </w:p>
    <w:p>
      <w:pPr>
        <w:spacing w:after="0" w:line="20" w:lineRule="exact"/>
        <w:rPr>
          <w:rFonts w:ascii="Arial" w:cs="Arial" w:eastAsia="Arial" w:hAnsi="Arial"/>
          <w:sz w:val="14"/>
          <w:szCs w:val="14"/>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“Cash Credit” category represents the “Credit” asset class excluding (1) Credit Derivatives and (2) U.S. High Grade and High Yield electronically processed (“EP”) activity.</w:t>
      </w:r>
    </w:p>
    <w:p>
      <w:pPr>
        <w:spacing w:after="0" w:line="6" w:lineRule="exact"/>
        <w:rPr>
          <w:rFonts w:ascii="Arial" w:cs="Arial" w:eastAsia="Arial" w:hAnsi="Arial"/>
          <w:sz w:val="14"/>
          <w:szCs w:val="14"/>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Included to contextualize the impact of short-tenored Swaps/Swaptions and Rates Futures on blended fees per million across all periods presented.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key drivers of the change in total revenue, volumes and variable fees per million by asset class are summarized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Rates</w:t>
      </w:r>
      <w:r>
        <w:rPr>
          <w:rFonts w:ascii="Arial" w:cs="Arial" w:eastAsia="Arial" w:hAnsi="Arial"/>
          <w:sz w:val="16"/>
          <w:szCs w:val="16"/>
          <w:color w:val="auto"/>
        </w:rPr>
        <w:t>. Revenues from our rates asset class increased by $8.8 million or 5.8% to $160.4 million for the three months ended June 30, 2023 compared to</w:t>
      </w:r>
    </w:p>
    <w:p>
      <w:pPr>
        <w:spacing w:after="0" w:line="46"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$151.6 million for the three months ended June 30, 2022 primarily due to higher variable transaction fees and commissions on higher trading volumes for U.S. and European government bonds and an increase in fixed subscription fees.</w:t>
      </w:r>
    </w:p>
    <w:p>
      <w:pPr>
        <w:spacing w:after="0" w:line="14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Average variable fees per million for rates decreased primarily due to a decrease in average variable fees per million for rates derivatives driven primarily by shifts in the mix and duration of derivative products traded. This decrease was partially offset by an increase in average variable fees per million for rates cash products primarily due to shifts in the mix of trading towards U.S. government bonds, which have a higher variable fee capture compared to overall rates.</w:t>
      </w:r>
    </w:p>
    <w:p>
      <w:pPr>
        <w:spacing w:after="0" w:line="16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 Revenues from our credit asset class increased by $0.1 million or 0.1% to $84.0 million for the three months ended June 30, 2023 compared to $84.0 million for the three months ended June 30, 2022 primarily due to higher variable transaction fees and commissions on higher trading volumes for U.S. and European corporate bonds, partially offset by lower variable transaction fees and commissions on lower trading volumes for credit derivatives products and municipals.</w:t>
      </w:r>
    </w:p>
    <w:p>
      <w:pPr>
        <w:spacing w:after="0" w:line="14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Average variable fees per million for credit increased primarily due to a shift in the mix of products traded from derivatives and electronically processed U.S. corporate bonds to cash credit products, which have a higher variable fee capture compared to overall credit</w:t>
      </w:r>
      <w:r>
        <w:rPr>
          <w:rFonts w:ascii="Arial" w:cs="Arial" w:eastAsia="Arial" w:hAnsi="Arial"/>
          <w:sz w:val="17"/>
          <w:szCs w:val="17"/>
          <w:b w:val="1"/>
          <w:bCs w:val="1"/>
          <w:color w:val="auto"/>
        </w:rPr>
        <w:t>.</w:t>
      </w:r>
    </w:p>
    <w:p>
      <w:pPr>
        <w:spacing w:after="0" w:line="106"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u w:val="single" w:color="auto"/>
          <w:color w:val="auto"/>
        </w:rPr>
        <w:t>Equities</w:t>
      </w:r>
      <w:r>
        <w:rPr>
          <w:rFonts w:ascii="Arial" w:cs="Arial" w:eastAsia="Arial" w:hAnsi="Arial"/>
          <w:sz w:val="16"/>
          <w:szCs w:val="16"/>
          <w:color w:val="auto"/>
        </w:rPr>
        <w:t>. Revenues from our equities asset class decreased by $0.5 million or 2.3% to $22.1 million for the three months ended June 30, 2023 compared to $22.7 million for the three months ended June 30, 2022 primarily due to lower variable transaction fees and commission on lower trading volumes for U.S. and European ETFs, partially offset by higher variable transaction fees and commissions on higher trading volumes for equity derivatives products.</w:t>
      </w:r>
    </w:p>
    <w:p>
      <w:pPr>
        <w:spacing w:after="0" w:line="12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Average variable fees per million for equities decreased primarily due to a shift in the mix of products and size of units traded, including a decline in trading volume for European ETFs, which have a higher variable fee capture compared to overall equities.</w:t>
      </w:r>
    </w:p>
    <w:p>
      <w:pPr>
        <w:spacing w:after="0" w:line="13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u w:val="single" w:color="auto"/>
          <w:color w:val="auto"/>
        </w:rPr>
        <w:t>Money Markets</w:t>
      </w:r>
      <w:r>
        <w:rPr>
          <w:rFonts w:ascii="Arial" w:cs="Arial" w:eastAsia="Arial" w:hAnsi="Arial"/>
          <w:sz w:val="18"/>
          <w:szCs w:val="18"/>
          <w:color w:val="auto"/>
        </w:rPr>
        <w:t>. Revenues from our money markets asset class increased by $3.7 million or 30.1% to $15.8 million for the three months ended June 30, 2023 compared to $12.2 million for the three months ended June 30, 2022 primarily due to higher variable transaction fees and commissions on higher volumes for certificates of deposit and repurchase agreements.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Average variable fees per million for money markets increased primarily due to higher growth of certificates of deposit which have a higher variable fee capture compared to overall money markets.</w:t>
      </w:r>
    </w:p>
    <w:p>
      <w:pPr>
        <w:spacing w:after="0" w:line="14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asset class increased by $1.7 million or 8.3% to $22.8 million for the three months ended June 30, 2023 compared to $21.0 million for the three months ended June 30, 2022. The increase was derived primarily from increased proprietary third party market data revenue.</w:t>
      </w:r>
    </w:p>
    <w:p>
      <w:pPr>
        <w:spacing w:after="0" w:line="14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Revenues from our other asset class was relatively flat with a decrease of $0.3 million or 4.4% to $5.5 million for the three months ended June 30, 2023 compared to $5.7 million for the three months ended June 30, 2022.</w:t>
      </w:r>
    </w:p>
    <w:p>
      <w:pPr>
        <w:spacing w:after="0" w:line="1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generate revenue from a diverse portfolio of client sectors. Our total revenue by client sector for the three months ended June 30, 2023 and 2022, and the resulting dollar and percentage changes,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
                <w:szCs w:val="2"/>
                <w:color w:val="auto"/>
              </w:rPr>
            </w:pPr>
          </w:p>
        </w:tc>
        <w:tc>
          <w:tcPr>
            <w:tcW w:w="14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4"/>
        </w:trPr>
        <w:tc>
          <w:tcPr>
            <w:tcW w:w="5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4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Institutional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183,828</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181,298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2,530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73,329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Retail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 Data</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310,613</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297,138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13,475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u w:val="single" w:color="auto"/>
          <w:color w:val="auto"/>
        </w:rPr>
        <w:t>Institutional</w:t>
      </w:r>
      <w:r>
        <w:rPr>
          <w:rFonts w:ascii="Arial" w:cs="Arial" w:eastAsia="Arial" w:hAnsi="Arial"/>
          <w:sz w:val="18"/>
          <w:szCs w:val="18"/>
          <w:color w:val="auto"/>
        </w:rPr>
        <w:t>. Revenues from our institutional client sector increased by $2.5 million or 1.4% to $183.8 million for the three months ended June 30, 2023 from $181.3 million for the three months ended June 30, 2022. The increase was derived primarily from higher revenues for U.S. corporate bonds and U.S. and European government bonds, partially offset by lower revenues for credit derivatives products.</w:t>
      </w:r>
    </w:p>
    <w:p>
      <w:pPr>
        <w:spacing w:after="0" w:line="143"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increased by $5.3 million or 7.8% to $73.3 million for the three months ended June 30, 2023 from $68.0 million for the three months ended June 30, 2022. The increase was derived primarily from higher revenues for U.S. and European corporate bonds and U.S. government bonds, partially offset by lower revenues for mortgages.</w:t>
      </w:r>
    </w:p>
    <w:p>
      <w:pPr>
        <w:spacing w:after="0" w:line="143"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Revenues from our retail client sector increased by $3.9 million or 14.5% to $30.7 million for the three months ended June 30, 2023 from $26.8 million for the three months ended June 30, 2022. The increase was derived primarily from higher revenues for certificates of deposits and U.S. government bonds, partially offset by lower revenues for municipals.</w:t>
      </w:r>
    </w:p>
    <w:p>
      <w:pPr>
        <w:spacing w:after="0" w:line="15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client sector increased by $1.7 million or 8.3% to $22.8 million for the three months ended June 30, 2023 from $21.0 million for the three months ended June 30, 2022. The increase was derived primarily from increased proprietary third party market data revenue.</w:t>
      </w:r>
    </w:p>
    <w:p>
      <w:pPr>
        <w:spacing w:after="0" w:line="1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revenues and client base are also diversified by geography. Our total revenue by geography (based on client location) for the three months ended June 30, 2023 and 2022, and the resulting dollar and percentage changes,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jc w:val="center"/>
              <w:ind w:right="215"/>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center"/>
              <w:ind w:left="580"/>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
                <w:szCs w:val="2"/>
                <w:color w:val="auto"/>
              </w:rPr>
            </w:pPr>
          </w:p>
        </w:tc>
        <w:tc>
          <w:tcPr>
            <w:tcW w:w="14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gridSpan w:val="4"/>
          </w:tcPr>
          <w:p>
            <w:pPr>
              <w:jc w:val="center"/>
              <w:ind w:right="215"/>
              <w:spacing w:after="0"/>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200,919</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190,150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10,769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109,694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106,988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6"/>
        </w:trPr>
        <w:tc>
          <w:tcPr>
            <w:tcW w:w="55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310,613</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297,138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13,475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 xml:space="preserve"> Revenues from U.S. clients increased by $10.8 million or 5.7% to $200.9 million for the three months ended June 30, 2023 from $190.2 million for the three months ended June 30, 2022 primarily due to higher revenues for U.S. government bonds, U.S. corporate bonds and certificates of deposit, partially offset by lower revenues for municipals.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International</w:t>
      </w:r>
      <w:r>
        <w:rPr>
          <w:rFonts w:ascii="Arial" w:cs="Arial" w:eastAsia="Arial" w:hAnsi="Arial"/>
          <w:sz w:val="17"/>
          <w:szCs w:val="17"/>
          <w:color w:val="auto"/>
        </w:rPr>
        <w:t>. Revenues from International clients increased by $2.7 million or 2.5% to $109.7 million for the three months ended June 30, 2023 from</w:t>
      </w:r>
    </w:p>
    <w:p>
      <w:pPr>
        <w:spacing w:after="0" w:line="3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$107.0 million for the three months ended June 30, 2022 primarily due to higher revenues for European government bonds, European corporate bonds and market data, partially offset by lower revenues for credit derivatives 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expenses for the three months ended June 30, 2023 and 2022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3"/>
          </w:tcPr>
          <w:p>
            <w:pPr>
              <w:jc w:val="center"/>
              <w:ind w:left="557"/>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
                <w:szCs w:val="2"/>
                <w:color w:val="auto"/>
              </w:rPr>
            </w:pPr>
          </w:p>
        </w:tc>
        <w:tc>
          <w:tcPr>
            <w:tcW w:w="14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2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w w:val="90"/>
              </w:rPr>
              <w:t>(dollars in thousands)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103,924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109,890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45,887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44,770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11,072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45.7 %</w:t>
            </w:r>
          </w:p>
        </w:tc>
        <w:tc>
          <w:tcPr>
            <w:tcW w:w="0" w:type="dxa"/>
            <w:vAlign w:val="bottom"/>
          </w:tcPr>
          <w:p>
            <w:pPr>
              <w:spacing w:after="0"/>
              <w:rPr>
                <w:sz w:val="1"/>
                <w:szCs w:val="1"/>
                <w:color w:val="auto"/>
              </w:rPr>
            </w:pPr>
          </w:p>
        </w:tc>
      </w:tr>
      <w:tr>
        <w:trPr>
          <w:trHeight w:val="23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10,666</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24.4 %</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4,028</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7"/>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194,278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190,531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u w:val="single" w:color="auto"/>
          <w:color w:val="auto"/>
        </w:rPr>
        <w:t>Employee Compensation and Benefits</w:t>
      </w:r>
      <w:r>
        <w:rPr>
          <w:rFonts w:ascii="Arial" w:cs="Arial" w:eastAsia="Arial" w:hAnsi="Arial"/>
          <w:sz w:val="17"/>
          <w:szCs w:val="17"/>
          <w:color w:val="auto"/>
        </w:rPr>
        <w:t>. Expenses related to employee compensation and benefits decreased by $6.0 million or 5.4% to $103.9 million for the three months ended June 30, 2023 from $109.9 million for the three months ended June 30, 2022. The decrease was primarily due to a decrease in incentive compensation expense and related payroll taxes including a $5.7 million decrease in non-cash accelerated stock-based compensation expense and related payroll taxes relating to the CEO Retirement Accelerated Stock-Based Compensation Expense. See “— Trends and Other Factors Impacting Our Performance — CEO and Chairperson Transition” for further details. The decreases in incentive compensation and related payroll taxes more than offset the increase in headcount and related salaries during the period.</w:t>
      </w:r>
    </w:p>
    <w:p>
      <w:pPr>
        <w:spacing w:after="0" w:line="1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Expenses related to depreciation and amortization remained relatively flat with an increase of $1.1 million or 2.5% to $45.9 million for the three months ended June 30, 2023 from $44.8 million for the three months ended June 30, 2022.</w:t>
      </w:r>
    </w:p>
    <w:p>
      <w:pPr>
        <w:spacing w:after="0" w:line="13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u w:val="single" w:color="auto"/>
          <w:color w:val="auto"/>
        </w:rPr>
        <w:t>Technology and Communications</w:t>
      </w:r>
      <w:r>
        <w:rPr>
          <w:rFonts w:ascii="Arial" w:cs="Arial" w:eastAsia="Arial" w:hAnsi="Arial"/>
          <w:sz w:val="17"/>
          <w:szCs w:val="17"/>
          <w:color w:val="auto"/>
        </w:rPr>
        <w:t>. Expenses related to technology and communications increased by $2.7 million or 16.6% to $18.7 million for the three months ended June 30, 2023 from $16.0 million for the three months ended June 30, 2022. The increase was primarily due to increased data and clearance fees driven primarily by higher period-over-period trading volumes and increased investment in our data strategy and infrastructure.</w:t>
      </w:r>
    </w:p>
    <w:p>
      <w:pPr>
        <w:spacing w:after="0" w:line="138" w:lineRule="exact"/>
        <w:rPr>
          <w:sz w:val="20"/>
          <w:szCs w:val="20"/>
          <w:color w:val="auto"/>
        </w:rPr>
      </w:pPr>
    </w:p>
    <w:p>
      <w:pPr>
        <w:spacing w:after="0" w:line="296" w:lineRule="auto"/>
        <w:rPr>
          <w:sz w:val="20"/>
          <w:szCs w:val="20"/>
          <w:color w:val="auto"/>
        </w:rPr>
      </w:pPr>
      <w:r>
        <w:rPr>
          <w:rFonts w:ascii="Arial" w:cs="Arial" w:eastAsia="Arial" w:hAnsi="Arial"/>
          <w:sz w:val="16"/>
          <w:szCs w:val="16"/>
          <w:u w:val="single" w:color="auto"/>
          <w:color w:val="auto"/>
        </w:rPr>
        <w:t>General and Administrative</w:t>
      </w:r>
      <w:r>
        <w:rPr>
          <w:rFonts w:ascii="Arial" w:cs="Arial" w:eastAsia="Arial" w:hAnsi="Arial"/>
          <w:sz w:val="16"/>
          <w:szCs w:val="16"/>
          <w:color w:val="auto"/>
        </w:rPr>
        <w:t>. Expenses related to general and administrative costs increased by $3.5 million or 45.7% to $11.1 million for the three months ended June 30, 2023 from $7.6 million for the three months ended June 30, 2022. The increase was primarily the result of a $3.3 million decrease in foreign exchange gains during the three months ended June 30, 2023. Realized and unrealized foreign currency gains totaled $0.8 million during the three months ended June 30, 2023 as compared to $4.1 million in gains during three months ended June 30, 2022. The change was primarily driven by changes in fair value of our foreign currency forward contracts used in connection with our foreign currency risk management program.</w:t>
      </w:r>
    </w:p>
    <w:p>
      <w:pPr>
        <w:spacing w:after="0" w:line="12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u w:val="single" w:color="auto"/>
          <w:color w:val="auto"/>
        </w:rPr>
        <w:t>Professional Fees</w:t>
      </w:r>
      <w:r>
        <w:rPr>
          <w:rFonts w:ascii="Arial" w:cs="Arial" w:eastAsia="Arial" w:hAnsi="Arial"/>
          <w:sz w:val="16"/>
          <w:szCs w:val="16"/>
          <w:color w:val="auto"/>
        </w:rPr>
        <w:t>. Expenses related to professional fees increased by $2.1 million or 24.4% to $10.7 million for the three months ended June 30, 2023 from $8.6 million for the three months ended June 30, 2022. The increase was primarily due to increased legal and other costs related to the expected acquisition of Yieldbroker (see “— Trends and Other Factors Impacting Our Performance — Yieldbroker” for further details), and an increase in consulting expenses.</w:t>
      </w:r>
    </w:p>
    <w:p>
      <w:pPr>
        <w:spacing w:after="0" w:line="1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Expenses related to occupancy costs increased by $0.4 million or 10.0% to $4.0 million for the three months ended June 30, 2023 from $3.7 million for the three months ended June 30, 2022. The increase was primarily due to higher data center rent expense primarily driven by the completion of the NFI Acquisition technology integration during the three months ended March 31, 2023 and the relocation of data centers to locations providing enhanced infrastructure and improved performance.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(Expense)</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Net interest income increased by $14.6 million to net interest income of $15.1 million for the three months ended June 30, 2023 from net interest income of $0.5 million for the three months ended June 30, 2022 primarily due to an increase in interest income earned as a result of an increase in our average invested cash balance and an increase in interest rates period over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(Loss), Net</w:t>
      </w:r>
    </w:p>
    <w:p>
      <w:pPr>
        <w:spacing w:after="0" w:line="18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the three months ended June 30, 2023, we recognized a net other loss of $0.5 million, including a $1.1 million loss due to a reduction in the tax indemnification receivables from Refinitiv relating to the settlement of the tax matter for less than the previously estimated amount. See Note 6 – Income Taxes to our unaudited condensed consolidated financial statements included elsewhere in this Quarterly Report on Form 10-Q for further details. This loss was partially offset by a $0.6 million gain recognized during three months ended June 30, 2023 from the increase in fair value of the foreign currency call option on Australian dollars entered into, in order to partially mitigate the Company’s U.S. dollar versus Australian dollar foreign exchange exposure on the anticipated payment of the Australian dollar denominated purchase price for the expected Yieldbroker acquisition.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Income tax expense increased by $3.5 million to $29.0 million for the three months ended June 30, 2023 from $25.5 million for the three months ended June 30, 2022. The provision for income taxes includes U.S. federal, state, local and foreign taxes. The effective tax rate for the three months ended June 30, 2023 was approximately 22.2%, compared with 23.8% for the three months ended June 30, 2022. The effective tax rate for the three months ended June 30, 2023 differed from the U.S. federal statutory rate of 21.0% primarily due to the disallowance of compensation expense tax deductions and state, local and foreign taxes, partially offset by the effect of non-controlling interests. The effective tax rate for the three months ended June 30, 2022 differed from the U.S. federal statutory rate of 21.0% primarily due to the effect of state, local and foreign taxes, partially offset by non-controlling interests.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Six Months Ended June 30, 2023 and Six Months Ended June 30,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our statements of income for the six months ended June 30, 2023 and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center"/>
              <w:ind w:left="395"/>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8"/>
        </w:trPr>
        <w:tc>
          <w:tcPr>
            <w:tcW w:w="5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415"/>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4"/>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41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27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60" w:type="dxa"/>
            <w:vAlign w:val="bottom"/>
          </w:tcPr>
          <w:p>
            <w:pPr>
              <w:jc w:val="right"/>
              <w:ind w:right="316"/>
              <w:spacing w:after="0"/>
              <w:rPr>
                <w:sz w:val="20"/>
                <w:szCs w:val="20"/>
                <w:color w:val="auto"/>
              </w:rPr>
            </w:pPr>
            <w:r>
              <w:rPr>
                <w:rFonts w:ascii="Arial" w:cs="Arial" w:eastAsia="Arial" w:hAnsi="Arial"/>
                <w:sz w:val="14"/>
                <w:szCs w:val="14"/>
                <w:b w:val="1"/>
                <w:bCs w:val="1"/>
                <w:color w:val="auto"/>
              </w:rPr>
              <w:t>% Change</w:t>
            </w:r>
          </w:p>
        </w:tc>
      </w:tr>
      <w:tr>
        <w:trPr>
          <w:trHeight w:val="25"/>
        </w:trPr>
        <w:tc>
          <w:tcPr>
            <w:tcW w:w="5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5"/>
        </w:trPr>
        <w:tc>
          <w:tcPr>
            <w:tcW w:w="5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20" w:type="dxa"/>
            <w:vAlign w:val="bottom"/>
            <w:gridSpan w:val="4"/>
          </w:tcPr>
          <w:p>
            <w:pPr>
              <w:jc w:val="center"/>
              <w:ind w:right="232"/>
              <w:spacing w:after="0"/>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9"/>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7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639,862</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608,624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400,961</w:t>
            </w: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390,415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2.7 %</w:t>
            </w:r>
          </w:p>
        </w:tc>
      </w:tr>
      <w:tr>
        <w:trPr>
          <w:trHeight w:val="23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238,901</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218,209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9.5 %</w:t>
            </w:r>
          </w:p>
        </w:tc>
      </w:tr>
      <w:tr>
        <w:trPr>
          <w:trHeight w:val="263"/>
        </w:trPr>
        <w:tc>
          <w:tcPr>
            <w:tcW w:w="5520" w:type="dxa"/>
            <w:vAlign w:val="bottom"/>
          </w:tcPr>
          <w:p>
            <w:pPr>
              <w:ind w:left="20"/>
              <w:spacing w:after="0"/>
              <w:rPr>
                <w:sz w:val="20"/>
                <w:szCs w:val="20"/>
                <w:color w:val="auto"/>
              </w:rPr>
            </w:pPr>
            <w:r>
              <w:rPr>
                <w:rFonts w:ascii="Arial" w:cs="Arial" w:eastAsia="Arial" w:hAnsi="Arial"/>
                <w:sz w:val="18"/>
                <w:szCs w:val="18"/>
                <w:color w:val="auto"/>
              </w:rPr>
              <w:t>Net interest income (expense)</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27,600</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27,506</w:t>
            </w:r>
          </w:p>
        </w:tc>
        <w:tc>
          <w:tcPr>
            <w:tcW w:w="100" w:type="dxa"/>
            <w:vAlign w:val="bottom"/>
          </w:tcPr>
          <w:p>
            <w:pPr>
              <w:spacing w:after="0"/>
              <w:rPr>
                <w:sz w:val="22"/>
                <w:szCs w:val="22"/>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N/M</w:t>
            </w:r>
          </w:p>
        </w:tc>
      </w:tr>
      <w:tr>
        <w:trPr>
          <w:trHeight w:val="23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 net</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N/M</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266,386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218,303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48,083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22.0 %</w:t>
            </w: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(62,254)</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58.6 %</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204,132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179,045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25,087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14.0 %</w:t>
            </w:r>
          </w:p>
        </w:tc>
      </w:tr>
      <w:tr>
        <w:trPr>
          <w:trHeight w:val="23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27,194</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176,938</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151,309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25,629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16.9 %</w:t>
            </w:r>
          </w:p>
        </w:tc>
      </w:tr>
      <w:tr>
        <w:trPr>
          <w:trHeight w:val="21"/>
        </w:trPr>
        <w:tc>
          <w:tcPr>
            <w:tcW w:w="5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revenues for the six months ended June 30, 2023 and 2022, and the resulting dollar and percentage changes,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3"/>
          </w:tcPr>
          <w:p>
            <w:pPr>
              <w:jc w:val="center"/>
              <w:ind w:left="748"/>
              <w:spacing w:after="0"/>
              <w:rPr>
                <w:sz w:val="20"/>
                <w:szCs w:val="20"/>
                <w:color w:val="auto"/>
              </w:rPr>
            </w:pPr>
            <w:r>
              <w:rPr>
                <w:rFonts w:ascii="Arial" w:cs="Arial" w:eastAsia="Arial" w:hAnsi="Arial"/>
                <w:sz w:val="14"/>
                <w:szCs w:val="14"/>
                <w:b w:val="1"/>
                <w:bCs w:val="1"/>
                <w:color w:val="auto"/>
                <w:w w:val="92"/>
              </w:rPr>
              <w:t>Six Months Ended</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center"/>
              <w:ind w:left="748"/>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1168"/>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116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ind w:right="328"/>
              <w:spacing w:after="0"/>
              <w:rPr>
                <w:sz w:val="20"/>
                <w:szCs w:val="20"/>
                <w:color w:val="auto"/>
              </w:rPr>
            </w:pPr>
            <w:r>
              <w:rPr>
                <w:rFonts w:ascii="Arial" w:cs="Arial" w:eastAsia="Arial" w:hAnsi="Arial"/>
                <w:sz w:val="13"/>
                <w:szCs w:val="13"/>
                <w:b w:val="1"/>
                <w:bCs w:val="1"/>
                <w:color w:val="auto"/>
              </w:rPr>
              <w:t>% of Total</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ind w:right="328"/>
              <w:spacing w:after="0"/>
              <w:rPr>
                <w:sz w:val="20"/>
                <w:szCs w:val="20"/>
                <w:color w:val="auto"/>
              </w:rPr>
            </w:pPr>
            <w:r>
              <w:rPr>
                <w:rFonts w:ascii="Arial" w:cs="Arial" w:eastAsia="Arial" w:hAnsi="Arial"/>
                <w:sz w:val="13"/>
                <w:szCs w:val="13"/>
                <w:b w:val="1"/>
                <w:bCs w:val="1"/>
                <w:color w:val="auto"/>
              </w:rPr>
              <w:t>% of Total</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3"/>
                <w:szCs w:val="13"/>
                <w:color w:val="auto"/>
              </w:rPr>
            </w:pPr>
          </w:p>
        </w:tc>
        <w:tc>
          <w:tcPr>
            <w:tcW w:w="14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8"/>
        </w:trPr>
        <w:tc>
          <w:tcPr>
            <w:tcW w:w="2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388"/>
              <w:spacing w:after="0"/>
              <w:rPr>
                <w:sz w:val="20"/>
                <w:szCs w:val="20"/>
                <w:color w:val="auto"/>
              </w:rPr>
            </w:pPr>
            <w:r>
              <w:rPr>
                <w:rFonts w:ascii="Arial" w:cs="Arial" w:eastAsia="Arial" w:hAnsi="Arial"/>
                <w:sz w:val="13"/>
                <w:szCs w:val="13"/>
                <w:b w:val="1"/>
                <w:bCs w:val="1"/>
                <w:color w:val="auto"/>
              </w:rPr>
              <w:t>Revenue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388"/>
              <w:spacing w:after="0"/>
              <w:rPr>
                <w:sz w:val="20"/>
                <w:szCs w:val="20"/>
                <w:color w:val="auto"/>
              </w:rPr>
            </w:pPr>
            <w:r>
              <w:rPr>
                <w:rFonts w:ascii="Arial" w:cs="Arial" w:eastAsia="Arial" w:hAnsi="Arial"/>
                <w:sz w:val="13"/>
                <w:szCs w:val="13"/>
                <w:b w:val="1"/>
                <w:bCs w:val="1"/>
                <w:color w:val="auto"/>
              </w:rPr>
              <w:t>Revenue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4"/>
          </w:tcPr>
          <w:p>
            <w:pPr>
              <w:jc w:val="center"/>
              <w:ind w:left="88"/>
              <w:spacing w:after="0"/>
              <w:rPr>
                <w:sz w:val="20"/>
                <w:szCs w:val="20"/>
                <w:color w:val="auto"/>
              </w:rPr>
            </w:pPr>
            <w:r>
              <w:rPr>
                <w:rFonts w:ascii="Arial" w:cs="Arial" w:eastAsia="Arial" w:hAnsi="Arial"/>
                <w:sz w:val="14"/>
                <w:szCs w:val="14"/>
                <w:b w:val="1"/>
                <w:bCs w:val="1"/>
                <w:color w:val="auto"/>
                <w:w w:val="90"/>
              </w:rPr>
              <w:t>(dollars in thousands)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720" w:type="dxa"/>
            <w:vAlign w:val="bottom"/>
          </w:tcPr>
          <w:p>
            <w:pPr>
              <w:ind w:left="20"/>
              <w:spacing w:after="0"/>
              <w:rPr>
                <w:sz w:val="20"/>
                <w:szCs w:val="20"/>
                <w:color w:val="auto"/>
              </w:rPr>
            </w:pPr>
            <w:r>
              <w:rPr>
                <w:rFonts w:ascii="Arial" w:cs="Arial" w:eastAsia="Arial" w:hAnsi="Arial"/>
                <w:sz w:val="18"/>
                <w:szCs w:val="18"/>
                <w:color w:val="auto"/>
                <w:w w:val="96"/>
              </w:rPr>
              <w:t>Transaction fees and commissions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513,059</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80.2 %</w:t>
            </w:r>
          </w:p>
        </w:tc>
        <w:tc>
          <w:tcPr>
            <w:tcW w:w="6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489,474</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80.4 %</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23,585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Subscription fees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121,177</w:t>
            </w:r>
          </w:p>
        </w:tc>
        <w:tc>
          <w:tcPr>
            <w:tcW w:w="154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113,979</w:t>
            </w:r>
          </w:p>
        </w:tc>
        <w:tc>
          <w:tcPr>
            <w:tcW w:w="154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5,626</w:t>
            </w:r>
          </w:p>
        </w:tc>
        <w:tc>
          <w:tcPr>
            <w:tcW w:w="1540" w:type="dxa"/>
            <w:vAlign w:val="bottom"/>
            <w:gridSpan w:val="3"/>
          </w:tcPr>
          <w:p>
            <w:pPr>
              <w:jc w:val="right"/>
              <w:ind w:right="128"/>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5,171</w:t>
            </w:r>
          </w:p>
        </w:tc>
        <w:tc>
          <w:tcPr>
            <w:tcW w:w="1540" w:type="dxa"/>
            <w:vAlign w:val="bottom"/>
            <w:gridSpan w:val="3"/>
          </w:tcPr>
          <w:p>
            <w:pPr>
              <w:jc w:val="right"/>
              <w:ind w:right="128"/>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48"/>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639,862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608,624</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31,238</w:t>
            </w:r>
          </w:p>
        </w:tc>
        <w:tc>
          <w:tcPr>
            <w:tcW w:w="15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5"/>
              </w:rPr>
              <w:t>Components of total revenue growth:</w:t>
            </w: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20" w:type="dxa"/>
            <w:vAlign w:val="bottom"/>
          </w:tcPr>
          <w:p>
            <w:pPr>
              <w:ind w:left="20"/>
              <w:spacing w:after="0"/>
              <w:rPr>
                <w:sz w:val="20"/>
                <w:szCs w:val="20"/>
                <w:color w:val="auto"/>
              </w:rPr>
            </w:pPr>
            <w:r>
              <w:rPr>
                <w:rFonts w:ascii="Arial" w:cs="Arial" w:eastAsia="Arial" w:hAnsi="Arial"/>
                <w:sz w:val="18"/>
                <w:szCs w:val="18"/>
                <w:color w:val="auto"/>
              </w:rPr>
              <w:t xml:space="preserve">Constant currency growth </w:t>
            </w:r>
            <w:r>
              <w:rPr>
                <w:rFonts w:ascii="Arial" w:cs="Arial" w:eastAsia="Arial" w:hAnsi="Arial"/>
                <w:sz w:val="23"/>
                <w:szCs w:val="23"/>
                <w:color w:val="auto"/>
                <w:vertAlign w:val="superscript"/>
              </w:rPr>
              <w:t>(2)</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29"/>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impact</w:t>
            </w:r>
          </w:p>
        </w:tc>
        <w:tc>
          <w:tcPr>
            <w:tcW w:w="3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2720" w:type="dxa"/>
            <w:vAlign w:val="bottom"/>
          </w:tcPr>
          <w:p>
            <w:pPr>
              <w:ind w:left="220"/>
              <w:spacing w:after="0"/>
              <w:rPr>
                <w:sz w:val="20"/>
                <w:szCs w:val="20"/>
                <w:color w:val="auto"/>
              </w:rPr>
            </w:pPr>
            <w:r>
              <w:rPr>
                <w:rFonts w:ascii="Arial" w:cs="Arial" w:eastAsia="Arial" w:hAnsi="Arial"/>
                <w:sz w:val="18"/>
                <w:szCs w:val="18"/>
                <w:color w:val="auto"/>
              </w:rPr>
              <w:t>Total revenue growth</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1"/>
        </w:trPr>
        <w:tc>
          <w:tcPr>
            <w:tcW w:w="2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Subscription fees for the six months ended June 30, 2023 and 2022 include $31.1 million and $31.0 million respectively, of Refinitiv market data fees.</w:t>
      </w:r>
    </w:p>
    <w:p>
      <w:pPr>
        <w:spacing w:after="0" w:line="21" w:lineRule="exact"/>
        <w:rPr>
          <w:rFonts w:ascii="Arial" w:cs="Arial" w:eastAsia="Arial" w:hAnsi="Arial"/>
          <w:sz w:val="14"/>
          <w:szCs w:val="14"/>
          <w:color w:val="auto"/>
        </w:rPr>
      </w:pPr>
    </w:p>
    <w:p>
      <w:pPr>
        <w:ind w:left="340" w:right="300" w:hanging="332"/>
        <w:spacing w:after="0" w:line="288" w:lineRule="auto"/>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Constant currency revenue change, which is a non-GAAP financial measure, is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change as a supplemental metric to evaluate our underlying total revenue performance between periods by removing the impact of foreign currency fluctuations. We believe that providing constant currency change provides a useful comparison of our total revenue performance and trends between periods.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primary driver of the $31.2 million increase in revenue related to a $23.6 million increase in transaction fees and commissions to $513.1 million for the six months ended June 30, 2023 from $489.5 million for the six months ended June 30, 2022, primarily due to higher revenues for U.S. government bonds, U.S. corporate bonds, certificates of deposit and European government bonds, partially offset by lower revenues for credit derivatives products and European ETFs.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Our total revenue by asset class for the six months ended June 30, 2023 and 2022, and the resulting dollar and percentage changes,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3"/>
          </w:tcPr>
          <w:p>
            <w:pPr>
              <w:jc w:val="center"/>
              <w:ind w:left="357"/>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gridSpan w:val="3"/>
          </w:tcPr>
          <w:p>
            <w:pPr>
              <w:jc w:val="center"/>
              <w:ind w:left="357"/>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
                <w:szCs w:val="2"/>
                <w:color w:val="auto"/>
              </w:rPr>
            </w:pPr>
          </w:p>
        </w:tc>
        <w:tc>
          <w:tcPr>
            <w:tcW w:w="14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2"/>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80" w:type="dxa"/>
            <w:vAlign w:val="bottom"/>
            <w:gridSpan w:val="4"/>
          </w:tcPr>
          <w:p>
            <w:pPr>
              <w:jc w:val="center"/>
              <w:ind w:right="272"/>
              <w:spacing w:after="0"/>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Rates</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330,859</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311,925</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18,934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3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173,065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170,309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Equities</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48,349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49,194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45,210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42,396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7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11,738</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639,862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608,624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5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55</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variable and fixed revenues by asset class for the six months ended June 30, 2023 and 2022, and the resulting dollar and percentage changes, were as follows:</w:t>
      </w:r>
    </w:p>
    <w:p>
      <w:pPr>
        <w:spacing w:after="0" w:line="175" w:lineRule="exact"/>
        <w:rPr>
          <w:sz w:val="20"/>
          <w:szCs w:val="20"/>
          <w:color w:val="auto"/>
        </w:rPr>
      </w:pPr>
    </w:p>
    <w:p>
      <w:pPr>
        <w:jc w:val="center"/>
        <w:ind w:right="2400"/>
        <w:spacing w:after="0"/>
        <w:rPr>
          <w:sz w:val="20"/>
          <w:szCs w:val="20"/>
          <w:color w:val="auto"/>
        </w:rPr>
      </w:pPr>
      <w:r>
        <w:rPr>
          <w:rFonts w:ascii="Arial" w:cs="Arial" w:eastAsia="Arial" w:hAnsi="Arial"/>
          <w:sz w:val="14"/>
          <w:szCs w:val="14"/>
          <w:b w:val="1"/>
          <w:bCs w:val="1"/>
          <w:color w:val="auto"/>
        </w:rPr>
        <w:t>Six Months Ended</w:t>
      </w:r>
    </w:p>
    <w:p>
      <w:pPr>
        <w:spacing w:after="0" w:line="28" w:lineRule="exact"/>
        <w:rPr>
          <w:sz w:val="20"/>
          <w:szCs w:val="20"/>
          <w:color w:val="auto"/>
        </w:rPr>
      </w:pPr>
    </w:p>
    <w:p>
      <w:pPr>
        <w:jc w:val="center"/>
        <w:ind w:right="24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32385</wp:posOffset>
            </wp:positionV>
            <wp:extent cx="27774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2023</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 Change</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ind w:left="840"/>
              <w:spacing w:after="0"/>
              <w:rPr>
                <w:sz w:val="20"/>
                <w:szCs w:val="20"/>
                <w:color w:val="auto"/>
              </w:rPr>
            </w:pPr>
            <w:r>
              <w:rPr>
                <w:rFonts w:ascii="Arial" w:cs="Arial" w:eastAsia="Arial" w:hAnsi="Arial"/>
                <w:sz w:val="14"/>
                <w:szCs w:val="14"/>
                <w:b w:val="1"/>
                <w:bCs w:val="1"/>
                <w:color w:val="auto"/>
              </w:rPr>
              <w:t>% Change</w:t>
            </w:r>
          </w:p>
        </w:tc>
        <w:tc>
          <w:tcPr>
            <w:tcW w:w="780" w:type="dxa"/>
            <w:vAlign w:val="bottom"/>
          </w:tcPr>
          <w:p>
            <w:pPr>
              <w:spacing w:after="0"/>
              <w:rPr>
                <w:sz w:val="16"/>
                <w:szCs w:val="16"/>
                <w:color w:val="auto"/>
              </w:rPr>
            </w:pPr>
          </w:p>
        </w:tc>
      </w:tr>
      <w:tr>
        <w:trPr>
          <w:trHeight w:val="39"/>
        </w:trPr>
        <w:tc>
          <w:tcPr>
            <w:tcW w:w="22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4"/>
        </w:trPr>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74"/>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54"/>
              <w:spacing w:after="0"/>
              <w:rPr>
                <w:sz w:val="20"/>
                <w:szCs w:val="20"/>
                <w:color w:val="auto"/>
              </w:rPr>
            </w:pPr>
            <w:r>
              <w:rPr>
                <w:rFonts w:ascii="Arial" w:cs="Arial" w:eastAsia="Arial" w:hAnsi="Arial"/>
                <w:sz w:val="14"/>
                <w:szCs w:val="14"/>
                <w:b w:val="1"/>
                <w:bCs w:val="1"/>
                <w:color w:val="auto"/>
              </w:rPr>
              <w:t>Fixed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54"/>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b w:val="1"/>
                <w:bCs w:val="1"/>
                <w:color w:val="auto"/>
              </w:rPr>
              <w:t>Fixed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54"/>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w w:val="98"/>
              </w:rPr>
              <w:t>Fixed</w:t>
            </w:r>
          </w:p>
        </w:tc>
        <w:tc>
          <w:tcPr>
            <w:tcW w:w="100" w:type="dxa"/>
            <w:vAlign w:val="bottom"/>
          </w:tcPr>
          <w:p>
            <w:pPr>
              <w:spacing w:after="0"/>
              <w:rPr>
                <w:sz w:val="16"/>
                <w:szCs w:val="16"/>
                <w:color w:val="auto"/>
              </w:rPr>
            </w:pPr>
          </w:p>
        </w:tc>
        <w:tc>
          <w:tcPr>
            <w:tcW w:w="1560" w:type="dxa"/>
            <w:vAlign w:val="bottom"/>
            <w:gridSpan w:val="3"/>
          </w:tcPr>
          <w:p>
            <w:pPr>
              <w:ind w:left="300"/>
              <w:spacing w:after="0"/>
              <w:rPr>
                <w:sz w:val="20"/>
                <w:szCs w:val="20"/>
                <w:color w:val="auto"/>
              </w:rPr>
            </w:pPr>
            <w:r>
              <w:rPr>
                <w:rFonts w:ascii="Arial" w:cs="Arial" w:eastAsia="Arial" w:hAnsi="Arial"/>
                <w:sz w:val="14"/>
                <w:szCs w:val="14"/>
                <w:b w:val="1"/>
                <w:bCs w:val="1"/>
                <w:color w:val="auto"/>
              </w:rPr>
              <w:t>Variable</w:t>
            </w:r>
          </w:p>
        </w:tc>
        <w:tc>
          <w:tcPr>
            <w:tcW w:w="780" w:type="dxa"/>
            <w:vAlign w:val="bottom"/>
          </w:tcPr>
          <w:p>
            <w:pPr>
              <w:jc w:val="right"/>
              <w:ind w:right="292"/>
              <w:spacing w:after="0"/>
              <w:rPr>
                <w:sz w:val="20"/>
                <w:szCs w:val="20"/>
                <w:color w:val="auto"/>
              </w:rPr>
            </w:pPr>
            <w:r>
              <w:rPr>
                <w:rFonts w:ascii="Arial" w:cs="Arial" w:eastAsia="Arial" w:hAnsi="Arial"/>
                <w:sz w:val="14"/>
                <w:szCs w:val="14"/>
                <w:b w:val="1"/>
                <w:bCs w:val="1"/>
                <w:color w:val="auto"/>
              </w:rPr>
              <w:t>Fixed</w:t>
            </w:r>
          </w:p>
        </w:tc>
      </w:tr>
      <w:tr>
        <w:trPr>
          <w:trHeight w:val="39"/>
        </w:trPr>
        <w:tc>
          <w:tcPr>
            <w:tcW w:w="22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4"/>
        </w:trPr>
        <w:tc>
          <w:tcPr>
            <w:tcW w:w="2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9"/>
        </w:trPr>
        <w:tc>
          <w:tcPr>
            <w:tcW w:w="2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7"/>
        </w:trPr>
        <w:tc>
          <w:tcPr>
            <w:tcW w:w="2240" w:type="dxa"/>
            <w:vAlign w:val="bottom"/>
          </w:tcPr>
          <w:p>
            <w:pPr>
              <w:ind w:left="20"/>
              <w:spacing w:after="0"/>
              <w:rPr>
                <w:sz w:val="20"/>
                <w:szCs w:val="20"/>
                <w:color w:val="auto"/>
              </w:rPr>
            </w:pPr>
            <w:r>
              <w:rPr>
                <w:rFonts w:ascii="Arial" w:cs="Arial" w:eastAsia="Arial" w:hAnsi="Arial"/>
                <w:sz w:val="18"/>
                <w:szCs w:val="18"/>
                <w:color w:val="auto"/>
              </w:rPr>
              <w:t>Rates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215,756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115,103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199,723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112,202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16,033</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2,901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3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159,698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157,145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Equities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43,763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44,560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45,165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42,396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2,769</w:t>
            </w:r>
          </w:p>
        </w:tc>
        <w:tc>
          <w:tcPr>
            <w:tcW w:w="100" w:type="dxa"/>
            <w:vAlign w:val="bottom"/>
          </w:tcPr>
          <w:p>
            <w:pPr>
              <w:spacing w:after="0"/>
              <w:rPr>
                <w:sz w:val="19"/>
                <w:szCs w:val="19"/>
                <w:color w:val="auto"/>
              </w:rPr>
            </w:pPr>
          </w:p>
        </w:tc>
        <w:tc>
          <w:tcPr>
            <w:tcW w:w="1560" w:type="dxa"/>
            <w:vAlign w:val="bottom"/>
            <w:gridSpan w:val="3"/>
          </w:tcPr>
          <w:p>
            <w:pPr>
              <w:ind w:left="760"/>
              <w:spacing w:after="0"/>
              <w:rPr>
                <w:sz w:val="20"/>
                <w:szCs w:val="20"/>
                <w:color w:val="auto"/>
              </w:rPr>
            </w:pPr>
            <w:r>
              <w:rPr>
                <w:rFonts w:ascii="Arial" w:cs="Arial" w:eastAsia="Arial" w:hAnsi="Arial"/>
                <w:sz w:val="18"/>
                <w:szCs w:val="18"/>
                <w:color w:val="auto"/>
              </w:rPr>
              <w:t>N/M</w:t>
            </w:r>
          </w:p>
        </w:tc>
        <w:tc>
          <w:tcPr>
            <w:tcW w:w="78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30"/>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23"/>
        </w:trPr>
        <w:tc>
          <w:tcPr>
            <w:tcW w:w="22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441,211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198,651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416,360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192,264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24,851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6,387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1"/>
        </w:trPr>
        <w:tc>
          <w:tcPr>
            <w:tcW w:w="2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key drivers of the change in total revenue by asset class are summarized as follows: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Rates</w:t>
      </w:r>
      <w:r>
        <w:rPr>
          <w:rFonts w:ascii="Arial" w:cs="Arial" w:eastAsia="Arial" w:hAnsi="Arial"/>
          <w:sz w:val="16"/>
          <w:szCs w:val="16"/>
          <w:color w:val="auto"/>
        </w:rPr>
        <w:t>. Revenues from our rates asset class increased by $18.9 million or 6.1% to $330.9 million for the six months ended June 30, 2023 compared to</w:t>
      </w:r>
    </w:p>
    <w:p>
      <w:pPr>
        <w:spacing w:after="0" w:line="46"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$311.9 million for the six months ended June 30, 2022 primarily due to variable transaction fees and commissions earned for U.S. government bonds, rates derivatives products and European government bonds.</w:t>
      </w:r>
    </w:p>
    <w:p>
      <w:pPr>
        <w:spacing w:after="0" w:line="14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 Revenues from our credit asset class increased by $2.8 million or 1.6% to $173.1 million for the six months ended June 30, 2023 compared to $170.3 million for the six months ended June 30, 2022 primarily due to higher variable transaction fees and commissions on higher trading volumes for U.S. and European corporate bonds, partially offset by lower variable transaction fees and commissions on lower trading volumes for credit derivatives products and Chinese bonds.</w:t>
      </w:r>
    </w:p>
    <w:p>
      <w:pPr>
        <w:spacing w:after="0" w:line="146"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u w:val="single" w:color="auto"/>
          <w:color w:val="auto"/>
        </w:rPr>
        <w:t>Equities</w:t>
      </w:r>
      <w:r>
        <w:rPr>
          <w:rFonts w:ascii="Arial" w:cs="Arial" w:eastAsia="Arial" w:hAnsi="Arial"/>
          <w:sz w:val="16"/>
          <w:szCs w:val="16"/>
          <w:color w:val="auto"/>
        </w:rPr>
        <w:t>. Revenues from our equities asset class decreased by $0.8 million or 1.7% to $48.3 million for the six months ended June 30, 2023 compared to $49.2 million for the six months ended June 30, 2022 primarily due to lower variable transaction fees and commissions on lower trading volumes for European ETFs, partially offset by higher variable transaction fees and commissions on higher trading volumes for equity derivatives products.</w:t>
      </w:r>
    </w:p>
    <w:p>
      <w:pPr>
        <w:spacing w:after="0" w:line="12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u w:val="single" w:color="auto"/>
          <w:color w:val="auto"/>
        </w:rPr>
        <w:t>Money Markets</w:t>
      </w:r>
      <w:r>
        <w:rPr>
          <w:rFonts w:ascii="Arial" w:cs="Arial" w:eastAsia="Arial" w:hAnsi="Arial"/>
          <w:sz w:val="18"/>
          <w:szCs w:val="18"/>
          <w:color w:val="auto"/>
        </w:rPr>
        <w:t>. Revenues from our money markets asset class increased by $7.0 million or 29.3% to $30.6 million for the six months ended June 30, 2023 compared to $23.7 million for the six months ended June 30, 2022 primarily due to higher variable transaction fees and commissions on higher trading volumes for certificates of deposit and repurchase agreements.</w:t>
      </w:r>
    </w:p>
    <w:p>
      <w:pPr>
        <w:spacing w:after="0" w:line="14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asset class increased by $2.8 million or 6.6% to $45.2 million for the six months ended June 30, 2023 compared to $42.4 million for the six months ended June 30, 2022. The increase was derived primarily from increased proprietary third party market data revenue.</w:t>
      </w:r>
    </w:p>
    <w:p>
      <w:pPr>
        <w:spacing w:after="0" w:line="14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Revenues from our other asset class increased by $0.6 million or 5.7%, to $11.7 million for the six months ended June 30, 2023 compared to $11.1 million for the six months ended June 30, 2022. The increase was driven primarily by an increase in revenue from software development and implementation projects performed on behalf of certain clients.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generate revenue from a diverse portfolio of client sectors. Our total revenue by client sector for the six months ended June 30, 2023 and 2022, and the resulting dollar and percentage changes,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
                <w:szCs w:val="2"/>
                <w:color w:val="auto"/>
              </w:rPr>
            </w:pPr>
          </w:p>
        </w:tc>
        <w:tc>
          <w:tcPr>
            <w:tcW w:w="14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4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Institutional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382,680</w:t>
            </w:r>
          </w:p>
        </w:tc>
        <w:tc>
          <w:tcPr>
            <w:tcW w:w="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378,508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4,172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149,429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140,948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Retail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62,543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46,772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15,771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33.7 %</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 Data</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45,210</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639,862</w:t>
            </w:r>
          </w:p>
        </w:tc>
        <w:tc>
          <w:tcPr>
            <w:tcW w:w="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608,624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31,238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u w:val="single" w:color="auto"/>
          <w:color w:val="auto"/>
        </w:rPr>
        <w:t>Institutional</w:t>
      </w:r>
      <w:r>
        <w:rPr>
          <w:rFonts w:ascii="Arial" w:cs="Arial" w:eastAsia="Arial" w:hAnsi="Arial"/>
          <w:sz w:val="16"/>
          <w:szCs w:val="16"/>
          <w:color w:val="auto"/>
        </w:rPr>
        <w:t>. Revenues from our institutional client sector increased by $4.2 million or 1.1% to $382.7 million for the six months ended June 30, 2023 from $378.5 million for the six months ended June 30, 2022. The increase was derived primarily from higher revenues for rates derivatives products, U.S. and European government bonds and U.S. corporate bonds, partially offset by lower revenues for credit derivatives products and European ETFs.</w:t>
      </w:r>
    </w:p>
    <w:p>
      <w:pPr>
        <w:spacing w:after="0" w:line="10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increased by $8.5 million or 6.0% to $149.4 million for the six months ended June 30, 2023 from $140.9 million for the six months ended June 30, 2022. The increase was derived primarily from higher revenues for U.S. corporate bonds, European corporate bonds and U.S. government bonds.</w:t>
      </w:r>
    </w:p>
    <w:p>
      <w:pPr>
        <w:spacing w:after="0" w:line="143"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Revenues from our retail client sector increased by $15.8 million or 33.7% to $62.5 million for the six months ended June 30, 2023 from $46.8 million for the six months ended June 30, 2022. The increase was derived primarily from higher revenues for U.S. government bonds, certificates of deposit and U.S. corporate bonds.</w:t>
      </w:r>
    </w:p>
    <w:p>
      <w:pPr>
        <w:spacing w:after="0" w:line="15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u w:val="single" w:color="auto"/>
          <w:color w:val="auto"/>
        </w:rPr>
        <w:t>Market Data</w:t>
      </w:r>
      <w:r>
        <w:rPr>
          <w:rFonts w:ascii="Arial" w:cs="Arial" w:eastAsia="Arial" w:hAnsi="Arial"/>
          <w:sz w:val="16"/>
          <w:szCs w:val="16"/>
          <w:color w:val="auto"/>
        </w:rPr>
        <w:t>. Revenues from our market data client sector increased by $2.8 million or 6.6% to $45.2 million for the six months ended June 30, 2023 from $42.4 million for the six months ended June 30, 2022. The increase was derived primarily from increased proprietary third party market data revenue.</w:t>
      </w:r>
    </w:p>
    <w:p>
      <w:pPr>
        <w:spacing w:after="0" w:line="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revenues and client base are also diversified by geography. Our total revenue by geography (based on client location) for the six months ended June 30, 2023 and 2022, and the resulting dollar and percentage changes,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center"/>
              <w:ind w:left="420"/>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3"/>
          </w:tcPr>
          <w:p>
            <w:pPr>
              <w:jc w:val="center"/>
              <w:ind w:left="420"/>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
                <w:szCs w:val="2"/>
                <w:color w:val="auto"/>
              </w:rPr>
            </w:pPr>
          </w:p>
        </w:tc>
        <w:tc>
          <w:tcPr>
            <w:tcW w:w="14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5"/>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gridSpan w:val="4"/>
          </w:tcPr>
          <w:p>
            <w:pPr>
              <w:jc w:val="center"/>
              <w:ind w:right="215"/>
              <w:spacing w:after="0"/>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409,621</w:t>
            </w:r>
          </w:p>
        </w:tc>
        <w:tc>
          <w:tcPr>
            <w:tcW w:w="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380,443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29,178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230,241</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228,181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639,862</w:t>
            </w:r>
          </w:p>
        </w:tc>
        <w:tc>
          <w:tcPr>
            <w:tcW w:w="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608,624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31,238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u w:val="single" w:color="auto"/>
          <w:color w:val="auto"/>
        </w:rPr>
        <w:t>U.S.</w:t>
      </w:r>
      <w:r>
        <w:rPr>
          <w:rFonts w:ascii="Arial" w:cs="Arial" w:eastAsia="Arial" w:hAnsi="Arial"/>
          <w:sz w:val="16"/>
          <w:szCs w:val="16"/>
          <w:color w:val="auto"/>
        </w:rPr>
        <w:t xml:space="preserve"> Revenues from U.S. clients increased by $29.2 million or 7.7% to $409.6 million for the six months ended June 30, 2023 from $380.4 million for the six months ended June 30, 2022 primarily due to higher revenues for U.S. government bonds, U.S. corporate bonds and certificates of deposit.</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u w:val="single" w:color="auto"/>
          <w:color w:val="auto"/>
        </w:rPr>
        <w:t>International</w:t>
      </w:r>
      <w:r>
        <w:rPr>
          <w:rFonts w:ascii="Arial" w:cs="Arial" w:eastAsia="Arial" w:hAnsi="Arial"/>
          <w:sz w:val="18"/>
          <w:szCs w:val="18"/>
          <w:color w:val="auto"/>
        </w:rPr>
        <w:t>. Revenues from International clients increased by $2.1 million or 0.9% to $230.2 million for the six months ended June 30, 2023 from $228.2 million for the six months ended June 30, 2022 primarily due to higher revenues for European government bonds, rates derivatives products, market data, European corporate bonds and equity derivative products, partially offset by lower revenues for credit derivatives products, European ETFs and Chinese bonds.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expenses for the six months ended June 30, 2023 and 2022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center"/>
              <w:ind w:left="417"/>
              <w:spacing w:after="0"/>
              <w:rPr>
                <w:sz w:val="20"/>
                <w:szCs w:val="20"/>
                <w:color w:val="auto"/>
              </w:rPr>
            </w:pPr>
            <w:r>
              <w:rPr>
                <w:rFonts w:ascii="Arial" w:cs="Arial" w:eastAsia="Arial" w:hAnsi="Arial"/>
                <w:sz w:val="14"/>
                <w:szCs w:val="14"/>
                <w:b w:val="1"/>
                <w:bCs w:val="1"/>
                <w:color w:val="auto"/>
                <w:w w:val="92"/>
              </w:rPr>
              <w:t>Six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8"/>
        </w:trPr>
        <w:tc>
          <w:tcPr>
            <w:tcW w:w="5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4"/>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41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27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60" w:type="dxa"/>
            <w:vAlign w:val="bottom"/>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6"/>
        </w:trPr>
        <w:tc>
          <w:tcPr>
            <w:tcW w:w="5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4"/>
        </w:trPr>
        <w:tc>
          <w:tcPr>
            <w:tcW w:w="5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2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w w:val="90"/>
              </w:rPr>
              <w:t>(dollars in thousands)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9"/>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218,417</w:t>
            </w: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227,881</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91,291</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89,220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2.3 %</w:t>
            </w:r>
          </w:p>
        </w:tc>
      </w:tr>
      <w:tr>
        <w:trPr>
          <w:trHeight w:val="23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communications</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36,268</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14.0 %</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24,992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7,078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39.5 %</w:t>
            </w: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21,842</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32.9 %</w:t>
            </w:r>
          </w:p>
        </w:tc>
      </w:tr>
      <w:tr>
        <w:trPr>
          <w:trHeight w:val="22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8,151</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13.9 %</w:t>
            </w: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400,961</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u w:val="single" w:color="auto"/>
          <w:color w:val="auto"/>
        </w:rPr>
        <w:t>Employee Compensation and Benefits</w:t>
      </w:r>
      <w:r>
        <w:rPr>
          <w:rFonts w:ascii="Arial" w:cs="Arial" w:eastAsia="Arial" w:hAnsi="Arial"/>
          <w:sz w:val="17"/>
          <w:szCs w:val="17"/>
          <w:color w:val="auto"/>
        </w:rPr>
        <w:t>. Expenses related to employee compensation and benefits decreased by $9.5 million or 4.2% to $218.4 million for the six months ended June 30, 2023 from $227.9 million for the six months ended June 30, 2022. The decrease was primarily due to a decrease in incentive compensation expense and related payroll taxes including a $7.4 million decrease in non-cash accelerated stock-based compensation expense and related payroll taxes relating to the CEO Retirement Accelerated Stock-Based Compensation Expense. See “— Trends and Other Factors Impacting Our Performance — CEO and Chairperson Transition” for further details. The decreases in incentive compensation and related payroll taxes more than offset the increase in headcount and related salaries during the period.</w:t>
      </w:r>
    </w:p>
    <w:p>
      <w:pPr>
        <w:spacing w:after="0" w:line="15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Expenses related to depreciation and amortization remained relatively flat with an increase of $2.1 million or 2.3% to $91.3 million for the six months ended June 30, 2023 from $89.2 million for the six months ended June 30, 2022.</w:t>
      </w:r>
    </w:p>
    <w:p>
      <w:pPr>
        <w:spacing w:after="0" w:line="13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u w:val="single" w:color="auto"/>
          <w:color w:val="auto"/>
        </w:rPr>
        <w:t>Technology and Communications</w:t>
      </w:r>
      <w:r>
        <w:rPr>
          <w:rFonts w:ascii="Arial" w:cs="Arial" w:eastAsia="Arial" w:hAnsi="Arial"/>
          <w:sz w:val="17"/>
          <w:szCs w:val="17"/>
          <w:color w:val="auto"/>
        </w:rPr>
        <w:t>. Expenses related to technology and communications increased by $4.5 million or 14.0% to $36.3 million for the six months ended June 30, 2023 from $31.8 million for the six months ended June 30, 2022. The increase was primarily due to increased data and clearance fees driven primarily by higher period-over-period trading volumes and increased investment in our data strategy and infrastructure.</w:t>
      </w:r>
    </w:p>
    <w:p>
      <w:pPr>
        <w:spacing w:after="0" w:line="1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u w:val="single" w:color="auto"/>
          <w:color w:val="auto"/>
        </w:rPr>
        <w:t>General and Administrative</w:t>
      </w:r>
      <w:r>
        <w:rPr>
          <w:rFonts w:ascii="Arial" w:cs="Arial" w:eastAsia="Arial" w:hAnsi="Arial"/>
          <w:sz w:val="17"/>
          <w:szCs w:val="17"/>
          <w:color w:val="auto"/>
        </w:rPr>
        <w:t>. Expenses related to general and administrative costs increased by $7.1 million or 39.5% to $25.0 million for the six months ended June 30, 2023 from $17.9 million for the six months ended June 30, 2022. The increase was primarily due to a $5.2 million increase in foreign exchange losses during the six months ended June 30, 2023. Realized and unrealized foreign currency losses totaled $0.7 million during the six months ended June 30, 2023 as compared to $4.5 million in gains during the six months ended June 30, 2022. The change was primarily driven by changes in fair value of our foreign currency forward contracts used in connection with our foreign currency risk management program. In addition, travel and entertainment expense also increased, as the COVID-19 pandemic contributed to lower than average expenses during 2022.</w:t>
      </w:r>
    </w:p>
    <w:p>
      <w:pPr>
        <w:spacing w:after="0" w:line="151"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u w:val="single" w:color="auto"/>
          <w:color w:val="auto"/>
        </w:rPr>
        <w:t>Professional Fees</w:t>
      </w:r>
      <w:r>
        <w:rPr>
          <w:rFonts w:ascii="Arial" w:cs="Arial" w:eastAsia="Arial" w:hAnsi="Arial"/>
          <w:sz w:val="17"/>
          <w:szCs w:val="17"/>
          <w:color w:val="auto"/>
        </w:rPr>
        <w:t>. Expenses related to professional fees increased by $5.4 million or 32.9% to $21.8 million for the six months ended June 30, 2023 from $16.4 million for the six months ended June 30, 2022. The increase was primarily due to increased legal and other costs related to the expected acquisition of Yieldbroker (see “— Trends and Other Factors Impacting Our Performance — Yieldbroker” for further details), increased legal costs in connection with regulatory and compliance matters, including periodic information requests and higher consulting expenses.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Expenses related to occupancy costs increased by $1.0 million or 13.9% to $8.2 million for the six months ended June 30, 2023 as compared to $7.2 million for the six months ended June 30, 2022. The increase was primarily due to higher data center rent expense primarily driven by the completion of the NFI Acquisition technology integration during the three months ended March 31, 2023 and the relocation of data centers to locations providing enhanced infrastructure and improved performance.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(Expense)</w:t>
      </w:r>
    </w:p>
    <w:p>
      <w:pPr>
        <w:spacing w:after="0" w:line="198"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Net interest income increased by $27.5 million to net interest income of $27.6 million for the six months ended June 30, 2023 from net interest income of $0.1 million for the six months ended June 30, 2022 primarily due to an increase in interest income earned relating to an increase in our average invested cash balance and an increase in interest rates period over period.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(Loss), Net</w:t>
      </w:r>
    </w:p>
    <w:p>
      <w:pPr>
        <w:spacing w:after="0" w:line="19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the six months ended June 30, 2023, we recognized a net other loss of $0.1 million, including a $0.7 million loss due to a net reduction in the tax indemnification receivables from Refinitiv relating to the settlement of the tax matter for less than the previously estimated amount. See Note 6 – Income Taxes to our unaudited condensed consolidated financial statements included elsewhere in this Quarterly Report on Form 10-Q for further details. This loss was partially offset by a $0.6 million gain recognized during three months ended June 30, 2023 from the increase in fair value of the foreign currency call option on Australian dollars entered into, in order to partially mitigate the Company’s U.S. dollar versus Australian dollar foreign exchange exposure on the anticipated payment of the Australian dollar denominated purchase price for the expected Yieldbroker acquisition.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Income tax expense increased by $23.0 million to $62.3 million for the six months ended June 30, 2023 from $39.3 million for the six months ended June 30, 2022. The provision for income taxes includes U.S. federal, state, local, and foreign taxes. The effective tax rate for the six months ended June 30, 2023 was approximately 23.4%, compared with 18.0% for the six months ended June 30, 2022. The effective tax rate for the six months ended June 30, 2023 differed from the U.S. federal statutory rate of 21.0% primarily due to the disallowance of compensation expense tax deductions and state, local and foreign taxes, partially offset by the effect of non-controlling interests. The effective tax rate for the six months ended June 30, 2022 differed from the U.S. federal statutory rate of 21.0% primarily due to the tax impact of the issuance of common stock from equity incentive plans, return-to-provision adjustments and the effect of non-controlling interests, partially offset by state, local and foreign taxes.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While inflation may impact our revenues and operating expenses, we believe the effects of inflation, if any, on our results of operations and financial condition have not been significant during the three and six months ended June 30, 2023 and 2022. However, there can be no assurance that our results of operations and financial condition will not be materially impacted by inflation in the future. See “— Trends and Other Factors Impacting Our Performance — Economic Environment” above.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on hand, cash flows from operations and availability under the Revolving Credit Facility and their sufficiency to fund our operating and investing activities.</w:t>
      </w:r>
    </w:p>
    <w:p>
      <w:pPr>
        <w:spacing w:after="0" w:line="1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Historically, we have generated significant cash flows from operations and have funded our business operations through cash on hand and cash flows from operations.</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primary cash needs are for day to day operations, working capital requirements, clearing margin requirements, capital expenditures primarily for software and equipment, our expected dividend payments and our share repurchase program. In addition, we are obligated to make payments under the Tax Receivable Agreement and have entered into a definitive agreement to acquire Yieldbroker, subject to the satisfaction of customary closing conditions and regulatory reviews.</w:t>
      </w:r>
    </w:p>
    <w:p>
      <w:pPr>
        <w:spacing w:after="0" w:line="14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expect to fund our short and long-term liquidity requirements through cash and cash equivalents and cash flows from operations. While historically we have generated significant and adequate cash flows from operations, in the case of an unexpected event in the future or otherwise, we may fund our liquidity requirements through borrowings under the Revolving Credit Facility.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believe that our projected cash position, cash flows from operations and, if necessary, borrowings under the Revolving Credit Facility, will be sufficient to fund our liquidity requirements for at least the next 12 months. The Revolving Credit Facility matures in April 2024. We are currently in discussions to renew the Revolving Credit Facility. If we are not able to renew the Revolving Credit Facility, we believe we have sufficient cash to fund our liquidity requirements for at least the next 12 months without reliance on a credit facility, however, our future liquidity requirements could be higher than we currently expect as a result of various factors. For example, any future investments, acquisitions, joint ventures or other similar transactions, which we consider from time to time, may reduce our cash balance or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58"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As of June 30, 2023 and December 31, 2022, we had cash and cash equivalents of approximately $1.4 billion and $1.3 billion, respectively. All cash and cash equivalents were held in accounts with financial institutions or money market funds such that the funds are immediately available or in fixed term deposits with a maximum maturity of three months. See Item 3. “Quantitative And Qualitative Disclosures About Market Risks — Credit Risk.”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Influencing Our 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9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Subject to legally available funds, we intend to pay quarterly cash dividends on our Class A common stock and Class B common stock equal to $0.09 per share. As discussed below, our ability to pay these quarterly cash dividends on our Class A common stock and Class B common stock will depend on distributions to us from TWM LLC.</w:t>
      </w:r>
    </w:p>
    <w:p>
      <w:pPr>
        <w:spacing w:after="0" w:line="14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Dividends</w:t>
      </w:r>
    </w:p>
    <w:p>
      <w:pPr>
        <w:spacing w:after="0" w:line="185" w:lineRule="exact"/>
        <w:rPr>
          <w:sz w:val="20"/>
          <w:szCs w:val="20"/>
          <w:color w:val="auto"/>
        </w:rPr>
      </w:pPr>
    </w:p>
    <w:p>
      <w:pPr>
        <w:jc w:val="both"/>
        <w:ind w:right="500"/>
        <w:spacing w:after="0" w:line="342" w:lineRule="auto"/>
        <w:rPr>
          <w:sz w:val="20"/>
          <w:szCs w:val="20"/>
          <w:color w:val="auto"/>
        </w:rPr>
      </w:pPr>
      <w:r>
        <w:rPr>
          <w:rFonts w:ascii="Arial" w:cs="Arial" w:eastAsia="Arial" w:hAnsi="Arial"/>
          <w:sz w:val="16"/>
          <w:szCs w:val="16"/>
          <w:color w:val="auto"/>
        </w:rPr>
        <w:t>On July 27, 2023, the board of directors of Tradeweb Markets Inc. declared a cash dividend of $0.09 per share of Class A common stock and Class B common stock for the third quarter of 2023. This dividend will be payable on September 15, 2023 to stockholders of record as of September 1, 2023.</w:t>
      </w:r>
    </w:p>
    <w:p>
      <w:pPr>
        <w:spacing w:after="0" w:line="8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March and June 2023, Tradeweb Markets Inc. paid quarterly cash dividends to holders of Class A common stock and Class B common stock in an aggregate amount totaling $37.8 million during the six months ended June 30, 2023.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Distributions</w:t>
      </w:r>
    </w:p>
    <w:p>
      <w:pPr>
        <w:spacing w:after="0" w:line="185"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On July 27, 2023, Tradeweb Markets Inc., as the sole manager, approved a distribution by TWM LLC to its equityholders, including Tradeweb Markets Inc., in an aggregate amount of $20.0 million, as adjusted by required state and local tax withholdings that will be determined prior to the record date of September 1, 2023, payable on September 13, 2023.</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In March and June 2023, TWM LLC made quarterly cash distributions to its equityholders in an aggregate amount of $49.6 million during the six months ended June 30, 2023, including distributions to Tradeweb Markets Inc. of $44.0 million and distributions to non-controlling interests of $5.6 million. The proceeds of the cash distributions were used by Tradeweb Markets Inc. to fund dividend payments, taxes and expenses.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Repurchase Program</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December 5, 2022, we announced that our board of directors authorized a new share repurchase program (the “2022 Share Repurchase Program”), after completing in October 2022, the $150.0 million of total repurchases of the Company’s Class A common stock previously authorized in February 2021 (the “2021 Share Repurchase Program”). The 2022 Share Repurchase Program was authorized to continue to offset annual dilution from stock-based compensation plans, as well as to opportunistically repurchase our Class A common stock. The 2022 Share Repurchase Program authorizes the purchase of up to $300.0 million of our Class A common stock at the Company’s discretion and has no termination date. The 2022 Share Repurchase Program can be effected through regular open-market purchases (which may include repurchase plans designed to comply with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our Class A common stock and other factors. The 2022 Share Repurchase Program does not require the Company to acquire a specific number of shares and may be suspended, amended or discontinued at any time. During the six months ended June 30, 2023, the Company acquired a total of 420,676 shares of Class A common stock, at an average price of $72.05, for purchases totaling $30.3 million pursuant to the 2022 Share Repurchase Program. As of June 30, 2023, a total of $244.7 million remained available for repurchase pursuant to the 2022 Share Repurchase Program.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Share Repurchases</w:t>
      </w:r>
    </w:p>
    <w:p>
      <w:pPr>
        <w:spacing w:after="0" w:line="198" w:lineRule="exact"/>
        <w:rPr>
          <w:sz w:val="20"/>
          <w:szCs w:val="20"/>
          <w:color w:val="auto"/>
        </w:rPr>
      </w:pPr>
    </w:p>
    <w:p>
      <w:pPr>
        <w:jc w:val="both"/>
        <w:ind w:right="400"/>
        <w:spacing w:after="0" w:line="311" w:lineRule="auto"/>
        <w:rPr>
          <w:sz w:val="20"/>
          <w:szCs w:val="20"/>
          <w:color w:val="auto"/>
        </w:rPr>
      </w:pPr>
      <w:r>
        <w:rPr>
          <w:rFonts w:ascii="Arial" w:cs="Arial" w:eastAsia="Arial" w:hAnsi="Arial"/>
          <w:sz w:val="16"/>
          <w:szCs w:val="16"/>
          <w:color w:val="auto"/>
        </w:rPr>
        <w:t>In addition to the share repurchase programs discussed above, we may also withhold shares to cover the payroll tax withholding obligations upon the exercise of stock options and vesting of performance-based restricted stock units that vest based on the Company’s financial performance (“PRSUs”), restricted stock units (“RSUs”) and performance-based restricted stock units that vest based on market conditions (“PSUs”).</w:t>
      </w:r>
    </w:p>
    <w:p>
      <w:pPr>
        <w:spacing w:after="0" w:line="1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six months ended June 30, 2023, the Company withheld 601,083 shares of common stock from employee stock option, PRSU and RSU awards, at an average price per share of $69.42 and an aggregate value of $41.7 million, based on the price of the Class A common stock on the date the relevant withholding occurred.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9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are obligated to make payments under the Tax Receivable Agreement. See Note 7 – Tax Receivable Agreement to our condensed consolidated financial statements included elsewhere in this Quarterly Report on Form 10-Q for additional details regarding the requirements for these payments. Although the actual timing and amount of any payments that may be made under the Tax Receivable Agreement will vary, we expect the payments required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The first payment of the Tax Receivable Agreement was made in January 2021. As of June 30, 2023, total amounts due to the Continuing LLC Owners under the Tax Receivable Agreement were $448.0 million, substantially all due to be paid over 15 years following the purchase of LLC Interests from Continuing LLC Owners or redemption or exchanges by Continuing LLC Owners of LLC Interests. As of June 30, 2023, we expect to make tax receivable agreement liability payments of approximately $25.7 million within the next 12 months and approximately $422.3 million thereafter. In addition to these amounts above, our tax receivable agreement liability and future payments thereunder are expected to increase as we realize (or are deemed to realize) an increase in tax basis of TWM LLC’s assets resulting from any future purchases, redemptions or exchanges of LLC Interests from Continuing LLC Owners. We currently expect to fund these future tax receivable agreement liability payments from some of the realized cash tax savings as a result of this increase in tax basis.</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and December 31, 2022, we had no outstanding indebtedness.</w:t>
      </w:r>
    </w:p>
    <w:p>
      <w:pPr>
        <w:spacing w:after="0" w:line="18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On April 8, 2019, TWM LLC entered into the Revolving Credit Facility with a syndicate of banks. The Revolving Credit Facility was subsequently amended on November 7, 2019 and March 31, 2023. The Revolving Credit Facility provides borrowing capacity to be used to fund our ongoing working capital needs, letters of credit and for general corporate purposes, including potential future acquisitions and expansions.</w:t>
      </w:r>
    </w:p>
    <w:p>
      <w:pPr>
        <w:spacing w:after="0" w:line="1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Revolving Credit Facility permits borrowings of up to $500.0 million by TWM LLC. Subject to the satisfaction of certain conditions, we will be able to increase the Revolving Credit Facility by $250.0 million with the consent of lenders participating in the increase. The Revolving Credit Facility provides for the issuance of up to $5.0 million of letters of credit as well as borrowings on same-day notice, referred to as swingline loans, in an amount of up to $30.0 million. The Revolving Credit Facility will mature on April 8, 2024.</w:t>
      </w:r>
    </w:p>
    <w:p>
      <w:pPr>
        <w:spacing w:after="0" w:line="16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June 30, 2023, there were $0.5 million in letters of credit issued under the Revolving Credit Facility and no borrowings outstanding. As of June 30, 2023, we had availability of $499.5 million.</w:t>
      </w:r>
    </w:p>
    <w:p>
      <w:pPr>
        <w:spacing w:after="0" w:line="13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Under the terms of the credit agreement that governs the Revolving Credit Facility, borrowings under the Revolving Credit Facility bear interest at a rate equal to, at our option, either (a) a base rate equal to the greatest of (i) the administrative agent’s prime rate, (ii) the federal funds effective rate plus ½ of</w:t>
      </w:r>
    </w:p>
    <w:p>
      <w:pPr>
        <w:ind w:right="220"/>
        <w:spacing w:after="0" w:line="281" w:lineRule="auto"/>
        <w:rPr>
          <w:sz w:val="20"/>
          <w:szCs w:val="20"/>
          <w:color w:val="auto"/>
        </w:rPr>
      </w:pPr>
      <w:r>
        <w:rPr>
          <w:rFonts w:ascii="Arial" w:cs="Arial" w:eastAsia="Arial" w:hAnsi="Arial"/>
          <w:sz w:val="16"/>
          <w:szCs w:val="16"/>
          <w:color w:val="auto"/>
        </w:rPr>
        <w:t>1.00% and (iii) one month Term SOFR plus 1.00% plus a credit adjustment spread of 0.10%, in each case plus 0.75%, (b) Term SOFR plus 1.75% plus a credit adjustment spread of 0.10%, subject to a 0.00% floor, (c) SONIA plus 1.75%, subject to a 0.00% floor or (d) EURIBOR plus 1.75%, subject to a</w:t>
      </w:r>
    </w:p>
    <w:p>
      <w:pPr>
        <w:spacing w:after="0" w:line="1"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0.00% floor. The credit agreement also requires that we pay a commitment fee of 0.25% for available but unborrowed amounts. We are also required to pay customary letter of credit fees and agency fees.</w:t>
      </w:r>
    </w:p>
    <w:p>
      <w:pPr>
        <w:spacing w:after="0" w:line="14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the option to voluntarily repay outstanding loans at any time without premium or penalty other than customary “breakage” costs with respect to Term SOFR, SONIA and EURIBOR loans.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There will be no scheduled amortization under the Revolving Credit Facility. The principal amount outstanding will be due and payable in full at maturity.</w:t>
      </w:r>
    </w:p>
    <w:p>
      <w:pPr>
        <w:spacing w:after="0" w:line="20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Obligations under the Revolving Credit Facility are guaranteed by our existing and future direct and indirect material wholly-owned domestic subsidiaries, subject to certain exceptions. The Revolving Credit Facility is secured by a first-priority security interest in substantially all of the assets of TWM LLC and the guarantors under the facility, subject to certain exceptions.</w:t>
      </w:r>
    </w:p>
    <w:p>
      <w:pPr>
        <w:spacing w:after="0" w:line="143"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credit agreement that governs the Revolving Credit Facility contains a number of covenants that, among other things and subject to certain exceptions, restrict the ability of TWM LLC and the ability of its restricted subsidiaries to:</w:t>
      </w:r>
    </w:p>
    <w:p>
      <w:pPr>
        <w:spacing w:after="0" w:line="14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investments, loans and advances;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8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Revolving Credit Facility contains a financial covenant requiring compliance with a (i) maximum total net leverage ratio tested on the last day of each fiscal quarter not to exceed 3.5 to 1.0 (increasing to 4.0 to 1.0 for the four-quarter period following a material acquisition and the fiscal quarter in which such material acquisition is consummated) and (ii) minimum cash interest coverage ratio tested on the last day of each fiscal quarter not less than 3.0 to 1.0.</w:t>
      </w:r>
    </w:p>
    <w:p>
      <w:pPr>
        <w:spacing w:after="0" w:line="12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credit agreement that governs the Revolving Credit Facility also contains certain affirmative covenants and events of default customary for facilities of this type, including relating to a change of control. If an event of default occurs, the lenders under the Revolving Credit Facility will be entitled to take various actions, including the acceleration of amounts due under the Revolving Credit Facility and all actions permitted to be taken by secured creditors under applicable law.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we were in compliance with all the covenants set forth in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Obligations</w:t>
      </w:r>
    </w:p>
    <w:p>
      <w:pPr>
        <w:spacing w:after="0" w:line="19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have operating leases for corporate offices and data centers with initial lease terms ranging from one to 10 years. Our operating lease obligations are primarily related to rental payments under lease agreements for office space in the United States and the United Kingdom through June 2028. As of June 30, 2023, our operating lease liabilities totaled $23.3 million, with payments pursuant to these obligations due within the next 12 months and thereafter totaling $11.4 million and $13.0 million,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185"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Our business also requires continued investment in our technology for product innovation, proprietary technology architecture, operational reliability and cybersecurity. We expect total cash paid for non-acquisition related capital expenditures and software development costs for fiscal 2023 to be between $56 million and $62 million, compared to expenditures of $60.1 million in fiscal 2022, with the midpoint of our 2023 capital expenditure guidance at slightly lower than fiscal year 2022 due to the acceleration of certain infrastructure enhancements during 2022. Cash paid for capital expenditures and software development costs during the six months ended June 30, 2023 totaled $31.7 million.</w:t>
      </w:r>
    </w:p>
    <w:p>
      <w:pPr>
        <w:spacing w:after="0" w:line="1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we have also entered into a definitive agreement to acquire Yieldbroker for A$125 million in cash ($82.7 million U.S. dollars as translated as of June 30, 2023), subject to working capital adjustments. The acquisition is expected to close later this year, subject to the satisfaction of customary closing conditions and regulatory reviews.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Cash and Liquidity Requirements</w:t>
      </w:r>
    </w:p>
    <w:p>
      <w:pPr>
        <w:spacing w:after="0" w:line="18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Certain of our U.S. subsidiaries are registered as broker-dealers, SEFs or introducing brokers and are subject to the applicable rules and regulations of the SEC and CFTC. These rules contain minimum net capital or other financial resource requirements, as defined in the applicable regulations. These</w:t>
      </w:r>
    </w:p>
    <w:p>
      <w:pPr>
        <w:spacing w:after="0" w:line="267" w:lineRule="auto"/>
        <w:rPr>
          <w:sz w:val="20"/>
          <w:szCs w:val="20"/>
          <w:color w:val="auto"/>
        </w:rPr>
      </w:pPr>
      <w:r>
        <w:rPr>
          <w:rFonts w:ascii="Arial" w:cs="Arial" w:eastAsia="Arial" w:hAnsi="Arial"/>
          <w:sz w:val="17"/>
          <w:szCs w:val="17"/>
          <w:color w:val="auto"/>
        </w:rPr>
        <w:t>rules may also require a significant part of the registrants’ assets be kept in relatively liquid form. Certain of our foreign subsidiaries are regulated by the Financial Conduct Authority in the UK, the Nederlandsche Bank in the Netherlands, the Japanese Financial Services Agency, the Japanese Securities Dealers Association and other foreign regulators, and must maintain financial resources, as defined in the applicable regulations, in excess of the applicable financial resources requirement. As of June 30, 2023 and December 31, 2022, each of our regulated subsidiaries had maintained sufficient net capital or financial resources to at least satisfy their minimum requirements, which in aggregate were $70.1 million and $69.1 million, respectively. We maintain capital balances in these subsidiaries in excess of our minimum requirements in order to satisfy working capital needs and to ensure that we have enough cash on hand to satisfy margin requirements and credit risk, including the excess capital expectations of our clients. The Fixed Income Clearing Corporation (“FICC”) and some of our clearing brokers require us to post collateral on unsettled positions, included within deposits with clearing organizations in our condensed consolidated statements of financial condition. Collateral amounts are marked to market on a daily basis, requiring us to pay or receive margin amounts as part of the daily funds settlement. Margin call requirements can vary significantly across periods based on daily market changes and may represent a significant and unpredictable use of our liquidity.</w:t>
      </w:r>
    </w:p>
    <w:p>
      <w:pPr>
        <w:spacing w:after="0" w:line="15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 However, from time to time, we enter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FICC. The FICC operates a continuous net settlement system, whereby as trades are submitted and compared, the FICC becomes the counterparty.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8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and due from affiliates. Current liabilities consist of payable to brokers and dealers and clearing organizations, accrued compensation, deferred revenue, payable and due to affiliates, accounts payable, accrued expenses and other liabilities, lease liabilities and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Our working capital as of June 30, 2023 and December 31, 2022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33"/>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December 31,</w:t>
            </w:r>
          </w:p>
        </w:tc>
      </w:tr>
      <w:tr>
        <w:trPr>
          <w:trHeight w:val="189"/>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452"/>
              <w:spacing w:after="0"/>
              <w:rPr>
                <w:sz w:val="20"/>
                <w:szCs w:val="20"/>
                <w:color w:val="auto"/>
              </w:rPr>
            </w:pPr>
            <w:r>
              <w:rPr>
                <w:rFonts w:ascii="Arial" w:cs="Arial" w:eastAsia="Arial" w:hAnsi="Arial"/>
                <w:sz w:val="14"/>
                <w:szCs w:val="14"/>
                <w:b w:val="1"/>
                <w:bCs w:val="1"/>
                <w:color w:val="auto"/>
              </w:rPr>
              <w:t>2022</w:t>
            </w:r>
          </w:p>
        </w:tc>
      </w:tr>
      <w:tr>
        <w:trPr>
          <w:trHeight w:val="26"/>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24"/>
        </w:trPr>
        <w:tc>
          <w:tcPr>
            <w:tcW w:w="8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4"/>
          </w:tcPr>
          <w:p>
            <w:pPr>
              <w:jc w:val="right"/>
              <w:ind w:right="872"/>
              <w:spacing w:after="0"/>
              <w:rPr>
                <w:sz w:val="20"/>
                <w:szCs w:val="20"/>
                <w:color w:val="auto"/>
              </w:rPr>
            </w:pPr>
            <w:r>
              <w:rPr>
                <w:rFonts w:ascii="Arial" w:cs="Arial" w:eastAsia="Arial" w:hAnsi="Arial"/>
                <w:sz w:val="14"/>
                <w:szCs w:val="14"/>
                <w:b w:val="1"/>
                <w:bCs w:val="1"/>
                <w:color w:val="auto"/>
              </w:rPr>
              <w:t>(in thousands)</w:t>
            </w:r>
          </w:p>
        </w:tc>
      </w:tr>
      <w:tr>
        <w:trPr>
          <w:trHeight w:val="39"/>
        </w:trPr>
        <w:tc>
          <w:tcPr>
            <w:tcW w:w="8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4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1,395,901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1,257,229</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 from brokers and dealers and clearing organizations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11,632</w:t>
            </w:r>
          </w:p>
        </w:tc>
      </w:tr>
      <w:tr>
        <w:trPr>
          <w:trHeight w:val="237"/>
        </w:trPr>
        <w:tc>
          <w:tcPr>
            <w:tcW w:w="8440" w:type="dxa"/>
            <w:vAlign w:val="bottom"/>
          </w:tcPr>
          <w:p>
            <w:pPr>
              <w:ind w:left="20"/>
              <w:spacing w:after="0"/>
              <w:rPr>
                <w:sz w:val="20"/>
                <w:szCs w:val="20"/>
                <w:color w:val="auto"/>
              </w:rPr>
            </w:pPr>
            <w:r>
              <w:rPr>
                <w:rFonts w:ascii="Arial" w:cs="Arial" w:eastAsia="Arial" w:hAnsi="Arial"/>
                <w:sz w:val="18"/>
                <w:szCs w:val="18"/>
                <w:color w:val="auto"/>
              </w:rPr>
              <w:t>Deposits with clearing organizations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23,942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23,906</w:t>
            </w:r>
          </w:p>
        </w:tc>
      </w:tr>
      <w:tr>
        <w:trPr>
          <w:trHeight w:val="23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163,219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142,676</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Receivable and due from affiliates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4,441</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w:t>
            </w: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1,717,018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1,439,171</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Payable to brokers and dealers and clearing organizations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128,009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11,264</w:t>
            </w:r>
          </w:p>
        </w:tc>
      </w:tr>
      <w:tr>
        <w:trPr>
          <w:trHeight w:val="23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84,878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150,884</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22,827</w:t>
            </w:r>
          </w:p>
        </w:tc>
      </w:tr>
      <w:tr>
        <w:trPr>
          <w:trHeight w:val="24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and due to affiliates</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Current portion of:</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accrued expenses and other 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46,099</w:t>
            </w:r>
          </w:p>
        </w:tc>
      </w:tr>
      <w:tr>
        <w:trPr>
          <w:trHeight w:val="237"/>
        </w:trPr>
        <w:tc>
          <w:tcPr>
            <w:tcW w:w="844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10,889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11,265</w:t>
            </w:r>
          </w:p>
        </w:tc>
      </w:tr>
      <w:tr>
        <w:trPr>
          <w:trHeight w:val="236"/>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receivable agreement liability</w:t>
            </w: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25,717</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5,791</w:t>
            </w:r>
          </w:p>
        </w:tc>
      </w:tr>
      <w:tr>
        <w:trPr>
          <w:trHeight w:val="25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318,955</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255,362</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working capital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1,398,063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1,183,809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Assets</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Current assets increased to $1.7 billion as of June 30, 2023 from $1.4 billion as of December 31, 2022 primarily due to an increase in cash and cash equivalents (see “—</w:t>
      </w:r>
      <w:r>
        <w:rPr>
          <w:rFonts w:ascii="Arial" w:cs="Arial" w:eastAsia="Arial" w:hAnsi="Arial"/>
          <w:sz w:val="18"/>
          <w:szCs w:val="18"/>
          <w:i w:val="1"/>
          <w:iCs w:val="1"/>
          <w:color w:val="auto"/>
        </w:rPr>
        <w:t>Cash Flows</w:t>
      </w:r>
      <w:r>
        <w:rPr>
          <w:rFonts w:ascii="Arial" w:cs="Arial" w:eastAsia="Arial" w:hAnsi="Arial"/>
          <w:sz w:val="18"/>
          <w:szCs w:val="18"/>
          <w:color w:val="auto"/>
        </w:rPr>
        <w:t>” below) and receivable from brokers and dealers and clearing organizations resulting from a higher value of fails to deliver as a result of increased unsettled wholesale platform transactions, almost all of which settled in July 2023.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Liabilities</w:t>
      </w:r>
    </w:p>
    <w:p>
      <w:pPr>
        <w:spacing w:after="0" w:line="1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Current liabilities increased to $319.0 million as of June 30, 2023 from $255.4 million as of December 31, 2022 primarily due to an increase in payable to brokers and dealers and clearing organizations resulting from a higher value of fails to deliver as a result of increased unsettled wholesale platform transactions, almost all of which settled in July 2023, partially offset by a decrease in accrued compensation as a result of annual bonus payments which occurred during the six months ended June 30, 2023.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Other Cash and Liquidity Requirements</w:t>
      </w:r>
      <w:r>
        <w:rPr>
          <w:rFonts w:ascii="Arial" w:cs="Arial" w:eastAsia="Arial" w:hAnsi="Arial"/>
          <w:sz w:val="18"/>
          <w:szCs w:val="18"/>
          <w:color w:val="auto"/>
        </w:rPr>
        <w:t>” above for a discussion on how capital requirements can impact our working capital.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for the six months ended June 30, 2023 and 2022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center"/>
              <w:ind w:left="438"/>
              <w:spacing w:after="0"/>
              <w:rPr>
                <w:sz w:val="20"/>
                <w:szCs w:val="20"/>
                <w:color w:val="auto"/>
              </w:rPr>
            </w:pPr>
            <w:r>
              <w:rPr>
                <w:rFonts w:ascii="Arial" w:cs="Arial" w:eastAsia="Arial" w:hAnsi="Arial"/>
                <w:sz w:val="14"/>
                <w:szCs w:val="14"/>
                <w:b w:val="1"/>
                <w:bCs w:val="1"/>
                <w:color w:val="auto"/>
                <w:w w:val="93"/>
              </w:rPr>
              <w:t>Six Months Ended</w:t>
            </w:r>
          </w:p>
        </w:tc>
        <w:tc>
          <w:tcPr>
            <w:tcW w:w="820" w:type="dxa"/>
            <w:vAlign w:val="bottom"/>
          </w:tcPr>
          <w:p>
            <w:pPr>
              <w:spacing w:after="0"/>
              <w:rPr>
                <w:sz w:val="16"/>
                <w:szCs w:val="16"/>
                <w:color w:val="auto"/>
              </w:rPr>
            </w:pPr>
          </w:p>
        </w:tc>
      </w:tr>
      <w:tr>
        <w:trPr>
          <w:trHeight w:val="189"/>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Pr>
          <w:p>
            <w:pPr>
              <w:spacing w:after="0"/>
              <w:rPr>
                <w:sz w:val="16"/>
                <w:szCs w:val="16"/>
                <w:color w:val="auto"/>
              </w:rPr>
            </w:pPr>
          </w:p>
        </w:tc>
      </w:tr>
      <w:tr>
        <w:trPr>
          <w:trHeight w:val="25"/>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3"/>
              </w:rPr>
              <w:t>2022</w:t>
            </w:r>
          </w:p>
        </w:tc>
      </w:tr>
      <w:tr>
        <w:trPr>
          <w:trHeight w:val="231"/>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91"/>
              </w:rPr>
              <w:t>(in thousands)</w:t>
            </w:r>
          </w:p>
        </w:tc>
        <w:tc>
          <w:tcPr>
            <w:tcW w:w="820" w:type="dxa"/>
            <w:vAlign w:val="bottom"/>
          </w:tcPr>
          <w:p>
            <w:pPr>
              <w:spacing w:after="0"/>
              <w:rPr>
                <w:sz w:val="20"/>
                <w:szCs w:val="20"/>
                <w:color w:val="auto"/>
              </w:rPr>
            </w:pPr>
          </w:p>
        </w:tc>
      </w:tr>
      <w:tr>
        <w:trPr>
          <w:trHeight w:val="39"/>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283,939</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223,315</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(34,060)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(33,087)</w:t>
            </w:r>
          </w:p>
        </w:tc>
      </w:tr>
      <w:tr>
        <w:trPr>
          <w:trHeight w:val="24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(113,296)</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(193,134)</w:t>
            </w:r>
          </w:p>
        </w:tc>
      </w:tr>
      <w:tr>
        <w:trPr>
          <w:trHeight w:val="256"/>
        </w:trPr>
        <w:tc>
          <w:tcPr>
            <w:tcW w:w="844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(9,423)</w:t>
            </w:r>
          </w:p>
        </w:tc>
      </w:tr>
      <w:tr>
        <w:trPr>
          <w:trHeight w:val="25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139,172</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9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Operating activities consist primarily of net income adjusted for noncash items that primarily include depreciation and amortization, stock-based compensation expense and deferred tax expense. Cash flows from operating activities can fluctuate significantly from period-to-period as working capital needs and the timing of payments for accrued compensation (primarily in the first quarter) and other items impact reported cash flows.</w:t>
      </w:r>
    </w:p>
    <w:p>
      <w:pPr>
        <w:spacing w:after="0" w:line="1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Net cash provided by operating activities for the six months ended June 30, 2023 was $283.9 million, an increase of $60.6 million over the six months ended June 30, 2022, primarily driven by an increase in net income and changes in working capital.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Investing activities consist primarily of software development costs, investments in technology hardware, purchases of equipment and other tangible assets, business acquisitions and investments.</w:t>
      </w:r>
    </w:p>
    <w:p>
      <w:pPr>
        <w:spacing w:after="0" w:line="13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Net cash used in investing activities was $34.1 million for the six months ended June 30, 2023, which consisted of $20.5 million of capitalized software development costs, $11.2 million of purchases of furniture, equipment, purchased software and leasehold improvements and $2.4 million of cash paid for a foreign currency call option. Net cash used in investing activities was $33.1 million for the six months ended June 30, 2022, which consisted of $18.3 million of capitalized software development costs and $14.8 million of purchases of furniture, equipment, purchased software and leasehold improvements.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9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Net cash used in financing activities for the six months ended June 30, 2023 was $113.3 million, and was primarily driven by $34.2 million in payroll tax payments for options, PRSUs and RSUs, net of proceeds from the related stock-based compensation option exercises, $30.1 million in share repurchases pursuant to the 2022 Share Repurchase Program and $37.8 million in cash dividends to our Class A and Class B common stockholders. Net cash used in financing activities for the six months ended June 30, 2022 was $193.1 million, and was primarily driven by $90.4 million in payroll tax payments for options, PRSUs and RSUs, net of proceeds from the related stock-based compensation option exercises, $56.3 million in share repurchases pursuant to the 2021 Share Repurchase Program and $32.7 million in cash dividends to our Class A and Class B common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9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addition to cash flow from operating activities presented in accordance with GAAP, we use Free Cash Flow, a non-GAAP measure, to measure liquidity. Free Cash Flow is defined as cash flow from operating activities less non-acquisition related expenditures for capitalized software development costs and furniture, equipment and leasehold improvements.</w:t>
      </w:r>
    </w:p>
    <w:p>
      <w:pPr>
        <w:spacing w:after="0" w:line="14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14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six months ended June 30, 2023 and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center"/>
              <w:ind w:left="439"/>
              <w:spacing w:after="0"/>
              <w:rPr>
                <w:sz w:val="20"/>
                <w:szCs w:val="20"/>
                <w:color w:val="auto"/>
              </w:rPr>
            </w:pPr>
            <w:r>
              <w:rPr>
                <w:rFonts w:ascii="Arial" w:cs="Arial" w:eastAsia="Arial" w:hAnsi="Arial"/>
                <w:sz w:val="14"/>
                <w:szCs w:val="14"/>
                <w:b w:val="1"/>
                <w:bCs w:val="1"/>
                <w:color w:val="auto"/>
                <w:w w:val="93"/>
              </w:rPr>
              <w:t>Six Months Ended</w:t>
            </w:r>
          </w:p>
        </w:tc>
        <w:tc>
          <w:tcPr>
            <w:tcW w:w="820" w:type="dxa"/>
            <w:vAlign w:val="bottom"/>
          </w:tcPr>
          <w:p>
            <w:pPr>
              <w:spacing w:after="0"/>
              <w:rPr>
                <w:sz w:val="16"/>
                <w:szCs w:val="16"/>
                <w:color w:val="auto"/>
              </w:rPr>
            </w:pPr>
          </w:p>
        </w:tc>
      </w:tr>
      <w:tr>
        <w:trPr>
          <w:trHeight w:val="189"/>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Pr>
          <w:p>
            <w:pPr>
              <w:spacing w:after="0"/>
              <w:rPr>
                <w:sz w:val="16"/>
                <w:szCs w:val="16"/>
                <w:color w:val="auto"/>
              </w:rPr>
            </w:pPr>
          </w:p>
        </w:tc>
      </w:tr>
      <w:tr>
        <w:trPr>
          <w:trHeight w:val="26"/>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9"/>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2022</w:t>
            </w:r>
          </w:p>
        </w:tc>
      </w:tr>
      <w:tr>
        <w:trPr>
          <w:trHeight w:val="231"/>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91"/>
              </w:rPr>
              <w:t>(in thousands)</w:t>
            </w:r>
          </w:p>
        </w:tc>
        <w:tc>
          <w:tcPr>
            <w:tcW w:w="820" w:type="dxa"/>
            <w:vAlign w:val="bottom"/>
          </w:tcPr>
          <w:p>
            <w:pPr>
              <w:spacing w:after="0"/>
              <w:rPr>
                <w:sz w:val="20"/>
                <w:szCs w:val="20"/>
                <w:color w:val="auto"/>
              </w:rPr>
            </w:pPr>
          </w:p>
        </w:tc>
      </w:tr>
      <w:tr>
        <w:trPr>
          <w:trHeight w:val="39"/>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283,939</w:t>
            </w:r>
          </w:p>
        </w:tc>
        <w:tc>
          <w:tcPr>
            <w:tcW w:w="6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223,315</w:t>
            </w:r>
          </w:p>
        </w:tc>
      </w:tr>
      <w:tr>
        <w:trPr>
          <w:trHeight w:val="237"/>
        </w:trPr>
        <w:tc>
          <w:tcPr>
            <w:tcW w:w="8440" w:type="dxa"/>
            <w:vAlign w:val="bottom"/>
          </w:tcPr>
          <w:p>
            <w:pPr>
              <w:ind w:left="20"/>
              <w:spacing w:after="0"/>
              <w:rPr>
                <w:sz w:val="20"/>
                <w:szCs w:val="20"/>
                <w:color w:val="auto"/>
              </w:rPr>
            </w:pPr>
            <w:r>
              <w:rPr>
                <w:rFonts w:ascii="Arial" w:cs="Arial" w:eastAsia="Arial" w:hAnsi="Arial"/>
                <w:sz w:val="18"/>
                <w:szCs w:val="18"/>
                <w:color w:val="auto"/>
              </w:rPr>
              <w:t>Less: Capitalization of software development costs</w:t>
            </w:r>
          </w:p>
        </w:tc>
        <w:tc>
          <w:tcPr>
            <w:tcW w:w="320" w:type="dxa"/>
            <w:vAlign w:val="bottom"/>
          </w:tcPr>
          <w:p>
            <w:pPr>
              <w:spacing w:after="0"/>
              <w:rPr>
                <w:sz w:val="20"/>
                <w:szCs w:val="20"/>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w w:val="92"/>
              </w:rPr>
              <w:t>(20,505)</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ind w:left="180"/>
              <w:spacing w:after="0"/>
              <w:rPr>
                <w:sz w:val="20"/>
                <w:szCs w:val="20"/>
                <w:color w:val="auto"/>
              </w:rPr>
            </w:pPr>
            <w:r>
              <w:rPr>
                <w:rFonts w:ascii="Arial" w:cs="Arial" w:eastAsia="Arial" w:hAnsi="Arial"/>
                <w:sz w:val="18"/>
                <w:szCs w:val="18"/>
                <w:color w:val="auto"/>
                <w:w w:val="92"/>
              </w:rPr>
              <w:t>(18,264)</w:t>
            </w:r>
          </w:p>
        </w:tc>
      </w:tr>
      <w:tr>
        <w:trPr>
          <w:trHeight w:val="23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Purchases of furniture, equipment and leasehold improvements</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(11,166)</w:t>
            </w:r>
          </w:p>
        </w:tc>
        <w:tc>
          <w:tcPr>
            <w:tcW w:w="8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2"/>
              </w:rPr>
              <w:t>(14,823)</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8"/>
              </w:rPr>
              <w:t>252,268</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8"/>
              </w:rPr>
              <w:t>190,228</w:t>
            </w:r>
          </w:p>
        </w:tc>
      </w:tr>
      <w:tr>
        <w:trPr>
          <w:trHeight w:val="21"/>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Adjusted EBITDA margin, Adjusted EBIT, Adjusted EBIT margin, Adjusted Net Income and Adjusted Diluted EPS</w:t>
      </w:r>
    </w:p>
    <w:p>
      <w:pPr>
        <w:spacing w:after="0" w:line="198"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addition to net income, net income margin and net income attributable to Tradeweb Markets Inc., each presented in accordance with GAAP, we present Adjusted EBITDA, Adjusted EBITDA margin, Adjusted EBIT and Adjusted EBIT margin as non-GAAP measures of our operating performance and Adjusted Net Income and Adjusted Net Income per diluted share (“Adjusted Diluted EPS”) as non-GAAP measures of our profitability.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Adjusted EBITDA margin, Adjusted EBIT and Adjusted EBIT margin</w:t>
      </w:r>
    </w:p>
    <w:p>
      <w:pPr>
        <w:spacing w:after="0" w:line="18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Adjusted EBITDA is defined as net income before net interest income/expense, provision for income taxes and depreciation and amortization, adjusted for the impact of certain other items, including merger and acquisition transaction and integration costs, certain stock-based compensation expense and related payroll taxes, tax receivable agreement liability adjustments, unrealized gains and losses from outstanding foreign currency forward contracts, gains and losses from the revaluation of foreign denominated cash and other income and loss.</w:t>
      </w:r>
    </w:p>
    <w:p>
      <w:pPr>
        <w:spacing w:after="0" w:line="14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Adjusted EBIT is defined as net income before net interest income/expense and provision for income taxes, adjusted for the impact of certain other items, including merger and acquisition transaction and integration costs, certain stock-based compensation expense and related payroll taxes, tax receivable agreement liability adjustments, depreciation and amortization related to acquisitions and the Refinitiv Transaction, unrealized gains and losses from outstanding foreign currency forward contracts, gains and losses from the revaluation of foreign denominated cash and other income and loss.</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Net income margin is defined as net income, divided by revenue for the applicable period. Adjusted EBITDA margin and Adjusted EBIT margin are defined as Adjusted EBITDA and Adjusted EBIT, respectively, divided by revenue for the applicable period.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non-cash stock-based compensation expense associated with the Special Option Award as defined in Note 2 – Significant Accounting Policies to our unaudited condensed consolidated financial statements included elsewhere in this Quarterly Report on Form 10-Q and post-IPO options awarded in 2019 to management and other employees as well as payroll taxes associated with exercises of such options during the applicable period. We believe it is useful to exclude this stock-based compensation expense and associated payroll taxes because the amount of expense associated with the Special Option Award and the post-IPO option awards in 2019 may not directly correlate to the underlying performance of our business and will vary across periods. Beginning on August 30, 2021, we also exclude the non-cash accelerated stock-based compensation expense associated with our former CFO and beginning on February 11, 2022 the incremental non-cash accelerated stock-based compensation expense associated with our retired CEO, the CEO Retirement Accelerated Stock-Based Compensation Expense discussed above under “— Trends and Other Factors Impacting Our Performance — CEO and Chairperson Transition,” and related payroll taxes are also excluded, as we do not consider these expenses indicative of our core ongoing operating performance. The accelerated stock-based compensation expense associated with our former CFO and retired CEO was fully amortized on January 4, 2022 and December 31, 2022, respectively. In addition, we exclude the tax receivable agreement liability adjustments discussed below under “—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condensed consolidated statement of financial condition as a result of changes in the mix of earnings, tax legislation and tax rates in various jurisdictions, or other factors that may impact our tax savings, may not directly correlate to the underlying performance of our business and will vary across periods. We also believe it is useful to exclude merger and acquisition transaction and integration costs as the incremental direct costs related to completed and potential acquisitions and related integrations are not indicative of our core ongoing operating performance. With respect to Adjusted EBIT and Adjusted EBIT margin, we believe it is useful to exclude the depreciation and amortization of tangible and intangible assets resulting from acquisitions and the application of pushdown accounting to the Refinitiv Transaction in order to facilitate a period-over-period comparison of our financial performance.</w:t>
      </w:r>
    </w:p>
    <w:p>
      <w:pPr>
        <w:spacing w:after="0" w:line="15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and Adjusted Diluted EPS</w:t>
      </w:r>
    </w:p>
    <w:p>
      <w:pPr>
        <w:spacing w:after="0" w:line="18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adjusted for certain stock-based compensation expense and related payroll taxes, tax receivable agreement liability adjustments, merger and acquisition transaction and integration costs, depreciation and amortization related to acquisitions and the Refinitiv Transaction, unrealized gains and losses from outstanding foreign currency forward contracts, gains and losses from the revaluation of foreign denominated cash and other income and loss. Adjusted Net Income also gives effect to certain tax related adjustments to reflect an assumed effective tax rate.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We exclude stock-based compensation expense associated with the Special Option Award and the post-IPO option awards in 2019 and payroll taxes associated with exercises of such options, non-cash accelerated stock-based compensation expense associated with our former CFO and related payroll taxes, CEO Retirement Accelerated Stock-Based Compensation Expense and related payroll taxes, tax receivable agreement liability adjustments, merger and acquisition transaction and integration costs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14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net income margin,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table set forth below presents a reconciliation of net income and net income margin to Adjusted EBITDA, Adjusted EBITDA margin, Adjusted EBIT and Adjusted EBIT margin for the three and six months ended June 30, 2023 and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18"/>
        </w:trPr>
        <w:tc>
          <w:tcPr>
            <w:tcW w:w="5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6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101,939</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81,600</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204,132</w:t>
            </w:r>
          </w:p>
        </w:tc>
        <w:tc>
          <w:tcPr>
            <w:tcW w:w="6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179,045</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Merger and acquisition transaction and integration costs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(income) expense</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(15,109)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(27,600)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45,887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44,770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91,291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89,220</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7,295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11,164</w:t>
            </w:r>
          </w:p>
        </w:tc>
        <w:tc>
          <w:tcPr>
            <w:tcW w:w="0" w:type="dxa"/>
            <w:vAlign w:val="bottom"/>
          </w:tcPr>
          <w:p>
            <w:pPr>
              <w:spacing w:after="0"/>
              <w:rPr>
                <w:sz w:val="1"/>
                <w:szCs w:val="1"/>
                <w:color w:val="auto"/>
              </w:rPr>
            </w:pPr>
          </w:p>
        </w:tc>
      </w:tr>
      <w:tr>
        <w:trPr>
          <w:trHeight w:val="237"/>
        </w:trPr>
        <w:tc>
          <w:tcPr>
            <w:tcW w:w="51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0"/>
                <w:szCs w:val="20"/>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29,049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25,548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62,254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39,258</w:t>
            </w:r>
          </w:p>
        </w:tc>
        <w:tc>
          <w:tcPr>
            <w:tcW w:w="0" w:type="dxa"/>
            <w:vAlign w:val="bottom"/>
          </w:tcPr>
          <w:p>
            <w:pPr>
              <w:spacing w:after="0"/>
              <w:rPr>
                <w:sz w:val="1"/>
                <w:szCs w:val="1"/>
                <w:color w:val="auto"/>
              </w:rPr>
            </w:pPr>
          </w:p>
        </w:tc>
      </w:tr>
      <w:tr>
        <w:trPr>
          <w:trHeight w:val="236"/>
        </w:trPr>
        <w:tc>
          <w:tcPr>
            <w:tcW w:w="518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 xml:space="preserve">Foreign exchange (gains) / losses </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(3,066)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Tax receivable agreement liability adjustment </w:t>
            </w:r>
            <w:r>
              <w:rPr>
                <w:rFonts w:ascii="Arial" w:cs="Arial" w:eastAsia="Arial" w:hAnsi="Arial"/>
                <w:sz w:val="23"/>
                <w:szCs w:val="23"/>
                <w:color w:val="auto"/>
                <w:vertAlign w:val="superscript"/>
              </w:rPr>
              <w:t>(4)</w:t>
            </w:r>
          </w:p>
        </w:tc>
        <w:tc>
          <w:tcPr>
            <w:tcW w:w="34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 net</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163,055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155,621</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335,258</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316,256</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Depreciation and amortization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(45,887)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(44,770)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(91,291)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(89,220)</w:t>
            </w: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tcPr>
          <w:p>
            <w:pPr>
              <w:ind w:left="20"/>
              <w:spacing w:after="0" w:line="243" w:lineRule="exact"/>
              <w:rPr>
                <w:sz w:val="20"/>
                <w:szCs w:val="20"/>
                <w:color w:val="auto"/>
              </w:rPr>
            </w:pPr>
            <w:r>
              <w:rPr>
                <w:rFonts w:ascii="Arial" w:cs="Arial" w:eastAsia="Arial" w:hAnsi="Arial"/>
                <w:sz w:val="18"/>
                <w:szCs w:val="18"/>
                <w:color w:val="auto"/>
                <w:w w:val="99"/>
              </w:rPr>
              <w:t xml:space="preserve">Add: D&amp;A related to acquisitions and the Refinitiv Transaction </w:t>
            </w:r>
            <w:r>
              <w:rPr>
                <w:rFonts w:ascii="Arial" w:cs="Arial" w:eastAsia="Arial" w:hAnsi="Arial"/>
                <w:sz w:val="23"/>
                <w:szCs w:val="23"/>
                <w:color w:val="auto"/>
                <w:w w:val="99"/>
                <w:vertAlign w:val="superscript"/>
              </w:rPr>
              <w:t>(5)</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31,629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31,761</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63,246</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63,530</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148,797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142,612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307,213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290,566</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32.8 %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27.5 %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31.9 %</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29.4 %</w:t>
            </w: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52.4 %</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52.4 %</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52.0 %</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Adjusted EBIT margin</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47.9 %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48.0 %</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47.7 %</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40" w:right="340" w:hanging="332"/>
        <w:spacing w:after="0" w:line="256"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ind w:left="340" w:right="180" w:hanging="332"/>
        <w:spacing w:after="0" w:line="26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non-cash stock-based compensation expense associated with the Special Option Award and post-IPO options awarded in 2019 and payroll taxes associated with the exercise of such options. During the three and six months ended June 30, 2022, this adjustment also includes $5.7 million and $7.4 million, respectively, of non-cash accelerated stock-based compensation expense and related payroll taxes associated with our former CFO and former CEO.</w:t>
      </w:r>
    </w:p>
    <w:p>
      <w:pPr>
        <w:spacing w:after="0" w:line="1" w:lineRule="exact"/>
        <w:rPr>
          <w:rFonts w:ascii="Arial" w:cs="Arial" w:eastAsia="Arial" w:hAnsi="Arial"/>
          <w:sz w:val="14"/>
          <w:szCs w:val="14"/>
          <w:color w:val="auto"/>
        </w:rPr>
      </w:pPr>
    </w:p>
    <w:p>
      <w:pPr>
        <w:ind w:left="340" w:right="40" w:hanging="332"/>
        <w:spacing w:after="0" w:line="25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60" w:hanging="332"/>
        <w:spacing w:after="0" w:line="26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jc w:val="both"/>
        <w:ind w:left="340" w:right="240" w:hanging="332"/>
        <w:spacing w:after="0" w:line="262"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4"/>
          </w:tcPr>
          <w:p>
            <w:pPr>
              <w:jc w:val="center"/>
              <w:ind w:right="19"/>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jc w:val="center"/>
              <w:ind w:left="688"/>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jc w:val="center"/>
              <w:ind w:left="668"/>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Constant</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Constant</w:t>
            </w:r>
          </w:p>
        </w:tc>
        <w:tc>
          <w:tcPr>
            <w:tcW w:w="0" w:type="dxa"/>
            <w:vAlign w:val="bottom"/>
          </w:tcPr>
          <w:p>
            <w:pPr>
              <w:spacing w:after="0"/>
              <w:rPr>
                <w:sz w:val="1"/>
                <w:szCs w:val="1"/>
                <w:color w:val="auto"/>
              </w:rPr>
            </w:pPr>
          </w:p>
        </w:tc>
      </w:tr>
      <w:tr>
        <w:trPr>
          <w:trHeight w:val="144"/>
        </w:trPr>
        <w:tc>
          <w:tcPr>
            <w:tcW w:w="2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1"/>
              </w:rPr>
              <w:t>Basis Point</w:t>
            </w:r>
          </w:p>
        </w:tc>
        <w:tc>
          <w:tcPr>
            <w:tcW w:w="8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Currency Basis</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89"/>
              </w:rPr>
              <w:t>Basis Point</w:t>
            </w:r>
          </w:p>
        </w:tc>
        <w:tc>
          <w:tcPr>
            <w:tcW w:w="10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Currency Basis</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10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2023</w:t>
            </w:r>
          </w:p>
        </w:tc>
        <w:tc>
          <w:tcPr>
            <w:tcW w:w="120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Point Change</w:t>
            </w:r>
          </w:p>
        </w:tc>
        <w:tc>
          <w:tcPr>
            <w:tcW w:w="12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2023</w:t>
            </w:r>
          </w:p>
        </w:tc>
        <w:tc>
          <w:tcPr>
            <w:tcW w:w="1180" w:type="dxa"/>
            <w:vAlign w:val="bottom"/>
            <w:gridSpan w:val="2"/>
            <w:vMerge w:val="restart"/>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Point Change</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1080" w:type="dxa"/>
            <w:vAlign w:val="bottom"/>
            <w:gridSpan w:val="2"/>
          </w:tcPr>
          <w:p>
            <w:pPr>
              <w:jc w:val="center"/>
              <w:ind w:left="33"/>
              <w:spacing w:after="0"/>
              <w:rPr>
                <w:sz w:val="20"/>
                <w:szCs w:val="20"/>
                <w:color w:val="auto"/>
              </w:rPr>
            </w:pPr>
            <w:r>
              <w:rPr>
                <w:rFonts w:ascii="Arial" w:cs="Arial" w:eastAsia="Arial" w:hAnsi="Arial"/>
                <w:sz w:val="9"/>
                <w:szCs w:val="9"/>
                <w:b w:val="1"/>
                <w:bCs w:val="1"/>
                <w:color w:val="auto"/>
              </w:rPr>
              <w:t>(1)</w:t>
            </w:r>
          </w:p>
        </w:tc>
        <w:tc>
          <w:tcPr>
            <w:tcW w:w="120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Change</w:t>
            </w:r>
          </w:p>
        </w:tc>
        <w:tc>
          <w:tcPr>
            <w:tcW w:w="1100" w:type="dxa"/>
            <w:vAlign w:val="bottom"/>
            <w:gridSpan w:val="2"/>
          </w:tcPr>
          <w:p>
            <w:pPr>
              <w:jc w:val="center"/>
              <w:ind w:left="53"/>
              <w:spacing w:after="0"/>
              <w:rPr>
                <w:sz w:val="20"/>
                <w:szCs w:val="20"/>
                <w:color w:val="auto"/>
              </w:rPr>
            </w:pP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34"/>
        </w:trPr>
        <w:tc>
          <w:tcPr>
            <w:tcW w:w="224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52.4 %</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bps</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bps</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+43 bps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+46 bps</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Adjusted EBIT margin</w:t>
            </w:r>
          </w:p>
        </w:tc>
        <w:tc>
          <w:tcPr>
            <w:tcW w:w="1100" w:type="dxa"/>
            <w:vAlign w:val="bottom"/>
          </w:tcPr>
          <w:p>
            <w:pPr>
              <w:jc w:val="right"/>
              <w:spacing w:after="0"/>
              <w:rPr>
                <w:sz w:val="20"/>
                <w:szCs w:val="20"/>
                <w:color w:val="auto"/>
              </w:rPr>
            </w:pPr>
            <w:r>
              <w:rPr>
                <w:rFonts w:ascii="Arial" w:cs="Arial" w:eastAsia="Arial" w:hAnsi="Arial"/>
                <w:sz w:val="18"/>
                <w:szCs w:val="18"/>
                <w:color w:val="auto"/>
              </w:rPr>
              <w:t>47.9 %</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48.0 %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 bps</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 bps</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48.0 %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47.7 %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260"/>
              <w:spacing w:after="0"/>
              <w:rPr>
                <w:sz w:val="20"/>
                <w:szCs w:val="20"/>
                <w:color w:val="auto"/>
              </w:rPr>
            </w:pPr>
            <w:r>
              <w:rPr>
                <w:rFonts w:ascii="Arial" w:cs="Arial" w:eastAsia="Arial" w:hAnsi="Arial"/>
                <w:sz w:val="18"/>
                <w:szCs w:val="18"/>
                <w:color w:val="auto"/>
                <w:w w:val="86"/>
              </w:rPr>
              <w:t>+27 bps</w:t>
            </w:r>
          </w:p>
        </w:tc>
        <w:tc>
          <w:tcPr>
            <w:tcW w:w="100" w:type="dxa"/>
            <w:vAlign w:val="bottom"/>
          </w:tcPr>
          <w:p>
            <w:pPr>
              <w:spacing w:after="0"/>
              <w:rPr>
                <w:sz w:val="20"/>
                <w:szCs w:val="20"/>
                <w:color w:val="auto"/>
              </w:rPr>
            </w:pPr>
          </w:p>
        </w:tc>
        <w:tc>
          <w:tcPr>
            <w:tcW w:w="1000" w:type="dxa"/>
            <w:vAlign w:val="bottom"/>
          </w:tcPr>
          <w:p>
            <w:pPr>
              <w:ind w:left="400"/>
              <w:spacing w:after="0"/>
              <w:rPr>
                <w:sz w:val="20"/>
                <w:szCs w:val="20"/>
                <w:color w:val="auto"/>
              </w:rPr>
            </w:pPr>
            <w:r>
              <w:rPr>
                <w:rFonts w:ascii="Arial" w:cs="Arial" w:eastAsia="Arial" w:hAnsi="Arial"/>
                <w:sz w:val="18"/>
                <w:szCs w:val="18"/>
                <w:color w:val="auto"/>
                <w:w w:val="89"/>
              </w:rPr>
              <w:t>+30 bps</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40" w:right="80" w:hanging="332"/>
        <w:spacing w:after="0" w:line="263"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changes in Adjusted EBITDA margin and Adjusted EBIT margin, both on a constant currency basis, are non-GAAP financial measures, and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annual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table set forth below presents a reconciliation of net income attributable to Tradeweb Markets Inc. and net income, as applicable, to Adjusted Net Income and Adjusted Diluted EPS for the three and six months ended June 30, 2023 and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4"/>
          </w:tcPr>
          <w:p>
            <w:pPr>
              <w:jc w:val="right"/>
              <w:ind w:right="1052"/>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18"/>
        </w:trPr>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diluted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00" w:type="dxa"/>
            <w:vAlign w:val="bottom"/>
            <w:vMerge w:val="continue"/>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89,082</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68,344</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176,938</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151,309</w:t>
            </w: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20"/>
              <w:spacing w:after="0" w:line="263" w:lineRule="exact"/>
              <w:rPr>
                <w:sz w:val="20"/>
                <w:szCs w:val="20"/>
                <w:color w:val="auto"/>
              </w:rPr>
            </w:pPr>
            <w:r>
              <w:rPr>
                <w:rFonts w:ascii="Arial" w:cs="Arial" w:eastAsia="Arial" w:hAnsi="Arial"/>
                <w:sz w:val="18"/>
                <w:szCs w:val="18"/>
                <w:color w:val="auto"/>
              </w:rPr>
              <w:t xml:space="preserve">Net income attributable to non-controlling interests </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27,736</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101,939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81,600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204,132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179,045</w:t>
            </w:r>
          </w:p>
        </w:tc>
        <w:tc>
          <w:tcPr>
            <w:tcW w:w="0" w:type="dxa"/>
            <w:vAlign w:val="bottom"/>
          </w:tcPr>
          <w:p>
            <w:pPr>
              <w:spacing w:after="0"/>
              <w:rPr>
                <w:sz w:val="1"/>
                <w:szCs w:val="1"/>
                <w:color w:val="auto"/>
              </w:rPr>
            </w:pPr>
          </w:p>
        </w:tc>
      </w:tr>
      <w:tr>
        <w:trPr>
          <w:trHeight w:val="23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39,258</w:t>
            </w:r>
          </w:p>
        </w:tc>
        <w:tc>
          <w:tcPr>
            <w:tcW w:w="0" w:type="dxa"/>
            <w:vAlign w:val="bottom"/>
          </w:tcPr>
          <w:p>
            <w:pPr>
              <w:spacing w:after="0"/>
              <w:rPr>
                <w:sz w:val="1"/>
                <w:szCs w:val="1"/>
                <w:color w:val="auto"/>
              </w:rPr>
            </w:pPr>
          </w:p>
        </w:tc>
      </w:tr>
      <w:tr>
        <w:trPr>
          <w:trHeight w:val="270"/>
        </w:trPr>
        <w:tc>
          <w:tcPr>
            <w:tcW w:w="5600" w:type="dxa"/>
            <w:vAlign w:val="bottom"/>
          </w:tcPr>
          <w:p>
            <w:pPr>
              <w:ind w:left="20"/>
              <w:spacing w:after="0"/>
              <w:rPr>
                <w:sz w:val="20"/>
                <w:szCs w:val="20"/>
                <w:color w:val="auto"/>
              </w:rPr>
            </w:pPr>
            <w:r>
              <w:rPr>
                <w:rFonts w:ascii="Arial" w:cs="Arial" w:eastAsia="Arial" w:hAnsi="Arial"/>
                <w:sz w:val="18"/>
                <w:szCs w:val="18"/>
                <w:color w:val="auto"/>
              </w:rPr>
              <w:t xml:space="preserve">Merger and acquisition transaction and integration costs </w:t>
            </w:r>
            <w:r>
              <w:rPr>
                <w:rFonts w:ascii="Arial" w:cs="Arial" w:eastAsia="Arial" w:hAnsi="Arial"/>
                <w:sz w:val="23"/>
                <w:szCs w:val="23"/>
                <w:color w:val="auto"/>
                <w:vertAlign w:val="superscript"/>
              </w:rPr>
              <w:t>(2)</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D&amp;A related to acquisitions and the Refinitiv Transaction </w:t>
            </w:r>
            <w:r>
              <w:rPr>
                <w:rFonts w:ascii="Arial" w:cs="Arial" w:eastAsia="Arial" w:hAnsi="Arial"/>
                <w:sz w:val="23"/>
                <w:szCs w:val="23"/>
                <w:color w:val="auto"/>
                <w:vertAlign w:val="superscript"/>
              </w:rPr>
              <w:t>(3)</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63,246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63,530</w:t>
            </w:r>
          </w:p>
        </w:tc>
        <w:tc>
          <w:tcPr>
            <w:tcW w:w="0" w:type="dxa"/>
            <w:vAlign w:val="bottom"/>
          </w:tcPr>
          <w:p>
            <w:pPr>
              <w:spacing w:after="0"/>
              <w:rPr>
                <w:sz w:val="1"/>
                <w:szCs w:val="1"/>
                <w:color w:val="auto"/>
              </w:rPr>
            </w:pPr>
          </w:p>
        </w:tc>
      </w:tr>
      <w:tr>
        <w:trPr>
          <w:trHeight w:val="270"/>
        </w:trPr>
        <w:tc>
          <w:tcPr>
            <w:tcW w:w="5600" w:type="dxa"/>
            <w:vAlign w:val="bottom"/>
          </w:tcPr>
          <w:p>
            <w:pPr>
              <w:ind w:left="20"/>
              <w:spacing w:after="0"/>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(4)</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7,295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11,164</w:t>
            </w: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Foreign exchange (gains) / losses </w:t>
            </w:r>
            <w:r>
              <w:rPr>
                <w:rFonts w:ascii="Arial" w:cs="Arial" w:eastAsia="Arial" w:hAnsi="Arial"/>
                <w:sz w:val="23"/>
                <w:szCs w:val="23"/>
                <w:color w:val="auto"/>
                <w:vertAlign w:val="superscript"/>
              </w:rPr>
              <w:t>(5)</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70"/>
        </w:trPr>
        <w:tc>
          <w:tcPr>
            <w:tcW w:w="5600" w:type="dxa"/>
            <w:vAlign w:val="bottom"/>
          </w:tcPr>
          <w:p>
            <w:pPr>
              <w:ind w:left="20"/>
              <w:spacing w:after="0"/>
              <w:rPr>
                <w:sz w:val="20"/>
                <w:szCs w:val="20"/>
                <w:color w:val="auto"/>
              </w:rPr>
            </w:pPr>
            <w:r>
              <w:rPr>
                <w:rFonts w:ascii="Arial" w:cs="Arial" w:eastAsia="Arial" w:hAnsi="Arial"/>
                <w:sz w:val="18"/>
                <w:szCs w:val="18"/>
                <w:color w:val="auto"/>
              </w:rPr>
              <w:t xml:space="preserve">Tax receivable agreement liability adjustment </w:t>
            </w:r>
            <w:r>
              <w:rPr>
                <w:rFonts w:ascii="Arial" w:cs="Arial" w:eastAsia="Arial" w:hAnsi="Arial"/>
                <w:sz w:val="23"/>
                <w:szCs w:val="23"/>
                <w:color w:val="auto"/>
                <w:vertAlign w:val="superscript"/>
              </w:rPr>
              <w:t>(6)</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loss, net</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Adjusted Net Income before income taxes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163,906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143,153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334,813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290,660</w:t>
            </w: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20"/>
              <w:spacing w:after="0" w:line="263" w:lineRule="exact"/>
              <w:rPr>
                <w:sz w:val="20"/>
                <w:szCs w:val="20"/>
                <w:color w:val="auto"/>
              </w:rPr>
            </w:pPr>
            <w:r>
              <w:rPr>
                <w:rFonts w:ascii="Arial" w:cs="Arial" w:eastAsia="Arial" w:hAnsi="Arial"/>
                <w:sz w:val="18"/>
                <w:szCs w:val="18"/>
                <w:color w:val="auto"/>
              </w:rPr>
              <w:t xml:space="preserve">Adjusted income taxes </w:t>
            </w:r>
            <w:r>
              <w:rPr>
                <w:rFonts w:ascii="Arial" w:cs="Arial" w:eastAsia="Arial" w:hAnsi="Arial"/>
                <w:sz w:val="23"/>
                <w:szCs w:val="23"/>
                <w:color w:val="auto"/>
                <w:vertAlign w:val="superscript"/>
              </w:rPr>
              <w:t>(7)</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(82,029)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(63,946)</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123,749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111,659</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252,784</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226,714</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5600" w:type="dxa"/>
            <w:vAlign w:val="bottom"/>
            <w:tcBorders>
              <w:bottom w:val="single" w:sz="8" w:color="CCEEFF"/>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Adjusted Diluted EPS </w:t>
            </w:r>
            <w:r>
              <w:rPr>
                <w:rFonts w:ascii="Arial" w:cs="Arial" w:eastAsia="Arial" w:hAnsi="Arial"/>
                <w:sz w:val="23"/>
                <w:szCs w:val="23"/>
                <w:color w:val="auto"/>
                <w:vertAlign w:val="superscript"/>
              </w:rPr>
              <w:t>(8)</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340" w:right="60" w:hanging="332"/>
        <w:spacing w:after="0" w:line="256"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reallocation of net income attributable to non-controlling interests from the assumed exchange of all outstanding LLC Interests held by non-controlling interests for shares of Class A or Class B common stock.</w:t>
      </w:r>
    </w:p>
    <w:p>
      <w:pPr>
        <w:ind w:left="340" w:right="340" w:hanging="332"/>
        <w:spacing w:after="0" w:line="26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jc w:val="both"/>
        <w:ind w:left="340" w:right="240" w:hanging="332"/>
        <w:spacing w:after="0" w:line="254"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 w:lineRule="exact"/>
        <w:rPr>
          <w:rFonts w:ascii="Arial" w:cs="Arial" w:eastAsia="Arial" w:hAnsi="Arial"/>
          <w:sz w:val="14"/>
          <w:szCs w:val="14"/>
          <w:color w:val="auto"/>
        </w:rPr>
      </w:pPr>
    </w:p>
    <w:p>
      <w:pPr>
        <w:ind w:left="340" w:right="180" w:hanging="332"/>
        <w:spacing w:after="0" w:line="26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non-cash stock-based compensation expense associated with the Special Option Award and post-IPO options awarded in 2019 and payroll taxes associated with the exercise of such options. During the three and six months ended June 30, 2022, this adjustment also includes $5.7 million and $7.4 million, respectively, of non-cash accelerated stock-based compensation expense and related payroll taxes associated with our former CFO and former CEO.</w:t>
      </w:r>
    </w:p>
    <w:p>
      <w:pPr>
        <w:spacing w:after="0" w:line="1" w:lineRule="exact"/>
        <w:rPr>
          <w:rFonts w:ascii="Arial" w:cs="Arial" w:eastAsia="Arial" w:hAnsi="Arial"/>
          <w:sz w:val="14"/>
          <w:szCs w:val="14"/>
          <w:color w:val="auto"/>
        </w:rPr>
      </w:pPr>
    </w:p>
    <w:p>
      <w:pPr>
        <w:ind w:left="340" w:right="40" w:hanging="332"/>
        <w:spacing w:after="0" w:line="25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60" w:hanging="332"/>
        <w:spacing w:after="0" w:line="26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ind w:left="340" w:right="340" w:hanging="332"/>
        <w:spacing w:after="0" w:line="255"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corporate income taxes at an assumed effective tax rate of 24.5% applied to Adjusted Net Income before income taxes for the three and six months ended June 30, 2023 and 22.0% for the three and six months ended June 30, 2022.</w:t>
      </w:r>
    </w:p>
    <w:p>
      <w:pPr>
        <w:ind w:left="340" w:right="80" w:hanging="332"/>
        <w:spacing w:after="0" w:line="275"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For a summary of the calculation of Adjusted Diluted EPS, see “Reconciliation of Diluted Weighted Average Shares Outstanding to Adjusted Diluted Weighted Average Shares Outstanding and Adjusted Diluted EPS” below.</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calculation of Adjusted Diluted EPS for the three and six months ended June 30, 2023 and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tcPr>
          <w:p>
            <w:pPr>
              <w:jc w:val="right"/>
              <w:ind w:right="75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22"/>
        </w:trPr>
        <w:tc>
          <w:tcPr>
            <w:tcW w:w="55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Reconciliation of Diluted Weighted Average Shares Outstanding to Adjusted Diluted</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Weighted Average Shares Outstanding and Adjusted Diluted EPS</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5"/>
        </w:trPr>
        <w:tc>
          <w:tcPr>
            <w:tcW w:w="554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8"/>
                <w:szCs w:val="18"/>
                <w:color w:val="auto"/>
                <w:w w:val="96"/>
              </w:rPr>
              <w:t>Diluted weighted average shares of Class A and Class B common stock</w:t>
            </w:r>
          </w:p>
        </w:tc>
        <w:tc>
          <w:tcPr>
            <w:tcW w:w="2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213,156,753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207,272,675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211,659,814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207,371,372</w:t>
            </w:r>
          </w:p>
        </w:tc>
        <w:tc>
          <w:tcPr>
            <w:tcW w:w="0" w:type="dxa"/>
            <w:vAlign w:val="bottom"/>
          </w:tcPr>
          <w:p>
            <w:pPr>
              <w:spacing w:after="0"/>
              <w:rPr>
                <w:sz w:val="1"/>
                <w:szCs w:val="1"/>
                <w:color w:val="auto"/>
              </w:rPr>
            </w:pPr>
          </w:p>
        </w:tc>
      </w:tr>
      <w:tr>
        <w:trPr>
          <w:trHeight w:val="243"/>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24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 xml:space="preserve">Weighted average of other participating securities </w:t>
            </w:r>
            <w:r>
              <w:rPr>
                <w:rFonts w:ascii="Arial" w:cs="Arial" w:eastAsia="Arial" w:hAnsi="Arial"/>
                <w:sz w:val="23"/>
                <w:szCs w:val="23"/>
                <w:color w:val="auto"/>
                <w:vertAlign w:val="superscript"/>
              </w:rPr>
              <w:t>(1)</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241,963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76,426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266,790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80,778</w:t>
            </w:r>
          </w:p>
        </w:tc>
        <w:tc>
          <w:tcPr>
            <w:tcW w:w="0" w:type="dxa"/>
            <w:vAlign w:val="bottom"/>
          </w:tcPr>
          <w:p>
            <w:pPr>
              <w:spacing w:after="0"/>
              <w:rPr>
                <w:sz w:val="1"/>
                <w:szCs w:val="1"/>
                <w:color w:val="auto"/>
              </w:rPr>
            </w:pPr>
          </w:p>
        </w:tc>
      </w:tr>
      <w:tr>
        <w:trPr>
          <w:trHeight w:val="223"/>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Assumed exchange of LLC Interests for shares of Class A or Class B</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540" w:type="dxa"/>
            <w:vAlign w:val="bottom"/>
            <w:tcBorders>
              <w:bottom w:val="single" w:sz="8" w:color="CCEEFF"/>
            </w:tcBorders>
            <w:gridSpan w:val="2"/>
            <w:shd w:val="clear" w:color="auto" w:fill="CCEEFF"/>
          </w:tcPr>
          <w:p>
            <w:pPr>
              <w:ind w:left="20"/>
              <w:spacing w:after="0" w:line="250" w:lineRule="exact"/>
              <w:rPr>
                <w:sz w:val="20"/>
                <w:szCs w:val="20"/>
                <w:color w:val="auto"/>
              </w:rPr>
            </w:pPr>
            <w:r>
              <w:rPr>
                <w:rFonts w:ascii="Arial" w:cs="Arial" w:eastAsia="Arial" w:hAnsi="Arial"/>
                <w:sz w:val="18"/>
                <w:szCs w:val="18"/>
                <w:color w:val="auto"/>
              </w:rPr>
              <w:t xml:space="preserve">common stock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23,153,250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29,971,658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24,738,197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30,133,370</w:t>
            </w:r>
          </w:p>
        </w:tc>
        <w:tc>
          <w:tcPr>
            <w:tcW w:w="0" w:type="dxa"/>
            <w:vAlign w:val="bottom"/>
          </w:tcPr>
          <w:p>
            <w:pPr>
              <w:spacing w:after="0"/>
              <w:rPr>
                <w:sz w:val="1"/>
                <w:szCs w:val="1"/>
                <w:color w:val="auto"/>
              </w:rPr>
            </w:pPr>
          </w:p>
        </w:tc>
      </w:tr>
      <w:tr>
        <w:trPr>
          <w:trHeight w:val="237"/>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Adjusted diluted weighted average shares outstanding</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236,551,966</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237,320,759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236,664,801</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237,585,520</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Net Income (in thousands)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123,749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252,784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226,714</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Adjusted Diluted EPS</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0.52</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120" w:hanging="332"/>
        <w:spacing w:after="0" w:line="259"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weighted average unvested restricted stock units and unsettled vested performance-based restricted stock units issued to certain retired or terminated employees that are entitled to non-forfeitable dividend equivalent rights and are considered participating securities prior to being issued and outstanding shares of common stock in accordance with the two-class method used for purposes of calculating earnings per share. See Note 2 – Significant Accounting Policies to our unaudited condensed consolidated financial statements included elsewhere in this Quarterly Report on Form 10-Q for a discussion of the two-class method.</w:t>
      </w:r>
    </w:p>
    <w:p>
      <w:pPr>
        <w:ind w:left="340" w:right="480" w:hanging="332"/>
        <w:spacing w:after="0" w:line="283"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condensed consolidated financial statements are prepared in accordance with U.S. GAAP which requires us to make estimates and assumptions about future events that affect the reported amounts of assets, liabilities, revenues and expenses, and disclosure of contingent assets and liabilities.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Management evaluates its accounting policies, estimates and judgments on an on-going basis.</w:t>
      </w:r>
    </w:p>
    <w:p>
      <w:pPr>
        <w:spacing w:after="0" w:line="15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Our most critical policies and estimates include revenue recognition, stock-based compensation, current and deferred income taxes and the tax receivable agreement liability. With respect to critical accounting policies and estimates,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unaudited condensed consolidated financial statements included elsewhere in this Quarterly Report on Form 10-Q.</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enter into contracts with our clients to provide a stand-ready connection to our electronic marketplaces, which facilitates the execution of trades by our clients. The access to our electronic marketplaces, including market data and continuous pricing data refreshes and the processing of trades thereon are highly interrelated and are considered a single performance obligation satisfied over time as the client simultaneously receives and consumes the benefit from our performance. This performance obligation constitutes a series of services that are substantially the same in nature and are provided over time using the same measure of progress. For our services, we earn subscription fees for granting access to our electronic marketplaces.</w:t>
      </w:r>
    </w:p>
    <w:p>
      <w:pPr>
        <w:spacing w:after="0" w:line="13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earn transaction fees and/or commissions from transactions executed on our trading platforms, including commission revenue from electronic and voice brokerage transacted on a riskless principal basis. Riskless principal revenues are derived on matched principal transactions where revenues are earned on the spread between the buy and sell price of the transacted product. Fixed monthly transaction fees or commissions or monthly transaction fee or commission minimums are generally earned on a monthly basis in the period the stand-ready trading services are provided. Variable transaction fee or commission revenue is recognized and recorded on a trade-date basis when the individual trade occurs. Variable discounts or rebates on transaction fees or commissions are generally earned and applied monthly or quarterly, are resolved within the same reporting period and are recorded as a reduction to revenue in the period the relevant trades occur.</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earn fees from Refinitiv relating to the sale of market data to Refinitiv, which redistributes that data. Included in these fees are real-time market data fees which are recognized monthly on a straight-line basis as Refinitiv receives and consumes the benefit evenly, over the contact period, as the data is provided, and fees for historical data sets which are recognized when the historical data set is provided to Refinitiv.</w:t>
      </w:r>
    </w:p>
    <w:p>
      <w:pPr>
        <w:spacing w:after="0" w:line="1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are required to make significant judgments for the Refinitiv market data fees. Significant judgments used in accounting for this contract include the following determinations:</w:t>
      </w:r>
    </w:p>
    <w:p>
      <w:pPr>
        <w:spacing w:after="0" w:line="13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184"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43" w:lineRule="exact"/>
        <w:rPr>
          <w:rFonts w:ascii="Arial" w:cs="Arial" w:eastAsia="Arial" w:hAnsi="Arial"/>
          <w:sz w:val="18"/>
          <w:szCs w:val="18"/>
          <w:color w:val="auto"/>
        </w:rPr>
      </w:pPr>
    </w:p>
    <w:p>
      <w:pPr>
        <w:ind w:left="660" w:right="58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transaction price for the performance obligations is determined by using a market assessment analysis. Inputs in this analysis include a consultant study which determined the overall value of our market data and pricing information for historical data sets provided by other companies.</w:t>
      </w:r>
    </w:p>
    <w:p>
      <w:pPr>
        <w:spacing w:after="0" w:line="1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each of the three and six months ended June 30, 2023 and 2022, there were no material changes in the assumptions used to determine the Refinitiv market data fees.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 For performance-based restricted stock units that vest based on market conditions, the Company recognizes stock-based compensation based on the estimated grant date fair value of the awards computed with the assistance of a valuation specialist using a Monte Carlo simulation on a binomial model, which represents a significant accounting estimate given the significant level of estimation uncertainty relating to the selection of valuation assumptions required for the valuation. The significant assumptions used to estimate the fair value of the performance-based restricted stock units that vest based on market conditions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 On March 15, 2023, we granted 251,113 performance-based restricted stock units that vest based on market conditions with a grant date fair value totaling $24.7 million, which will be amortized into expense on a straight-line basis through December 31, 2025. The significant assumptions used in determining the grant date fair value of the award were a maturity of 2.8 years, annualized volatility of 28.81% and a risk-free interest rate of 3.77%. A change in any of the assumptions used to value these awards could materially affect stock-based compensation expense recorded in the current and future periods.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The measurement of deferred taxes often involves the exercise of significant judgment related to the realization of tax basis. Our deferred tax assets and liabilities reflect our assessment that tax positions taken in filed tax returns and the resulting tax basis are more likely than not to be sustained if they are audited by taxing authorities. Assessing tax rates that we expect to apply and determining the years when the temporary differences are expected to affect taxable income requires judgment about the future apportionment of our income among the jurisdictions in which we operate. Any changes in our practices or judgments involved in the measurement of deferred tax assets and liabilities could materially impact our financial condition or results of operations.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In connection with recording deferred tax assets and liabilities, we record valuation allowances when we believe that it is more likely than not that the Company will not be able to realize its deferred tax assets in the future. We evaluate our deferred tax assets quarterly to determine whether adjustments to our valuation allowance are appropriate in light of changes in facts or circumstances, such as changes in tax law, interactions with taxing authorities and developments in case law. In making this evaluation, we rely on our recent history of pre-tax earnings, our forecasts of future earnings and the nature and timing of future deductions and benefits represented by the deferred tax assets, all of which involve the exercise of significant judgment. As of June 30, 2023 and December 31, 2022, we have no valuation allowance established on our deferred tax assets. If forecasts of future earnings and the nature and estimated timing of future deductions and benefits change in the future, we may determine that existing valuation allowances must be revised or new valuation allowances created, any of which could materially impact our financial condition or results of operations. See Note 6 – Income Taxes to our unaudited condensed consolidated financial statements included elsewhere in this Quarterly Report on Form 10-Q.</w:t>
      </w:r>
    </w:p>
    <w:p>
      <w:pPr>
        <w:spacing w:after="0" w:line="13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recognize interest and penalties related to unrecognized tax benefits within the provision for income taxes in our condensed consolidated statements of income. Accrued interest and penalties are included within accounts payable, accrued expenses and other liabilities in our condensed consolidated statements of financial condition. 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8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the October 2019 and April 2020 follow-on offerings and any future offering or (b) redemptions or exchanges by such Continuing LLC Owner of LLC Interests for shares of Class A common stock or Class B common stock or for cash, as applicable, and (ii) certain other tax benefits related to Tradeweb Markets Inc. making payments under the Tax Receivable Agreement. Substantially all payments due under the Tax Receivable Agreement are payable over the 15 years following the purchase of LLC Interests from Continuing LLC Owners or redemption or exchanges by Continuing LLC Owners of LLC Interests. The timing of the payments over the 15 year period is dependent upon our annual taxable income over the same period. In determining the estimated timing of payments, the current year’s taxable income is used to extrapolate an estimate of future taxable income. This requires significant judgment relating to projecting future earnings, the geographic mix of those earnings and the timing of deferred taxes becoming current.</w:t>
      </w:r>
    </w:p>
    <w:p>
      <w:pPr>
        <w:spacing w:after="0" w:line="14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impact of any changes in the total projected obligations recorded under the Tax Receivable Agreement as a result of actual changes in the geographic mix of our earnings, changes in tax legislation and tax rates or other factors that may impact our actual tax savings realized will be reflected in income before taxes in the period in which the change occurs.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Note 2 – Significant Accounting Policies to the condensed consolidated financial statements included elsewhere in this Quarterly Report on Form 10-Q for a discussion of recent accounting pronouncements.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and Derivative Risk</w:t>
      </w:r>
    </w:p>
    <w:p>
      <w:pPr>
        <w:spacing w:after="0" w:line="18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have global operations and substantial portions of our revenues, expenses, assets and liabilities are generated and denominated in non-U.S. dollar currencies.</w:t>
      </w:r>
    </w:p>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shows the percentage breakdown of our revenue and operating expenses denominated in currencies other than the U.S. dollar for the three and six months ended June 30, 2023 and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hanging="194"/>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of revenue denominated in foreign currencies </w:t>
      </w:r>
      <w:r>
        <w:rPr>
          <w:rFonts w:ascii="Arial" w:cs="Arial" w:eastAsia="Arial" w:hAnsi="Arial"/>
          <w:sz w:val="9"/>
          <w:szCs w:val="9"/>
          <w:color w:val="auto"/>
        </w:rPr>
        <w:t>(1)</w:t>
      </w:r>
    </w:p>
    <w:p>
      <w:pPr>
        <w:spacing w:after="0" w:line="63" w:lineRule="exact"/>
        <w:rPr>
          <w:rFonts w:ascii="Arial" w:cs="Arial" w:eastAsia="Arial" w:hAnsi="Arial"/>
          <w:sz w:val="18"/>
          <w:szCs w:val="18"/>
          <w:color w:val="auto"/>
        </w:rPr>
      </w:pPr>
    </w:p>
    <w:p>
      <w:pPr>
        <w:ind w:left="220" w:hanging="194"/>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of operating expenses denominated in foreign currencies </w:t>
      </w:r>
      <w:r>
        <w:rPr>
          <w:rFonts w:ascii="Arial" w:cs="Arial" w:eastAsia="Arial" w:hAnsi="Arial"/>
          <w:sz w:val="9"/>
          <w:szCs w:val="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6"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Revenue in foreign currencies is primarily denominated in euros.</w:t>
      </w:r>
    </w:p>
    <w:p>
      <w:pPr>
        <w:spacing w:after="0" w:line="21"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Operating expenses in foreign currencies are primarily denominated in British pounds sterling.</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36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5"/>
              </w:rPr>
              <w:t>Three Months Ended</w:t>
            </w:r>
          </w:p>
        </w:tc>
        <w:tc>
          <w:tcPr>
            <w:tcW w:w="2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188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Pr>
          <w:p>
            <w:pPr>
              <w:spacing w:after="0"/>
              <w:rPr>
                <w:sz w:val="16"/>
                <w:szCs w:val="16"/>
                <w:color w:val="auto"/>
              </w:rPr>
            </w:pPr>
          </w:p>
        </w:tc>
        <w:tc>
          <w:tcPr>
            <w:tcW w:w="1780" w:type="dxa"/>
            <w:vAlign w:val="bottom"/>
            <w:gridSpan w:val="3"/>
          </w:tcPr>
          <w:p>
            <w:pPr>
              <w:jc w:val="center"/>
              <w:ind w:right="908"/>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6"/>
        </w:trPr>
        <w:tc>
          <w:tcPr>
            <w:tcW w:w="48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6"/>
              </w:rPr>
              <w:t>2023</w:t>
            </w:r>
          </w:p>
        </w:tc>
        <w:tc>
          <w:tcPr>
            <w:tcW w:w="460" w:type="dxa"/>
            <w:vAlign w:val="bottom"/>
            <w:vMerge w:val="restart"/>
          </w:tcPr>
          <w:p>
            <w:pPr>
              <w:spacing w:after="0"/>
              <w:rPr>
                <w:sz w:val="2"/>
                <w:szCs w:val="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jc w:val="center"/>
              <w:ind w:left="259"/>
              <w:spacing w:after="0"/>
              <w:rPr>
                <w:sz w:val="20"/>
                <w:szCs w:val="20"/>
                <w:color w:val="auto"/>
              </w:rPr>
            </w:pPr>
            <w:r>
              <w:rPr>
                <w:rFonts w:ascii="Arial" w:cs="Arial" w:eastAsia="Arial" w:hAnsi="Arial"/>
                <w:sz w:val="14"/>
                <w:szCs w:val="14"/>
                <w:b w:val="1"/>
                <w:bCs w:val="1"/>
                <w:color w:val="auto"/>
                <w:w w:val="89"/>
              </w:rPr>
              <w:t>2023</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57"/>
        </w:trPr>
        <w:tc>
          <w:tcPr>
            <w:tcW w:w="480" w:type="dxa"/>
            <w:vAlign w:val="bottom"/>
          </w:tcPr>
          <w:p>
            <w:pPr>
              <w:jc w:val="center"/>
              <w:ind w:right="59"/>
              <w:spacing w:after="0"/>
              <w:rPr>
                <w:sz w:val="20"/>
                <w:szCs w:val="20"/>
                <w:color w:val="auto"/>
              </w:rPr>
            </w:pPr>
            <w:r>
              <w:rPr>
                <w:rFonts w:ascii="Arial" w:cs="Arial" w:eastAsia="Arial" w:hAnsi="Arial"/>
                <w:sz w:val="18"/>
                <w:szCs w:val="18"/>
                <w:color w:val="auto"/>
                <w:w w:val="94"/>
              </w:rPr>
              <w:t>27%</w:t>
            </w:r>
          </w:p>
        </w:tc>
        <w:tc>
          <w:tcPr>
            <w:tcW w:w="1780" w:type="dxa"/>
            <w:vAlign w:val="bottom"/>
            <w:gridSpan w:val="2"/>
          </w:tcPr>
          <w:p>
            <w:pPr>
              <w:jc w:val="center"/>
              <w:ind w:left="356"/>
              <w:spacing w:after="0"/>
              <w:rPr>
                <w:sz w:val="20"/>
                <w:szCs w:val="20"/>
                <w:color w:val="auto"/>
              </w:rPr>
            </w:pPr>
            <w:r>
              <w:rPr>
                <w:rFonts w:ascii="Arial" w:cs="Arial" w:eastAsia="Arial" w:hAnsi="Arial"/>
                <w:sz w:val="18"/>
                <w:szCs w:val="18"/>
                <w:color w:val="auto"/>
                <w:w w:val="94"/>
              </w:rPr>
              <w:t>28%</w:t>
            </w:r>
          </w:p>
        </w:tc>
        <w:tc>
          <w:tcPr>
            <w:tcW w:w="100" w:type="dxa"/>
            <w:vAlign w:val="bottom"/>
          </w:tcPr>
          <w:p>
            <w:pPr>
              <w:spacing w:after="0"/>
              <w:rPr>
                <w:sz w:val="22"/>
                <w:szCs w:val="22"/>
                <w:color w:val="auto"/>
              </w:rPr>
            </w:pPr>
          </w:p>
        </w:tc>
        <w:tc>
          <w:tcPr>
            <w:tcW w:w="980" w:type="dxa"/>
            <w:vAlign w:val="bottom"/>
          </w:tcPr>
          <w:p>
            <w:pPr>
              <w:jc w:val="center"/>
              <w:ind w:left="259"/>
              <w:spacing w:after="0"/>
              <w:rPr>
                <w:sz w:val="20"/>
                <w:szCs w:val="20"/>
                <w:color w:val="auto"/>
              </w:rPr>
            </w:pPr>
            <w:r>
              <w:rPr>
                <w:rFonts w:ascii="Arial" w:cs="Arial" w:eastAsia="Arial" w:hAnsi="Arial"/>
                <w:sz w:val="18"/>
                <w:szCs w:val="18"/>
                <w:color w:val="auto"/>
                <w:w w:val="88"/>
              </w:rPr>
              <w:t>28%</w:t>
            </w:r>
          </w:p>
        </w:tc>
        <w:tc>
          <w:tcPr>
            <w:tcW w:w="1780" w:type="dxa"/>
            <w:vAlign w:val="bottom"/>
            <w:gridSpan w:val="3"/>
          </w:tcPr>
          <w:p>
            <w:pPr>
              <w:jc w:val="center"/>
              <w:ind w:left="356"/>
              <w:spacing w:after="0"/>
              <w:rPr>
                <w:sz w:val="20"/>
                <w:szCs w:val="20"/>
                <w:color w:val="auto"/>
              </w:rPr>
            </w:pPr>
            <w:r>
              <w:rPr>
                <w:rFonts w:ascii="Arial" w:cs="Arial" w:eastAsia="Arial" w:hAnsi="Arial"/>
                <w:sz w:val="18"/>
                <w:szCs w:val="18"/>
                <w:color w:val="auto"/>
                <w:w w:val="94"/>
              </w:rPr>
              <w:t>29%</w:t>
            </w:r>
          </w:p>
        </w:tc>
        <w:tc>
          <w:tcPr>
            <w:tcW w:w="0" w:type="dxa"/>
            <w:vAlign w:val="bottom"/>
          </w:tcPr>
          <w:p>
            <w:pPr>
              <w:spacing w:after="0"/>
              <w:rPr>
                <w:sz w:val="1"/>
                <w:szCs w:val="1"/>
                <w:color w:val="auto"/>
              </w:rPr>
            </w:pPr>
          </w:p>
        </w:tc>
      </w:tr>
      <w:tr>
        <w:trPr>
          <w:trHeight w:val="270"/>
        </w:trPr>
        <w:tc>
          <w:tcPr>
            <w:tcW w:w="480" w:type="dxa"/>
            <w:vAlign w:val="bottom"/>
          </w:tcPr>
          <w:p>
            <w:pPr>
              <w:jc w:val="center"/>
              <w:ind w:right="59"/>
              <w:spacing w:after="0"/>
              <w:rPr>
                <w:sz w:val="20"/>
                <w:szCs w:val="20"/>
                <w:color w:val="auto"/>
              </w:rPr>
            </w:pPr>
            <w:r>
              <w:rPr>
                <w:rFonts w:ascii="Arial" w:cs="Arial" w:eastAsia="Arial" w:hAnsi="Arial"/>
                <w:sz w:val="18"/>
                <w:szCs w:val="18"/>
                <w:color w:val="auto"/>
                <w:w w:val="94"/>
              </w:rPr>
              <w:t>17%</w:t>
            </w:r>
          </w:p>
        </w:tc>
        <w:tc>
          <w:tcPr>
            <w:tcW w:w="1780" w:type="dxa"/>
            <w:vAlign w:val="bottom"/>
            <w:gridSpan w:val="2"/>
          </w:tcPr>
          <w:p>
            <w:pPr>
              <w:jc w:val="center"/>
              <w:ind w:left="356"/>
              <w:spacing w:after="0"/>
              <w:rPr>
                <w:sz w:val="20"/>
                <w:szCs w:val="20"/>
                <w:color w:val="auto"/>
              </w:rPr>
            </w:pPr>
            <w:r>
              <w:rPr>
                <w:rFonts w:ascii="Arial" w:cs="Arial" w:eastAsia="Arial" w:hAnsi="Arial"/>
                <w:sz w:val="18"/>
                <w:szCs w:val="18"/>
                <w:color w:val="auto"/>
                <w:w w:val="94"/>
              </w:rPr>
              <w:t>14%</w:t>
            </w:r>
          </w:p>
        </w:tc>
        <w:tc>
          <w:tcPr>
            <w:tcW w:w="100" w:type="dxa"/>
            <w:vAlign w:val="bottom"/>
          </w:tcPr>
          <w:p>
            <w:pPr>
              <w:spacing w:after="0"/>
              <w:rPr>
                <w:sz w:val="23"/>
                <w:szCs w:val="23"/>
                <w:color w:val="auto"/>
              </w:rPr>
            </w:pPr>
          </w:p>
        </w:tc>
        <w:tc>
          <w:tcPr>
            <w:tcW w:w="980" w:type="dxa"/>
            <w:vAlign w:val="bottom"/>
          </w:tcPr>
          <w:p>
            <w:pPr>
              <w:jc w:val="center"/>
              <w:ind w:left="259"/>
              <w:spacing w:after="0"/>
              <w:rPr>
                <w:sz w:val="20"/>
                <w:szCs w:val="20"/>
                <w:color w:val="auto"/>
              </w:rPr>
            </w:pPr>
            <w:r>
              <w:rPr>
                <w:rFonts w:ascii="Arial" w:cs="Arial" w:eastAsia="Arial" w:hAnsi="Arial"/>
                <w:sz w:val="18"/>
                <w:szCs w:val="18"/>
                <w:color w:val="auto"/>
                <w:w w:val="88"/>
              </w:rPr>
              <w:t>15%</w:t>
            </w:r>
          </w:p>
        </w:tc>
        <w:tc>
          <w:tcPr>
            <w:tcW w:w="1780" w:type="dxa"/>
            <w:vAlign w:val="bottom"/>
            <w:gridSpan w:val="3"/>
          </w:tcPr>
          <w:p>
            <w:pPr>
              <w:jc w:val="center"/>
              <w:ind w:left="356"/>
              <w:spacing w:after="0"/>
              <w:rPr>
                <w:sz w:val="20"/>
                <w:szCs w:val="20"/>
                <w:color w:val="auto"/>
              </w:rPr>
            </w:pPr>
            <w:r>
              <w:rPr>
                <w:rFonts w:ascii="Arial" w:cs="Arial" w:eastAsia="Arial" w:hAnsi="Arial"/>
                <w:sz w:val="18"/>
                <w:szCs w:val="18"/>
                <w:color w:val="auto"/>
                <w:w w:val="94"/>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-479425</wp:posOffset>
            </wp:positionV>
            <wp:extent cx="17487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606" w:lineRule="exact"/>
        <w:rPr>
          <w:sz w:val="20"/>
          <w:szCs w:val="20"/>
          <w:color w:val="auto"/>
        </w:rPr>
      </w:pPr>
    </w:p>
    <w:p>
      <w:pPr>
        <w:sectPr>
          <w:pgSz w:w="11900" w:h="16838" w:orient="portrait"/>
          <w:cols w:equalWidth="0" w:num="2">
            <w:col w:w="5780" w:space="340"/>
            <w:col w:w="5120"/>
          </w:cols>
          <w:pgMar w:left="320" w:top="125" w:right="339" w:bottom="1440" w:gutter="0" w:footer="0" w:header="0"/>
          <w:type w:val="continuous"/>
        </w:sectPr>
      </w:pPr>
    </w:p>
    <w:p>
      <w:pPr>
        <w:ind w:right="80"/>
        <w:spacing w:after="0" w:line="271" w:lineRule="auto"/>
        <w:rPr>
          <w:sz w:val="20"/>
          <w:szCs w:val="20"/>
          <w:color w:val="auto"/>
        </w:rPr>
      </w:pPr>
      <w:r>
        <w:rPr>
          <w:rFonts w:ascii="Arial" w:cs="Arial" w:eastAsia="Arial" w:hAnsi="Arial"/>
          <w:sz w:val="17"/>
          <w:szCs w:val="17"/>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Realized and unrealized losses from foreign currency re-measurement of transactions in nonfunctional currencies recognized in the condensed consolidated statements of income within general and administrative expense totaled $1.4 million and $1.4 million during the three months ended June 30, 2023 and 2022, respectively, and realized and unrealized losses totaled $1.8 million and $1.7 million during the six months ended June 30, 2023 and 2022, respectively.</w:t>
      </w:r>
    </w:p>
    <w:p>
      <w:pPr>
        <w:spacing w:after="0" w:line="13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Since our condensed consolidated financial statements are presented in U.S. dollars, we also translate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 Accordingly, increases or decreases in the value of the U.S. dollar against the other currencies will affect our operating revenues, operating income and the value of balance sheet items.</w:t>
      </w:r>
    </w:p>
    <w:p>
      <w:pPr>
        <w:spacing w:after="0" w:line="13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Aside from U.S. dollars, a significant portion of our revenues are denominated in euros and a significant portion of our expenses are denominated in British pound sterling. The following table shows the average foreign currency exchange rates to the U.S. dollar for the three and six months ended June 30, 2023 and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30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Six Months Ended</w:t>
            </w:r>
          </w:p>
        </w:tc>
        <w:tc>
          <w:tcPr>
            <w:tcW w:w="820" w:type="dxa"/>
            <w:vAlign w:val="bottom"/>
          </w:tcPr>
          <w:p>
            <w:pPr>
              <w:spacing w:after="0"/>
              <w:rPr>
                <w:sz w:val="16"/>
                <w:szCs w:val="16"/>
                <w:color w:val="auto"/>
              </w:rPr>
            </w:pPr>
          </w:p>
        </w:tc>
      </w:tr>
      <w:tr>
        <w:trPr>
          <w:trHeight w:val="189"/>
        </w:trPr>
        <w:tc>
          <w:tcPr>
            <w:tcW w:w="5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20" w:type="dxa"/>
            <w:vAlign w:val="bottom"/>
            <w:gridSpan w:val="3"/>
          </w:tcPr>
          <w:p>
            <w:pPr>
              <w:jc w:val="right"/>
              <w:ind w:right="588"/>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r>
      <w:tr>
        <w:trPr>
          <w:trHeight w:val="25"/>
        </w:trPr>
        <w:tc>
          <w:tcPr>
            <w:tcW w:w="5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56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89"/>
              </w:rPr>
              <w:t>2022</w:t>
            </w:r>
          </w:p>
        </w:tc>
      </w:tr>
      <w:tr>
        <w:trPr>
          <w:trHeight w:val="257"/>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9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90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British pound sterling</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1.25</w:t>
            </w:r>
          </w:p>
        </w:tc>
        <w:tc>
          <w:tcPr>
            <w:tcW w:w="98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1.26</w:t>
            </w:r>
          </w:p>
        </w:tc>
        <w:tc>
          <w:tcPr>
            <w:tcW w:w="90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1.23</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r>
    </w:tbl>
    <w:p>
      <w:pPr>
        <w:spacing w:after="0" w:line="256"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following table shows the change in revenue and operating income caused by fluctuations in foreign currency rates used in translation during the three and six months ended June 30, 2023 and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jc w:val="right"/>
              <w:ind w:right="6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Impact of Foreign Currency Rate Fluctuations (amounts in thousands)</w:t>
            </w: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7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revenue</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Increase (decrease) in operating income</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1,600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(6,300)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3,000</w:t>
            </w:r>
          </w:p>
        </w:tc>
        <w:tc>
          <w:tcPr>
            <w:tcW w:w="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(10,500)</w:t>
            </w:r>
          </w:p>
        </w:tc>
        <w:tc>
          <w:tcPr>
            <w:tcW w:w="0" w:type="dxa"/>
            <w:vAlign w:val="bottom"/>
          </w:tcPr>
          <w:p>
            <w:pPr>
              <w:spacing w:after="0"/>
              <w:rPr>
                <w:sz w:val="1"/>
                <w:szCs w:val="1"/>
                <w:color w:val="auto"/>
              </w:rPr>
            </w:pPr>
          </w:p>
        </w:tc>
      </w:tr>
      <w:tr>
        <w:trPr>
          <w:trHeight w:val="904"/>
        </w:trPr>
        <w:tc>
          <w:tcPr>
            <w:tcW w:w="552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74</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following table shows the impact a hypothetical 10% increase or decrease in the U.S. dollar against all other currencies and a hypothetical 10% increase or decrease in only euro or only British pound sterling exchange rates would have on the translation of actual revenue and operating income for the three and six months ended June 30, 2023 and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Hypothetical 10% Change in Value of U.S. Dollar (amounts in thousands)</w:t>
            </w: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All currencies</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20" w:type="dxa"/>
            <w:vAlign w:val="bottom"/>
          </w:tcPr>
          <w:p>
            <w:pPr>
              <w:ind w:left="20"/>
              <w:spacing w:after="0"/>
              <w:rPr>
                <w:sz w:val="20"/>
                <w:szCs w:val="20"/>
                <w:color w:val="auto"/>
              </w:rPr>
            </w:pPr>
            <w:r>
              <w:rPr>
                <w:rFonts w:ascii="Arial" w:cs="Arial" w:eastAsia="Arial" w:hAnsi="Arial"/>
                <w:sz w:val="18"/>
                <w:szCs w:val="18"/>
                <w:color w:val="auto"/>
              </w:rPr>
              <w:t>Effect of 10% change on revenue</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9,400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9,200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19,700</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19,600</w:t>
            </w: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10% change on operating income</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13,600</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i w:val="1"/>
                <w:iCs w:val="1"/>
                <w:color w:val="auto"/>
              </w:rPr>
              <w:t>Euros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10% change on revenue</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Effect of 10% change on operating income</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8,000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8,100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17,200</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17,400</w:t>
            </w:r>
          </w:p>
        </w:tc>
        <w:tc>
          <w:tcPr>
            <w:tcW w:w="0" w:type="dxa"/>
            <w:vAlign w:val="bottom"/>
          </w:tcPr>
          <w:p>
            <w:pPr>
              <w:spacing w:after="0"/>
              <w:rPr>
                <w:sz w:val="1"/>
                <w:szCs w:val="1"/>
                <w:color w:val="auto"/>
              </w:rPr>
            </w:pPr>
          </w:p>
        </w:tc>
      </w:tr>
      <w:tr>
        <w:trPr>
          <w:trHeight w:val="23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British pound sterling</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Effect of 10% change on revenue</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800</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10% change on operating income</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derivative risk relating to our foreign exchange derivative contracts. We enter into foreign currency forward contracts to mitigate our U.S. dollar and British pound sterling versus euro exposure, generally with a duration of not more than 12 months. In June 2023, we also entered into a foreign currency call option on Australian dollars, in order to partially mitigate the Company’s U.S. dollar versus Australian dollar foreign exchange exposure on the anticipated payment of the Australian dollar denominated purchase price for the expected Yieldbroker acquisition. We do not use derivative instruments for trading or speculative purposes.</w:t>
      </w:r>
    </w:p>
    <w:p>
      <w:pPr>
        <w:spacing w:after="0" w:line="14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As of June 30, 2023 and December 31, 2022, the notional amount of our foreign currency forward contracts was $181.4 million and $162.8 million, respectively. Realized and unrealized gains/losses on foreign currency forward contracts totaled a $2.2 million gain and a $5.5 million gain during the three months ended June 30, 2023 and 2022, respectively, and realized and unrealized gains on foreign currency forward contracts totaled $1.0 million and $6.2 million during the six months ended June 30, 2023 and 2022, respectively. As of June 30, 2023, the notional amount of our foreign currency call option on Australian dollars was $79.9 million and unrealized gains totaled $0.6 million during both the three and six months ended June 30, 2023.</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 As of June 30, 2023 and December 31, 2022, the counterparty on each of the foreign exchange derivative contracts was an affiliate of LSEG.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Cash and cash equivalents includes cash and money market instruments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2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have credit risk relating to our receivables, which are primarily receivables from financial institutions, including investment managers and brokers and dealers. As of June 30, 2023 and December 31, 2022, the allowance for credit losses with regard to these receivables totaled $0.2 million and $0.1 million, respectively.</w:t>
      </w:r>
    </w:p>
    <w:p>
      <w:pPr>
        <w:spacing w:after="0" w:line="15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Our management has evaluated, under the supervision of our Chief Executive Officer (“CEO”) and Chief Financial Officer (“CFO”), the effectiveness of our disclosure controls and procedures, as defined in Rule 13a</w:t>
      </w:r>
      <w:r>
        <w:rPr>
          <w:rFonts w:ascii="MS PGothic" w:cs="MS PGothic" w:eastAsia="MS PGothic" w:hAnsi="MS PGothic"/>
          <w:sz w:val="16"/>
          <w:szCs w:val="16"/>
          <w:color w:val="auto"/>
        </w:rPr>
        <w:t>‑</w:t>
      </w:r>
      <w:r>
        <w:rPr>
          <w:rFonts w:ascii="Arial" w:cs="Arial" w:eastAsia="Arial" w:hAnsi="Arial"/>
          <w:sz w:val="16"/>
          <w:szCs w:val="16"/>
          <w:color w:val="auto"/>
        </w:rPr>
        <w:t>15(e) of the Exchange Act, as of the end of the period covered by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Based on that evaluation, our CEO and CFO have concluded that our disclosure controls and procedures as of the end of the period covered by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are effective at a reasonable assurance level in ensuring that information required to be disclosed in our Exchange Act reports is (1) recorded, processed, summarized and reported in a timely manner and (2) accumulated and communicated to our management, including our CEO and CFO, as appropriate to allow timely decisions regarding required disclosure. Our management, including our CEO and CFO,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were no changes to our internal control over financial reporting during the quarter ended June 30, 2023 that have materially affected, or that are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0000FF"/>
        </w:rPr>
        <w:t>Note 13</w:t>
      </w:r>
      <w:r>
        <w:rPr>
          <w:rFonts w:ascii="Arial" w:cs="Arial" w:eastAsia="Arial" w:hAnsi="Arial"/>
          <w:sz w:val="16"/>
          <w:szCs w:val="16"/>
          <w:color w:val="auto"/>
        </w:rPr>
        <w:t xml:space="preserve"> to the condensed consolidated financial statements included elsewhere in this Quarterly Report on Form 10-Q, there have been no material changes from the legal proceedings previously disclosed under the heading “Item 3. Legal Proceedings” in Part I of our 2022 Form 10-K.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material changes to our principal risks that we believe are material to our business, results of operations and financial condition, from the risk factors previously disclosed in “Item 1A. Risk Factors” in Part I of our 2022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2023, we repurchased the following shares of Class A common stock: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8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w:t>
            </w:r>
          </w:p>
        </w:tc>
      </w:tr>
      <w:tr>
        <w:trPr>
          <w:trHeight w:val="175"/>
        </w:trPr>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8"/>
              </w:rPr>
              <w:t>Shares Purchased as</w:t>
            </w:r>
          </w:p>
        </w:tc>
        <w:tc>
          <w:tcPr>
            <w:tcW w:w="80" w:type="dxa"/>
            <w:vAlign w:val="bottom"/>
          </w:tcPr>
          <w:p>
            <w:pPr>
              <w:spacing w:after="0"/>
              <w:rPr>
                <w:sz w:val="15"/>
                <w:szCs w:val="15"/>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Value of Shares That</w:t>
            </w:r>
          </w:p>
        </w:tc>
      </w:tr>
      <w:tr>
        <w:trPr>
          <w:trHeight w:val="176"/>
        </w:trPr>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Part of Publicly</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May Yet Be</w:t>
            </w:r>
          </w:p>
        </w:tc>
      </w:tr>
      <w:tr>
        <w:trPr>
          <w:trHeight w:val="162"/>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Total Number of</w:t>
            </w:r>
          </w:p>
        </w:tc>
        <w:tc>
          <w:tcPr>
            <w:tcW w:w="8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Average Price Paid</w:t>
            </w: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Announced Plans or</w:t>
            </w:r>
          </w:p>
        </w:tc>
        <w:tc>
          <w:tcPr>
            <w:tcW w:w="8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Purchased Under the</w:t>
            </w:r>
          </w:p>
        </w:tc>
      </w:tr>
      <w:tr>
        <w:trPr>
          <w:trHeight w:val="186"/>
        </w:trPr>
        <w:tc>
          <w:tcPr>
            <w:tcW w:w="5500" w:type="dxa"/>
            <w:vAlign w:val="bottom"/>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16"/>
                <w:szCs w:val="16"/>
                <w:color w:val="auto"/>
              </w:rPr>
            </w:pPr>
          </w:p>
        </w:tc>
        <w:tc>
          <w:tcPr>
            <w:tcW w:w="1340" w:type="dxa"/>
            <w:vAlign w:val="bottom"/>
          </w:tcPr>
          <w:p>
            <w:pPr>
              <w:jc w:val="right"/>
              <w:ind w:right="42"/>
              <w:spacing w:after="0"/>
              <w:rPr>
                <w:sz w:val="20"/>
                <w:szCs w:val="20"/>
                <w:color w:val="auto"/>
              </w:rPr>
            </w:pPr>
            <w:r>
              <w:rPr>
                <w:rFonts w:ascii="Arial" w:cs="Arial" w:eastAsia="Arial" w:hAnsi="Arial"/>
                <w:sz w:val="14"/>
                <w:szCs w:val="14"/>
                <w:b w:val="1"/>
                <w:bCs w:val="1"/>
                <w:color w:val="auto"/>
                <w:w w:val="98"/>
              </w:rPr>
              <w:t>Shares Purchased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274"/>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9"/>
                <w:szCs w:val="9"/>
                <w:b w:val="1"/>
                <w:bCs w:val="1"/>
                <w:color w:val="auto"/>
                <w:w w:val="92"/>
              </w:rPr>
              <w:t>(1)</w:t>
            </w:r>
          </w:p>
        </w:tc>
        <w:tc>
          <w:tcPr>
            <w:tcW w:w="8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 xml:space="preserve">Plans or Programs </w:t>
            </w:r>
            <w:r>
              <w:rPr>
                <w:rFonts w:ascii="Arial" w:cs="Arial" w:eastAsia="Arial" w:hAnsi="Arial"/>
                <w:sz w:val="9"/>
                <w:szCs w:val="9"/>
                <w:b w:val="1"/>
                <w:bCs w:val="1"/>
                <w:color w:val="auto"/>
                <w:w w:val="93"/>
              </w:rPr>
              <w:t>(1)</w:t>
            </w:r>
          </w:p>
        </w:tc>
      </w:tr>
      <w:tr>
        <w:trPr>
          <w:trHeight w:val="39"/>
        </w:trPr>
        <w:tc>
          <w:tcPr>
            <w:tcW w:w="5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30"/>
        </w:trPr>
        <w:tc>
          <w:tcPr>
            <w:tcW w:w="5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jc w:val="center"/>
              <w:ind w:right="97"/>
              <w:spacing w:after="0"/>
              <w:rPr>
                <w:sz w:val="20"/>
                <w:szCs w:val="20"/>
                <w:color w:val="auto"/>
              </w:rPr>
            </w:pPr>
            <w:r>
              <w:rPr>
                <w:rFonts w:ascii="Arial" w:cs="Arial" w:eastAsia="Arial" w:hAnsi="Arial"/>
                <w:sz w:val="14"/>
                <w:szCs w:val="14"/>
                <w:b w:val="1"/>
                <w:bCs w:val="1"/>
                <w:color w:val="auto"/>
                <w:w w:val="91"/>
              </w:rPr>
              <w:t>(in thousands)</w:t>
            </w: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2023 - April 30, 2023</w:t>
            </w:r>
          </w:p>
        </w:tc>
        <w:tc>
          <w:tcPr>
            <w:tcW w:w="14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32,229</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w:t>
            </w:r>
          </w:p>
        </w:tc>
        <w:tc>
          <w:tcPr>
            <w:tcW w:w="1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32,229</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249,966</w:t>
            </w: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May 1, 2023 - May 31, 2023</w:t>
            </w:r>
          </w:p>
        </w:tc>
        <w:tc>
          <w:tcPr>
            <w:tcW w:w="1440" w:type="dxa"/>
            <w:vAlign w:val="bottom"/>
            <w:gridSpan w:val="2"/>
          </w:tcPr>
          <w:p>
            <w:pPr>
              <w:jc w:val="right"/>
              <w:ind w:right="2"/>
              <w:spacing w:after="0"/>
              <w:rPr>
                <w:sz w:val="20"/>
                <w:szCs w:val="20"/>
                <w:color w:val="auto"/>
              </w:rPr>
            </w:pPr>
            <w:r>
              <w:rPr>
                <w:rFonts w:ascii="Arial" w:cs="Arial" w:eastAsia="Arial" w:hAnsi="Arial"/>
                <w:sz w:val="18"/>
                <w:szCs w:val="18"/>
                <w:color w:val="auto"/>
              </w:rPr>
              <w:t>38,044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70.82</w:t>
            </w:r>
          </w:p>
        </w:tc>
        <w:tc>
          <w:tcPr>
            <w:tcW w:w="1440" w:type="dxa"/>
            <w:vAlign w:val="bottom"/>
            <w:gridSpan w:val="2"/>
          </w:tcPr>
          <w:p>
            <w:pPr>
              <w:jc w:val="right"/>
              <w:ind w:right="5"/>
              <w:spacing w:after="0"/>
              <w:rPr>
                <w:sz w:val="20"/>
                <w:szCs w:val="20"/>
                <w:color w:val="auto"/>
              </w:rPr>
            </w:pPr>
            <w:r>
              <w:rPr>
                <w:rFonts w:ascii="Arial" w:cs="Arial" w:eastAsia="Arial" w:hAnsi="Arial"/>
                <w:sz w:val="18"/>
                <w:szCs w:val="18"/>
                <w:color w:val="auto"/>
              </w:rPr>
              <w:t>38,044</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247,271</w:t>
            </w:r>
          </w:p>
        </w:tc>
      </w:tr>
      <w:tr>
        <w:trPr>
          <w:trHeight w:val="23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2023 - June 30, 2023</w:t>
            </w:r>
          </w:p>
        </w:tc>
        <w:tc>
          <w:tcPr>
            <w:tcW w:w="14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37,092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69.55</w:t>
            </w:r>
          </w:p>
        </w:tc>
        <w:tc>
          <w:tcPr>
            <w:tcW w:w="1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37,092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244,692</w:t>
            </w: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rPr>
              <w:t>107,365</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70.81</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8"/>
                <w:szCs w:val="18"/>
                <w:color w:val="auto"/>
              </w:rPr>
              <w:t>107,365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76" w:lineRule="exact"/>
        <w:rPr>
          <w:sz w:val="20"/>
          <w:szCs w:val="20"/>
          <w:color w:val="auto"/>
        </w:rPr>
      </w:pPr>
    </w:p>
    <w:p>
      <w:pPr>
        <w:ind w:left="340" w:right="80" w:hanging="332"/>
        <w:spacing w:after="0" w:line="286" w:lineRule="auto"/>
        <w:tabs>
          <w:tab w:leader="none" w:pos="328" w:val="left"/>
        </w:tabs>
        <w:numPr>
          <w:ilvl w:val="0"/>
          <w:numId w:val="33"/>
        </w:numPr>
        <w:rPr>
          <w:rFonts w:ascii="Arial" w:cs="Arial" w:eastAsia="Arial" w:hAnsi="Arial"/>
          <w:sz w:val="13"/>
          <w:szCs w:val="13"/>
          <w:color w:val="auto"/>
        </w:rPr>
      </w:pPr>
      <w:r>
        <w:rPr>
          <w:rFonts w:ascii="Arial" w:cs="Arial" w:eastAsia="Arial" w:hAnsi="Arial"/>
          <w:sz w:val="13"/>
          <w:szCs w:val="13"/>
          <w:color w:val="auto"/>
        </w:rPr>
        <w:t>On December 5, 2022, we announced that our board of directors authorized a new share repurchase program (the “2022 Share Repurchase Program”), after completing in October 2022, the $150.0 million of total repurchases of the Company’s Class A common stock previously authorized in February 2021 (the “2021 Share Repurchase Program”). The 2022 Share Repurchase Program was authorized to continue to offset annual dilution from stock-based compensation plans, as well as to opportunistically repurchase our Class A common stock. The 2022 Share Repurchase Program authorizes the purchase of up to $300.0 million of our Class A common stock at the Company’s discretion and has no termination date. The 2022 Share Repurchase Program can be effected through regular open-market purchases (which may include repurchase plans designed to comply with Rule 10b5-1), through privately negotiated transactions or through accelerated share repurchases, each in accordance with applicable securities laws and other restrictions. The 2022 Share Repurchase Program does not require the Company to acquire a specific number of shares and may be suspended, amended or discontinued at any time.</w:t>
      </w:r>
    </w:p>
    <w:p>
      <w:pPr>
        <w:spacing w:after="0" w:line="143" w:lineRule="exact"/>
        <w:rPr>
          <w:rFonts w:ascii="Arial" w:cs="Arial" w:eastAsia="Arial" w:hAnsi="Arial"/>
          <w:sz w:val="13"/>
          <w:szCs w:val="13"/>
          <w:color w:val="auto"/>
        </w:rPr>
      </w:pPr>
    </w:p>
    <w:p>
      <w:pPr>
        <w:ind w:left="340" w:right="220"/>
        <w:spacing w:after="0" w:line="267" w:lineRule="auto"/>
        <w:rPr>
          <w:rFonts w:ascii="Arial" w:cs="Arial" w:eastAsia="Arial" w:hAnsi="Arial"/>
          <w:sz w:val="13"/>
          <w:szCs w:val="13"/>
          <w:color w:val="auto"/>
        </w:rPr>
      </w:pPr>
      <w:r>
        <w:rPr>
          <w:rFonts w:ascii="Arial" w:cs="Arial" w:eastAsia="Arial" w:hAnsi="Arial"/>
          <w:sz w:val="14"/>
          <w:szCs w:val="14"/>
          <w:color w:val="auto"/>
        </w:rPr>
        <w:t>Each share of Class A common stock repurchased pursuant to the 2022 Share Repurchase Programs was funded with the proceeds, on a dollar-for-dollar basis, from the repurchase by Tradeweb Markets LLC of an LLC Interest from the Corporation in order to maintain the one-to-one ratio between outstanding shares of the Class A common stock and Class B common stock and the LLC Interests owned by the Corporation.</w:t>
      </w:r>
    </w:p>
    <w:p>
      <w:pPr>
        <w:spacing w:after="0" w:line="16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table above does not reflect shares surrendered to cover the payroll tax withholding obligations upon the exercise of stock options and vesting of PRSUs and RSUs. During the three months ended June 30, 2023, the Company withheld 26,259 shares of Class A common stock in connection with such exercises and vesting of stock awards.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None.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None.</w:t>
      </w:r>
    </w:p>
    <w:p>
      <w:pPr>
        <w:spacing w:after="0" w:line="198"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Securities Trading Plans of Executive Officers and Director</w:t>
      </w:r>
      <w:r>
        <w:rPr>
          <w:rFonts w:ascii="Arial" w:cs="Arial" w:eastAsia="Arial" w:hAnsi="Arial"/>
          <w:sz w:val="18"/>
          <w:szCs w:val="18"/>
          <w:color w:val="auto"/>
        </w:rPr>
        <w:t>s</w:t>
      </w:r>
    </w:p>
    <w:p>
      <w:pPr>
        <w:spacing w:after="0" w:line="18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following table describes trading plans intended to satisfy the affirmative defense conditions of Rule 10b5-1(c) under the Exchange Act, as defined in Item 408 of Regulation S-K (“Rule 10b5-1 trading arrangements”) adopted by our executive officers and directors during the three months ended June 30,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Scheduled Expiration Date of</w:t>
            </w:r>
          </w:p>
        </w:tc>
        <w:tc>
          <w:tcPr>
            <w:tcW w:w="5120" w:type="dxa"/>
            <w:vAlign w:val="bottom"/>
          </w:tcPr>
          <w:p>
            <w:pPr>
              <w:spacing w:after="0"/>
              <w:rPr>
                <w:sz w:val="15"/>
                <w:szCs w:val="15"/>
                <w:color w:val="auto"/>
              </w:rPr>
            </w:pPr>
          </w:p>
        </w:tc>
      </w:tr>
      <w:tr>
        <w:trPr>
          <w:trHeight w:val="172"/>
        </w:trPr>
        <w:tc>
          <w:tcPr>
            <w:tcW w:w="206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Arial" w:cs="Arial" w:eastAsia="Arial" w:hAnsi="Arial"/>
                <w:sz w:val="14"/>
                <w:szCs w:val="14"/>
                <w:b w:val="1"/>
                <w:bCs w:val="1"/>
                <w:color w:val="auto"/>
                <w:w w:val="94"/>
              </w:rPr>
              <w:t>Date of Adoption of Rule 10b5-1</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4"/>
              </w:rPr>
              <w:t>Rule 10b5-1 Trading</w:t>
            </w:r>
          </w:p>
        </w:tc>
        <w:tc>
          <w:tcPr>
            <w:tcW w:w="5120" w:type="dxa"/>
            <w:vAlign w:val="bottom"/>
          </w:tcPr>
          <w:p>
            <w:pPr>
              <w:spacing w:after="0"/>
              <w:rPr>
                <w:sz w:val="14"/>
                <w:szCs w:val="14"/>
                <w:color w:val="auto"/>
              </w:rPr>
            </w:pPr>
          </w:p>
        </w:tc>
      </w:tr>
      <w:tr>
        <w:trPr>
          <w:trHeight w:val="228"/>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and Title</w:t>
            </w:r>
          </w:p>
        </w:tc>
        <w:tc>
          <w:tcPr>
            <w:tcW w:w="20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Trading Arrangement</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Arrangement </w:t>
            </w:r>
            <w:r>
              <w:rPr>
                <w:rFonts w:ascii="Arial" w:cs="Arial" w:eastAsia="Arial" w:hAnsi="Arial"/>
                <w:sz w:val="18"/>
                <w:szCs w:val="18"/>
                <w:b w:val="1"/>
                <w:bCs w:val="1"/>
                <w:color w:val="auto"/>
                <w:w w:val="92"/>
                <w:vertAlign w:val="superscript"/>
              </w:rPr>
              <w:t>(1)</w:t>
            </w:r>
          </w:p>
        </w:tc>
        <w:tc>
          <w:tcPr>
            <w:tcW w:w="51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Aggregate Number of Securities to be Purchased or Sold</w:t>
            </w:r>
          </w:p>
        </w:tc>
      </w:tr>
      <w:tr>
        <w:trPr>
          <w:trHeight w:val="169"/>
        </w:trPr>
        <w:tc>
          <w:tcPr>
            <w:tcW w:w="206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Billy Hult</w:t>
            </w:r>
          </w:p>
        </w:tc>
        <w:tc>
          <w:tcPr>
            <w:tcW w:w="206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May 16, 2023</w:t>
            </w:r>
          </w:p>
        </w:tc>
        <w:tc>
          <w:tcPr>
            <w:tcW w:w="200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May 16, 2024</w:t>
            </w:r>
          </w:p>
        </w:tc>
        <w:tc>
          <w:tcPr>
            <w:tcW w:w="5120" w:type="dxa"/>
            <w:vAlign w:val="bottom"/>
            <w:shd w:val="clear" w:color="auto" w:fill="CCEEFF"/>
          </w:tcPr>
          <w:p>
            <w:pPr>
              <w:ind w:left="80"/>
              <w:spacing w:after="0" w:line="169" w:lineRule="exact"/>
              <w:rPr>
                <w:sz w:val="20"/>
                <w:szCs w:val="20"/>
                <w:color w:val="auto"/>
              </w:rPr>
            </w:pPr>
            <w:r>
              <w:rPr>
                <w:rFonts w:ascii="Arial" w:cs="Arial" w:eastAsia="Arial" w:hAnsi="Arial"/>
                <w:sz w:val="18"/>
                <w:szCs w:val="18"/>
                <w:color w:val="auto"/>
              </w:rPr>
              <w:t>Sale of an amount equal to up to: (i) 49,688 shares of Class A</w:t>
            </w:r>
          </w:p>
        </w:tc>
      </w:tr>
      <w:tr>
        <w:trPr>
          <w:trHeight w:val="176"/>
        </w:trPr>
        <w:tc>
          <w:tcPr>
            <w:tcW w:w="2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w w:val="92"/>
              </w:rPr>
              <w:t>Chief Executive Officer and</w:t>
            </w:r>
          </w:p>
        </w:tc>
        <w:tc>
          <w:tcPr>
            <w:tcW w:w="20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51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3"/>
              </w:rPr>
              <w:t>common stock to be issued upon the vesting on January 1, 2024 of</w:t>
            </w:r>
          </w:p>
        </w:tc>
      </w:tr>
      <w:tr>
        <w:trPr>
          <w:trHeight w:val="188"/>
        </w:trPr>
        <w:tc>
          <w:tcPr>
            <w:tcW w:w="20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i w:val="1"/>
                <w:iCs w:val="1"/>
                <w:color w:val="auto"/>
              </w:rPr>
              <w:t>Director</w:t>
            </w:r>
          </w:p>
        </w:tc>
        <w:tc>
          <w:tcPr>
            <w:tcW w:w="20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512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w w:val="95"/>
              </w:rPr>
              <w:t>previously awarded performance-based restricted stock units, plus</w:t>
            </w:r>
          </w:p>
        </w:tc>
      </w:tr>
      <w:tr>
        <w:trPr>
          <w:trHeight w:val="176"/>
        </w:trPr>
        <w:tc>
          <w:tcPr>
            <w:tcW w:w="206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51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3"/>
              </w:rPr>
              <w:t>(ii) the number of shares issued upon vesting on January 1, 2024 in</w:t>
            </w:r>
          </w:p>
        </w:tc>
      </w:tr>
      <w:tr>
        <w:trPr>
          <w:trHeight w:val="176"/>
        </w:trPr>
        <w:tc>
          <w:tcPr>
            <w:tcW w:w="206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51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9"/>
              </w:rPr>
              <w:t>settlement of dividend equivalent rights in respect of the 49,688</w:t>
            </w:r>
          </w:p>
        </w:tc>
      </w:tr>
      <w:tr>
        <w:trPr>
          <w:trHeight w:val="188"/>
        </w:trPr>
        <w:tc>
          <w:tcPr>
            <w:tcW w:w="206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512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w w:val="94"/>
              </w:rPr>
              <w:t>shares subject to the performance-based restricted stock units that</w:t>
            </w:r>
          </w:p>
        </w:tc>
      </w:tr>
      <w:tr>
        <w:trPr>
          <w:trHeight w:val="176"/>
        </w:trPr>
        <w:tc>
          <w:tcPr>
            <w:tcW w:w="206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51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accrued during the award’s vesting period of March 15, 2021 -</w:t>
            </w:r>
          </w:p>
        </w:tc>
      </w:tr>
      <w:tr>
        <w:trPr>
          <w:trHeight w:val="176"/>
        </w:trPr>
        <w:tc>
          <w:tcPr>
            <w:tcW w:w="206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51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3"/>
              </w:rPr>
              <w:t>January 1, 2024, pursuant to the terms of the award agreement and</w:t>
            </w:r>
          </w:p>
        </w:tc>
      </w:tr>
      <w:tr>
        <w:trPr>
          <w:trHeight w:val="188"/>
        </w:trPr>
        <w:tc>
          <w:tcPr>
            <w:tcW w:w="206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512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determined on the vesting date, less (iii) the number of shares</w:t>
            </w:r>
          </w:p>
        </w:tc>
      </w:tr>
      <w:tr>
        <w:trPr>
          <w:trHeight w:val="230"/>
        </w:trPr>
        <w:tc>
          <w:tcPr>
            <w:tcW w:w="206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5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withheld for taxes, to be determined on the vesting date.</w:t>
            </w:r>
          </w:p>
        </w:tc>
      </w:tr>
      <w:tr>
        <w:trPr>
          <w:trHeight w:val="175"/>
        </w:trPr>
        <w:tc>
          <w:tcPr>
            <w:tcW w:w="2060" w:type="dxa"/>
            <w:vAlign w:val="bottom"/>
          </w:tcPr>
          <w:p>
            <w:pPr>
              <w:ind w:left="20"/>
              <w:spacing w:after="0" w:line="176" w:lineRule="exact"/>
              <w:rPr>
                <w:sz w:val="20"/>
                <w:szCs w:val="20"/>
                <w:color w:val="auto"/>
              </w:rPr>
            </w:pPr>
            <w:r>
              <w:rPr>
                <w:rFonts w:ascii="Arial" w:cs="Arial" w:eastAsia="Arial" w:hAnsi="Arial"/>
                <w:sz w:val="18"/>
                <w:szCs w:val="18"/>
                <w:color w:val="auto"/>
              </w:rPr>
              <w:t>Justin Peterson</w:t>
            </w:r>
          </w:p>
        </w:tc>
        <w:tc>
          <w:tcPr>
            <w:tcW w:w="2060" w:type="dxa"/>
            <w:vAlign w:val="bottom"/>
          </w:tcPr>
          <w:p>
            <w:pPr>
              <w:ind w:left="20"/>
              <w:spacing w:after="0" w:line="176" w:lineRule="exact"/>
              <w:rPr>
                <w:sz w:val="20"/>
                <w:szCs w:val="20"/>
                <w:color w:val="auto"/>
              </w:rPr>
            </w:pPr>
            <w:r>
              <w:rPr>
                <w:rFonts w:ascii="Arial" w:cs="Arial" w:eastAsia="Arial" w:hAnsi="Arial"/>
                <w:sz w:val="18"/>
                <w:szCs w:val="18"/>
                <w:color w:val="auto"/>
              </w:rPr>
              <w:t>June 15, 2023</w:t>
            </w:r>
          </w:p>
        </w:tc>
        <w:tc>
          <w:tcPr>
            <w:tcW w:w="2000" w:type="dxa"/>
            <w:vAlign w:val="bottom"/>
          </w:tcPr>
          <w:p>
            <w:pPr>
              <w:ind w:left="20"/>
              <w:spacing w:after="0" w:line="176" w:lineRule="exact"/>
              <w:rPr>
                <w:sz w:val="20"/>
                <w:szCs w:val="20"/>
                <w:color w:val="auto"/>
              </w:rPr>
            </w:pPr>
            <w:r>
              <w:rPr>
                <w:rFonts w:ascii="Arial" w:cs="Arial" w:eastAsia="Arial" w:hAnsi="Arial"/>
                <w:sz w:val="18"/>
                <w:szCs w:val="18"/>
                <w:color w:val="auto"/>
              </w:rPr>
              <w:t>March 15, 2024</w:t>
            </w:r>
          </w:p>
        </w:tc>
        <w:tc>
          <w:tcPr>
            <w:tcW w:w="5120" w:type="dxa"/>
            <w:vAlign w:val="bottom"/>
          </w:tcPr>
          <w:p>
            <w:pPr>
              <w:ind w:left="80"/>
              <w:spacing w:after="0" w:line="176" w:lineRule="exact"/>
              <w:rPr>
                <w:sz w:val="20"/>
                <w:szCs w:val="20"/>
                <w:color w:val="auto"/>
              </w:rPr>
            </w:pPr>
            <w:r>
              <w:rPr>
                <w:rFonts w:ascii="Arial" w:cs="Arial" w:eastAsia="Arial" w:hAnsi="Arial"/>
                <w:sz w:val="18"/>
                <w:szCs w:val="18"/>
                <w:color w:val="auto"/>
              </w:rPr>
              <w:t>Sale of up to 33,550 shares of Class A common stock.</w:t>
            </w:r>
          </w:p>
        </w:tc>
      </w:tr>
      <w:tr>
        <w:trPr>
          <w:trHeight w:val="230"/>
        </w:trPr>
        <w:tc>
          <w:tcPr>
            <w:tcW w:w="2060" w:type="dxa"/>
            <w:vAlign w:val="bottom"/>
          </w:tcPr>
          <w:p>
            <w:pPr>
              <w:ind w:left="20"/>
              <w:spacing w:after="0"/>
              <w:rPr>
                <w:sz w:val="20"/>
                <w:szCs w:val="20"/>
                <w:color w:val="auto"/>
              </w:rPr>
            </w:pPr>
            <w:r>
              <w:rPr>
                <w:rFonts w:ascii="Arial" w:cs="Arial" w:eastAsia="Arial" w:hAnsi="Arial"/>
                <w:sz w:val="18"/>
                <w:szCs w:val="18"/>
                <w:i w:val="1"/>
                <w:iCs w:val="1"/>
                <w:color w:val="auto"/>
              </w:rPr>
              <w:t>Chief Technology Officer</w:t>
            </w:r>
          </w:p>
        </w:tc>
        <w:tc>
          <w:tcPr>
            <w:tcW w:w="20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120" w:type="dxa"/>
            <w:vAlign w:val="bottom"/>
          </w:tcPr>
          <w:p>
            <w:pPr>
              <w:spacing w:after="0"/>
              <w:rPr>
                <w:sz w:val="20"/>
                <w:szCs w:val="20"/>
                <w:color w:val="auto"/>
              </w:rPr>
            </w:pPr>
          </w:p>
        </w:tc>
      </w:tr>
    </w:tbl>
    <w:p>
      <w:pPr>
        <w:spacing w:after="0" w:line="7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In each case, a Rule 10b5-1 trading arrangement may also expire on such earlier date as all such transactions under the trading arrangement are completed.</w:t>
      </w:r>
    </w:p>
    <w:p>
      <w:pPr>
        <w:spacing w:after="0" w:line="200" w:lineRule="exact"/>
        <w:rPr>
          <w:sz w:val="20"/>
          <w:szCs w:val="20"/>
          <w:color w:val="auto"/>
        </w:rPr>
      </w:pPr>
    </w:p>
    <w:p>
      <w:pPr>
        <w:spacing w:after="0" w:line="22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three months ended June 30, 2023, none of our directors or executive officers modified or terminated a Rule 10b5-1 trading arrangement or adopted, modified or terminated a non-Rule 10b5-1 trading arrangement (as defined in Item 408 of Regulation S-K).</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8180" w:type="dxa"/>
            <w:vAlign w:val="bottom"/>
            <w:tcBorders>
              <w:bottom w:val="single" w:sz="8" w:color="auto"/>
            </w:tcBorders>
            <w:gridSpan w:val="6"/>
          </w:tcPr>
          <w:p>
            <w:pPr>
              <w:ind w:left="2720"/>
              <w:spacing w:after="0"/>
              <w:rPr>
                <w:sz w:val="20"/>
                <w:szCs w:val="20"/>
                <w:color w:val="auto"/>
              </w:rPr>
            </w:pPr>
            <w:r>
              <w:rPr>
                <w:rFonts w:ascii="Arial" w:cs="Arial" w:eastAsia="Arial" w:hAnsi="Arial"/>
                <w:sz w:val="14"/>
                <w:szCs w:val="14"/>
                <w:b w:val="1"/>
                <w:bCs w:val="1"/>
                <w:color w:val="auto"/>
              </w:rPr>
              <w:t>Description of Exhibit</w:t>
            </w:r>
          </w:p>
        </w:tc>
      </w:tr>
      <w:tr>
        <w:trPr>
          <w:trHeight w:val="350"/>
        </w:trPr>
        <w:tc>
          <w:tcPr>
            <w:tcW w:w="154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7"/>
          </w:tcPr>
          <w:p>
            <w:pPr>
              <w:spacing w:after="0" w:line="207" w:lineRule="exact"/>
              <w:rPr>
                <w:sz w:val="20"/>
                <w:szCs w:val="20"/>
                <w:color w:val="auto"/>
              </w:rPr>
            </w:pPr>
            <w:r>
              <w:rPr>
                <w:rFonts w:ascii="Arial" w:cs="Arial" w:eastAsia="Arial" w:hAnsi="Arial"/>
                <w:sz w:val="18"/>
                <w:szCs w:val="18"/>
                <w:color w:val="0000FF"/>
                <w:w w:val="98"/>
              </w:rPr>
              <w:t>Certification of Chief Executive Officer pursuant to Rule 13a</w:t>
            </w:r>
            <w:r>
              <w:rPr>
                <w:rFonts w:ascii="MS PGothic" w:cs="MS PGothic" w:eastAsia="MS PGothic" w:hAnsi="MS PGothic"/>
                <w:sz w:val="18"/>
                <w:szCs w:val="18"/>
                <w:color w:val="0000FF"/>
                <w:w w:val="98"/>
              </w:rPr>
              <w:t>‑</w:t>
            </w:r>
            <w:r>
              <w:rPr>
                <w:rFonts w:ascii="Arial" w:cs="Arial" w:eastAsia="Arial" w:hAnsi="Arial"/>
                <w:sz w:val="18"/>
                <w:szCs w:val="18"/>
                <w:color w:val="0000FF"/>
                <w:w w:val="98"/>
              </w:rPr>
              <w:t>14(a) or 15d</w:t>
            </w:r>
            <w:r>
              <w:rPr>
                <w:rFonts w:ascii="MS PGothic" w:cs="MS PGothic" w:eastAsia="MS PGothic" w:hAnsi="MS PGothic"/>
                <w:sz w:val="18"/>
                <w:szCs w:val="18"/>
                <w:color w:val="0000FF"/>
                <w:w w:val="98"/>
              </w:rPr>
              <w:t>‑</w:t>
            </w:r>
            <w:r>
              <w:rPr>
                <w:rFonts w:ascii="Arial" w:cs="Arial" w:eastAsia="Arial" w:hAnsi="Arial"/>
                <w:sz w:val="18"/>
                <w:szCs w:val="18"/>
                <w:color w:val="0000FF"/>
                <w:w w:val="98"/>
              </w:rPr>
              <w:t>14(a) of the Securities Exchange Act of 1934, as</w:t>
            </w:r>
          </w:p>
        </w:tc>
      </w:tr>
      <w:tr>
        <w:trPr>
          <w:trHeight w:val="156"/>
        </w:trPr>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rPr>
              <w:t>amended, as adopted pursuant to Section 302 of the Sarbanes-Oxley Act of 2002.</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460" w:type="dxa"/>
            <w:vAlign w:val="bottom"/>
            <w:shd w:val="clear" w:color="auto" w:fill="0000FF"/>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72"/>
        </w:trPr>
        <w:tc>
          <w:tcPr>
            <w:tcW w:w="154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7"/>
          </w:tcPr>
          <w:p>
            <w:pPr>
              <w:spacing w:after="0" w:line="207" w:lineRule="exact"/>
              <w:rPr>
                <w:sz w:val="20"/>
                <w:szCs w:val="20"/>
                <w:color w:val="auto"/>
              </w:rPr>
            </w:pPr>
            <w:r>
              <w:rPr>
                <w:rFonts w:ascii="Arial" w:cs="Arial" w:eastAsia="Arial" w:hAnsi="Arial"/>
                <w:sz w:val="18"/>
                <w:szCs w:val="18"/>
                <w:color w:val="0000FF"/>
                <w:w w:val="98"/>
              </w:rPr>
              <w:t>Certification of Chief Financial Officer pursuant to Rule 13a</w:t>
            </w:r>
            <w:r>
              <w:rPr>
                <w:rFonts w:ascii="MS PGothic" w:cs="MS PGothic" w:eastAsia="MS PGothic" w:hAnsi="MS PGothic"/>
                <w:sz w:val="18"/>
                <w:szCs w:val="18"/>
                <w:color w:val="0000FF"/>
                <w:w w:val="98"/>
              </w:rPr>
              <w:t>‑</w:t>
            </w:r>
            <w:r>
              <w:rPr>
                <w:rFonts w:ascii="Arial" w:cs="Arial" w:eastAsia="Arial" w:hAnsi="Arial"/>
                <w:sz w:val="18"/>
                <w:szCs w:val="18"/>
                <w:color w:val="0000FF"/>
                <w:w w:val="98"/>
              </w:rPr>
              <w:t>14(a) or 15d</w:t>
            </w:r>
            <w:r>
              <w:rPr>
                <w:rFonts w:ascii="MS PGothic" w:cs="MS PGothic" w:eastAsia="MS PGothic" w:hAnsi="MS PGothic"/>
                <w:sz w:val="18"/>
                <w:szCs w:val="18"/>
                <w:color w:val="0000FF"/>
                <w:w w:val="98"/>
              </w:rPr>
              <w:t>‑</w:t>
            </w:r>
            <w:r>
              <w:rPr>
                <w:rFonts w:ascii="Arial" w:cs="Arial" w:eastAsia="Arial" w:hAnsi="Arial"/>
                <w:sz w:val="18"/>
                <w:szCs w:val="18"/>
                <w:color w:val="0000FF"/>
                <w:w w:val="98"/>
              </w:rPr>
              <w:t>14(a) of the Securities Exchange Act of 1934, as</w:t>
            </w:r>
          </w:p>
        </w:tc>
      </w:tr>
      <w:tr>
        <w:trPr>
          <w:trHeight w:val="169"/>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60" w:type="dxa"/>
            <w:vAlign w:val="bottom"/>
            <w:tcBorders>
              <w:top w:val="single" w:sz="8" w:color="0000FF"/>
            </w:tcBorders>
            <w:gridSpan w:val="3"/>
          </w:tcPr>
          <w:p>
            <w:pPr>
              <w:spacing w:after="0" w:line="169" w:lineRule="exact"/>
              <w:rPr>
                <w:sz w:val="20"/>
                <w:szCs w:val="20"/>
                <w:color w:val="auto"/>
              </w:rPr>
            </w:pPr>
            <w:r>
              <w:rPr>
                <w:rFonts w:ascii="Arial" w:cs="Arial" w:eastAsia="Arial" w:hAnsi="Arial"/>
                <w:sz w:val="18"/>
                <w:szCs w:val="18"/>
                <w:color w:val="0000FF"/>
              </w:rPr>
              <w:t>amended, as adopted pursuant to Section 302 of the Sarbanes-Oxley Act of 2002.</w:t>
            </w:r>
          </w:p>
        </w:tc>
        <w:tc>
          <w:tcPr>
            <w:tcW w:w="3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0"/>
        </w:trPr>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460" w:type="dxa"/>
            <w:vAlign w:val="bottom"/>
            <w:shd w:val="clear" w:color="auto" w:fill="0000FF"/>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71"/>
        </w:trPr>
        <w:tc>
          <w:tcPr>
            <w:tcW w:w="154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7"/>
          </w:tcPr>
          <w:p>
            <w:pPr>
              <w:spacing w:after="0"/>
              <w:rPr>
                <w:sz w:val="20"/>
                <w:szCs w:val="20"/>
                <w:color w:val="auto"/>
              </w:rPr>
            </w:pPr>
            <w:r>
              <w:rPr>
                <w:rFonts w:ascii="Arial" w:cs="Arial" w:eastAsia="Arial" w:hAnsi="Arial"/>
                <w:sz w:val="18"/>
                <w:szCs w:val="18"/>
                <w:color w:val="0000FF"/>
                <w:w w:val="93"/>
              </w:rPr>
              <w:t>Certification of Chief Executive Officer pursuant to 18 U.S.C. Section 1350, as adopted pursuant to Section 906 of the Sarbanes-</w:t>
            </w:r>
          </w:p>
        </w:tc>
      </w:tr>
      <w:tr>
        <w:trPr>
          <w:trHeight w:val="156"/>
        </w:trPr>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2"/>
              </w:rPr>
              <w:t>Oxley Act of 2002.</w:t>
            </w:r>
          </w:p>
        </w:tc>
        <w:tc>
          <w:tcPr>
            <w:tcW w:w="7900" w:type="dxa"/>
            <w:vAlign w:val="bottom"/>
            <w:tcBorders>
              <w:top w:val="single" w:sz="8" w:color="0000FF"/>
            </w:tcBorders>
            <w:gridSpan w:val="5"/>
          </w:tcPr>
          <w:p>
            <w:pPr>
              <w:spacing w:after="0"/>
              <w:rPr>
                <w:sz w:val="13"/>
                <w:szCs w:val="13"/>
                <w:color w:val="auto"/>
              </w:rPr>
            </w:pPr>
          </w:p>
        </w:tc>
        <w:tc>
          <w:tcPr>
            <w:tcW w:w="280" w:type="dxa"/>
            <w:vAlign w:val="bottom"/>
          </w:tcPr>
          <w:p>
            <w:pPr>
              <w:spacing w:after="0"/>
              <w:rPr>
                <w:sz w:val="13"/>
                <w:szCs w:val="13"/>
                <w:color w:val="auto"/>
              </w:rPr>
            </w:pPr>
          </w:p>
        </w:tc>
      </w:tr>
      <w:tr>
        <w:trPr>
          <w:trHeight w:val="385"/>
        </w:trPr>
        <w:tc>
          <w:tcPr>
            <w:tcW w:w="154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7"/>
          </w:tcPr>
          <w:p>
            <w:pPr>
              <w:spacing w:after="0"/>
              <w:rPr>
                <w:sz w:val="20"/>
                <w:szCs w:val="20"/>
                <w:color w:val="auto"/>
              </w:rPr>
            </w:pPr>
            <w:r>
              <w:rPr>
                <w:rFonts w:ascii="Arial" w:cs="Arial" w:eastAsia="Arial" w:hAnsi="Arial"/>
                <w:sz w:val="18"/>
                <w:szCs w:val="18"/>
                <w:color w:val="0000FF"/>
                <w:w w:val="93"/>
              </w:rPr>
              <w:t>Certification of Chief Financial Officer pursuant to 18 U.S.C. Section 1350, as adopted pursuant to Section 906 of the Sarbanes-</w:t>
            </w:r>
          </w:p>
        </w:tc>
      </w:tr>
      <w:tr>
        <w:trPr>
          <w:trHeight w:val="156"/>
        </w:trPr>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2"/>
              </w:rPr>
              <w:t>Oxley Act of 2002.</w:t>
            </w:r>
          </w:p>
        </w:tc>
        <w:tc>
          <w:tcPr>
            <w:tcW w:w="7860" w:type="dxa"/>
            <w:vAlign w:val="bottom"/>
            <w:tcBorders>
              <w:top w:val="single" w:sz="8" w:color="0000FF"/>
            </w:tcBorders>
            <w:gridSpan w:val="4"/>
          </w:tcPr>
          <w:p>
            <w:pPr>
              <w:spacing w:after="0"/>
              <w:rPr>
                <w:sz w:val="13"/>
                <w:szCs w:val="13"/>
                <w:color w:val="auto"/>
              </w:rPr>
            </w:pPr>
          </w:p>
        </w:tc>
        <w:tc>
          <w:tcPr>
            <w:tcW w:w="320" w:type="dxa"/>
            <w:vAlign w:val="bottom"/>
            <w:gridSpan w:val="2"/>
          </w:tcPr>
          <w:p>
            <w:pPr>
              <w:spacing w:after="0"/>
              <w:rPr>
                <w:sz w:val="13"/>
                <w:szCs w:val="13"/>
                <w:color w:val="auto"/>
              </w:rPr>
            </w:pPr>
          </w:p>
        </w:tc>
      </w:tr>
      <w:tr>
        <w:trPr>
          <w:trHeight w:val="412"/>
        </w:trPr>
        <w:tc>
          <w:tcPr>
            <w:tcW w:w="1540" w:type="dxa"/>
            <w:vAlign w:val="bottom"/>
          </w:tcPr>
          <w:p>
            <w:pPr>
              <w:ind w:left="2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405"/>
        </w:trPr>
        <w:tc>
          <w:tcPr>
            <w:tcW w:w="1540" w:type="dxa"/>
            <w:vAlign w:val="bottom"/>
          </w:tcPr>
          <w:p>
            <w:pPr>
              <w:ind w:left="2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92"/>
        </w:trPr>
        <w:tc>
          <w:tcPr>
            <w:tcW w:w="1540" w:type="dxa"/>
            <w:vAlign w:val="bottom"/>
          </w:tcPr>
          <w:p>
            <w:pPr>
              <w:ind w:left="2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1"/>
        </w:trPr>
        <w:tc>
          <w:tcPr>
            <w:tcW w:w="1540" w:type="dxa"/>
            <w:vAlign w:val="bottom"/>
          </w:tcPr>
          <w:p>
            <w:pPr>
              <w:ind w:left="2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05"/>
        </w:trPr>
        <w:tc>
          <w:tcPr>
            <w:tcW w:w="1540" w:type="dxa"/>
            <w:vAlign w:val="bottom"/>
          </w:tcPr>
          <w:p>
            <w:pPr>
              <w:ind w:left="2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2"/>
        </w:trPr>
        <w:tc>
          <w:tcPr>
            <w:tcW w:w="1540" w:type="dxa"/>
            <w:vAlign w:val="bottom"/>
          </w:tcPr>
          <w:p>
            <w:pPr>
              <w:ind w:left="2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92"/>
        </w:trPr>
        <w:tc>
          <w:tcPr>
            <w:tcW w:w="15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7"/>
          </w:tcPr>
          <w:p>
            <w:pPr>
              <w:spacing w:after="0"/>
              <w:rPr>
                <w:sz w:val="20"/>
                <w:szCs w:val="20"/>
                <w:color w:val="auto"/>
              </w:rPr>
            </w:pPr>
            <w:r>
              <w:rPr>
                <w:rFonts w:ascii="Arial" w:cs="Arial" w:eastAsia="Arial" w:hAnsi="Arial"/>
                <w:sz w:val="18"/>
                <w:szCs w:val="18"/>
                <w:color w:val="auto"/>
              </w:rPr>
              <w:t>Cover page formatted as Inline XBRL and contained in Exhibit 101.</w:t>
            </w:r>
          </w:p>
        </w:tc>
      </w:tr>
    </w:tbl>
    <w:p>
      <w:pPr>
        <w:spacing w:after="0" w:line="26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3" w:lineRule="exact"/>
        <w:rPr>
          <w:sz w:val="20"/>
          <w:szCs w:val="20"/>
          <w:color w:val="auto"/>
        </w:rPr>
      </w:pPr>
    </w:p>
    <w:p>
      <w:pPr>
        <w:ind w:left="140" w:hanging="132"/>
        <w:spacing w:after="0"/>
        <w:tabs>
          <w:tab w:leader="none" w:pos="1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Indicates a management contract or compensatory plan or arrangement.</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2"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TRADEWEB MARKETS INC.</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8"/>
          <w:szCs w:val="18"/>
          <w:color w:val="auto"/>
        </w:rPr>
        <w:t>July 27, 2023</w:t>
      </w:r>
      <w:r>
        <w:rPr>
          <w:sz w:val="20"/>
          <w:szCs w:val="20"/>
          <w:color w:val="auto"/>
        </w:rPr>
        <w:tab/>
      </w:r>
      <w:r>
        <w:rPr>
          <w:rFonts w:ascii="Arial" w:cs="Arial" w:eastAsia="Arial" w:hAnsi="Arial"/>
          <w:sz w:val="17"/>
          <w:szCs w:val="17"/>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40640</wp:posOffset>
            </wp:positionV>
            <wp:extent cx="36347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57" w:lineRule="exact"/>
        <w:rPr>
          <w:sz w:val="20"/>
          <w:szCs w:val="20"/>
          <w:color w:val="auto"/>
        </w:rPr>
      </w:pPr>
    </w:p>
    <w:p>
      <w:pPr>
        <w:ind w:left="5520"/>
        <w:spacing w:after="0"/>
        <w:tabs>
          <w:tab w:leader="none" w:pos="5980" w:val="left"/>
        </w:tabs>
        <w:rPr>
          <w:sz w:val="20"/>
          <w:szCs w:val="20"/>
          <w:color w:val="auto"/>
        </w:rPr>
      </w:pPr>
      <w:r>
        <w:rPr>
          <w:rFonts w:ascii="Arial" w:cs="Arial" w:eastAsia="Arial" w:hAnsi="Arial"/>
          <w:sz w:val="18"/>
          <w:szCs w:val="18"/>
          <w:color w:val="auto"/>
        </w:rPr>
        <w:t>By:</w:t>
        <w:tab/>
        <w:t>William Hult</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8"/>
          <w:szCs w:val="18"/>
          <w:color w:val="auto"/>
        </w:rPr>
        <w:t>July 27, 2023</w:t>
      </w:r>
      <w:r>
        <w:rPr>
          <w:sz w:val="20"/>
          <w:szCs w:val="20"/>
          <w:color w:val="auto"/>
        </w:rPr>
        <w:tab/>
      </w:r>
      <w:r>
        <w:rPr>
          <w:rFonts w:ascii="Arial" w:cs="Arial" w:eastAsia="Arial" w:hAnsi="Arial"/>
          <w:sz w:val="15"/>
          <w:szCs w:val="15"/>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40640</wp:posOffset>
            </wp:positionV>
            <wp:extent cx="36347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20"/>
        <w:spacing w:after="0"/>
        <w:tabs>
          <w:tab w:leader="none" w:pos="5980" w:val="left"/>
        </w:tabs>
        <w:rPr>
          <w:sz w:val="20"/>
          <w:szCs w:val="20"/>
          <w:color w:val="auto"/>
        </w:rPr>
      </w:pPr>
      <w:r>
        <w:rPr>
          <w:rFonts w:ascii="Arial" w:cs="Arial" w:eastAsia="Arial" w:hAnsi="Arial"/>
          <w:sz w:val="18"/>
          <w:szCs w:val="18"/>
          <w:color w:val="auto"/>
        </w:rPr>
        <w:t>By:</w:t>
        <w:tab/>
        <w:t>Sara Furber</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00"/>
          </w:cols>
          <w:pgMar w:left="320" w:top="125" w:right="37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Hult, certify that:</w:t>
      </w:r>
    </w:p>
    <w:p>
      <w:pPr>
        <w:spacing w:after="0" w:line="22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June 30, 2023 of Tradeweb Markets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4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July 27, 2023</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Hult</w:t>
            </w:r>
          </w:p>
        </w:tc>
      </w:tr>
      <w:tr>
        <w:trPr>
          <w:trHeight w:val="222"/>
        </w:trPr>
        <w:tc>
          <w:tcPr>
            <w:tcW w:w="56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William Hult</w:t>
            </w:r>
          </w:p>
        </w:tc>
      </w:tr>
      <w:tr>
        <w:trPr>
          <w:trHeight w:val="230"/>
        </w:trPr>
        <w:tc>
          <w:tcPr>
            <w:tcW w:w="56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07"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Sara Furber, certify that:</w:t>
      </w:r>
    </w:p>
    <w:p>
      <w:pPr>
        <w:spacing w:after="0" w:line="22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June 30, 2023 of Tradeweb Markets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4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July 27, 2023</w:t>
      </w:r>
      <w:r>
        <w:rPr>
          <w:sz w:val="20"/>
          <w:szCs w:val="20"/>
          <w:color w:val="auto"/>
        </w:rPr>
        <w:tab/>
      </w:r>
      <w:r>
        <w:rPr>
          <w:rFonts w:ascii="Arial" w:cs="Arial" w:eastAsia="Arial" w:hAnsi="Arial"/>
          <w:sz w:val="15"/>
          <w:szCs w:val="15"/>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31750</wp:posOffset>
            </wp:positionV>
            <wp:extent cx="35572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Sara Furber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07"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Quarterly Report on Form 10-Q of Tradeweb Markets Inc. (the “Company”) for the fiscal quarter ended June 30, 2023, as filed with the Securities and Exchange Commission on the date hereof (the “Report”), William Hult, Chief Executive Officer of the Company, hereby certifies, pursuant to 18 U.S.C. Section 1350, as adopted pursuant to Section 906 of the Sarbanes-Oxley Act of 2002, that, to his knowledge:</w:t>
      </w:r>
    </w:p>
    <w:p>
      <w:pPr>
        <w:spacing w:after="0" w:line="16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July 27, 2023</w:t>
      </w:r>
      <w:r>
        <w:rPr>
          <w:sz w:val="20"/>
          <w:szCs w:val="20"/>
          <w:color w:val="auto"/>
        </w:rPr>
        <w:tab/>
      </w:r>
      <w:r>
        <w:rPr>
          <w:rFonts w:ascii="Arial" w:cs="Arial" w:eastAsia="Arial" w:hAnsi="Arial"/>
          <w:sz w:val="17"/>
          <w:szCs w:val="17"/>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31750</wp:posOffset>
            </wp:positionV>
            <wp:extent cx="35572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William Hult</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07"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Quarterly Report on Form 10-Q of Tradeweb Markets Inc. (the “Company”) for the fiscal quarter ended June 30, 2023, as filed with the Securities and Exchange Commission on the date hereof (the “Report”), Sara Furber, Chief Financial Officer of the Company, hereby certifies, pursuant to 18 U.S.C. Section 1350, as adopted pursuant to Section 906 of the Sarbanes-Oxley Act of 2002, that, to her knowledge:</w:t>
      </w:r>
    </w:p>
    <w:p>
      <w:pPr>
        <w:spacing w:after="0" w:line="16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July 27, 2023</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 Furber</w:t>
            </w:r>
          </w:p>
        </w:tc>
      </w:tr>
      <w:tr>
        <w:trPr>
          <w:trHeight w:val="222"/>
        </w:trPr>
        <w:tc>
          <w:tcPr>
            <w:tcW w:w="56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Sara Furber</w:t>
            </w:r>
          </w:p>
        </w:tc>
      </w:tr>
      <w:tr>
        <w:trPr>
          <w:trHeight w:val="230"/>
        </w:trPr>
        <w:tc>
          <w:tcPr>
            <w:tcW w:w="56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endash "/>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decimal"/>
      <w:start w:val="9"/>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lowerLetter"/>
      <w:start w:val="2"/>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2023-07-27T06:13:22Z</dcterms:created>
  <dcterms:modified xsi:type="dcterms:W3CDTF">2023-07-27T06:13:22Z</dcterms:modified>
</cp:coreProperties>
</file>