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4752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75297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Friedman Douglas</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02/24/2022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51"/>
        <w:spacing w:after="0"/>
        <w:rPr>
          <w:sz w:val="20"/>
          <w:szCs w:val="20"/>
          <w:color w:val="auto"/>
        </w:rPr>
      </w:pPr>
      <w:r>
        <w:rPr>
          <w:rFonts w:ascii="Arial" w:cs="Arial" w:eastAsia="Arial" w:hAnsi="Arial"/>
          <w:sz w:val="16"/>
          <w:szCs w:val="16"/>
          <w:color w:val="0000FF"/>
        </w:rPr>
        <w:t>General Counsel and Secretary</w:t>
      </w:r>
    </w:p>
    <w:p>
      <w:pPr>
        <w:spacing w:after="0" w:line="396"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7"/>
          </w:tcPr>
          <w:p>
            <w:pPr>
              <w:jc w:val="center"/>
              <w:ind w:right="139"/>
              <w:spacing w:after="0" w:line="139" w:lineRule="exact"/>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tcPr>
          <w:p>
            <w:pPr>
              <w:ind w:left="240"/>
              <w:spacing w:after="0" w:line="13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jc w:val="center"/>
              <w:ind w:left="18"/>
              <w:spacing w:after="0" w:line="125" w:lineRule="exact"/>
              <w:rPr>
                <w:sz w:val="20"/>
                <w:szCs w:val="20"/>
                <w:color w:val="auto"/>
              </w:rPr>
            </w:pPr>
            <w:r>
              <w:rPr>
                <w:rFonts w:ascii="Arial" w:cs="Arial" w:eastAsia="Arial" w:hAnsi="Arial"/>
                <w:sz w:val="12"/>
                <w:szCs w:val="12"/>
                <w:b w:val="1"/>
                <w:bCs w:val="1"/>
                <w:color w:val="auto"/>
                <w:w w:val="95"/>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02/24/2022</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0"/>
              </w:rPr>
              <w:t>10,180</w:t>
            </w:r>
            <w:r>
              <w:rPr>
                <w:rFonts w:ascii="Arial" w:cs="Arial" w:eastAsia="Arial" w:hAnsi="Arial"/>
                <w:sz w:val="21"/>
                <w:szCs w:val="21"/>
                <w:color w:val="008000"/>
                <w:w w:val="80"/>
                <w:vertAlign w:val="superscript"/>
              </w:rPr>
              <w:t>(1)</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42,281</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jc w:val="center"/>
              <w:ind w:left="43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3"/>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Derivative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vMerge w:val="restart"/>
          </w:tcPr>
          <w:p>
            <w:pPr>
              <w:jc w:val="center"/>
              <w:ind w:right="59"/>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restart"/>
          </w:tcPr>
          <w:p>
            <w:pPr>
              <w:ind w:left="140"/>
              <w:spacing w:after="0" w:line="205" w:lineRule="exact"/>
              <w:rPr>
                <w:sz w:val="20"/>
                <w:szCs w:val="20"/>
                <w:color w:val="auto"/>
              </w:rPr>
            </w:pPr>
            <w:r>
              <w:rPr>
                <w:rFonts w:ascii="Arial" w:cs="Arial" w:eastAsia="Arial" w:hAnsi="Arial"/>
                <w:sz w:val="13"/>
                <w:szCs w:val="13"/>
                <w:color w:val="0000FF"/>
                <w:w w:val="98"/>
              </w:rPr>
              <w:t>36,232</w:t>
            </w:r>
            <w:r>
              <w:rPr>
                <w:rFonts w:ascii="Arial" w:cs="Arial" w:eastAsia="Arial" w:hAnsi="Arial"/>
                <w:sz w:val="21"/>
                <w:szCs w:val="21"/>
                <w:color w:val="008000"/>
                <w:w w:val="98"/>
                <w:vertAlign w:val="superscript"/>
              </w:rPr>
              <w:t>(3)</w:t>
            </w:r>
          </w:p>
        </w:tc>
        <w:tc>
          <w:tcPr>
            <w:tcW w:w="280" w:type="dxa"/>
            <w:vAlign w:val="bottom"/>
          </w:tcPr>
          <w:p>
            <w:pPr>
              <w:spacing w:after="0"/>
              <w:rPr>
                <w:sz w:val="5"/>
                <w:szCs w:val="5"/>
                <w:color w:val="auto"/>
              </w:rPr>
            </w:pPr>
          </w:p>
        </w:tc>
        <w:tc>
          <w:tcPr>
            <w:tcW w:w="78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36,232</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60" w:type="dxa"/>
            <w:vAlign w:val="bottom"/>
          </w:tcPr>
          <w:p>
            <w:pPr>
              <w:spacing w:after="0"/>
              <w:rPr>
                <w:sz w:val="6"/>
                <w:szCs w:val="6"/>
                <w:color w:val="auto"/>
              </w:rPr>
            </w:pPr>
          </w:p>
        </w:tc>
        <w:tc>
          <w:tcPr>
            <w:tcW w:w="104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rPr>
              <w:t>02/24/2022</w:t>
            </w: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10/26/2028</w:t>
            </w: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w w:val="80"/>
              </w:rPr>
              <w:t>36,232</w:t>
            </w:r>
          </w:p>
        </w:tc>
        <w:tc>
          <w:tcPr>
            <w:tcW w:w="280" w:type="dxa"/>
            <w:vAlign w:val="bottom"/>
          </w:tcPr>
          <w:p>
            <w:pPr>
              <w:spacing w:after="0"/>
              <w:rPr>
                <w:sz w:val="6"/>
                <w:szCs w:val="6"/>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vMerge w:val="restart"/>
          </w:tcPr>
          <w:p>
            <w:pPr>
              <w:jc w:val="center"/>
              <w:ind w:right="59"/>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-1920875</wp:posOffset>
            </wp:positionV>
            <wp:extent cx="29210" cy="1925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59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1"/>
        <w:spacing w:after="0" w:line="26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March 15, 2021, subject to the achievement of certain performance goals in respect of calendar year 2021. Those performance goals were deemed achieved at the maximum performance level on February 24, 2022. These RSUs remain unvested and are scheduled to vest on January 1, 2024, subject to the reporting person's continued employment through such date.</w:t>
      </w:r>
    </w:p>
    <w:p>
      <w:pPr>
        <w:spacing w:after="0" w:line="16" w:lineRule="exact"/>
        <w:rPr>
          <w:rFonts w:ascii="Arial" w:cs="Arial" w:eastAsia="Arial" w:hAnsi="Arial"/>
          <w:sz w:val="12"/>
          <w:szCs w:val="12"/>
          <w:color w:val="008000"/>
        </w:rPr>
      </w:pPr>
    </w:p>
    <w:p>
      <w:pPr>
        <w:ind w:left="40" w:right="200" w:firstLine="1"/>
        <w:spacing w:after="0" w:line="23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6,003 unvested RSUs in respect of Class A Common Stock which are scheduled to vest in equal installments on each of March 17, 2022, and March 17, 2023, (ii) 18,008 unvested RSUs in respect of Class A Common Stock which are scheduled to vest on January 1, 2023, (iii) 5,090 unvested RSUs in respect of Class A Common Stock which are scheduled to vest in equal installments on each of the first, second and third anniversaries of March 15, 2021, and (iv) 10,180 unvested RSUs in respect of Class A Common Stock which are scheduled to vest on January 1, 2024, in each case subject to the reporting person's continued employment through the applicable vesting date.</w:t>
      </w:r>
    </w:p>
    <w:p>
      <w:pPr>
        <w:spacing w:after="0" w:line="30" w:lineRule="exact"/>
        <w:rPr>
          <w:rFonts w:ascii="Arial" w:cs="Arial" w:eastAsia="Arial" w:hAnsi="Arial"/>
          <w:sz w:val="13"/>
          <w:szCs w:val="13"/>
          <w:color w:val="008000"/>
        </w:rPr>
      </w:pPr>
    </w:p>
    <w:p>
      <w:pPr>
        <w:ind w:left="40" w:right="42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2021 which were deemed achieved on February 24, 2022.</w:t>
      </w:r>
    </w:p>
    <w:p>
      <w:pPr>
        <w:spacing w:after="0" w:line="27"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4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12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4"/>
              </w:rPr>
              <w:t>02/25/2022</w:t>
            </w:r>
          </w:p>
        </w:tc>
        <w:tc>
          <w:tcPr>
            <w:tcW w:w="0" w:type="dxa"/>
            <w:vAlign w:val="bottom"/>
          </w:tcPr>
          <w:p>
            <w:pPr>
              <w:spacing w:after="0"/>
              <w:rPr>
                <w:sz w:val="1"/>
                <w:szCs w:val="1"/>
                <w:color w:val="auto"/>
              </w:rPr>
            </w:pPr>
          </w:p>
        </w:tc>
      </w:tr>
      <w:tr>
        <w:trPr>
          <w:trHeight w:val="82"/>
        </w:trPr>
        <w:tc>
          <w:tcPr>
            <w:tcW w:w="208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 for Douglas Friedman</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2022-02-25T17:57:40Z</dcterms:created>
  <dcterms:modified xsi:type="dcterms:W3CDTF">2022-02-25T17:57:40Z</dcterms:modified>
</cp:coreProperties>
</file>