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950783.xml.htm"/>
      <w:bookmarkStart w:id="1" w:name="kswkform4_17739507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Hult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5"/>
        <w:gridCol w:w="774"/>
        <w:gridCol w:w="601"/>
        <w:gridCol w:w="348"/>
        <w:gridCol w:w="845"/>
        <w:gridCol w:w="454"/>
        <w:gridCol w:w="841"/>
        <w:gridCol w:w="1195"/>
        <w:gridCol w:w="997"/>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126.17</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144,285</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144,302</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11,678 unvested RSUs in respect of the Class A Common Stock that are scheduled to vest on March 15, 2027, (ii) 20,455 unvested RSUs in respect of Class A Common Stock that are scheduled to vest in equal installments on March 17, 2027 and March 17, 2028 and (iii) 37,507 unvested RSUs in respect of the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William Hult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194"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4089</Characters>
  <CharactersWithSpaces>4793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