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0"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80" w:type="dxa"/>
            <w:vAlign w:val="bottom"/>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17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7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-654050</wp:posOffset>
            </wp:positionV>
            <wp:extent cx="59690" cy="667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73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-654050</wp:posOffset>
            </wp:positionV>
            <wp:extent cx="59690" cy="66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738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20955</wp:posOffset>
            </wp:positionV>
            <wp:extent cx="7322820" cy="560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0387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Zucker Scott</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10/22/2019</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57"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2"/>
        <w:spacing w:after="0"/>
        <w:rPr>
          <w:sz w:val="20"/>
          <w:szCs w:val="20"/>
          <w:color w:val="auto"/>
        </w:rPr>
      </w:pPr>
      <w:r>
        <w:rPr>
          <w:rFonts w:ascii="Arial" w:cs="Arial" w:eastAsia="Arial" w:hAnsi="Arial"/>
          <w:sz w:val="18"/>
          <w:szCs w:val="18"/>
          <w:color w:val="0000FF"/>
        </w:rPr>
        <w:t>Chief Administrative Officer</w:t>
      </w:r>
    </w:p>
    <w:p>
      <w:pPr>
        <w:spacing w:after="0" w:line="405" w:lineRule="exact"/>
        <w:rPr>
          <w:sz w:val="24"/>
          <w:szCs w:val="24"/>
          <w:color w:val="auto"/>
        </w:rPr>
      </w:pPr>
    </w:p>
    <w:p>
      <w:pPr>
        <w:sectPr>
          <w:pgSz w:w="11900" w:h="16838" w:orient="portrait"/>
          <w:cols w:equalWidth="0" w:num="3">
            <w:col w:w="3340" w:space="720"/>
            <w:col w:w="3258" w:space="720"/>
            <w:col w:w="3482"/>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20" w:type="dxa"/>
            <w:vAlign w:val="bottom"/>
            <w:gridSpan w:val="6"/>
          </w:tcPr>
          <w:p>
            <w:pPr>
              <w:jc w:val="center"/>
              <w:ind w:right="17"/>
              <w:spacing w:after="0" w:line="146" w:lineRule="exact"/>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tcPr>
          <w:p>
            <w:pPr>
              <w:ind w:left="32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0" w:type="dxa"/>
            <w:vAlign w:val="bottom"/>
            <w:gridSpan w:val="10"/>
            <w:vMerge w:val="restart"/>
          </w:tcPr>
          <w:p>
            <w:pPr>
              <w:ind w:left="5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0000FF"/>
              </w:rPr>
              <w:t>10036</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6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5"/>
          </w:tcPr>
          <w:p>
            <w:pPr>
              <w:spacing w:after="0"/>
              <w:rPr>
                <w:sz w:val="7"/>
                <w:szCs w:val="7"/>
                <w:color w:val="auto"/>
              </w:rPr>
            </w:pPr>
          </w:p>
        </w:tc>
        <w:tc>
          <w:tcPr>
            <w:tcW w:w="264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7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ind w:right="1"/>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(2)</w:t>
            </w:r>
          </w:p>
        </w:tc>
        <w:tc>
          <w:tcPr>
            <w:tcW w:w="940" w:type="dxa"/>
            <w:vAlign w:val="bottom"/>
          </w:tcPr>
          <w:p>
            <w:pPr>
              <w:spacing w:after="0"/>
              <w:rPr>
                <w:sz w:val="16"/>
                <w:szCs w:val="16"/>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87"/>
              </w:rPr>
              <w:t>Class C</w:t>
            </w: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w w:val="94"/>
              </w:rPr>
              <w:t>37,698</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13"/>
              <w:spacing w:after="0" w:line="148" w:lineRule="exact"/>
              <w:rPr>
                <w:sz w:val="20"/>
                <w:szCs w:val="20"/>
                <w:color w:val="auto"/>
              </w:rPr>
            </w:pPr>
            <w:r>
              <w:rPr>
                <w:rFonts w:ascii="Arial" w:cs="Arial" w:eastAsia="Arial" w:hAnsi="Arial"/>
                <w:sz w:val="13"/>
                <w:szCs w:val="13"/>
                <w:color w:val="0000FF"/>
              </w:rPr>
              <w:t>10/22/2019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ind w:left="480"/>
              <w:spacing w:after="0" w:line="148" w:lineRule="exact"/>
              <w:rPr>
                <w:sz w:val="20"/>
                <w:szCs w:val="20"/>
                <w:color w:val="auto"/>
              </w:rPr>
            </w:pPr>
            <w:r>
              <w:rPr>
                <w:rFonts w:ascii="Arial" w:cs="Arial" w:eastAsia="Arial" w:hAnsi="Arial"/>
                <w:sz w:val="13"/>
                <w:szCs w:val="13"/>
                <w:color w:val="0000FF"/>
              </w:rPr>
              <w:t>37,698</w:t>
            </w: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tcPr>
          <w:p>
            <w:pPr>
              <w:ind w:left="280"/>
              <w:spacing w:after="0" w:line="148" w:lineRule="exact"/>
              <w:rPr>
                <w:sz w:val="20"/>
                <w:szCs w:val="20"/>
                <w:color w:val="auto"/>
              </w:rPr>
            </w:pPr>
            <w:r>
              <w:rPr>
                <w:rFonts w:ascii="Arial" w:cs="Arial" w:eastAsia="Arial" w:hAnsi="Arial"/>
                <w:sz w:val="13"/>
                <w:szCs w:val="13"/>
                <w:color w:val="0000FF"/>
                <w:w w:val="98"/>
              </w:rPr>
              <w:t>5,655</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voting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ind w:left="20"/>
              <w:spacing w:after="0" w:line="296" w:lineRule="exact"/>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(2)</w:t>
            </w:r>
          </w:p>
        </w:tc>
        <w:tc>
          <w:tcPr>
            <w:tcW w:w="94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(3)</w:t>
            </w:r>
          </w:p>
        </w:tc>
        <w:tc>
          <w:tcPr>
            <w:tcW w:w="680" w:type="dxa"/>
            <w:vAlign w:val="bottom"/>
          </w:tcPr>
          <w:p>
            <w:pPr>
              <w:jc w:val="center"/>
              <w:spacing w:after="0" w:line="148" w:lineRule="exact"/>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w w:val="94"/>
              </w:rPr>
              <w:t>37,698</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units of</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13"/>
              <w:spacing w:after="0" w:line="148" w:lineRule="exact"/>
              <w:rPr>
                <w:sz w:val="20"/>
                <w:szCs w:val="20"/>
                <w:color w:val="auto"/>
              </w:rPr>
            </w:pPr>
            <w:r>
              <w:rPr>
                <w:rFonts w:ascii="Arial" w:cs="Arial" w:eastAsia="Arial" w:hAnsi="Arial"/>
                <w:sz w:val="13"/>
                <w:szCs w:val="13"/>
                <w:color w:val="0000FF"/>
              </w:rPr>
              <w:t>10/22/2019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ind w:left="480"/>
              <w:spacing w:after="0" w:line="148" w:lineRule="exact"/>
              <w:rPr>
                <w:sz w:val="20"/>
                <w:szCs w:val="20"/>
                <w:color w:val="auto"/>
              </w:rPr>
            </w:pPr>
            <w:r>
              <w:rPr>
                <w:rFonts w:ascii="Arial" w:cs="Arial" w:eastAsia="Arial" w:hAnsi="Arial"/>
                <w:sz w:val="13"/>
                <w:szCs w:val="13"/>
                <w:color w:val="0000FF"/>
              </w:rPr>
              <w:t>37,698</w:t>
            </w: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tcPr>
          <w:p>
            <w:pPr>
              <w:ind w:left="280"/>
              <w:spacing w:after="0" w:line="148" w:lineRule="exact"/>
              <w:rPr>
                <w:sz w:val="20"/>
                <w:szCs w:val="20"/>
                <w:color w:val="auto"/>
              </w:rPr>
            </w:pPr>
            <w:r>
              <w:rPr>
                <w:rFonts w:ascii="Arial" w:cs="Arial" w:eastAsia="Arial" w:hAnsi="Arial"/>
                <w:sz w:val="13"/>
                <w:szCs w:val="13"/>
                <w:color w:val="0000FF"/>
                <w:w w:val="98"/>
              </w:rPr>
              <w:t>5,655</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Tradeweb</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line="237" w:lineRule="auto"/>
        <w:rPr>
          <w:sz w:val="20"/>
          <w:szCs w:val="20"/>
          <w:color w:val="auto"/>
        </w:rPr>
      </w:pPr>
      <w:r>
        <w:rPr>
          <w:rFonts w:ascii="Arial" w:cs="Arial" w:eastAsia="Arial" w:hAnsi="Arial"/>
          <w:sz w:val="13"/>
          <w:szCs w:val="13"/>
          <w:color w:val="0000FF"/>
        </w:rPr>
        <w:t>Markets</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LLC</w:t>
      </w:r>
    </w:p>
    <w:p>
      <w:pPr>
        <w:spacing w:after="0" w:line="10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280" w:firstLine="8"/>
        <w:spacing w:after="0" w:line="250"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Class D common stock of the issuer ("Class D Common Stock") have ten votes per share but no economic rights (including rights to dividends or, other than their par value, any distribution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23" w:lineRule="exact"/>
        <w:rPr>
          <w:rFonts w:ascii="Arial" w:cs="Arial" w:eastAsia="Arial" w:hAnsi="Arial"/>
          <w:sz w:val="13"/>
          <w:szCs w:val="13"/>
          <w:color w:val="008000"/>
        </w:rPr>
      </w:pPr>
    </w:p>
    <w:p>
      <w:pPr>
        <w:ind w:left="40" w:right="320" w:firstLine="8"/>
        <w:spacing w:after="0" w:line="256"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sold to the issuer the number of LLC Units set forth above at a price per LLC Unit of $40.74, which represents the $42.00 price at which shares of Class A common stock ("Class A Common Stock") of the issuer were sold in a public offering of the Class A Common Stock, less the underwriters' discount of $1.26 per share. The corresponding number of shares of Class D Common Stock along with the exchange rights thereunder were canceled in their entirety in connection with the sale of the LLC Units.</w:t>
      </w:r>
    </w:p>
    <w:p>
      <w:pPr>
        <w:spacing w:after="0" w:line="20" w:lineRule="exact"/>
        <w:rPr>
          <w:rFonts w:ascii="Arial" w:cs="Arial" w:eastAsia="Arial" w:hAnsi="Arial"/>
          <w:sz w:val="13"/>
          <w:szCs w:val="13"/>
          <w:color w:val="008000"/>
        </w:rPr>
      </w:pPr>
    </w:p>
    <w:p>
      <w:pPr>
        <w:ind w:left="40" w:right="340" w:firstLine="8"/>
        <w:spacing w:after="0" w:line="287"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(or shares of Class C Common Stock, in the event the reporting person exchanged their shares of Class D Common Stock as described in footnote 1 to this Form 4) will be canceled. These exchange rights do not expire.</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7"/>
              </w:rPr>
              <w:t>/s/ Scott Zucker</w:t>
            </w:r>
          </w:p>
        </w:tc>
        <w:tc>
          <w:tcPr>
            <w:tcW w:w="118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10/22/2019</w:t>
            </w:r>
          </w:p>
        </w:tc>
      </w:tr>
      <w:tr>
        <w:trPr>
          <w:trHeight w:val="236"/>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2019-12-24T08:27:12Z</dcterms:created>
  <dcterms:modified xsi:type="dcterms:W3CDTF">2019-12-24T08:27:12Z</dcterms:modified>
</cp:coreProperties>
</file>