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98"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As filed with the Securities and Exchange Commission on March 7, 2019</w:t>
      </w:r>
    </w:p>
    <w:p>
      <w:pPr>
        <w:spacing w:after="0" w:line="4" w:lineRule="exact"/>
        <w:rPr>
          <w:sz w:val="24"/>
          <w:szCs w:val="24"/>
          <w:color w:val="auto"/>
        </w:rPr>
      </w:pPr>
    </w:p>
    <w:p>
      <w:pPr>
        <w:ind w:left="8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39370</wp:posOffset>
            </wp:positionV>
            <wp:extent cx="618299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99060</wp:posOffset>
            </wp:positionV>
            <wp:extent cx="6182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24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UNITED STATES</w:t>
      </w:r>
    </w:p>
    <w:p>
      <w:pPr>
        <w:jc w:val="center"/>
        <w:ind w:right="-439"/>
        <w:spacing w:after="0" w:line="236" w:lineRule="auto"/>
        <w:rPr>
          <w:sz w:val="20"/>
          <w:szCs w:val="20"/>
          <w:color w:val="auto"/>
        </w:rPr>
      </w:pPr>
      <w:r>
        <w:rPr>
          <w:rFonts w:ascii="Arial" w:cs="Arial" w:eastAsia="Arial" w:hAnsi="Arial"/>
          <w:sz w:val="22"/>
          <w:szCs w:val="22"/>
          <w:b w:val="1"/>
          <w:bCs w:val="1"/>
          <w:color w:val="auto"/>
        </w:rPr>
        <w:t>SECURITIES AND EXCHANGE COMMISSION</w:t>
      </w: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81915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3"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FORM S-1</w:t>
      </w:r>
    </w:p>
    <w:p>
      <w:pPr>
        <w:spacing w:after="0" w:line="1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REGISTRATION STATEMENT</w:t>
      </w:r>
    </w:p>
    <w:p>
      <w:pPr>
        <w:jc w:val="center"/>
        <w:ind w:right="-439"/>
        <w:spacing w:after="0" w:line="219" w:lineRule="auto"/>
        <w:rPr>
          <w:sz w:val="20"/>
          <w:szCs w:val="20"/>
          <w:color w:val="auto"/>
        </w:rPr>
      </w:pPr>
      <w:r>
        <w:rPr>
          <w:rFonts w:ascii="Arial" w:cs="Arial" w:eastAsia="Arial" w:hAnsi="Arial"/>
          <w:sz w:val="18"/>
          <w:szCs w:val="18"/>
          <w:b w:val="1"/>
          <w:bCs w:val="1"/>
          <w:color w:val="auto"/>
        </w:rPr>
        <w:t>UNDER</w:t>
      </w:r>
    </w:p>
    <w:p>
      <w:pPr>
        <w:jc w:val="center"/>
        <w:ind w:right="-49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73025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49" w:lineRule="exact"/>
        <w:rPr>
          <w:sz w:val="24"/>
          <w:szCs w:val="24"/>
          <w:color w:val="auto"/>
        </w:rPr>
      </w:pPr>
    </w:p>
    <w:p>
      <w:pPr>
        <w:ind w:left="3740"/>
        <w:spacing w:after="0"/>
        <w:rPr>
          <w:sz w:val="20"/>
          <w:szCs w:val="20"/>
          <w:color w:val="auto"/>
        </w:rPr>
      </w:pPr>
      <w:r>
        <w:rPr>
          <w:rFonts w:ascii="Arial" w:cs="Arial" w:eastAsia="Arial" w:hAnsi="Arial"/>
          <w:sz w:val="32"/>
          <w:szCs w:val="32"/>
          <w:b w:val="1"/>
          <w:bCs w:val="1"/>
          <w:color w:val="auto"/>
        </w:rPr>
        <w:t>Tradeweb Markets Inc.</w:t>
      </w:r>
    </w:p>
    <w:p>
      <w:pPr>
        <w:spacing w:after="0" w:line="31" w:lineRule="exact"/>
        <w:rPr>
          <w:sz w:val="24"/>
          <w:szCs w:val="24"/>
          <w:color w:val="auto"/>
        </w:rPr>
      </w:pPr>
    </w:p>
    <w:p>
      <w:pPr>
        <w:ind w:left="386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90805</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90" w:lineRule="exact"/>
        <w:rPr>
          <w:sz w:val="24"/>
          <w:szCs w:val="24"/>
          <w:color w:val="auto"/>
        </w:rPr>
      </w:pPr>
    </w:p>
    <w:tbl>
      <w:tblPr>
        <w:tblLayout w:type="fixed"/>
        <w:tblInd w:w="1120" w:type="dxa"/>
        <w:tblCellMar>
          <w:top w:w="0" w:type="dxa"/>
          <w:left w:w="0" w:type="dxa"/>
          <w:bottom w:w="0" w:type="dxa"/>
          <w:right w:w="0" w:type="dxa"/>
        </w:tblCellMar>
      </w:tblPr>
      <w:tr>
        <w:trPr>
          <w:trHeight w:val="184"/>
        </w:trPr>
        <w:tc>
          <w:tcPr>
            <w:tcW w:w="2640" w:type="dxa"/>
            <w:vAlign w:val="bottom"/>
          </w:tcPr>
          <w:p>
            <w:pPr>
              <w:jc w:val="center"/>
              <w:ind w:right="725"/>
              <w:spacing w:after="0"/>
              <w:rPr>
                <w:sz w:val="20"/>
                <w:szCs w:val="20"/>
                <w:color w:val="auto"/>
              </w:rPr>
            </w:pPr>
            <w:r>
              <w:rPr>
                <w:rFonts w:ascii="Arial" w:cs="Arial" w:eastAsia="Arial" w:hAnsi="Arial"/>
                <w:sz w:val="16"/>
                <w:szCs w:val="16"/>
                <w:b w:val="1"/>
                <w:bCs w:val="1"/>
                <w:color w:val="auto"/>
                <w:w w:val="91"/>
              </w:rPr>
              <w:t>Delaware</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89"/>
              </w:rPr>
              <w:t>6200</w:t>
            </w:r>
          </w:p>
        </w:tc>
        <w:tc>
          <w:tcPr>
            <w:tcW w:w="2800" w:type="dxa"/>
            <w:vAlign w:val="bottom"/>
          </w:tcPr>
          <w:p>
            <w:pPr>
              <w:jc w:val="right"/>
              <w:ind w:right="583"/>
              <w:spacing w:after="0"/>
              <w:rPr>
                <w:sz w:val="20"/>
                <w:szCs w:val="20"/>
                <w:color w:val="auto"/>
              </w:rPr>
            </w:pPr>
            <w:r>
              <w:rPr>
                <w:rFonts w:ascii="Arial" w:cs="Arial" w:eastAsia="Arial" w:hAnsi="Arial"/>
                <w:sz w:val="16"/>
                <w:szCs w:val="16"/>
                <w:b w:val="1"/>
                <w:bCs w:val="1"/>
                <w:color w:val="auto"/>
              </w:rPr>
              <w:t>83-2456358</w:t>
            </w:r>
          </w:p>
        </w:tc>
      </w:tr>
      <w:tr>
        <w:trPr>
          <w:trHeight w:val="176"/>
        </w:trPr>
        <w:tc>
          <w:tcPr>
            <w:tcW w:w="2640" w:type="dxa"/>
            <w:vAlign w:val="bottom"/>
          </w:tcPr>
          <w:p>
            <w:pPr>
              <w:jc w:val="center"/>
              <w:ind w:right="725"/>
              <w:spacing w:after="0"/>
              <w:rPr>
                <w:sz w:val="20"/>
                <w:szCs w:val="20"/>
                <w:color w:val="auto"/>
              </w:rPr>
            </w:pPr>
            <w:r>
              <w:rPr>
                <w:rFonts w:ascii="Arial" w:cs="Arial" w:eastAsia="Arial" w:hAnsi="Arial"/>
                <w:sz w:val="14"/>
                <w:szCs w:val="14"/>
                <w:color w:val="auto"/>
                <w:w w:val="95"/>
              </w:rPr>
              <w:t>(State or other jurisdiction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(Primary Standard Industrial</w:t>
            </w:r>
          </w:p>
        </w:tc>
        <w:tc>
          <w:tcPr>
            <w:tcW w:w="2800" w:type="dxa"/>
            <w:vAlign w:val="bottom"/>
          </w:tcPr>
          <w:p>
            <w:pPr>
              <w:jc w:val="center"/>
              <w:ind w:left="623"/>
              <w:spacing w:after="0"/>
              <w:rPr>
                <w:sz w:val="20"/>
                <w:szCs w:val="20"/>
                <w:color w:val="auto"/>
              </w:rPr>
            </w:pPr>
            <w:r>
              <w:rPr>
                <w:rFonts w:ascii="Arial" w:cs="Arial" w:eastAsia="Arial" w:hAnsi="Arial"/>
                <w:sz w:val="14"/>
                <w:szCs w:val="14"/>
                <w:color w:val="auto"/>
                <w:w w:val="97"/>
              </w:rPr>
              <w:t>(I.R.S. Employer Identification No.)</w:t>
            </w:r>
          </w:p>
        </w:tc>
      </w:tr>
      <w:tr>
        <w:trPr>
          <w:trHeight w:val="182"/>
        </w:trPr>
        <w:tc>
          <w:tcPr>
            <w:tcW w:w="2640" w:type="dxa"/>
            <w:vAlign w:val="bottom"/>
          </w:tcPr>
          <w:p>
            <w:pPr>
              <w:jc w:val="center"/>
              <w:ind w:right="685"/>
              <w:spacing w:after="0"/>
              <w:rPr>
                <w:sz w:val="20"/>
                <w:szCs w:val="20"/>
                <w:color w:val="auto"/>
              </w:rPr>
            </w:pPr>
            <w:r>
              <w:rPr>
                <w:rFonts w:ascii="Arial" w:cs="Arial" w:eastAsia="Arial" w:hAnsi="Arial"/>
                <w:sz w:val="14"/>
                <w:szCs w:val="14"/>
                <w:color w:val="auto"/>
                <w:w w:val="95"/>
              </w:rPr>
              <w:t>of incorporation or organization)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800" w:type="dxa"/>
            <w:vAlign w:val="bottom"/>
          </w:tcPr>
          <w:p>
            <w:pPr>
              <w:spacing w:after="0"/>
              <w:rPr>
                <w:sz w:val="15"/>
                <w:szCs w:val="15"/>
                <w:color w:val="auto"/>
              </w:rPr>
            </w:pPr>
          </w:p>
        </w:tc>
      </w:tr>
    </w:tbl>
    <w:p>
      <w:pPr>
        <w:spacing w:after="0" w:line="116"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1177 Avenue of the Americas</w:t>
      </w:r>
    </w:p>
    <w:p>
      <w:pPr>
        <w:ind w:left="4400"/>
        <w:spacing w:after="0" w:line="211" w:lineRule="auto"/>
        <w:rPr>
          <w:sz w:val="20"/>
          <w:szCs w:val="20"/>
          <w:color w:val="auto"/>
        </w:rPr>
      </w:pPr>
      <w:r>
        <w:rPr>
          <w:rFonts w:ascii="Arial" w:cs="Arial" w:eastAsia="Arial" w:hAnsi="Arial"/>
          <w:sz w:val="16"/>
          <w:szCs w:val="16"/>
          <w:b w:val="1"/>
          <w:bCs w:val="1"/>
          <w:color w:val="auto"/>
        </w:rPr>
        <w:t>New York, New York 10036</w:t>
      </w:r>
    </w:p>
    <w:p>
      <w:pPr>
        <w:ind w:left="4860"/>
        <w:spacing w:after="0" w:line="232" w:lineRule="auto"/>
        <w:rPr>
          <w:sz w:val="20"/>
          <w:szCs w:val="20"/>
          <w:color w:val="auto"/>
        </w:rPr>
      </w:pPr>
      <w:r>
        <w:rPr>
          <w:rFonts w:ascii="Arial" w:cs="Arial" w:eastAsia="Arial" w:hAnsi="Arial"/>
          <w:sz w:val="16"/>
          <w:szCs w:val="16"/>
          <w:b w:val="1"/>
          <w:bCs w:val="1"/>
          <w:color w:val="auto"/>
        </w:rPr>
        <w:t>(646) 430-6000</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56515</wp:posOffset>
            </wp:positionV>
            <wp:extent cx="1235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73" w:lineRule="exact"/>
        <w:rPr>
          <w:sz w:val="24"/>
          <w:szCs w:val="24"/>
          <w:color w:val="auto"/>
        </w:rPr>
      </w:pPr>
    </w:p>
    <w:p>
      <w:pPr>
        <w:jc w:val="center"/>
        <w:ind w:right="-439"/>
        <w:spacing w:after="0"/>
        <w:rPr>
          <w:sz w:val="20"/>
          <w:szCs w:val="20"/>
          <w:color w:val="auto"/>
        </w:rPr>
      </w:pPr>
      <w:r>
        <w:rPr>
          <w:rFonts w:ascii="Arial" w:cs="Arial" w:eastAsia="Arial" w:hAnsi="Arial"/>
          <w:sz w:val="16"/>
          <w:szCs w:val="16"/>
          <w:b w:val="1"/>
          <w:bCs w:val="1"/>
          <w:color w:val="auto"/>
        </w:rPr>
        <w:t>Lee Olesky</w:t>
      </w:r>
    </w:p>
    <w:p>
      <w:pPr>
        <w:jc w:val="center"/>
        <w:ind w:right="-459"/>
        <w:spacing w:after="0" w:line="211" w:lineRule="auto"/>
        <w:rPr>
          <w:sz w:val="20"/>
          <w:szCs w:val="20"/>
          <w:color w:val="auto"/>
        </w:rPr>
      </w:pPr>
      <w:r>
        <w:rPr>
          <w:rFonts w:ascii="Arial" w:cs="Arial" w:eastAsia="Arial" w:hAnsi="Arial"/>
          <w:sz w:val="16"/>
          <w:szCs w:val="16"/>
          <w:b w:val="1"/>
          <w:bCs w:val="1"/>
          <w:color w:val="auto"/>
        </w:rPr>
        <w:t>Chief Executive Officer</w:t>
      </w:r>
    </w:p>
    <w:p>
      <w:pPr>
        <w:jc w:val="center"/>
        <w:ind w:right="-439"/>
        <w:spacing w:after="0" w:line="211" w:lineRule="auto"/>
        <w:rPr>
          <w:sz w:val="20"/>
          <w:szCs w:val="20"/>
          <w:color w:val="auto"/>
        </w:rPr>
      </w:pPr>
      <w:r>
        <w:rPr>
          <w:rFonts w:ascii="Arial" w:cs="Arial" w:eastAsia="Arial" w:hAnsi="Arial"/>
          <w:sz w:val="16"/>
          <w:szCs w:val="16"/>
          <w:b w:val="1"/>
          <w:bCs w:val="1"/>
          <w:color w:val="auto"/>
        </w:rPr>
        <w:t>1177 Avenue of the Americas</w:t>
      </w:r>
    </w:p>
    <w:p>
      <w:pPr>
        <w:jc w:val="center"/>
        <w:ind w:right="-439"/>
        <w:spacing w:after="0" w:line="212" w:lineRule="auto"/>
        <w:rPr>
          <w:sz w:val="20"/>
          <w:szCs w:val="20"/>
          <w:color w:val="auto"/>
        </w:rPr>
      </w:pPr>
      <w:r>
        <w:rPr>
          <w:rFonts w:ascii="Arial" w:cs="Arial" w:eastAsia="Arial" w:hAnsi="Arial"/>
          <w:sz w:val="16"/>
          <w:szCs w:val="16"/>
          <w:b w:val="1"/>
          <w:bCs w:val="1"/>
          <w:color w:val="auto"/>
        </w:rPr>
        <w:t>New York, New York 10036</w:t>
      </w:r>
    </w:p>
    <w:p>
      <w:pPr>
        <w:jc w:val="center"/>
        <w:ind w:right="-499"/>
        <w:spacing w:after="0" w:line="232" w:lineRule="auto"/>
        <w:rPr>
          <w:sz w:val="20"/>
          <w:szCs w:val="20"/>
          <w:color w:val="auto"/>
        </w:rPr>
      </w:pPr>
      <w:r>
        <w:rPr>
          <w:rFonts w:ascii="Arial" w:cs="Arial" w:eastAsia="Arial" w:hAnsi="Arial"/>
          <w:sz w:val="16"/>
          <w:szCs w:val="16"/>
          <w:b w:val="1"/>
          <w:bCs w:val="1"/>
          <w:color w:val="auto"/>
        </w:rPr>
        <w:t>(646) 430-6000</w:t>
      </w:r>
    </w:p>
    <w:p>
      <w:pPr>
        <w:ind w:left="248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64770</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4"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4080" w:type="dxa"/>
            <w:vAlign w:val="bottom"/>
          </w:tcPr>
          <w:p>
            <w:pPr>
              <w:ind w:left="260"/>
              <w:spacing w:after="0"/>
              <w:rPr>
                <w:sz w:val="20"/>
                <w:szCs w:val="20"/>
                <w:color w:val="auto"/>
              </w:rPr>
            </w:pPr>
            <w:r>
              <w:rPr>
                <w:rFonts w:ascii="Arial" w:cs="Arial" w:eastAsia="Arial" w:hAnsi="Arial"/>
                <w:sz w:val="16"/>
                <w:szCs w:val="16"/>
                <w:b w:val="1"/>
                <w:bCs w:val="1"/>
                <w:color w:val="auto"/>
              </w:rPr>
              <w:t>Copies to:</w:t>
            </w:r>
          </w:p>
        </w:tc>
      </w:tr>
      <w:tr>
        <w:trPr>
          <w:trHeight w:val="182"/>
        </w:trPr>
        <w:tc>
          <w:tcPr>
            <w:tcW w:w="352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w w:val="90"/>
              </w:rPr>
              <w:t>Steven G. Scheinfeld, Esq.</w:t>
            </w:r>
          </w:p>
        </w:tc>
        <w:tc>
          <w:tcPr>
            <w:tcW w:w="4080" w:type="dxa"/>
            <w:vAlign w:val="bottom"/>
          </w:tcPr>
          <w:p>
            <w:pPr>
              <w:jc w:val="center"/>
              <w:ind w:left="1999"/>
              <w:spacing w:after="0" w:line="181" w:lineRule="exact"/>
              <w:rPr>
                <w:sz w:val="20"/>
                <w:szCs w:val="20"/>
                <w:color w:val="auto"/>
              </w:rPr>
            </w:pPr>
            <w:r>
              <w:rPr>
                <w:rFonts w:ascii="Arial" w:cs="Arial" w:eastAsia="Arial" w:hAnsi="Arial"/>
                <w:sz w:val="16"/>
                <w:szCs w:val="16"/>
                <w:b w:val="1"/>
                <w:bCs w:val="1"/>
                <w:color w:val="auto"/>
                <w:w w:val="92"/>
              </w:rPr>
              <w:t>Michael Kaplan, Esq.</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4"/>
              </w:rPr>
              <w:t>Andrew B. Barkan, Esq.</w:t>
            </w:r>
          </w:p>
        </w:tc>
        <w:tc>
          <w:tcPr>
            <w:tcW w:w="4080" w:type="dxa"/>
            <w:vAlign w:val="bottom"/>
          </w:tcPr>
          <w:p>
            <w:pPr>
              <w:jc w:val="center"/>
              <w:ind w:left="2019"/>
              <w:spacing w:after="0" w:line="162" w:lineRule="exact"/>
              <w:rPr>
                <w:sz w:val="20"/>
                <w:szCs w:val="20"/>
                <w:color w:val="auto"/>
              </w:rPr>
            </w:pPr>
            <w:r>
              <w:rPr>
                <w:rFonts w:ascii="Arial" w:cs="Arial" w:eastAsia="Arial" w:hAnsi="Arial"/>
                <w:sz w:val="16"/>
                <w:szCs w:val="16"/>
                <w:b w:val="1"/>
                <w:bCs w:val="1"/>
                <w:color w:val="auto"/>
                <w:w w:val="91"/>
              </w:rPr>
              <w:t>Shane Tintle, Esq.</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5"/>
              </w:rPr>
              <w:t>Fried, Frank, Harris, Shriver &amp; Jacobson LLP</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96"/>
              </w:rPr>
              <w:t>Davis Polk &amp; Wardwell LLP</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One New York Plaza</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89"/>
              </w:rPr>
              <w:t>450 Lexington Avenue</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3"/>
              </w:rPr>
              <w:t>New York, New York 10004</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94"/>
              </w:rPr>
              <w:t>New York, New York 10017</w:t>
            </w:r>
          </w:p>
        </w:tc>
      </w:tr>
      <w:tr>
        <w:trPr>
          <w:trHeight w:val="210"/>
        </w:trPr>
        <w:tc>
          <w:tcPr>
            <w:tcW w:w="3520" w:type="dxa"/>
            <w:vAlign w:val="bottom"/>
          </w:tcPr>
          <w:p>
            <w:pPr>
              <w:jc w:val="center"/>
              <w:ind w:right="179"/>
              <w:spacing w:after="0"/>
              <w:rPr>
                <w:sz w:val="20"/>
                <w:szCs w:val="20"/>
                <w:color w:val="auto"/>
              </w:rPr>
            </w:pPr>
            <w:r>
              <w:rPr>
                <w:rFonts w:ascii="Arial" w:cs="Arial" w:eastAsia="Arial" w:hAnsi="Arial"/>
                <w:sz w:val="16"/>
                <w:szCs w:val="16"/>
                <w:b w:val="1"/>
                <w:bCs w:val="1"/>
                <w:color w:val="auto"/>
                <w:w w:val="93"/>
              </w:rPr>
              <w:t>(212) 859-8000</w:t>
            </w:r>
          </w:p>
        </w:tc>
        <w:tc>
          <w:tcPr>
            <w:tcW w:w="408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80645</wp:posOffset>
            </wp:positionV>
            <wp:extent cx="1235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97" w:lineRule="exact"/>
        <w:rPr>
          <w:sz w:val="24"/>
          <w:szCs w:val="24"/>
          <w:color w:val="auto"/>
        </w:rPr>
      </w:pPr>
    </w:p>
    <w:p>
      <w:pPr>
        <w:ind w:left="86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1" w:lineRule="exact"/>
        <w:rPr>
          <w:sz w:val="24"/>
          <w:szCs w:val="24"/>
          <w:color w:val="auto"/>
        </w:rPr>
      </w:pPr>
    </w:p>
    <w:p>
      <w:pPr>
        <w:ind w:left="500" w:right="300" w:firstLine="360"/>
        <w:spacing w:after="0" w:line="15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80" w:firstLine="360"/>
        <w:spacing w:after="0" w:line="14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40" w:firstLine="360"/>
        <w:spacing w:after="0" w:line="15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40" w:firstLine="360"/>
        <w:spacing w:after="0" w:line="155"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500" w:right="20" w:firstLine="36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860" w:type="dxa"/>
        <w:tblCellMar>
          <w:top w:w="0" w:type="dxa"/>
          <w:left w:w="0" w:type="dxa"/>
          <w:bottom w:w="0" w:type="dxa"/>
          <w:right w:w="0" w:type="dxa"/>
        </w:tblCellMar>
      </w:tblPr>
      <w:tr>
        <w:trPr>
          <w:trHeight w:val="137"/>
        </w:trPr>
        <w:tc>
          <w:tcPr>
            <w:tcW w:w="1320" w:type="dxa"/>
            <w:vAlign w:val="bottom"/>
          </w:tcPr>
          <w:p>
            <w:pPr>
              <w:spacing w:after="0" w:line="137" w:lineRule="exact"/>
              <w:rPr>
                <w:sz w:val="20"/>
                <w:szCs w:val="20"/>
                <w:color w:val="auto"/>
              </w:rPr>
            </w:pPr>
            <w:r>
              <w:rPr>
                <w:rFonts w:ascii="Arial" w:cs="Arial" w:eastAsia="Arial" w:hAnsi="Arial"/>
                <w:sz w:val="13"/>
                <w:szCs w:val="13"/>
                <w:color w:val="auto"/>
              </w:rPr>
              <w:t>Large accelerated filer</w:t>
            </w:r>
          </w:p>
        </w:tc>
        <w:tc>
          <w:tcPr>
            <w:tcW w:w="19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40" w:type="dxa"/>
            <w:vAlign w:val="bottom"/>
          </w:tcPr>
          <w:p>
            <w:pPr>
              <w:ind w:left="1580"/>
              <w:spacing w:after="0" w:line="137" w:lineRule="exact"/>
              <w:rPr>
                <w:sz w:val="20"/>
                <w:szCs w:val="20"/>
                <w:color w:val="auto"/>
              </w:rPr>
            </w:pPr>
            <w:r>
              <w:rPr>
                <w:rFonts w:ascii="Arial" w:cs="Arial" w:eastAsia="Arial" w:hAnsi="Arial"/>
                <w:sz w:val="13"/>
                <w:szCs w:val="13"/>
                <w:color w:val="auto"/>
              </w:rPr>
              <w:t>Accelerated filer</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2"/>
        </w:trPr>
        <w:tc>
          <w:tcPr>
            <w:tcW w:w="1320" w:type="dxa"/>
            <w:vAlign w:val="bottom"/>
          </w:tcPr>
          <w:p>
            <w:pPr>
              <w:spacing w:after="0"/>
              <w:rPr>
                <w:sz w:val="20"/>
                <w:szCs w:val="20"/>
                <w:color w:val="auto"/>
              </w:rPr>
            </w:pPr>
            <w:r>
              <w:rPr>
                <w:rFonts w:ascii="Arial" w:cs="Arial" w:eastAsia="Arial" w:hAnsi="Arial"/>
                <w:sz w:val="13"/>
                <w:szCs w:val="13"/>
                <w:color w:val="auto"/>
              </w:rPr>
              <w:t>Non-accelerated filer</w:t>
            </w:r>
          </w:p>
        </w:tc>
        <w:tc>
          <w:tcPr>
            <w:tcW w:w="19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40" w:type="dxa"/>
            <w:vAlign w:val="bottom"/>
          </w:tcPr>
          <w:p>
            <w:pPr>
              <w:ind w:left="1580"/>
              <w:spacing w:after="0"/>
              <w:rPr>
                <w:sz w:val="20"/>
                <w:szCs w:val="20"/>
                <w:color w:val="auto"/>
              </w:rPr>
            </w:pPr>
            <w:r>
              <w:rPr>
                <w:rFonts w:ascii="Arial" w:cs="Arial" w:eastAsia="Arial" w:hAnsi="Arial"/>
                <w:sz w:val="13"/>
                <w:szCs w:val="13"/>
                <w:color w:val="auto"/>
              </w:rPr>
              <w:t>Smaller reporting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40" w:type="dxa"/>
            <w:vAlign w:val="bottom"/>
          </w:tcPr>
          <w:p>
            <w:pPr>
              <w:ind w:left="1580"/>
              <w:spacing w:after="0"/>
              <w:rPr>
                <w:sz w:val="20"/>
                <w:szCs w:val="20"/>
                <w:color w:val="auto"/>
              </w:rPr>
            </w:pPr>
            <w:r>
              <w:rPr>
                <w:rFonts w:ascii="Arial" w:cs="Arial" w:eastAsia="Arial" w:hAnsi="Arial"/>
                <w:sz w:val="13"/>
                <w:szCs w:val="13"/>
                <w:color w:val="auto"/>
              </w:rPr>
              <w:t>Emerging growth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32" w:lineRule="exact"/>
        <w:rPr>
          <w:sz w:val="24"/>
          <w:szCs w:val="24"/>
          <w:color w:val="auto"/>
        </w:rPr>
      </w:pPr>
    </w:p>
    <w:p>
      <w:pPr>
        <w:ind w:left="500" w:right="380" w:firstLine="36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49530</wp:posOffset>
            </wp:positionV>
            <wp:extent cx="1235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25"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CALCULATION OF REGISTRATION FEE</w:t>
      </w:r>
    </w:p>
    <w:p>
      <w:pPr>
        <w:spacing w:after="0" w:line="26"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5080" w:type="dxa"/>
            <w:vAlign w:val="bottom"/>
            <w:tcBorders>
              <w:top w:val="single" w:sz="8" w:color="auto"/>
              <w:bottom w:val="single" w:sz="8" w:color="auto"/>
            </w:tcBorders>
          </w:tcPr>
          <w:p>
            <w:pPr>
              <w:spacing w:after="0"/>
              <w:rPr>
                <w:sz w:val="3"/>
                <w:szCs w:val="3"/>
                <w:color w:val="auto"/>
              </w:rPr>
            </w:pPr>
          </w:p>
        </w:tc>
        <w:tc>
          <w:tcPr>
            <w:tcW w:w="352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r>
      <w:tr>
        <w:trPr>
          <w:trHeight w:val="119"/>
        </w:trPr>
        <w:tc>
          <w:tcPr>
            <w:tcW w:w="5080" w:type="dxa"/>
            <w:vAlign w:val="bottom"/>
          </w:tcPr>
          <w:p>
            <w:pPr>
              <w:spacing w:after="0"/>
              <w:rPr>
                <w:sz w:val="10"/>
                <w:szCs w:val="10"/>
                <w:color w:val="auto"/>
              </w:rPr>
            </w:pPr>
          </w:p>
        </w:tc>
        <w:tc>
          <w:tcPr>
            <w:tcW w:w="3520" w:type="dxa"/>
            <w:vAlign w:val="bottom"/>
          </w:tcPr>
          <w:p>
            <w:pPr>
              <w:jc w:val="center"/>
              <w:ind w:left="1937"/>
              <w:spacing w:after="0" w:line="119" w:lineRule="exact"/>
              <w:rPr>
                <w:sz w:val="20"/>
                <w:szCs w:val="20"/>
                <w:color w:val="auto"/>
              </w:rPr>
            </w:pPr>
            <w:r>
              <w:rPr>
                <w:rFonts w:ascii="Arial" w:cs="Arial" w:eastAsia="Arial" w:hAnsi="Arial"/>
                <w:sz w:val="13"/>
                <w:szCs w:val="13"/>
                <w:b w:val="1"/>
                <w:bCs w:val="1"/>
                <w:color w:val="auto"/>
              </w:rPr>
              <w:t>Proposed Maximum</w:t>
            </w:r>
          </w:p>
        </w:tc>
        <w:tc>
          <w:tcPr>
            <w:tcW w:w="1140" w:type="dxa"/>
            <w:vAlign w:val="bottom"/>
          </w:tcPr>
          <w:p>
            <w:pPr>
              <w:spacing w:after="0"/>
              <w:rPr>
                <w:sz w:val="10"/>
                <w:szCs w:val="10"/>
                <w:color w:val="auto"/>
              </w:rPr>
            </w:pPr>
          </w:p>
        </w:tc>
      </w:tr>
      <w:tr>
        <w:trPr>
          <w:trHeight w:val="156"/>
        </w:trPr>
        <w:tc>
          <w:tcPr>
            <w:tcW w:w="5080" w:type="dxa"/>
            <w:vAlign w:val="bottom"/>
          </w:tcPr>
          <w:p>
            <w:pPr>
              <w:spacing w:after="0"/>
              <w:rPr>
                <w:sz w:val="13"/>
                <w:szCs w:val="13"/>
                <w:color w:val="auto"/>
              </w:rPr>
            </w:pPr>
          </w:p>
        </w:tc>
        <w:tc>
          <w:tcPr>
            <w:tcW w:w="3520" w:type="dxa"/>
            <w:vAlign w:val="bottom"/>
          </w:tcPr>
          <w:p>
            <w:pPr>
              <w:jc w:val="center"/>
              <w:ind w:left="1937"/>
              <w:spacing w:after="0" w:line="156" w:lineRule="exact"/>
              <w:rPr>
                <w:sz w:val="20"/>
                <w:szCs w:val="20"/>
                <w:color w:val="auto"/>
              </w:rPr>
            </w:pPr>
            <w:r>
              <w:rPr>
                <w:rFonts w:ascii="Arial" w:cs="Arial" w:eastAsia="Arial" w:hAnsi="Arial"/>
                <w:sz w:val="14"/>
                <w:szCs w:val="14"/>
                <w:b w:val="1"/>
                <w:bCs w:val="1"/>
                <w:color w:val="auto"/>
                <w:w w:val="94"/>
              </w:rPr>
              <w:t>Aggregate Offering</w:t>
            </w:r>
          </w:p>
        </w:tc>
        <w:tc>
          <w:tcPr>
            <w:tcW w:w="114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auto"/>
                <w:w w:val="94"/>
              </w:rPr>
              <w:t>Amount of</w:t>
            </w:r>
          </w:p>
        </w:tc>
      </w:tr>
      <w:tr>
        <w:trPr>
          <w:trHeight w:val="204"/>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520" w:type="dxa"/>
            <w:vAlign w:val="bottom"/>
            <w:tcBorders>
              <w:bottom w:val="single" w:sz="8" w:color="auto"/>
            </w:tcBorders>
          </w:tcPr>
          <w:p>
            <w:pPr>
              <w:jc w:val="center"/>
              <w:ind w:left="1957"/>
              <w:spacing w:after="0" w:line="204" w:lineRule="exact"/>
              <w:rPr>
                <w:sz w:val="20"/>
                <w:szCs w:val="20"/>
                <w:color w:val="auto"/>
              </w:rPr>
            </w:pPr>
            <w:r>
              <w:rPr>
                <w:rFonts w:ascii="Arial" w:cs="Arial" w:eastAsia="Arial" w:hAnsi="Arial"/>
                <w:sz w:val="23"/>
                <w:szCs w:val="23"/>
                <w:b w:val="1"/>
                <w:bCs w:val="1"/>
                <w:color w:val="auto"/>
                <w:w w:val="93"/>
                <w:vertAlign w:val="subscript"/>
              </w:rPr>
              <w:t>Price</w:t>
            </w:r>
            <w:r>
              <w:rPr>
                <w:rFonts w:ascii="Arial" w:cs="Arial" w:eastAsia="Arial" w:hAnsi="Arial"/>
                <w:sz w:val="10"/>
                <w:szCs w:val="10"/>
                <w:b w:val="1"/>
                <w:bCs w:val="1"/>
                <w:color w:val="auto"/>
                <w:w w:val="93"/>
              </w:rPr>
              <w:t>(1)(2)</w:t>
            </w:r>
          </w:p>
        </w:tc>
        <w:tc>
          <w:tcPr>
            <w:tcW w:w="1140" w:type="dxa"/>
            <w:vAlign w:val="bottom"/>
            <w:tcBorders>
              <w:bottom w:val="single" w:sz="8" w:color="auto"/>
            </w:tcBorders>
          </w:tcPr>
          <w:p>
            <w:pPr>
              <w:jc w:val="center"/>
              <w:ind w:left="51"/>
              <w:spacing w:after="0"/>
              <w:rPr>
                <w:sz w:val="20"/>
                <w:szCs w:val="20"/>
                <w:color w:val="auto"/>
              </w:rPr>
            </w:pPr>
            <w:r>
              <w:rPr>
                <w:rFonts w:ascii="Arial" w:cs="Arial" w:eastAsia="Arial" w:hAnsi="Arial"/>
                <w:sz w:val="14"/>
                <w:szCs w:val="14"/>
                <w:b w:val="1"/>
                <w:bCs w:val="1"/>
                <w:color w:val="auto"/>
                <w:w w:val="92"/>
              </w:rPr>
              <w:t>Registration Fee</w:t>
            </w:r>
          </w:p>
        </w:tc>
      </w:tr>
      <w:tr>
        <w:trPr>
          <w:trHeight w:val="155"/>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Class A common stock, par value $0.01 per share</w:t>
            </w:r>
          </w:p>
        </w:tc>
        <w:tc>
          <w:tcPr>
            <w:tcW w:w="3520" w:type="dxa"/>
            <w:vAlign w:val="bottom"/>
            <w:tcBorders>
              <w:bottom w:val="single" w:sz="8" w:color="auto"/>
            </w:tcBorders>
            <w:shd w:val="clear" w:color="auto" w:fill="CCEEFF"/>
          </w:tcPr>
          <w:p>
            <w:pPr>
              <w:jc w:val="center"/>
              <w:ind w:left="1937"/>
              <w:spacing w:after="0"/>
              <w:rPr>
                <w:sz w:val="20"/>
                <w:szCs w:val="20"/>
                <w:color w:val="auto"/>
              </w:rPr>
            </w:pPr>
            <w:r>
              <w:rPr>
                <w:rFonts w:ascii="Arial" w:cs="Arial" w:eastAsia="Arial" w:hAnsi="Arial"/>
                <w:sz w:val="13"/>
                <w:szCs w:val="13"/>
                <w:color w:val="auto"/>
                <w:w w:val="86"/>
              </w:rPr>
              <w:t>$ 100,000,000</w:t>
            </w:r>
          </w:p>
        </w:tc>
        <w:tc>
          <w:tcPr>
            <w:tcW w:w="114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3"/>
                <w:szCs w:val="13"/>
                <w:color w:val="auto"/>
                <w:w w:val="86"/>
              </w:rPr>
              <w:t>$ 12,120</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under the Securities Act of 1933, as amended.</w:t>
      </w:r>
    </w:p>
    <w:p>
      <w:pPr>
        <w:spacing w:after="0" w:line="28" w:lineRule="exact"/>
        <w:rPr>
          <w:rFonts w:ascii="Arial" w:cs="Arial" w:eastAsia="Arial" w:hAnsi="Arial"/>
          <w:sz w:val="14"/>
          <w:szCs w:val="14"/>
          <w:color w:val="auto"/>
        </w:rPr>
      </w:pPr>
    </w:p>
    <w:p>
      <w:pPr>
        <w:ind w:left="860" w:right="60" w:hanging="366"/>
        <w:spacing w:after="0" w:line="248" w:lineRule="auto"/>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Class A common stock that may be purchased by the underwriters upon the exercise of their option to purchase additional shares of Class A common stock.</w:t>
      </w:r>
    </w:p>
    <w:p>
      <w:pPr>
        <w:spacing w:after="0" w:line="1" w:lineRule="exact"/>
        <w:rPr>
          <w:sz w:val="24"/>
          <w:szCs w:val="24"/>
          <w:color w:val="auto"/>
        </w:rPr>
      </w:pPr>
    </w:p>
    <w:p>
      <w:pPr>
        <w:ind w:left="500" w:right="80" w:firstLine="360"/>
        <w:spacing w:after="0" w:line="22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76835</wp:posOffset>
            </wp:positionV>
            <wp:extent cx="6182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120015</wp:posOffset>
            </wp:positionV>
            <wp:extent cx="618299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381635</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239" w:right="1419" w:bottom="1440" w:gutter="0" w:footer="0" w:header="0"/>
        </w:sectPr>
      </w:pPr>
    </w:p>
    <w:bookmarkStart w:id="1" w:name="page2"/>
    <w:bookmarkEnd w:id="1"/>
    <w:p>
      <w:pPr>
        <w:spacing w:after="0" w:line="223" w:lineRule="auto"/>
        <w:framePr w:w="680" w:h="128" w:wrap="auto" w:vAnchor="page" w:hAnchor="page" w:x="8480" w:y="10006"/>
        <w:rPr>
          <w:rFonts w:ascii="Arial" w:cs="Arial" w:eastAsia="Arial" w:hAnsi="Arial"/>
          <w:sz w:val="12"/>
          <w:szCs w:val="12"/>
          <w:b w:val="1"/>
          <w:bCs w:val="1"/>
          <w:color w:val="auto"/>
        </w:rPr>
      </w:pPr>
      <w:r>
        <w:rPr>
          <w:rFonts w:ascii="Arial" w:cs="Arial" w:eastAsia="Arial" w:hAnsi="Arial"/>
          <w:sz w:val="12"/>
          <w:szCs w:val="12"/>
          <w:b w:val="1"/>
          <w:bCs w:val="1"/>
          <w:color w:val="auto"/>
        </w:rPr>
        <w:t>Per Share</w:t>
      </w:r>
    </w:p>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06" w:lineRule="exact"/>
        <w:rPr>
          <w:rFonts w:ascii="Arial" w:cs="Arial" w:eastAsia="Arial" w:hAnsi="Arial"/>
          <w:sz w:val="12"/>
          <w:szCs w:val="12"/>
          <w:b w:val="1"/>
          <w:bCs w:val="1"/>
          <w:color w:val="auto"/>
        </w:rPr>
      </w:pPr>
    </w:p>
    <w:p>
      <w:pPr>
        <w:jc w:val="both"/>
        <w:ind w:left="1140"/>
        <w:spacing w:after="0" w:line="263" w:lineRule="auto"/>
        <w:rPr>
          <w:sz w:val="20"/>
          <w:szCs w:val="20"/>
          <w:color w:val="auto"/>
        </w:rPr>
      </w:pPr>
      <w:r>
        <w:rPr>
          <w:rFonts w:ascii="Arial" w:cs="Arial" w:eastAsia="Arial" w:hAnsi="Arial"/>
          <w:sz w:val="14"/>
          <w:szCs w:val="14"/>
          <w:b w:val="1"/>
          <w:bCs w:val="1"/>
          <w:color w:val="FC0014"/>
        </w:rPr>
        <w:t>The information in this preliminary prospectus is not complete and may be changed. We may not sell these securities until the registration statement filed with the Securities and Exchange Commission is effective. This preliminary prospectus is not an offer to sell, and it is not soliciting an offer to buy, these securities in any state where the offer or sale is not permitted.</w:t>
      </w:r>
    </w:p>
    <w:p>
      <w:pPr>
        <w:spacing w:after="0" w:line="154" w:lineRule="exact"/>
        <w:rPr>
          <w:rFonts w:ascii="Arial" w:cs="Arial" w:eastAsia="Arial" w:hAnsi="Arial"/>
          <w:sz w:val="12"/>
          <w:szCs w:val="12"/>
          <w:b w:val="1"/>
          <w:bCs w:val="1"/>
          <w:color w:val="auto"/>
        </w:rPr>
      </w:pPr>
    </w:p>
    <w:tbl>
      <w:tblPr>
        <w:tblLayout w:type="fixed"/>
        <w:tblInd w:w="38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Arial" w:cs="Arial" w:eastAsia="Arial" w:hAnsi="Arial"/>
                <w:sz w:val="18"/>
                <w:szCs w:val="18"/>
                <w:b w:val="1"/>
                <w:bCs w:val="1"/>
                <w:color w:val="FC0014"/>
              </w:rPr>
              <w:t>Subject to completion, dated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FC0014"/>
              </w:rPr>
              <w:t>, 2019</w:t>
            </w:r>
          </w:p>
        </w:tc>
      </w:tr>
    </w:tbl>
    <w:p>
      <w:pPr>
        <w:ind w:left="114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2680970</wp:posOffset>
            </wp:positionH>
            <wp:positionV relativeFrom="paragraph">
              <wp:posOffset>31750</wp:posOffset>
            </wp:positionV>
            <wp:extent cx="186944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9440" cy="480060"/>
                    </a:xfrm>
                    <a:prstGeom prst="rect">
                      <a:avLst/>
                    </a:prstGeom>
                    <a:noFill/>
                  </pic:spPr>
                </pic:pic>
              </a:graphicData>
            </a:graphic>
          </wp:anchor>
        </w:drawing>
      </w: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352" w:lineRule="exact"/>
        <w:rPr>
          <w:rFonts w:ascii="Arial" w:cs="Arial" w:eastAsia="Arial" w:hAnsi="Arial"/>
          <w:sz w:val="12"/>
          <w:szCs w:val="12"/>
          <w:b w:val="1"/>
          <w:bCs w:val="1"/>
          <w:color w:val="auto"/>
        </w:rPr>
      </w:pPr>
    </w:p>
    <w:p>
      <w:pPr>
        <w:ind w:left="5620"/>
        <w:spacing w:after="0"/>
        <w:rPr>
          <w:sz w:val="20"/>
          <w:szCs w:val="20"/>
          <w:color w:val="auto"/>
        </w:rPr>
      </w:pPr>
      <w:r>
        <w:rPr>
          <w:rFonts w:ascii="Arial" w:cs="Arial" w:eastAsia="Arial" w:hAnsi="Arial"/>
          <w:sz w:val="25"/>
          <w:szCs w:val="25"/>
          <w:b w:val="1"/>
          <w:bCs w:val="1"/>
          <w:color w:val="auto"/>
        </w:rPr>
        <w:t>Shares</w:t>
      </w:r>
    </w:p>
    <w:p>
      <w:pPr>
        <w:spacing w:after="0" w:line="91" w:lineRule="exact"/>
        <w:rPr>
          <w:rFonts w:ascii="Arial" w:cs="Arial" w:eastAsia="Arial" w:hAnsi="Arial"/>
          <w:sz w:val="12"/>
          <w:szCs w:val="12"/>
          <w:b w:val="1"/>
          <w:bCs w:val="1"/>
          <w:color w:val="auto"/>
        </w:rPr>
      </w:pPr>
    </w:p>
    <w:p>
      <w:pPr>
        <w:ind w:left="4420"/>
        <w:spacing w:after="0"/>
        <w:rPr>
          <w:sz w:val="20"/>
          <w:szCs w:val="20"/>
          <w:color w:val="auto"/>
        </w:rPr>
      </w:pPr>
      <w:r>
        <w:rPr>
          <w:rFonts w:ascii="Arial" w:cs="Arial" w:eastAsia="Arial" w:hAnsi="Arial"/>
          <w:sz w:val="25"/>
          <w:szCs w:val="25"/>
          <w:b w:val="1"/>
          <w:bCs w:val="1"/>
          <w:color w:val="auto"/>
        </w:rPr>
        <w:t>Tradeweb Markets Inc.</w:t>
      </w:r>
    </w:p>
    <w:p>
      <w:pPr>
        <w:spacing w:after="0" w:line="91" w:lineRule="exact"/>
        <w:rPr>
          <w:rFonts w:ascii="Arial" w:cs="Arial" w:eastAsia="Arial" w:hAnsi="Arial"/>
          <w:sz w:val="12"/>
          <w:szCs w:val="12"/>
          <w:b w:val="1"/>
          <w:bCs w:val="1"/>
          <w:color w:val="auto"/>
        </w:rPr>
      </w:pPr>
    </w:p>
    <w:p>
      <w:pPr>
        <w:ind w:left="4420"/>
        <w:spacing w:after="0"/>
        <w:rPr>
          <w:sz w:val="20"/>
          <w:szCs w:val="20"/>
          <w:color w:val="auto"/>
        </w:rPr>
      </w:pPr>
      <w:r>
        <w:rPr>
          <w:rFonts w:ascii="Arial" w:cs="Arial" w:eastAsia="Arial" w:hAnsi="Arial"/>
          <w:sz w:val="25"/>
          <w:szCs w:val="25"/>
          <w:b w:val="1"/>
          <w:bCs w:val="1"/>
          <w:color w:val="auto"/>
        </w:rPr>
        <w:t>Class A Common Stock</w:t>
      </w:r>
    </w:p>
    <w:p>
      <w:pPr>
        <w:spacing w:after="0" w:line="104" w:lineRule="exact"/>
        <w:rPr>
          <w:rFonts w:ascii="Arial" w:cs="Arial" w:eastAsia="Arial" w:hAnsi="Arial"/>
          <w:sz w:val="12"/>
          <w:szCs w:val="12"/>
          <w:b w:val="1"/>
          <w:bCs w:val="1"/>
          <w:color w:val="auto"/>
        </w:rPr>
      </w:pPr>
    </w:p>
    <w:p>
      <w:pPr>
        <w:ind w:left="1500"/>
        <w:spacing w:after="0"/>
        <w:tabs>
          <w:tab w:leader="none" w:pos="6660" w:val="left"/>
        </w:tabs>
        <w:rPr>
          <w:sz w:val="20"/>
          <w:szCs w:val="20"/>
          <w:color w:val="auto"/>
        </w:rPr>
      </w:pPr>
      <w:r>
        <w:rPr>
          <w:rFonts w:ascii="Arial" w:cs="Arial" w:eastAsia="Arial" w:hAnsi="Arial"/>
          <w:sz w:val="16"/>
          <w:szCs w:val="16"/>
          <w:color w:val="auto"/>
        </w:rPr>
        <w:t>This is the initial public offering of Tradeweb Markets Inc. We are selling</w:t>
      </w:r>
      <w:r>
        <w:rPr>
          <w:sz w:val="20"/>
          <w:szCs w:val="20"/>
          <w:color w:val="auto"/>
        </w:rPr>
        <w:tab/>
      </w:r>
      <w:r>
        <w:rPr>
          <w:rFonts w:ascii="Arial" w:cs="Arial" w:eastAsia="Arial" w:hAnsi="Arial"/>
          <w:sz w:val="14"/>
          <w:szCs w:val="14"/>
          <w:color w:val="auto"/>
        </w:rPr>
        <w:t>shares of our Class A common stock.</w:t>
      </w:r>
    </w:p>
    <w:p>
      <w:pPr>
        <w:spacing w:after="0" w:line="9" w:lineRule="exact"/>
        <w:rPr>
          <w:rFonts w:ascii="Arial" w:cs="Arial" w:eastAsia="Arial" w:hAnsi="Arial"/>
          <w:sz w:val="12"/>
          <w:szCs w:val="12"/>
          <w:b w:val="1"/>
          <w:bCs w:val="1"/>
          <w:color w:val="auto"/>
        </w:rPr>
      </w:pPr>
    </w:p>
    <w:p>
      <w:pPr>
        <w:ind w:left="1500"/>
        <w:spacing w:after="0"/>
        <w:rPr>
          <w:sz w:val="20"/>
          <w:szCs w:val="20"/>
          <w:color w:val="auto"/>
        </w:rPr>
      </w:pPr>
      <w:r>
        <w:rPr>
          <w:rFonts w:ascii="Arial" w:cs="Arial" w:eastAsia="Arial" w:hAnsi="Arial"/>
          <w:sz w:val="15"/>
          <w:szCs w:val="15"/>
          <w:color w:val="auto"/>
        </w:rPr>
        <w:t>Prior to this offering, there has been no public market for our Class A common stock. The initial public offering price is expected to</w:t>
      </w:r>
    </w:p>
    <w:p>
      <w:pPr>
        <w:ind w:left="1140" w:right="140"/>
        <w:spacing w:after="0" w:line="231" w:lineRule="auto"/>
        <w:rPr>
          <w:sz w:val="20"/>
          <w:szCs w:val="20"/>
          <w:color w:val="auto"/>
        </w:rPr>
      </w:pPr>
      <w:r>
        <w:rPr>
          <w:rFonts w:ascii="Arial" w:cs="Arial" w:eastAsia="Arial" w:hAnsi="Arial"/>
          <w:sz w:val="16"/>
          <w:szCs w:val="16"/>
          <w:color w:val="auto"/>
        </w:rPr>
        <w:t>be between $ and $ per share of our Class A common stock. We intend to apply to list our Class A common stock on the Nasdaq Global Select Market (“Nasdaq”) under the symbol “TW.”</w:t>
      </w:r>
    </w:p>
    <w:p>
      <w:pPr>
        <w:ind w:left="1140" w:right="900" w:firstLine="360"/>
        <w:spacing w:after="0" w:line="237" w:lineRule="auto"/>
        <w:rPr>
          <w:sz w:val="20"/>
          <w:szCs w:val="20"/>
          <w:color w:val="auto"/>
        </w:rPr>
      </w:pPr>
      <w:r>
        <w:rPr>
          <w:rFonts w:ascii="Arial" w:cs="Arial" w:eastAsia="Arial" w:hAnsi="Arial"/>
          <w:sz w:val="16"/>
          <w:szCs w:val="16"/>
          <w:color w:val="auto"/>
        </w:rPr>
        <w:t>The underwriters have an option for a period of 30 days from the date of this prospectus to purchase up to a maximum of additional shares of Class A common stock.</w:t>
      </w:r>
    </w:p>
    <w:p>
      <w:pPr>
        <w:spacing w:after="0" w:line="1" w:lineRule="exact"/>
        <w:rPr>
          <w:rFonts w:ascii="Arial" w:cs="Arial" w:eastAsia="Arial" w:hAnsi="Arial"/>
          <w:sz w:val="12"/>
          <w:szCs w:val="12"/>
          <w:b w:val="1"/>
          <w:bCs w:val="1"/>
          <w:color w:val="auto"/>
        </w:rPr>
      </w:pPr>
    </w:p>
    <w:p>
      <w:pPr>
        <w:ind w:left="1140" w:right="80" w:firstLine="360"/>
        <w:spacing w:after="0" w:line="223" w:lineRule="auto"/>
        <w:rPr>
          <w:sz w:val="20"/>
          <w:szCs w:val="20"/>
          <w:color w:val="auto"/>
        </w:rPr>
      </w:pPr>
      <w:r>
        <w:rPr>
          <w:rFonts w:ascii="Arial" w:cs="Arial" w:eastAsia="Arial" w:hAnsi="Arial"/>
          <w:sz w:val="16"/>
          <w:szCs w:val="16"/>
          <w:color w:val="auto"/>
        </w:rPr>
        <w:t>We will use the net proceeds that we receive from this offering to purchase issued and outstanding common membership units, which we refer to as “LLC Interests,” in Tradeweb Markets LLC, which we refer to as “TWM LLC,” from certain existing owners of TWM LLC. There is no public market for the LLC Interests. The purchase price for the LLC Interests will be equal to the public offering price of our Class A common stock, less the underwriting discounts and commissions referred to below.</w:t>
      </w:r>
    </w:p>
    <w:p>
      <w:pPr>
        <w:spacing w:after="0" w:line="2" w:lineRule="exact"/>
        <w:rPr>
          <w:rFonts w:ascii="Arial" w:cs="Arial" w:eastAsia="Arial" w:hAnsi="Arial"/>
          <w:sz w:val="12"/>
          <w:szCs w:val="12"/>
          <w:b w:val="1"/>
          <w:bCs w:val="1"/>
          <w:color w:val="auto"/>
        </w:rPr>
      </w:pPr>
    </w:p>
    <w:p>
      <w:pPr>
        <w:ind w:left="1140" w:firstLine="360"/>
        <w:spacing w:after="0" w:line="230" w:lineRule="auto"/>
        <w:rPr>
          <w:sz w:val="20"/>
          <w:szCs w:val="20"/>
          <w:color w:val="auto"/>
        </w:rPr>
      </w:pPr>
      <w:r>
        <w:rPr>
          <w:rFonts w:ascii="Arial" w:cs="Arial" w:eastAsia="Arial" w:hAnsi="Arial"/>
          <w:sz w:val="15"/>
          <w:szCs w:val="15"/>
          <w:color w:val="auto"/>
        </w:rPr>
        <w:t>We will have four classes of authorized common stock after this offering: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will not have any of the economic rights (including the rights to dividends and distributions upon liquidation) provided to holders of Class A common stock and Class B common stock. Upon completion of this offering, all of our Class B common stock will be held by the Refinitiv Direct Owner (as defined below), all of our Class D common stock will be held by the Continuing LLC Owners (as defined below) on a one-to-one basis with the number of LLC Interests they own, and there will be no outstanding shares of our Class C common stock.</w:t>
      </w:r>
    </w:p>
    <w:p>
      <w:pPr>
        <w:ind w:left="1500"/>
        <w:spacing w:after="0"/>
        <w:tabs>
          <w:tab w:leader="none" w:pos="9800" w:val="left"/>
        </w:tabs>
        <w:rPr>
          <w:sz w:val="20"/>
          <w:szCs w:val="20"/>
          <w:color w:val="auto"/>
        </w:rPr>
      </w:pPr>
      <w:r>
        <w:rPr>
          <w:rFonts w:ascii="Arial" w:cs="Arial" w:eastAsia="Arial" w:hAnsi="Arial"/>
          <w:sz w:val="16"/>
          <w:szCs w:val="16"/>
          <w:color w:val="auto"/>
        </w:rPr>
        <w:t>Immediately following this offering, the holders of our Class A common stock issued in this offering collectively will hold</w:t>
      </w:r>
      <w:r>
        <w:rPr>
          <w:sz w:val="20"/>
          <w:szCs w:val="20"/>
          <w:color w:val="auto"/>
        </w:rPr>
        <w:tab/>
      </w:r>
      <w:r>
        <w:rPr>
          <w:rFonts w:ascii="Arial" w:cs="Arial" w:eastAsia="Arial" w:hAnsi="Arial"/>
          <w:sz w:val="14"/>
          <w:szCs w:val="14"/>
          <w:color w:val="auto"/>
        </w:rPr>
        <w:t>% of</w:t>
      </w:r>
    </w:p>
    <w:p>
      <w:pPr>
        <w:ind w:left="1140"/>
        <w:spacing w:after="0" w:line="226" w:lineRule="auto"/>
        <w:tabs>
          <w:tab w:leader="none" w:pos="3560" w:val="left"/>
        </w:tabs>
        <w:rPr>
          <w:sz w:val="20"/>
          <w:szCs w:val="20"/>
          <w:color w:val="auto"/>
        </w:rPr>
      </w:pPr>
      <w:r>
        <w:rPr>
          <w:rFonts w:ascii="Arial" w:cs="Arial" w:eastAsia="Arial" w:hAnsi="Arial"/>
          <w:sz w:val="16"/>
          <w:szCs w:val="16"/>
          <w:color w:val="auto"/>
        </w:rPr>
        <w:t>the economic interests in us and</w:t>
      </w:r>
      <w:r>
        <w:rPr>
          <w:sz w:val="20"/>
          <w:szCs w:val="20"/>
          <w:color w:val="auto"/>
        </w:rPr>
        <w:tab/>
      </w:r>
      <w:r>
        <w:rPr>
          <w:rFonts w:ascii="Arial" w:cs="Arial" w:eastAsia="Arial" w:hAnsi="Arial"/>
          <w:sz w:val="15"/>
          <w:szCs w:val="15"/>
          <w:color w:val="auto"/>
        </w:rPr>
        <w:t>% of the combined voting power in us, the Refinitiv LLC Owner (as defined below) and the Refinitiv</w:t>
      </w:r>
    </w:p>
    <w:p>
      <w:pPr>
        <w:ind w:left="1140"/>
        <w:spacing w:after="0"/>
        <w:tabs>
          <w:tab w:leader="none" w:pos="8980" w:val="left"/>
        </w:tabs>
        <w:rPr>
          <w:sz w:val="20"/>
          <w:szCs w:val="20"/>
          <w:color w:val="auto"/>
        </w:rPr>
      </w:pPr>
      <w:r>
        <w:rPr>
          <w:rFonts w:ascii="Arial" w:cs="Arial" w:eastAsia="Arial" w:hAnsi="Arial"/>
          <w:sz w:val="16"/>
          <w:szCs w:val="16"/>
          <w:color w:val="auto"/>
        </w:rPr>
        <w:t>Direct Owner, through their ownership of Class B common stock and Class D common stock, collectively will hold</w:t>
      </w:r>
      <w:r>
        <w:rPr>
          <w:sz w:val="20"/>
          <w:szCs w:val="20"/>
          <w:color w:val="auto"/>
        </w:rPr>
        <w:tab/>
      </w:r>
      <w:r>
        <w:rPr>
          <w:rFonts w:ascii="Arial" w:cs="Arial" w:eastAsia="Arial" w:hAnsi="Arial"/>
          <w:sz w:val="14"/>
          <w:szCs w:val="14"/>
          <w:color w:val="auto"/>
        </w:rPr>
        <w:t>% of the economic</w:t>
      </w:r>
    </w:p>
    <w:p>
      <w:pPr>
        <w:ind w:left="1140"/>
        <w:spacing w:after="0"/>
        <w:tabs>
          <w:tab w:leader="none" w:pos="2660" w:val="left"/>
        </w:tabs>
        <w:rPr>
          <w:sz w:val="20"/>
          <w:szCs w:val="20"/>
          <w:color w:val="auto"/>
        </w:rPr>
      </w:pPr>
      <w:r>
        <w:rPr>
          <w:rFonts w:ascii="Arial" w:cs="Arial" w:eastAsia="Arial" w:hAnsi="Arial"/>
          <w:sz w:val="16"/>
          <w:szCs w:val="16"/>
          <w:color w:val="auto"/>
        </w:rPr>
        <w:t>interests in us and</w:t>
      </w:r>
      <w:r>
        <w:rPr>
          <w:sz w:val="20"/>
          <w:szCs w:val="20"/>
          <w:color w:val="auto"/>
        </w:rPr>
        <w:tab/>
      </w:r>
      <w:r>
        <w:rPr>
          <w:rFonts w:ascii="Arial" w:cs="Arial" w:eastAsia="Arial" w:hAnsi="Arial"/>
          <w:sz w:val="14"/>
          <w:szCs w:val="14"/>
          <w:color w:val="auto"/>
        </w:rPr>
        <w:t>% of the combined voting power in us, and the Other LLC Owners (as defined below), through their ownership of</w:t>
      </w:r>
    </w:p>
    <w:p>
      <w:pPr>
        <w:ind w:left="1140"/>
        <w:spacing w:after="0"/>
        <w:tabs>
          <w:tab w:leader="none" w:pos="7400" w:val="left"/>
        </w:tabs>
        <w:rPr>
          <w:sz w:val="20"/>
          <w:szCs w:val="20"/>
          <w:color w:val="auto"/>
        </w:rPr>
      </w:pPr>
      <w:r>
        <w:rPr>
          <w:rFonts w:ascii="Arial" w:cs="Arial" w:eastAsia="Arial" w:hAnsi="Arial"/>
          <w:sz w:val="16"/>
          <w:szCs w:val="16"/>
          <w:color w:val="auto"/>
        </w:rPr>
        <w:t>Class D common stock, collectively will hold no economic interest in us and the remaining</w:t>
      </w:r>
      <w:r>
        <w:rPr>
          <w:sz w:val="20"/>
          <w:szCs w:val="20"/>
          <w:color w:val="auto"/>
        </w:rPr>
        <w:tab/>
      </w:r>
      <w:r>
        <w:rPr>
          <w:rFonts w:ascii="Arial" w:cs="Arial" w:eastAsia="Arial" w:hAnsi="Arial"/>
          <w:sz w:val="14"/>
          <w:szCs w:val="14"/>
          <w:color w:val="auto"/>
        </w:rPr>
        <w:t>% of the combined voting power in us. We</w:t>
      </w:r>
    </w:p>
    <w:p>
      <w:pPr>
        <w:ind w:left="1140" w:right="140"/>
        <w:spacing w:after="0" w:line="225" w:lineRule="auto"/>
        <w:rPr>
          <w:sz w:val="20"/>
          <w:szCs w:val="20"/>
          <w:color w:val="auto"/>
        </w:rPr>
      </w:pPr>
      <w:r>
        <w:rPr>
          <w:rFonts w:ascii="Arial" w:cs="Arial" w:eastAsia="Arial" w:hAnsi="Arial"/>
          <w:sz w:val="15"/>
          <w:szCs w:val="15"/>
          <w:color w:val="auto"/>
        </w:rPr>
        <w:t>will be a holding company, and upon completion of this offering and the application of the net proceeds therefrom, our principal asset will be the LLC Interests we acquire from certain of the Other LLC Owners and the LLC Interests we receive as a result of the Refinitiv</w:t>
      </w:r>
    </w:p>
    <w:p>
      <w:pPr>
        <w:spacing w:after="0" w:line="1" w:lineRule="exact"/>
        <w:rPr>
          <w:rFonts w:ascii="Arial" w:cs="Arial" w:eastAsia="Arial" w:hAnsi="Arial"/>
          <w:sz w:val="12"/>
          <w:szCs w:val="12"/>
          <w:b w:val="1"/>
          <w:bCs w:val="1"/>
          <w:color w:val="auto"/>
        </w:rPr>
      </w:pPr>
    </w:p>
    <w:p>
      <w:pPr>
        <w:ind w:left="1140" w:right="140"/>
        <w:spacing w:after="0" w:line="220" w:lineRule="auto"/>
        <w:rPr>
          <w:sz w:val="20"/>
          <w:szCs w:val="20"/>
          <w:color w:val="auto"/>
        </w:rPr>
      </w:pPr>
      <w:r>
        <w:rPr>
          <w:rFonts w:ascii="Arial" w:cs="Arial" w:eastAsia="Arial" w:hAnsi="Arial"/>
          <w:sz w:val="16"/>
          <w:szCs w:val="16"/>
          <w:color w:val="auto"/>
        </w:rPr>
        <w:t>Contribution (as defined below), representing an aggregate % economic interest in TWM LLC. The remaining % economic interest in TWM LLC will be owned by the Continuing LLC Owners through their ownership of LLC Interests. We will be the sole manager of TWM LLC. As the sole manager, we will operate and control all of the business and affairs of TWM LLC, and through TWM LLC and its subsidiaries, we will conduct our business.</w:t>
      </w:r>
    </w:p>
    <w:p>
      <w:pPr>
        <w:spacing w:after="0" w:line="1" w:lineRule="exact"/>
        <w:rPr>
          <w:rFonts w:ascii="Arial" w:cs="Arial" w:eastAsia="Arial" w:hAnsi="Arial"/>
          <w:sz w:val="12"/>
          <w:szCs w:val="12"/>
          <w:b w:val="1"/>
          <w:bCs w:val="1"/>
          <w:color w:val="auto"/>
        </w:rPr>
      </w:pPr>
    </w:p>
    <w:p>
      <w:pPr>
        <w:ind w:left="1140" w:right="220" w:firstLine="360"/>
        <w:spacing w:after="0" w:line="246" w:lineRule="auto"/>
        <w:rPr>
          <w:sz w:val="20"/>
          <w:szCs w:val="20"/>
          <w:color w:val="auto"/>
        </w:rPr>
      </w:pPr>
      <w:r>
        <w:rPr>
          <w:rFonts w:ascii="Arial" w:cs="Arial" w:eastAsia="Arial" w:hAnsi="Arial"/>
          <w:sz w:val="15"/>
          <w:szCs w:val="15"/>
          <w:color w:val="auto"/>
        </w:rPr>
        <w:t>After the completion of this offering, Refinitiv (as defined herein) will continue to own a majority of the combined voting power in us. As a result, we will be a “controlled company” within the meaning of the corporate governance standards of Nasdaq.</w:t>
      </w:r>
    </w:p>
    <w:p>
      <w:pPr>
        <w:spacing w:after="0" w:line="1" w:lineRule="exact"/>
        <w:rPr>
          <w:rFonts w:ascii="Arial" w:cs="Arial" w:eastAsia="Arial" w:hAnsi="Arial"/>
          <w:sz w:val="12"/>
          <w:szCs w:val="12"/>
          <w:b w:val="1"/>
          <w:bCs w:val="1"/>
          <w:color w:val="auto"/>
        </w:rPr>
      </w:pPr>
    </w:p>
    <w:p>
      <w:pPr>
        <w:ind w:left="1140" w:right="200" w:firstLine="360"/>
        <w:spacing w:after="0" w:line="229"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and will be subject to reduced reporting requirements. This prospectus complies with the requirements that apply to an issuer that is an emerging growth company.</w:t>
      </w:r>
    </w:p>
    <w:p>
      <w:pPr>
        <w:spacing w:after="0" w:line="60" w:lineRule="exact"/>
        <w:rPr>
          <w:rFonts w:ascii="Arial" w:cs="Arial" w:eastAsia="Arial" w:hAnsi="Arial"/>
          <w:sz w:val="12"/>
          <w:szCs w:val="12"/>
          <w:b w:val="1"/>
          <w:bCs w:val="1"/>
          <w:color w:val="auto"/>
        </w:rPr>
      </w:pPr>
    </w:p>
    <w:p>
      <w:pPr>
        <w:ind w:left="1140" w:right="400" w:firstLine="360"/>
        <w:spacing w:after="0" w:line="185"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Class A common stock involves risks. See “Risk Factors” beginning on page </w:t>
      </w:r>
      <w:hyperlink w:anchor="page38">
        <w:r>
          <w:rPr>
            <w:rFonts w:ascii="Arial" w:cs="Arial" w:eastAsia="Arial" w:hAnsi="Arial"/>
            <w:sz w:val="16"/>
            <w:szCs w:val="16"/>
            <w:b w:val="1"/>
            <w:bCs w:val="1"/>
            <w:u w:val="single" w:color="auto"/>
            <w:color w:val="0000EE"/>
          </w:rPr>
          <w:t>28</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to read about factors you should consider before buying shares of our Class A common stock.</w:t>
      </w:r>
    </w:p>
    <w:p>
      <w:pPr>
        <w:spacing w:after="0" w:line="5" w:lineRule="exact"/>
        <w:rPr>
          <w:rFonts w:ascii="Arial" w:cs="Arial" w:eastAsia="Arial" w:hAnsi="Arial"/>
          <w:sz w:val="12"/>
          <w:szCs w:val="12"/>
          <w:b w:val="1"/>
          <w:bCs w:val="1"/>
          <w:color w:val="auto"/>
        </w:rPr>
      </w:pPr>
    </w:p>
    <w:p>
      <w:pPr>
        <w:ind w:left="9340"/>
        <w:spacing w:after="0"/>
        <w:rPr>
          <w:sz w:val="20"/>
          <w:szCs w:val="20"/>
          <w:color w:val="auto"/>
        </w:rPr>
      </w:pPr>
      <w:r>
        <w:rPr>
          <w:rFonts w:ascii="Arial" w:cs="Arial" w:eastAsia="Arial" w:hAnsi="Arial"/>
          <w:sz w:val="14"/>
          <w:szCs w:val="14"/>
          <w:b w:val="1"/>
          <w:bCs w:val="1"/>
          <w:color w:val="auto"/>
        </w:rPr>
        <w:t>Total</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956945</wp:posOffset>
            </wp:positionH>
            <wp:positionV relativeFrom="paragraph">
              <wp:posOffset>23495</wp:posOffset>
            </wp:positionV>
            <wp:extent cx="4836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5" w:lineRule="exact"/>
        <w:rPr>
          <w:rFonts w:ascii="Arial" w:cs="Arial" w:eastAsia="Arial" w:hAnsi="Arial"/>
          <w:sz w:val="12"/>
          <w:szCs w:val="12"/>
          <w:b w:val="1"/>
          <w:bCs w:val="1"/>
          <w:color w:val="auto"/>
        </w:rPr>
      </w:pPr>
    </w:p>
    <w:tbl>
      <w:tblPr>
        <w:tblLayout w:type="fixed"/>
        <w:tblInd w:w="1500" w:type="dxa"/>
        <w:tblCellMar>
          <w:top w:w="0" w:type="dxa"/>
          <w:left w:w="0" w:type="dxa"/>
          <w:bottom w:w="0" w:type="dxa"/>
          <w:right w:w="0" w:type="dxa"/>
        </w:tblCellMar>
      </w:tblPr>
      <w:tr>
        <w:trPr>
          <w:trHeight w:val="208"/>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Price to public</w:t>
            </w:r>
          </w:p>
        </w:tc>
        <w:tc>
          <w:tcPr>
            <w:tcW w:w="6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6760" w:type="dxa"/>
            <w:vAlign w:val="bottom"/>
          </w:tcPr>
          <w:p>
            <w:pPr>
              <w:spacing w:after="0" w:line="216"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5"/>
                <w:szCs w:val="25"/>
                <w:color w:val="auto"/>
                <w:vertAlign w:val="superscript"/>
              </w:rPr>
              <w:t>(1)</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Tradeweb Markets Inc.</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bl>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725170</wp:posOffset>
            </wp:positionH>
            <wp:positionV relativeFrom="paragraph">
              <wp:posOffset>102870</wp:posOffset>
            </wp:positionV>
            <wp:extent cx="1235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54" w:lineRule="exact"/>
        <w:rPr>
          <w:rFonts w:ascii="Arial" w:cs="Arial" w:eastAsia="Arial" w:hAnsi="Arial"/>
          <w:sz w:val="12"/>
          <w:szCs w:val="12"/>
          <w:b w:val="1"/>
          <w:bCs w:val="1"/>
          <w:color w:val="auto"/>
        </w:rPr>
      </w:pPr>
    </w:p>
    <w:p>
      <w:pPr>
        <w:ind w:left="1500" w:hanging="358"/>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“Underwriting (Conflicts of Interest)” for additional information regarding underwriting compensation.</w:t>
      </w:r>
    </w:p>
    <w:p>
      <w:pPr>
        <w:spacing w:after="0" w:line="32" w:lineRule="exact"/>
        <w:rPr>
          <w:rFonts w:ascii="Arial" w:cs="Arial" w:eastAsia="Arial" w:hAnsi="Arial"/>
          <w:sz w:val="12"/>
          <w:szCs w:val="12"/>
          <w:b w:val="1"/>
          <w:bCs w:val="1"/>
          <w:color w:val="auto"/>
        </w:rPr>
      </w:pPr>
    </w:p>
    <w:tbl>
      <w:tblPr>
        <w:tblLayout w:type="fixed"/>
        <w:tblInd w:w="1500" w:type="dxa"/>
        <w:tblCellMar>
          <w:top w:w="0" w:type="dxa"/>
          <w:left w:w="0" w:type="dxa"/>
          <w:bottom w:w="0" w:type="dxa"/>
          <w:right w:w="0" w:type="dxa"/>
        </w:tblCellMar>
      </w:tblPr>
      <w:tr>
        <w:trPr>
          <w:trHeight w:val="206"/>
        </w:trPr>
        <w:tc>
          <w:tcPr>
            <w:tcW w:w="5240" w:type="dxa"/>
            <w:vAlign w:val="bottom"/>
          </w:tcPr>
          <w:p>
            <w:pPr>
              <w:spacing w:after="0"/>
              <w:rPr>
                <w:sz w:val="20"/>
                <w:szCs w:val="20"/>
                <w:color w:val="auto"/>
              </w:rPr>
            </w:pPr>
            <w:r>
              <w:rPr>
                <w:rFonts w:ascii="Arial" w:cs="Arial" w:eastAsia="Arial" w:hAnsi="Arial"/>
                <w:sz w:val="16"/>
                <w:szCs w:val="16"/>
                <w:color w:val="auto"/>
              </w:rPr>
              <w:t>Delivery of the shares of Class A common stock will be made on or about</w:t>
            </w:r>
          </w:p>
        </w:tc>
        <w:tc>
          <w:tcPr>
            <w:tcW w:w="880" w:type="dxa"/>
            <w:vAlign w:val="bottom"/>
          </w:tcPr>
          <w:p>
            <w:pPr>
              <w:jc w:val="right"/>
              <w:spacing w:after="0"/>
              <w:rPr>
                <w:sz w:val="20"/>
                <w:szCs w:val="20"/>
                <w:color w:val="auto"/>
              </w:rPr>
            </w:pPr>
            <w:r>
              <w:rPr>
                <w:rFonts w:ascii="Arial" w:cs="Arial" w:eastAsia="Arial" w:hAnsi="Arial"/>
                <w:sz w:val="16"/>
                <w:szCs w:val="16"/>
                <w:color w:val="auto"/>
              </w:rPr>
              <w:t>, 2019.</w:t>
            </w:r>
          </w:p>
        </w:tc>
      </w:tr>
    </w:tbl>
    <w:p>
      <w:pPr>
        <w:ind w:left="1140" w:right="260" w:firstLine="360"/>
        <w:spacing w:after="0" w:line="237" w:lineRule="auto"/>
        <w:rPr>
          <w:sz w:val="20"/>
          <w:szCs w:val="20"/>
          <w:color w:val="auto"/>
        </w:rPr>
      </w:pPr>
      <w:r>
        <w:rPr>
          <w:rFonts w:ascii="Arial" w:cs="Arial" w:eastAsia="Arial" w:hAnsi="Arial"/>
          <w:sz w:val="16"/>
          <w:szCs w:val="16"/>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106" w:lineRule="exact"/>
        <w:rPr>
          <w:rFonts w:ascii="Arial" w:cs="Arial" w:eastAsia="Arial" w:hAnsi="Arial"/>
          <w:sz w:val="12"/>
          <w:szCs w:val="12"/>
          <w:b w:val="1"/>
          <w:bCs w:val="1"/>
          <w:color w:val="auto"/>
        </w:rPr>
      </w:pPr>
    </w:p>
    <w:p>
      <w:pPr>
        <w:ind w:left="1140"/>
        <w:spacing w:after="0"/>
        <w:tabs>
          <w:tab w:leader="none" w:pos="3100" w:val="left"/>
          <w:tab w:leader="none" w:pos="4800" w:val="left"/>
          <w:tab w:leader="none" w:pos="8480" w:val="left"/>
        </w:tabs>
        <w:rPr>
          <w:sz w:val="20"/>
          <w:szCs w:val="20"/>
          <w:color w:val="auto"/>
        </w:rPr>
      </w:pP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3"/>
          <w:szCs w:val="23"/>
          <w:b w:val="1"/>
          <w:bCs w:val="1"/>
          <w:color w:val="auto"/>
        </w:rPr>
        <w:t>Morgan Stanley</w:t>
      </w:r>
    </w:p>
    <w:p>
      <w:pPr>
        <w:spacing w:after="0" w:line="140" w:lineRule="exact"/>
        <w:rPr>
          <w:rFonts w:ascii="Arial" w:cs="Arial" w:eastAsia="Arial" w:hAnsi="Arial"/>
          <w:sz w:val="12"/>
          <w:szCs w:val="12"/>
          <w:b w:val="1"/>
          <w:bCs w:val="1"/>
          <w:color w:val="auto"/>
        </w:rPr>
      </w:pPr>
    </w:p>
    <w:p>
      <w:pPr>
        <w:ind w:left="1680"/>
        <w:spacing w:after="0"/>
        <w:tabs>
          <w:tab w:leader="none" w:pos="5260" w:val="left"/>
          <w:tab w:leader="none" w:pos="8140"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18"/>
          <w:szCs w:val="18"/>
          <w:b w:val="1"/>
          <w:bCs w:val="1"/>
          <w:color w:val="auto"/>
        </w:rPr>
        <w:t>Credit Suisse</w:t>
      </w:r>
    </w:p>
    <w:p>
      <w:pPr>
        <w:spacing w:after="0" w:line="28" w:lineRule="exact"/>
        <w:rPr>
          <w:rFonts w:ascii="Arial" w:cs="Arial" w:eastAsia="Arial" w:hAnsi="Arial"/>
          <w:sz w:val="12"/>
          <w:szCs w:val="12"/>
          <w:b w:val="1"/>
          <w:bCs w:val="1"/>
          <w:color w:val="auto"/>
        </w:rPr>
      </w:pPr>
    </w:p>
    <w:p>
      <w:pPr>
        <w:ind w:left="1440"/>
        <w:spacing w:after="0"/>
        <w:tabs>
          <w:tab w:leader="none" w:pos="4640" w:val="left"/>
          <w:tab w:leader="none" w:pos="7700" w:val="left"/>
        </w:tabs>
        <w:rPr>
          <w:sz w:val="20"/>
          <w:szCs w:val="20"/>
          <w:color w:val="auto"/>
        </w:rPr>
      </w:pPr>
      <w:r>
        <w:rPr>
          <w:rFonts w:ascii="Arial" w:cs="Arial" w:eastAsia="Arial" w:hAnsi="Arial"/>
          <w:sz w:val="22"/>
          <w:szCs w:val="22"/>
          <w:b w:val="1"/>
          <w:bCs w:val="1"/>
          <w:color w:val="auto"/>
        </w:rPr>
        <w:t>Deutsche Bank Securities</w:t>
      </w:r>
      <w:r>
        <w:rPr>
          <w:sz w:val="20"/>
          <w:szCs w:val="20"/>
          <w:color w:val="auto"/>
        </w:rPr>
        <w:tab/>
      </w: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19"/>
          <w:szCs w:val="19"/>
          <w:b w:val="1"/>
          <w:bCs w:val="1"/>
          <w:color w:val="auto"/>
        </w:rPr>
        <w:t>Wells Fargo Securities</w:t>
      </w:r>
    </w:p>
    <w:p>
      <w:pPr>
        <w:spacing w:after="0" w:line="29" w:lineRule="exact"/>
        <w:rPr>
          <w:rFonts w:ascii="Arial" w:cs="Arial" w:eastAsia="Arial" w:hAnsi="Arial"/>
          <w:sz w:val="12"/>
          <w:szCs w:val="12"/>
          <w:b w:val="1"/>
          <w:bCs w:val="1"/>
          <w:color w:val="auto"/>
        </w:rPr>
      </w:pPr>
    </w:p>
    <w:p>
      <w:pPr>
        <w:ind w:left="3040"/>
        <w:spacing w:after="0"/>
        <w:tabs>
          <w:tab w:leader="none" w:pos="6760" w:val="left"/>
        </w:tabs>
        <w:rPr>
          <w:sz w:val="20"/>
          <w:szCs w:val="20"/>
          <w:color w:val="auto"/>
        </w:rPr>
      </w:pPr>
      <w:r>
        <w:rPr>
          <w:rFonts w:ascii="Arial" w:cs="Arial" w:eastAsia="Arial" w:hAnsi="Arial"/>
          <w:sz w:val="18"/>
          <w:szCs w:val="18"/>
          <w:b w:val="1"/>
          <w:bCs w:val="1"/>
          <w:color w:val="auto"/>
        </w:rPr>
        <w:t>Jefferies</w:t>
      </w:r>
      <w:r>
        <w:rPr>
          <w:sz w:val="20"/>
          <w:szCs w:val="20"/>
          <w:color w:val="auto"/>
        </w:rPr>
        <w:tab/>
      </w:r>
      <w:r>
        <w:rPr>
          <w:rFonts w:ascii="Arial" w:cs="Arial" w:eastAsia="Arial" w:hAnsi="Arial"/>
          <w:sz w:val="18"/>
          <w:szCs w:val="18"/>
          <w:b w:val="1"/>
          <w:bCs w:val="1"/>
          <w:color w:val="auto"/>
        </w:rPr>
        <w:t>Sandler O’Neill + Partners, L.P.</w:t>
      </w:r>
    </w:p>
    <w:p>
      <w:pPr>
        <w:sectPr>
          <w:pgSz w:w="11900" w:h="16838" w:orient="portrait"/>
          <w:cols w:equalWidth="0" w:num="1">
            <w:col w:w="10240"/>
          </w:cols>
          <w:pgMar w:left="240" w:top="131" w:right="1419" w:bottom="1440" w:gutter="0" w:footer="0" w:header="0"/>
        </w:sectPr>
      </w:pPr>
    </w:p>
    <w:p>
      <w:pPr>
        <w:spacing w:after="0" w:line="180" w:lineRule="exact"/>
        <w:rPr>
          <w:rFonts w:ascii="Arial" w:cs="Arial" w:eastAsia="Arial" w:hAnsi="Arial"/>
          <w:sz w:val="12"/>
          <w:szCs w:val="12"/>
          <w:b w:val="1"/>
          <w:bCs w:val="1"/>
          <w:color w:val="auto"/>
        </w:rPr>
      </w:pPr>
    </w:p>
    <w:p>
      <w:pPr>
        <w:ind w:left="4080"/>
        <w:spacing w:after="0"/>
        <w:tabs>
          <w:tab w:leader="none" w:pos="6840" w:val="left"/>
        </w:tabs>
        <w:rPr>
          <w:sz w:val="20"/>
          <w:szCs w:val="20"/>
          <w:color w:val="auto"/>
        </w:rPr>
      </w:pPr>
      <w:r>
        <w:rPr>
          <w:rFonts w:ascii="Arial" w:cs="Arial" w:eastAsia="Arial" w:hAnsi="Arial"/>
          <w:sz w:val="16"/>
          <w:szCs w:val="16"/>
          <w:color w:val="auto"/>
        </w:rPr>
        <w:t>The date of this prospectus is</w:t>
      </w:r>
      <w:r>
        <w:rPr>
          <w:sz w:val="20"/>
          <w:szCs w:val="20"/>
          <w:color w:val="auto"/>
        </w:rPr>
        <w:tab/>
      </w:r>
      <w:r>
        <w:rPr>
          <w:rFonts w:ascii="Arial" w:cs="Arial" w:eastAsia="Arial" w:hAnsi="Arial"/>
          <w:sz w:val="14"/>
          <w:szCs w:val="14"/>
          <w:color w:val="auto"/>
        </w:rPr>
        <w:t>, 2019.</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68345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6834505" cy="8948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4505" cy="89484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6834505" cy="8948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894842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6834505" cy="8948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894842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10"/>
        </w:trPr>
        <w:tc>
          <w:tcPr>
            <w:tcW w:w="2660" w:type="dxa"/>
            <w:vAlign w:val="bottom"/>
            <w:gridSpan w:val="13"/>
            <w:shd w:val="clear" w:color="auto" w:fill="CCEEFF"/>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MARKET AND INDUSTRY DATA</w:t>
              </w:r>
            </w:hyperlink>
          </w:p>
        </w:tc>
        <w:tc>
          <w:tcPr>
            <w:tcW w:w="5020" w:type="dxa"/>
            <w:vAlign w:val="bottom"/>
            <w:gridSpan w:val="17"/>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680" w:type="dxa"/>
            <w:vAlign w:val="bottom"/>
            <w:gridSpan w:val="3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CERTAIN TRADEMARKS, TRADE NAMES AND SERVICE MARKS</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14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80" w:type="dxa"/>
            <w:vAlign w:val="bottom"/>
            <w:gridSpan w:val="30"/>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BASIS OF PRESENTATION</w:t>
              </w:r>
            </w:hyperlink>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NON-GAAP FINANCIAL MEASURES</w:t>
              </w:r>
            </w:hyperlink>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tcPr>
          <w:p>
            <w:pPr>
              <w:jc w:val="right"/>
              <w:ind w:right="140"/>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v</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100" w:type="dxa"/>
            <w:vAlign w:val="bottom"/>
            <w:gridSpan w:val="9"/>
            <w:shd w:val="clear" w:color="auto" w:fill="CCEEFF"/>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PROSPECTUS SUMMARY</w:t>
              </w:r>
            </w:hyperlink>
          </w:p>
        </w:tc>
        <w:tc>
          <w:tcPr>
            <w:tcW w:w="5580" w:type="dxa"/>
            <w:vAlign w:val="bottom"/>
            <w:gridSpan w:val="21"/>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1">
              <w:r>
                <w:rPr>
                  <w:rFonts w:ascii="Arial" w:cs="Arial" w:eastAsia="Arial" w:hAnsi="Arial"/>
                  <w:sz w:val="18"/>
                  <w:szCs w:val="18"/>
                  <w:color w:val="0000EE"/>
                </w:rPr>
                <w:t>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10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580" w:type="dxa"/>
            <w:vAlign w:val="bottom"/>
            <w:gridSpan w:val="21"/>
          </w:tcPr>
          <w:p>
            <w:pPr>
              <w:spacing w:after="0"/>
              <w:rPr>
                <w:sz w:val="19"/>
                <w:szCs w:val="19"/>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38">
              <w:r>
                <w:rPr>
                  <w:rFonts w:ascii="Arial" w:cs="Arial" w:eastAsia="Arial" w:hAnsi="Arial"/>
                  <w:sz w:val="18"/>
                  <w:szCs w:val="18"/>
                  <w:color w:val="0000EE"/>
                </w:rPr>
                <w:t>28</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800" w:type="dxa"/>
            <w:vAlign w:val="bottom"/>
            <w:gridSpan w:val="24"/>
            <w:shd w:val="clear" w:color="auto" w:fill="CCEEFF"/>
          </w:tcPr>
          <w:p>
            <w:pPr>
              <w:spacing w:after="0"/>
              <w:rPr>
                <w:rFonts w:ascii="Arial" w:cs="Arial" w:eastAsia="Arial" w:hAnsi="Arial"/>
                <w:sz w:val="18"/>
                <w:szCs w:val="18"/>
                <w:color w:val="0000EE"/>
                <w:w w:val="96"/>
              </w:rPr>
            </w:pPr>
            <w:hyperlink w:anchor="page73">
              <w:r>
                <w:rPr>
                  <w:rFonts w:ascii="Arial" w:cs="Arial" w:eastAsia="Arial" w:hAnsi="Arial"/>
                  <w:sz w:val="18"/>
                  <w:szCs w:val="18"/>
                  <w:color w:val="0000EE"/>
                  <w:w w:val="96"/>
                </w:rPr>
                <w:t>CAUTIONARY NOTE REGARDING FORWARD-LOOKING STATEMENTS</w:t>
              </w:r>
            </w:hyperlink>
          </w:p>
        </w:tc>
        <w:tc>
          <w:tcPr>
            <w:tcW w:w="1880" w:type="dxa"/>
            <w:vAlign w:val="bottom"/>
            <w:gridSpan w:val="6"/>
            <w:shd w:val="clear" w:color="auto" w:fill="CCEEFF"/>
          </w:tcPr>
          <w:p>
            <w:pPr>
              <w:spacing w:after="0"/>
              <w:rPr>
                <w:sz w:val="19"/>
                <w:szCs w:val="19"/>
                <w:color w:val="auto"/>
              </w:rPr>
            </w:pPr>
          </w:p>
        </w:tc>
        <w:tc>
          <w:tcPr>
            <w:tcW w:w="220" w:type="dxa"/>
            <w:vAlign w:val="bottom"/>
            <w:tcBorders>
              <w:right w:val="single" w:sz="8" w:color="CCEEFF"/>
            </w:tcBorders>
            <w:gridSpan w:val="2"/>
            <w:shd w:val="clear" w:color="auto" w:fill="CCEEFF"/>
          </w:tcPr>
          <w:p>
            <w:pPr>
              <w:spacing w:after="0"/>
              <w:rPr>
                <w:sz w:val="19"/>
                <w:szCs w:val="19"/>
                <w:color w:val="auto"/>
              </w:rPr>
            </w:pPr>
          </w:p>
        </w:tc>
        <w:tc>
          <w:tcPr>
            <w:tcW w:w="320" w:type="dxa"/>
            <w:vAlign w:val="bottom"/>
            <w:gridSpan w:val="4"/>
            <w:shd w:val="clear" w:color="auto" w:fill="CCEEFF"/>
          </w:tcPr>
          <w:p>
            <w:pPr>
              <w:jc w:val="right"/>
              <w:ind w:right="140"/>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63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800" w:type="dxa"/>
            <w:vAlign w:val="bottom"/>
            <w:gridSpan w:val="2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THE REORGANIZATION TRANSACTIONS</w:t>
              </w:r>
            </w:hyperlink>
          </w:p>
        </w:tc>
        <w:tc>
          <w:tcPr>
            <w:tcW w:w="1880" w:type="dxa"/>
            <w:vAlign w:val="bottom"/>
            <w:gridSpan w:val="6"/>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65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USE OF PROCEEDS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79">
              <w:r>
                <w:rPr>
                  <w:rFonts w:ascii="Arial" w:cs="Arial" w:eastAsia="Arial" w:hAnsi="Arial"/>
                  <w:sz w:val="18"/>
                  <w:szCs w:val="18"/>
                  <w:color w:val="0000EE"/>
                </w:rPr>
                <w:t>69</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DIVIDEND POLICY</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80">
              <w:r>
                <w:rPr>
                  <w:rFonts w:ascii="Arial" w:cs="Arial" w:eastAsia="Arial" w:hAnsi="Arial"/>
                  <w:sz w:val="18"/>
                  <w:szCs w:val="18"/>
                  <w:color w:val="0000EE"/>
                </w:rPr>
                <w:t>70</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CAPITALIZATION</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81">
              <w:r>
                <w:rPr>
                  <w:rFonts w:ascii="Arial" w:cs="Arial" w:eastAsia="Arial" w:hAnsi="Arial"/>
                  <w:sz w:val="18"/>
                  <w:szCs w:val="18"/>
                  <w:color w:val="0000EE"/>
                </w:rPr>
                <w:t>71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460" w:type="dxa"/>
            <w:vAlign w:val="bottom"/>
            <w:gridSpan w:val="6"/>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DILUTION</w:t>
              </w:r>
            </w:hyperlink>
          </w:p>
        </w:tc>
        <w:tc>
          <w:tcPr>
            <w:tcW w:w="6220" w:type="dxa"/>
            <w:vAlign w:val="bottom"/>
            <w:gridSpan w:val="24"/>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73</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SELECTED HISTORICAL CONSOLIDATED FINANCIAL AND OTHER DATA</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86">
              <w:r>
                <w:rPr>
                  <w:rFonts w:ascii="Arial" w:cs="Arial" w:eastAsia="Arial" w:hAnsi="Arial"/>
                  <w:sz w:val="18"/>
                  <w:szCs w:val="18"/>
                  <w:color w:val="0000EE"/>
                </w:rPr>
                <w:t>76</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040" w:type="dxa"/>
            <w:vAlign w:val="bottom"/>
            <w:gridSpan w:val="2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UNAUDITED PRO FORMA CONSOLIDATED FINANCIAL INFORMATION</w:t>
              </w:r>
            </w:hyperlink>
          </w:p>
        </w:tc>
        <w:tc>
          <w:tcPr>
            <w:tcW w:w="1640" w:type="dxa"/>
            <w:vAlign w:val="bottom"/>
            <w:gridSpan w:val="3"/>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82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6700" w:type="dxa"/>
            <w:vAlign w:val="bottom"/>
            <w:tcBorders>
              <w:bottom w:val="single" w:sz="8" w:color="0000EE"/>
            </w:tcBorders>
            <w:gridSpan w:val="28"/>
            <w:shd w:val="clear" w:color="auto" w:fill="CCEEFF"/>
          </w:tcPr>
          <w:p>
            <w:pPr>
              <w:spacing w:after="0"/>
              <w:rPr>
                <w:rFonts w:ascii="Arial" w:cs="Arial" w:eastAsia="Arial" w:hAnsi="Arial"/>
                <w:sz w:val="18"/>
                <w:szCs w:val="18"/>
                <w:color w:val="0000EE"/>
                <w:w w:val="98"/>
              </w:rPr>
            </w:pPr>
            <w:hyperlink w:anchor="page102">
              <w:r>
                <w:rPr>
                  <w:rFonts w:ascii="Arial" w:cs="Arial" w:eastAsia="Arial" w:hAnsi="Arial"/>
                  <w:sz w:val="18"/>
                  <w:szCs w:val="18"/>
                  <w:color w:val="0000EE"/>
                  <w:w w:val="98"/>
                </w:rPr>
                <w:t>MANAGEMENT’S DISCUSSION AND ANALYSIS OF FINANCIAL CONDITION AND</w:t>
              </w:r>
            </w:hyperlink>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2200" w:type="dxa"/>
            <w:vAlign w:val="bottom"/>
            <w:gridSpan w:val="10"/>
            <w:shd w:val="clear" w:color="auto" w:fill="CCEEFF"/>
          </w:tcPr>
          <w:p>
            <w:pPr>
              <w:spacing w:after="0" w:line="196" w:lineRule="exact"/>
              <w:rPr>
                <w:rFonts w:ascii="Arial" w:cs="Arial" w:eastAsia="Arial" w:hAnsi="Arial"/>
                <w:sz w:val="18"/>
                <w:szCs w:val="18"/>
                <w:color w:val="0000EE"/>
                <w:w w:val="92"/>
              </w:rPr>
            </w:pPr>
            <w:hyperlink w:anchor="page102">
              <w:r>
                <w:rPr>
                  <w:rFonts w:ascii="Arial" w:cs="Arial" w:eastAsia="Arial" w:hAnsi="Arial"/>
                  <w:sz w:val="18"/>
                  <w:szCs w:val="18"/>
                  <w:color w:val="0000EE"/>
                  <w:w w:val="92"/>
                </w:rPr>
                <w:t>RESULTS OF OPERATIONS</w:t>
              </w:r>
            </w:hyperlink>
          </w:p>
        </w:tc>
        <w:tc>
          <w:tcPr>
            <w:tcW w:w="5300" w:type="dxa"/>
            <w:vAlign w:val="bottom"/>
            <w:gridSpan w:val="19"/>
            <w:shd w:val="clear" w:color="auto" w:fill="CCEEFF"/>
          </w:tcPr>
          <w:p>
            <w:pPr>
              <w:spacing w:after="0"/>
              <w:rPr>
                <w:sz w:val="17"/>
                <w:szCs w:val="17"/>
                <w:color w:val="auto"/>
              </w:rPr>
            </w:pPr>
          </w:p>
        </w:tc>
        <w:tc>
          <w:tcPr>
            <w:tcW w:w="220" w:type="dxa"/>
            <w:vAlign w:val="bottom"/>
            <w:tcBorders>
              <w:right w:val="single" w:sz="8" w:color="CCEEFF"/>
            </w:tcBorders>
            <w:gridSpan w:val="2"/>
            <w:shd w:val="clear" w:color="auto" w:fill="CCEEFF"/>
          </w:tcPr>
          <w:p>
            <w:pPr>
              <w:spacing w:after="0"/>
              <w:rPr>
                <w:sz w:val="17"/>
                <w:szCs w:val="17"/>
                <w:color w:val="auto"/>
              </w:rPr>
            </w:pPr>
          </w:p>
        </w:tc>
        <w:tc>
          <w:tcPr>
            <w:tcW w:w="320" w:type="dxa"/>
            <w:vAlign w:val="bottom"/>
            <w:gridSpan w:val="4"/>
            <w:shd w:val="clear" w:color="auto" w:fill="CCEEFF"/>
          </w:tcPr>
          <w:p>
            <w:pPr>
              <w:jc w:val="right"/>
              <w:ind w:right="140"/>
              <w:spacing w:after="0" w:line="196" w:lineRule="exact"/>
              <w:rPr>
                <w:rFonts w:ascii="Arial" w:cs="Arial" w:eastAsia="Arial" w:hAnsi="Arial"/>
                <w:sz w:val="18"/>
                <w:szCs w:val="18"/>
                <w:color w:val="0000EE"/>
                <w:w w:val="79"/>
              </w:rPr>
            </w:pPr>
            <w:hyperlink w:anchor="page102">
              <w:r>
                <w:rPr>
                  <w:rFonts w:ascii="Arial" w:cs="Arial" w:eastAsia="Arial" w:hAnsi="Arial"/>
                  <w:sz w:val="18"/>
                  <w:szCs w:val="18"/>
                  <w:color w:val="0000EE"/>
                  <w:w w:val="79"/>
                </w:rPr>
                <w:t>92</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BUSINESS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36">
              <w:r>
                <w:rPr>
                  <w:rFonts w:ascii="Arial" w:cs="Arial" w:eastAsia="Arial" w:hAnsi="Arial"/>
                  <w:sz w:val="18"/>
                  <w:szCs w:val="18"/>
                  <w:color w:val="0000EE"/>
                </w:rPr>
                <w:t>126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MANAGEMENT</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58">
              <w:r>
                <w:rPr>
                  <w:rFonts w:ascii="Arial" w:cs="Arial" w:eastAsia="Arial" w:hAnsi="Arial"/>
                  <w:sz w:val="18"/>
                  <w:szCs w:val="18"/>
                  <w:color w:val="0000EE"/>
                </w:rPr>
                <w:t>148</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EXECUTIVE COMPENSATION</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62">
              <w:r>
                <w:rPr>
                  <w:rFonts w:ascii="Arial" w:cs="Arial" w:eastAsia="Arial" w:hAnsi="Arial"/>
                  <w:sz w:val="18"/>
                  <w:szCs w:val="18"/>
                  <w:color w:val="0000EE"/>
                </w:rPr>
                <w:t>152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PRINCIPAL STOCKHOLDERS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79">
              <w:r>
                <w:rPr>
                  <w:rFonts w:ascii="Arial" w:cs="Arial" w:eastAsia="Arial" w:hAnsi="Arial"/>
                  <w:sz w:val="18"/>
                  <w:szCs w:val="18"/>
                  <w:color w:val="0000EE"/>
                </w:rPr>
                <w:t>169</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CERTAIN RELATIONSHIPS AND RELATED PARTY TRANSACTIONS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80">
              <w:r>
                <w:rPr>
                  <w:rFonts w:ascii="Arial" w:cs="Arial" w:eastAsia="Arial" w:hAnsi="Arial"/>
                  <w:sz w:val="18"/>
                  <w:szCs w:val="18"/>
                  <w:color w:val="0000EE"/>
                </w:rPr>
                <w:t>170</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880" w:type="dxa"/>
            <w:vAlign w:val="bottom"/>
            <w:gridSpan w:val="14"/>
            <w:shd w:val="clear" w:color="auto" w:fill="CCEEFF"/>
          </w:tcPr>
          <w:p>
            <w:pPr>
              <w:spacing w:after="0"/>
              <w:rPr>
                <w:rFonts w:ascii="Arial" w:cs="Arial" w:eastAsia="Arial" w:hAnsi="Arial"/>
                <w:sz w:val="18"/>
                <w:szCs w:val="18"/>
                <w:color w:val="0000EE"/>
                <w:w w:val="95"/>
              </w:rPr>
            </w:pPr>
            <w:hyperlink w:anchor="page189">
              <w:r>
                <w:rPr>
                  <w:rFonts w:ascii="Arial" w:cs="Arial" w:eastAsia="Arial" w:hAnsi="Arial"/>
                  <w:sz w:val="18"/>
                  <w:szCs w:val="18"/>
                  <w:color w:val="0000EE"/>
                  <w:w w:val="95"/>
                </w:rPr>
                <w:t>DESCRIPTION OF CAPITAL STOCK</w:t>
              </w:r>
            </w:hyperlink>
          </w:p>
        </w:tc>
        <w:tc>
          <w:tcPr>
            <w:tcW w:w="4800" w:type="dxa"/>
            <w:vAlign w:val="bottom"/>
            <w:gridSpan w:val="16"/>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89">
              <w:r>
                <w:rPr>
                  <w:rFonts w:ascii="Arial" w:cs="Arial" w:eastAsia="Arial" w:hAnsi="Arial"/>
                  <w:sz w:val="18"/>
                  <w:szCs w:val="18"/>
                  <w:color w:val="0000EE"/>
                </w:rPr>
                <w:t>179</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DESCRIPTION OF CERTAIN INDEBTEDNESS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99">
              <w:r>
                <w:rPr>
                  <w:rFonts w:ascii="Arial" w:cs="Arial" w:eastAsia="Arial" w:hAnsi="Arial"/>
                  <w:sz w:val="18"/>
                  <w:szCs w:val="18"/>
                  <w:color w:val="0000EE"/>
                </w:rPr>
                <w:t>189</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SHARES ELIGIBLE FOR FUTURE SALE</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00">
              <w:r>
                <w:rPr>
                  <w:rFonts w:ascii="Arial" w:cs="Arial" w:eastAsia="Arial" w:hAnsi="Arial"/>
                  <w:sz w:val="18"/>
                  <w:szCs w:val="18"/>
                  <w:color w:val="0000EE"/>
                </w:rPr>
                <w:t>190</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680" w:type="dxa"/>
            <w:vAlign w:val="bottom"/>
            <w:gridSpan w:val="30"/>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MATERIAL U.S. FEDERAL TAX CONSIDERATIONS FOR NON-U.S. HOLDERS OF OUR</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6"/>
        </w:trPr>
        <w:tc>
          <w:tcPr>
            <w:tcW w:w="6900" w:type="dxa"/>
            <w:vAlign w:val="bottom"/>
            <w:tcBorders>
              <w:top w:val="single" w:sz="8" w:color="0000EE"/>
            </w:tcBorders>
            <w:gridSpan w:val="29"/>
          </w:tcPr>
          <w:p>
            <w:pPr>
              <w:ind w:left="180"/>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COMMON STOCK</w:t>
              </w:r>
            </w:hyperlink>
          </w:p>
        </w:tc>
        <w:tc>
          <w:tcPr>
            <w:tcW w:w="780" w:type="dxa"/>
            <w:vAlign w:val="bottom"/>
          </w:tcPr>
          <w:p>
            <w:pPr>
              <w:spacing w:after="0"/>
              <w:rPr>
                <w:sz w:val="17"/>
                <w:szCs w:val="17"/>
                <w:color w:val="auto"/>
              </w:rPr>
            </w:pPr>
          </w:p>
        </w:tc>
        <w:tc>
          <w:tcPr>
            <w:tcW w:w="540" w:type="dxa"/>
            <w:vAlign w:val="bottom"/>
            <w:gridSpan w:val="6"/>
          </w:tcPr>
          <w:p>
            <w:pPr>
              <w:jc w:val="right"/>
              <w:ind w:right="140"/>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193</w:t>
              </w:r>
            </w:hyperlink>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3720" w:type="dxa"/>
            <w:vAlign w:val="bottom"/>
            <w:gridSpan w:val="20"/>
            <w:shd w:val="clear" w:color="auto" w:fill="CCEEFF"/>
          </w:tcPr>
          <w:p>
            <w:pPr>
              <w:spacing w:after="0"/>
              <w:rPr>
                <w:rFonts w:ascii="Arial" w:cs="Arial" w:eastAsia="Arial" w:hAnsi="Arial"/>
                <w:sz w:val="18"/>
                <w:szCs w:val="18"/>
                <w:color w:val="0000EE"/>
                <w:w w:val="96"/>
              </w:rPr>
            </w:pPr>
            <w:hyperlink w:anchor="page207">
              <w:r>
                <w:rPr>
                  <w:rFonts w:ascii="Arial" w:cs="Arial" w:eastAsia="Arial" w:hAnsi="Arial"/>
                  <w:sz w:val="18"/>
                  <w:szCs w:val="18"/>
                  <w:color w:val="0000EE"/>
                  <w:w w:val="96"/>
                </w:rPr>
                <w:t>UNDERWRITING (CONFLICTS OF INTEREST)</w:t>
              </w:r>
            </w:hyperlink>
          </w:p>
        </w:tc>
        <w:tc>
          <w:tcPr>
            <w:tcW w:w="3960" w:type="dxa"/>
            <w:vAlign w:val="bottom"/>
            <w:gridSpan w:val="10"/>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07">
              <w:r>
                <w:rPr>
                  <w:rFonts w:ascii="Arial" w:cs="Arial" w:eastAsia="Arial" w:hAnsi="Arial"/>
                  <w:sz w:val="18"/>
                  <w:szCs w:val="18"/>
                  <w:color w:val="0000EE"/>
                </w:rPr>
                <w:t>197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720" w:type="dxa"/>
            <w:vAlign w:val="bottom"/>
            <w:gridSpan w:val="20"/>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LEGAL MATTERS</w:t>
              </w:r>
            </w:hyperlink>
          </w:p>
        </w:tc>
        <w:tc>
          <w:tcPr>
            <w:tcW w:w="3960" w:type="dxa"/>
            <w:vAlign w:val="bottom"/>
            <w:gridSpan w:val="10"/>
          </w:tcPr>
          <w:p>
            <w:pPr>
              <w:spacing w:after="0"/>
              <w:rPr>
                <w:sz w:val="19"/>
                <w:szCs w:val="19"/>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215">
              <w:r>
                <w:rPr>
                  <w:rFonts w:ascii="Arial" w:cs="Arial" w:eastAsia="Arial" w:hAnsi="Arial"/>
                  <w:sz w:val="18"/>
                  <w:szCs w:val="18"/>
                  <w:color w:val="0000EE"/>
                </w:rPr>
                <w:t>205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840" w:type="dxa"/>
            <w:vAlign w:val="bottom"/>
            <w:gridSpan w:val="25"/>
            <w:shd w:val="clear" w:color="auto" w:fill="CCEEFF"/>
          </w:tcPr>
          <w:p>
            <w:pPr>
              <w:spacing w:after="0"/>
              <w:rPr>
                <w:rFonts w:ascii="Arial" w:cs="Arial" w:eastAsia="Arial" w:hAnsi="Arial"/>
                <w:sz w:val="18"/>
                <w:szCs w:val="18"/>
                <w:color w:val="0000EE"/>
                <w:w w:val="96"/>
              </w:rPr>
            </w:pPr>
            <w:hyperlink w:anchor="page215">
              <w:r>
                <w:rPr>
                  <w:rFonts w:ascii="Arial" w:cs="Arial" w:eastAsia="Arial" w:hAnsi="Arial"/>
                  <w:sz w:val="18"/>
                  <w:szCs w:val="18"/>
                  <w:color w:val="0000EE"/>
                  <w:w w:val="96"/>
                </w:rPr>
                <w:t>CHANGE IN INDEPENDENT REGISTERED PUBLIC ACCOUNTING FIRM</w:t>
              </w:r>
            </w:hyperlink>
          </w:p>
        </w:tc>
        <w:tc>
          <w:tcPr>
            <w:tcW w:w="1840" w:type="dxa"/>
            <w:vAlign w:val="bottom"/>
            <w:gridSpan w:val="5"/>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15">
              <w:r>
                <w:rPr>
                  <w:rFonts w:ascii="Arial" w:cs="Arial" w:eastAsia="Arial" w:hAnsi="Arial"/>
                  <w:sz w:val="18"/>
                  <w:szCs w:val="18"/>
                  <w:color w:val="0000EE"/>
                </w:rPr>
                <w:t>205</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840" w:type="dxa"/>
            <w:vAlign w:val="bottom"/>
            <w:gridSpan w:val="25"/>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EXPERTS</w:t>
              </w:r>
            </w:hyperlink>
          </w:p>
        </w:tc>
        <w:tc>
          <w:tcPr>
            <w:tcW w:w="1840" w:type="dxa"/>
            <w:vAlign w:val="bottom"/>
            <w:gridSpan w:val="5"/>
          </w:tcPr>
          <w:p>
            <w:pPr>
              <w:spacing w:after="0"/>
              <w:rPr>
                <w:sz w:val="19"/>
                <w:szCs w:val="19"/>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215">
              <w:r>
                <w:rPr>
                  <w:rFonts w:ascii="Arial" w:cs="Arial" w:eastAsia="Arial" w:hAnsi="Arial"/>
                  <w:sz w:val="18"/>
                  <w:szCs w:val="18"/>
                  <w:color w:val="0000EE"/>
                </w:rPr>
                <w:t>205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217">
              <w:r>
                <w:rPr>
                  <w:rFonts w:ascii="Arial" w:cs="Arial" w:eastAsia="Arial" w:hAnsi="Arial"/>
                  <w:sz w:val="18"/>
                  <w:szCs w:val="18"/>
                  <w:color w:val="0000EE"/>
                </w:rPr>
                <w:t>WHERE YOU CAN FIND MORE INFORMATION</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17">
              <w:r>
                <w:rPr>
                  <w:rFonts w:ascii="Arial" w:cs="Arial" w:eastAsia="Arial" w:hAnsi="Arial"/>
                  <w:sz w:val="18"/>
                  <w:szCs w:val="18"/>
                  <w:color w:val="0000EE"/>
                </w:rPr>
                <w:t>207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820" w:type="dxa"/>
            <w:vAlign w:val="bottom"/>
            <w:gridSpan w:val="21"/>
          </w:tcPr>
          <w:p>
            <w:pPr>
              <w:spacing w:after="0"/>
              <w:rPr>
                <w:rFonts w:ascii="Arial" w:cs="Arial" w:eastAsia="Arial" w:hAnsi="Arial"/>
                <w:sz w:val="18"/>
                <w:szCs w:val="18"/>
                <w:color w:val="0000EE"/>
              </w:rPr>
            </w:pPr>
            <w:hyperlink w:anchor="page218">
              <w:r>
                <w:rPr>
                  <w:rFonts w:ascii="Arial" w:cs="Arial" w:eastAsia="Arial" w:hAnsi="Arial"/>
                  <w:sz w:val="18"/>
                  <w:szCs w:val="18"/>
                  <w:color w:val="0000EE"/>
                </w:rPr>
                <w:t>INDEX TO FINANCIAL STATEMENTS</w:t>
              </w:r>
            </w:hyperlink>
          </w:p>
        </w:tc>
        <w:tc>
          <w:tcPr>
            <w:tcW w:w="3860" w:type="dxa"/>
            <w:vAlign w:val="bottom"/>
            <w:gridSpan w:val="9"/>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5"/>
                <w:szCs w:val="15"/>
                <w:color w:val="0000EE"/>
                <w:w w:val="70"/>
              </w:rPr>
            </w:pPr>
            <w:hyperlink w:anchor="page218">
              <w:r>
                <w:rPr>
                  <w:rFonts w:ascii="Arial" w:cs="Arial" w:eastAsia="Arial" w:hAnsi="Arial"/>
                  <w:sz w:val="15"/>
                  <w:szCs w:val="15"/>
                  <w:color w:val="0000EE"/>
                  <w:w w:val="70"/>
                </w:rPr>
                <w:t>F-1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-5384800</wp:posOffset>
            </wp:positionV>
            <wp:extent cx="48710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76"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Neither we nor the underwriters have authorized anyone to provide you with any information other than that included in this prospectus or in any free writing prospectus prepared by or on behalf of us. We do not take any responsibility for, and can provide no assurance as to the reliability of, any information that others may give you. Offers to sell, and solicitations of offers to buy, shares of our Class A common stock are being made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operating results, and prospects may have changed since such date.</w:t>
      </w:r>
    </w:p>
    <w:p>
      <w:pPr>
        <w:spacing w:after="0" w:line="8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Class A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MARKET AND INDUSTRY DATA</w:t>
      </w:r>
    </w:p>
    <w:p>
      <w:pPr>
        <w:spacing w:after="0" w:line="10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and public industry sources, including FINRA’s Trade Reporting and Compliance Engine (“TRACE”), the Securities Industry and Financial Markets Association (“SIFMA”), the International Swaps and Derivatives Association (“ISDA”), Clarus Financial Technology, Trax, the Chicago Board Options Exchange (“CBOE”) and the Federal Reserve Bank of New York. In calculating the size of certain markets, we omitted products for which there is no publicly available data, and, as a result, the actual markets for certain of our asset classes may be larger than those presented herein.</w:t>
      </w:r>
    </w:p>
    <w:p>
      <w:pPr>
        <w:spacing w:after="0" w:line="61"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 Neither we nor the underwriters can guarantee the accuracy or completeness of this information, and neither we nor the underwriters have independently verified any third-party information and data from our internal research has not been verified by any independent source.</w:t>
      </w:r>
    </w:p>
    <w:p>
      <w:pPr>
        <w:spacing w:after="0" w:line="15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CERTAIN TRADEMARKS, TRADE NAMES AND SERVICE MARKS</w:t>
      </w:r>
    </w:p>
    <w:p>
      <w:pPr>
        <w:spacing w:after="0" w:line="108"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 xml:space="preserve">This prospectus includes trademarks and service marks owned by us.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or </w:t>
      </w:r>
      <w:r>
        <w:rPr>
          <w:rFonts w:ascii="Arial" w:cs="Arial" w:eastAsia="Arial" w:hAnsi="Arial"/>
          <w:sz w:val="27"/>
          <w:szCs w:val="27"/>
          <w:color w:val="auto"/>
          <w:vertAlign w:val="superscript"/>
        </w:rPr>
        <w:t>SM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In connection with the closing of this offering, we will effect certain organizational transactions. Unless otherwise stated or the context otherwise requires, all information in this prospectus reflects the completion of the organizational transactions and this offering, which we refer to collectively as the “Reorganization Transactions.” See “The Reorganization Transactions” for a description of the Reorganization Transactions and a diagram depicting our organizational structure after giving effect to the Reorganization Transactions, including this offering and the application of the net proceeds therefrom as described in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144" w:lineRule="exact"/>
        <w:rPr>
          <w:sz w:val="20"/>
          <w:szCs w:val="20"/>
          <w:color w:val="auto"/>
        </w:rPr>
      </w:pPr>
    </w:p>
    <w:p>
      <w:pPr>
        <w:ind w:left="1980" w:right="779" w:hanging="352"/>
        <w:spacing w:after="0" w:line="293" w:lineRule="auto"/>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“Tradeweb” </w:t>
      </w:r>
      <w:r>
        <w:rPr>
          <w:rFonts w:ascii="Arial" w:cs="Arial" w:eastAsia="Arial" w:hAnsi="Arial"/>
          <w:sz w:val="16"/>
          <w:szCs w:val="16"/>
          <w:color w:val="auto"/>
        </w:rPr>
        <w:t>and similar references refer: (i) on or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Reorganization Transactions, including this offering, to Tradeweb Markets LLC, which we refer to as “TWM LLC,” and, unless otherwise stated or the context otherwise requires, all of its subsidiaries and any predecessor entities, and (ii) following the completion of the Reorganization Transactions, including this offering, to Tradeweb Markets Inc., and, unless otherwise stated or the context otherwise requires, TWM LLC and all of its subsidiaries and any predecessor entities.</w:t>
      </w:r>
    </w:p>
    <w:p>
      <w:pPr>
        <w:spacing w:after="0" w:line="97" w:lineRule="exact"/>
        <w:rPr>
          <w:rFonts w:ascii="Arial" w:cs="Arial" w:eastAsia="Arial" w:hAnsi="Arial"/>
          <w:sz w:val="16"/>
          <w:szCs w:val="16"/>
          <w:color w:val="auto"/>
        </w:rPr>
      </w:pPr>
    </w:p>
    <w:p>
      <w:pPr>
        <w:ind w:left="1980" w:right="759" w:hanging="352"/>
        <w:spacing w:after="0" w:line="273"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“Bank Stockholders” </w:t>
      </w:r>
      <w:r>
        <w:rPr>
          <w:rFonts w:ascii="Arial" w:cs="Arial" w:eastAsia="Arial" w:hAnsi="Arial"/>
          <w:sz w:val="17"/>
          <w:szCs w:val="17"/>
          <w:color w:val="auto"/>
        </w:rPr>
        <w:t>refer collectively to entities affiliated with the following clients: Barclays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Inc., Citigroup Global Markets Inc., Credit Suisse Securities (USA) LLC, Deutsche Bank Securities Inc., Goldman Sachs &amp; Co. LLC, J.P. Morgan Securities LLC, Merrill Lynch, Pierce, Fenner &amp; Smith Incorporated (a subsidiary of Bank of America Corporation), Morgan Stanley &amp; Co. LLC, RBS Securities Inc., UBS Securities LLC and Wells Fargo Securities, LLC, which, prior to the completion of this offering, collectively hold a 46% ownership interest in Tradeweb.</w:t>
      </w:r>
    </w:p>
    <w:p>
      <w:pPr>
        <w:spacing w:after="0" w:line="97" w:lineRule="exact"/>
        <w:rPr>
          <w:rFonts w:ascii="Arial" w:cs="Arial" w:eastAsia="Arial" w:hAnsi="Arial"/>
          <w:sz w:val="17"/>
          <w:szCs w:val="17"/>
          <w:color w:val="auto"/>
        </w:rPr>
      </w:pPr>
    </w:p>
    <w:p>
      <w:pPr>
        <w:ind w:left="1980" w:hanging="352"/>
        <w:spacing w:after="0"/>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“Continuing LLC Owners” </w:t>
      </w:r>
      <w:r>
        <w:rPr>
          <w:rFonts w:ascii="Arial" w:cs="Arial" w:eastAsia="Arial" w:hAnsi="Arial"/>
          <w:sz w:val="17"/>
          <w:szCs w:val="17"/>
          <w:color w:val="auto"/>
        </w:rPr>
        <w:t>refer collectively to the Refinitiv LLC Owner and the Other LLC Owners.</w:t>
      </w:r>
    </w:p>
    <w:p>
      <w:pPr>
        <w:spacing w:after="0" w:line="155" w:lineRule="exact"/>
        <w:rPr>
          <w:rFonts w:ascii="Arial" w:cs="Arial" w:eastAsia="Arial" w:hAnsi="Arial"/>
          <w:sz w:val="17"/>
          <w:szCs w:val="17"/>
          <w:color w:val="auto"/>
        </w:rPr>
      </w:pPr>
    </w:p>
    <w:p>
      <w:pPr>
        <w:ind w:left="1980" w:right="1119" w:hanging="352"/>
        <w:spacing w:after="0" w:line="259"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“Investor Group” </w:t>
      </w:r>
      <w:r>
        <w:rPr>
          <w:rFonts w:ascii="Arial" w:cs="Arial" w:eastAsia="Arial" w:hAnsi="Arial"/>
          <w:sz w:val="18"/>
          <w:szCs w:val="18"/>
          <w:color w:val="auto"/>
        </w:rPr>
        <w:t>refer to certain investment funds affiliated with The Blackstone Group L.P.</w:t>
      </w:r>
      <w:r>
        <w:rPr>
          <w:rFonts w:ascii="Arial" w:cs="Arial" w:eastAsia="Arial" w:hAnsi="Arial"/>
          <w:sz w:val="18"/>
          <w:szCs w:val="18"/>
          <w:i w:val="1"/>
          <w:iCs w:val="1"/>
          <w:color w:val="auto"/>
        </w:rPr>
        <w:t xml:space="preserve"> </w:t>
      </w:r>
      <w:r>
        <w:rPr>
          <w:rFonts w:ascii="Arial" w:cs="Arial" w:eastAsia="Arial" w:hAnsi="Arial"/>
          <w:sz w:val="18"/>
          <w:szCs w:val="18"/>
          <w:color w:val="auto"/>
        </w:rPr>
        <w:t>(“Blackstone”), an affiliate of Canada Pension Plan Investment Board, an affiliate of GIC Special Investments Pte. Ltd. and certain co-investors, which collectively hold indirectly a 55% ownership interest in Refinitiv (as defined below).</w:t>
      </w:r>
    </w:p>
    <w:p>
      <w:pPr>
        <w:spacing w:after="0" w:line="105"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“LLC Interests” </w:t>
      </w:r>
      <w:r>
        <w:rPr>
          <w:rFonts w:ascii="Arial" w:cs="Arial" w:eastAsia="Arial" w:hAnsi="Arial"/>
          <w:sz w:val="16"/>
          <w:szCs w:val="16"/>
          <w:color w:val="auto"/>
        </w:rPr>
        <w:t>refer to the single class of newly issued common membership interests of TWM LLC.</w:t>
      </w:r>
    </w:p>
    <w:p>
      <w:pPr>
        <w:spacing w:after="0" w:line="167" w:lineRule="exact"/>
        <w:rPr>
          <w:rFonts w:ascii="Arial" w:cs="Arial" w:eastAsia="Arial" w:hAnsi="Arial"/>
          <w:sz w:val="16"/>
          <w:szCs w:val="16"/>
          <w:color w:val="auto"/>
        </w:rPr>
      </w:pPr>
    </w:p>
    <w:p>
      <w:pPr>
        <w:ind w:left="1980" w:hanging="352"/>
        <w:spacing w:after="0"/>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“Original LLC Owners” </w:t>
      </w:r>
      <w:r>
        <w:rPr>
          <w:rFonts w:ascii="Arial" w:cs="Arial" w:eastAsia="Arial" w:hAnsi="Arial"/>
          <w:sz w:val="17"/>
          <w:szCs w:val="17"/>
          <w:color w:val="auto"/>
        </w:rPr>
        <w:t>refer to the owners of TWM LLC prior to the Reorganization Transactions.</w:t>
      </w:r>
    </w:p>
    <w:p>
      <w:pPr>
        <w:spacing w:after="0" w:line="169" w:lineRule="exact"/>
        <w:rPr>
          <w:rFonts w:ascii="Arial" w:cs="Arial" w:eastAsia="Arial" w:hAnsi="Arial"/>
          <w:sz w:val="17"/>
          <w:szCs w:val="17"/>
          <w:color w:val="auto"/>
        </w:rPr>
      </w:pPr>
    </w:p>
    <w:p>
      <w:pPr>
        <w:ind w:left="1980" w:right="779" w:hanging="352"/>
        <w:spacing w:after="0" w:line="253"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“Other LLC Owners” </w:t>
      </w:r>
      <w:r>
        <w:rPr>
          <w:rFonts w:ascii="Arial" w:cs="Arial" w:eastAsia="Arial" w:hAnsi="Arial"/>
          <w:sz w:val="18"/>
          <w:szCs w:val="18"/>
          <w:color w:val="auto"/>
        </w:rPr>
        <w:t>refer collectively to: (i) those Original LLC Owners (including the Bank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certain of our executive officers and excluding the Refinitiv LLC Owner) that will continue to own LLC Interests after the completion of the Reorganization Transactions, including this offering, who will receive shares of our Class D common stock in connection with the completion of the Reorganization Transactions, and who may, following the completion of this offering, redeem or exchange their LLC Interests for shares of our Class A common stock or Class B common stock as described in “Certain Relationships and Related Party Transactions — Related Party Transactions Entered Into in Connection With This Transaction — TWM LLC Agreement” and (ii) with respect to the Tax Receivable Agreement (as defined in “Prospectus Summary — Summary of the Reorganization Transactions”), Original LLC Owners who dispose of LLC Interests for cash in connection with this offering.</w:t>
      </w:r>
    </w:p>
    <w:p>
      <w:pPr>
        <w:spacing w:after="0" w:line="111" w:lineRule="exact"/>
        <w:rPr>
          <w:rFonts w:ascii="Arial" w:cs="Arial" w:eastAsia="Arial" w:hAnsi="Arial"/>
          <w:sz w:val="18"/>
          <w:szCs w:val="18"/>
          <w:color w:val="auto"/>
        </w:rPr>
      </w:pPr>
    </w:p>
    <w:p>
      <w:pPr>
        <w:ind w:left="1980" w:right="799" w:hanging="352"/>
        <w:spacing w:after="0" w:line="279"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“Refinitiv” </w:t>
      </w:r>
      <w:r>
        <w:rPr>
          <w:rFonts w:ascii="Arial" w:cs="Arial" w:eastAsia="Arial" w:hAnsi="Arial"/>
          <w:sz w:val="17"/>
          <w:szCs w:val="17"/>
          <w:color w:val="auto"/>
        </w:rPr>
        <w:t>refer to Refinitiv Holdings Limited, and unless otherwise stated or the context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all of its subsidiaries, which owns substantially all of the former financial and risk business of Thomson Reuters (as defined below), including, prior to the completion of this offering, an indirect 54% ownership interest in Tradeweb, and is controlled by the Investor Group.</w:t>
      </w:r>
    </w:p>
    <w:p>
      <w:pPr>
        <w:spacing w:after="0" w:line="90" w:lineRule="exact"/>
        <w:rPr>
          <w:rFonts w:ascii="Arial" w:cs="Arial" w:eastAsia="Arial" w:hAnsi="Arial"/>
          <w:sz w:val="17"/>
          <w:szCs w:val="17"/>
          <w:color w:val="auto"/>
        </w:rPr>
      </w:pPr>
    </w:p>
    <w:p>
      <w:pPr>
        <w:ind w:left="1980" w:right="799" w:hanging="352"/>
        <w:spacing w:after="0" w:line="25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“Refinitiv Direct Owner</w:t>
      </w:r>
      <w:r>
        <w:rPr>
          <w:rFonts w:ascii="Arial" w:cs="Arial" w:eastAsia="Arial" w:hAnsi="Arial"/>
          <w:sz w:val="18"/>
          <w:szCs w:val="18"/>
          <w:color w:val="auto"/>
        </w:rPr>
        <w:t>” refer to an indirect subsidiary of Refinitiv that owns interests in an entity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holds membership interests of TWM LLC and will receive shares of our Class B common stock in exchange for the contribution of such entity to Tradeweb Markets Inc., which we refer to as the “Refinitiv Contribution,” in connection with the completion of the Reorganization Transactions, including this offering.</w:t>
      </w:r>
    </w:p>
    <w:p>
      <w:pPr>
        <w:spacing w:after="0" w:line="120" w:lineRule="exact"/>
        <w:rPr>
          <w:rFonts w:ascii="Arial" w:cs="Arial" w:eastAsia="Arial" w:hAnsi="Arial"/>
          <w:sz w:val="18"/>
          <w:szCs w:val="18"/>
          <w:color w:val="auto"/>
        </w:rPr>
      </w:pPr>
    </w:p>
    <w:p>
      <w:pPr>
        <w:ind w:left="1980" w:right="1019" w:hanging="352"/>
        <w:spacing w:after="0" w:line="276"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“Refinitiv LLC Owner” </w:t>
      </w:r>
      <w:r>
        <w:rPr>
          <w:rFonts w:ascii="Arial" w:cs="Arial" w:eastAsia="Arial" w:hAnsi="Arial"/>
          <w:sz w:val="17"/>
          <w:szCs w:val="17"/>
          <w:color w:val="auto"/>
        </w:rPr>
        <w:t>refer to an indirect subsidiary of Refinitiv that, prior to the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owns membership interests of TWM LLC and that will continue to own LLC Interests after the completion of the Reorganization Transactions, including this offering, who will receive shares of our Class D common stock in connection with the completion of the Reorganization Transactions and who may, following the completion of this offering,</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80" w:right="1119"/>
        <w:spacing w:after="0" w:line="312" w:lineRule="auto"/>
        <w:rPr>
          <w:sz w:val="20"/>
          <w:szCs w:val="20"/>
          <w:color w:val="auto"/>
        </w:rPr>
      </w:pPr>
      <w:r>
        <w:rPr>
          <w:rFonts w:ascii="Arial" w:cs="Arial" w:eastAsia="Arial" w:hAnsi="Arial"/>
          <w:sz w:val="16"/>
          <w:szCs w:val="16"/>
          <w:color w:val="auto"/>
        </w:rPr>
        <w:t>redeem or exchange its LLC Interests for shares of our Class A common stock or Class B common stock as described in “Certain Relationships and Related Party Transactions — Related Party Transactions Entered Into in Connection With This Transaction — TWM LLC Agreement.”</w:t>
      </w:r>
    </w:p>
    <w:p>
      <w:pPr>
        <w:spacing w:after="0" w:line="120" w:lineRule="exact"/>
        <w:rPr>
          <w:sz w:val="20"/>
          <w:szCs w:val="20"/>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Owners” </w:t>
      </w:r>
      <w:r>
        <w:rPr>
          <w:rFonts w:ascii="Arial" w:cs="Arial" w:eastAsia="Arial" w:hAnsi="Arial"/>
          <w:sz w:val="18"/>
          <w:szCs w:val="18"/>
          <w:color w:val="auto"/>
        </w:rPr>
        <w:t>refer collectively to the Refinitiv Direct Owner and the Refinitiv LLC Owner.</w:t>
      </w:r>
    </w:p>
    <w:p>
      <w:pPr>
        <w:spacing w:after="0" w:line="130"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Transaction” </w:t>
      </w:r>
      <w:r>
        <w:rPr>
          <w:rFonts w:ascii="Arial" w:cs="Arial" w:eastAsia="Arial" w:hAnsi="Arial"/>
          <w:sz w:val="18"/>
          <w:szCs w:val="18"/>
          <w:color w:val="auto"/>
        </w:rPr>
        <w:t>refer to the transaction pursuant to which Refinitiv indirectly acquired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2018 substantially all of the financial and risk business of Thomson Reuters and Thomson Reuters indirectly acquired a 45% ownership interest in Refinitiv.</w:t>
      </w:r>
    </w:p>
    <w:p>
      <w:pPr>
        <w:spacing w:after="0" w:line="86"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“Thomson Reuters” </w:t>
      </w:r>
      <w:r>
        <w:rPr>
          <w:rFonts w:ascii="Arial" w:cs="Arial" w:eastAsia="Arial" w:hAnsi="Arial"/>
          <w:sz w:val="18"/>
          <w:szCs w:val="18"/>
          <w:color w:val="auto"/>
        </w:rPr>
        <w:t>refer to Thomson Reuters Corporation, which indirectly holds a 45%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Refinitiv.</w:t>
      </w:r>
    </w:p>
    <w:p>
      <w:pPr>
        <w:spacing w:after="0" w:line="89" w:lineRule="exact"/>
        <w:rPr>
          <w:rFonts w:ascii="Arial" w:cs="Arial" w:eastAsia="Arial" w:hAnsi="Arial"/>
          <w:sz w:val="18"/>
          <w:szCs w:val="18"/>
          <w:color w:val="auto"/>
        </w:rPr>
      </w:pPr>
    </w:p>
    <w:p>
      <w:pPr>
        <w:ind w:left="1980" w:right="1199" w:hanging="352"/>
        <w:spacing w:after="0" w:line="264"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refer to the Refinitiv Transaction, the Reorganization Transactions, including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and the other transactions described in “Unaudited Pro Forma Consolidated Financial Information.”</w:t>
      </w:r>
    </w:p>
    <w:p>
      <w:pPr>
        <w:spacing w:after="0" w:line="73"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We will be a holding company and the sole manager of Tradeweb Markets LLC, and upon completion of this offering and the application of the net proceeds therefrom, our principal asset will be LLC Interests of Tradeweb Markets LLC. Tradeweb Markets LLC is the predecessor of the issuer, Tradeweb Markets Inc., for financial reporting purposes. Tradeweb Markets Inc. will be the audited financial reporting entity following this offering. Accordingly, this prospectus contains the following historical financial statements:</w:t>
      </w:r>
    </w:p>
    <w:p>
      <w:pPr>
        <w:spacing w:after="0" w:line="78" w:lineRule="exact"/>
        <w:rPr>
          <w:sz w:val="20"/>
          <w:szCs w:val="20"/>
          <w:color w:val="auto"/>
        </w:rPr>
      </w:pPr>
    </w:p>
    <w:p>
      <w:pPr>
        <w:ind w:left="1980" w:right="799" w:hanging="352"/>
        <w:spacing w:after="0" w:line="279"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Tradeweb Markets Inc. Other than the statement of financial condition, dated as of December 31, 2018, the historical financial information of Tradeweb Markets Inc. has not been included in this prospectus as it is a newly incorporated entity, has no business transactions or activities to date and had no assets or liabilities during the periods presented in this prospectus.</w:t>
      </w:r>
    </w:p>
    <w:p>
      <w:pPr>
        <w:spacing w:after="0" w:line="76" w:lineRule="exact"/>
        <w:rPr>
          <w:rFonts w:ascii="Arial" w:cs="Arial" w:eastAsia="Arial" w:hAnsi="Arial"/>
          <w:sz w:val="17"/>
          <w:szCs w:val="17"/>
          <w:color w:val="auto"/>
        </w:rPr>
      </w:pPr>
    </w:p>
    <w:p>
      <w:pPr>
        <w:ind w:left="1980" w:right="859" w:hanging="352"/>
        <w:spacing w:after="0" w:line="264"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Tradeweb Markets LLC. As we will have no other interest in any operations other than those of Tradeweb Markets LLC and its subsidiaries, the historical consolidated financial information included in this prospectus is that of Tradeweb Markets LLC and its subsidiaries.</w:t>
      </w:r>
    </w:p>
    <w:p>
      <w:pPr>
        <w:spacing w:after="0" w:line="73"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The unaudited pro forma consolidated financial information of Tradeweb Markets Inc. presented in this prospectus has been derived by the application of pro forma adjustments to the historical consolidated financial statements of Tradeweb Markets LLC and its subsidiaries included elsewhere in this prospectus. These pro forma adjustments give effect to the Transactions, including this offering, as well as certain other items described therein, as if all such transactions had occurred on January 1, 2018, in the case of the unaudited pro forma consolidated statement of operations, and as of December 31, 2018, in the case of the unaudited pro forma consolidated statement of financial condition. See “Unaudited Pro Forma Consolidated Financial Information” for a complete description of the adjustments and assumptions underlying the pro forma financial information included in this prospectus.</w:t>
      </w:r>
    </w:p>
    <w:p>
      <w:pPr>
        <w:spacing w:after="0" w:line="74"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As a result of the Refinitiv Transaction, we revalued our assets and liabilities based on their fair values as of the closing date of the Refinitiv Transaction in accordance with the acquisition method of accounting. Certain financial information presented herein, including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 market for the asset or liability. In determining the fair value of the assets acquired and liabilities assumed, we considered the report of a third-party valuation expert. Our management is responsible for these internal and third-party valuations and appraisals and they are continuing to review the amounts and allocations to finalize these amounts. Although our review is substantially complete, we have one year from the closing date of the Refinitiv Transaction to finalize these amounts and are therefore continuing to review. Any final adjustments will change the allocation of purchase price, which could affect the fair value assigned to our assets and liabilities and could result in a change to certain financial information presented herein, including a change to goodwill.</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19" w:firstLine="360"/>
        <w:spacing w:after="0" w:line="302" w:lineRule="auto"/>
        <w:rPr>
          <w:sz w:val="20"/>
          <w:szCs w:val="20"/>
          <w:color w:val="auto"/>
        </w:rPr>
      </w:pPr>
      <w:r>
        <w:rPr>
          <w:rFonts w:ascii="Arial" w:cs="Arial" w:eastAsia="Arial" w:hAnsi="Arial"/>
          <w:sz w:val="16"/>
          <w:szCs w:val="16"/>
          <w:color w:val="auto"/>
        </w:rPr>
        <w:t>Due to the change in the basis of accounting resulting from the application of pushdown accounting, we are required to present separately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w:t>
      </w:r>
    </w:p>
    <w:p>
      <w:pPr>
        <w:spacing w:after="0" w:line="46" w:lineRule="exact"/>
        <w:rPr>
          <w:sz w:val="20"/>
          <w:szCs w:val="20"/>
          <w:color w:val="auto"/>
        </w:rPr>
      </w:pPr>
    </w:p>
    <w:p>
      <w:pPr>
        <w:ind w:left="1260" w:right="839" w:firstLine="360"/>
        <w:spacing w:after="0" w:line="268" w:lineRule="auto"/>
        <w:rPr>
          <w:sz w:val="20"/>
          <w:szCs w:val="20"/>
          <w:color w:val="auto"/>
        </w:rPr>
      </w:pPr>
      <w:r>
        <w:rPr>
          <w:rFonts w:ascii="Arial" w:cs="Arial" w:eastAsia="Arial" w:hAnsi="Arial"/>
          <w:sz w:val="17"/>
          <w:szCs w:val="17"/>
          <w:color w:val="auto"/>
        </w:rPr>
        <w:t>The financial information presented in this prospectus and the audited financial statements included in this prospectus include a black line division to indicate that the Successor and Predecessor periods have applied different bases of accounting and are not comparable. Please note that our discussion of certain financial information, specifically revenues and certain expenses, represent the combined results of the Successor and Predecessor periods for the full year ended December 31, 2018. The change in basis resulting from the Refinitiv Transaction did not impact such financial information and, although this presentation of financial information on a combined basis does not comply with generally accepted accounting principles in the United States, or “GAAP,” we believe it provides a meaningful method of comparison to the other periods presented in this prospectus. The combined financial information is being presented for informational purposes only and (i) has not been prepared on a pro forma basis as if the Refinitiv Transaction occurred on the first day of the period, (ii) may not reflect the actual results we would have achieved absent the Refinitiv Transaction, (iii) may not be predictive of future results of operations and (iv) should not be viewed as a substitute for the financial results of the Successor and Predecessor periods presented in accordance with GAAP. See “Management’s Discussion and Analysis of Financial Condition and Results of Operations — Effect of Pushdown Accounting on our Financial Statements.”</w:t>
      </w:r>
    </w:p>
    <w:p>
      <w:pPr>
        <w:spacing w:after="0" w:line="75"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References in this prospectus to (i) “2018 Successor Period” mean the period from October 1, 2018 to December 31, 2018, (ii) “2018 Predecessor Period” mean the period from January 1, 2018 to September 30, 2018 and (iii) “combined year ended December 31, 2018” or “2018 (Combined)” represent the sum of the results of the 2018 Successor Period and the 2018 Predecessor Period.</w:t>
      </w:r>
    </w:p>
    <w:p>
      <w:pPr>
        <w:spacing w:after="0" w:line="79"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color w:val="auto"/>
        </w:rPr>
        <w:t>Numerical figures included in this prospectus have been subject to rounding adjustments. Accordingly, numerical figures shown as totals in various tables may not be arithmetic aggregations of the figures that precede them. In addition, we round certain percentages presented in this prospectus to the nearest whole number. As a result, figures expressed as percentages in the text may not total 100% or, when aggregated, may not be the arithmetic aggregation of the percentages that precede them.</w:t>
      </w:r>
    </w:p>
    <w:p>
      <w:pPr>
        <w:spacing w:after="0" w:line="15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USE OF NON-GAAP FINANCIAL MEASURES</w:t>
      </w:r>
    </w:p>
    <w:p>
      <w:pPr>
        <w:spacing w:after="0" w:line="108"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This prospectus contains “non-GAAP financial measures,” which are financial measures that are not calculated and presented in accordance with GAAP.</w:t>
      </w:r>
    </w:p>
    <w:p>
      <w:pPr>
        <w:spacing w:after="0" w:line="62" w:lineRule="exact"/>
        <w:rPr>
          <w:sz w:val="20"/>
          <w:szCs w:val="20"/>
          <w:color w:val="auto"/>
        </w:rPr>
      </w:pPr>
    </w:p>
    <w:p>
      <w:pPr>
        <w:jc w:val="both"/>
        <w:ind w:left="1260" w:right="919" w:firstLine="360"/>
        <w:spacing w:after="0" w:line="286" w:lineRule="auto"/>
        <w:rPr>
          <w:sz w:val="20"/>
          <w:szCs w:val="20"/>
          <w:color w:val="auto"/>
        </w:rPr>
      </w:pPr>
      <w:r>
        <w:rPr>
          <w:rFonts w:ascii="Arial" w:cs="Arial" w:eastAsia="Arial" w:hAnsi="Arial"/>
          <w:sz w:val="17"/>
          <w:szCs w:val="17"/>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84" w:lineRule="exact"/>
        <w:rPr>
          <w:sz w:val="20"/>
          <w:szCs w:val="20"/>
          <w:color w:val="auto"/>
        </w:rPr>
      </w:pPr>
    </w:p>
    <w:p>
      <w:pPr>
        <w:ind w:left="1980" w:right="81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75"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62"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6"/>
          <w:szCs w:val="16"/>
          <w:color w:val="auto"/>
        </w:rPr>
        <w:t>Specifically, we make use of the non-GAAP financial measures “Free Cash Flow,” “Adjusted EBITDA,” “Adjusted EBITDA margin” and “Adjusted Net Income” in evaluating our past results and future prospects. For the definition of Free Cash Flow and a reconciliation to cash flow from operating activities, its most directly comparable financial measure presented in accordance with GAAP, see footnote 6 to the table under the heading “Prospectus Summary — Summary Historical and Pro Forma Consolidated Financial and Other Data.” For the definitions of Adjusted EBITDA and Adjusted Net Income and reconciliations to net income, their most directly comparable financial measure presented in accordance with GAAP, see footnote 7 to the table under the heading “Prospectus Summary — Summary Historical and Pro Forma Consolidated Financial and Other Data.” Adjusted EBITDA margin is defined as Adjusted EBITDA divided by gross revenue for the applicable period.</w:t>
      </w:r>
    </w:p>
    <w:p>
      <w:pPr>
        <w:spacing w:after="0" w:line="22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39"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We present Adjusted EBITDA, Adjusted EBITDA margin and Adjusted Net Income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4"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We use Adjusted Net Income as a supplemental metric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80"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Free Cash Flow, Adjusted EBITDA and Adjusted Net Income have limitations as analytical tools, and you should not consider such measures either in isolation or as substitutes for analyzing our results as reported under GAAP. Some of these limitations include the following:</w:t>
      </w:r>
    </w:p>
    <w:p>
      <w:pPr>
        <w:spacing w:after="0" w:line="100" w:lineRule="exact"/>
        <w:rPr>
          <w:sz w:val="20"/>
          <w:szCs w:val="20"/>
          <w:color w:val="auto"/>
        </w:rPr>
      </w:pPr>
    </w:p>
    <w:p>
      <w:pPr>
        <w:ind w:left="1980" w:right="89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 Cash Flow, Adjusted EBITDA and Adjusted Net Income do not reflect every expenditure, future requirements for capital expenditures or contractual commitments;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Net Income do not reflect changes in our working capital needs;</w:t>
      </w:r>
    </w:p>
    <w:p>
      <w:pPr>
        <w:spacing w:after="0" w:line="142" w:lineRule="exact"/>
        <w:rPr>
          <w:rFonts w:ascii="Arial" w:cs="Arial" w:eastAsia="Arial" w:hAnsi="Arial"/>
          <w:sz w:val="17"/>
          <w:szCs w:val="17"/>
          <w:color w:val="auto"/>
        </w:rPr>
      </w:pPr>
    </w:p>
    <w:p>
      <w:pPr>
        <w:ind w:left="1980" w:right="79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any interest expense, or the amounts necessary to service interest or principal payments on any debt obligations;</w:t>
      </w:r>
    </w:p>
    <w:p>
      <w:pPr>
        <w:spacing w:after="0" w:line="89" w:lineRule="exact"/>
        <w:rPr>
          <w:rFonts w:ascii="Arial" w:cs="Arial" w:eastAsia="Arial" w:hAnsi="Arial"/>
          <w:sz w:val="18"/>
          <w:szCs w:val="18"/>
          <w:color w:val="auto"/>
        </w:rPr>
      </w:pPr>
    </w:p>
    <w:p>
      <w:pPr>
        <w:ind w:left="1980" w:right="899" w:hanging="352"/>
        <w:spacing w:after="0" w:line="26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and, following the completion of the Reorganization Transactions, because the payment of taxes will be part of our operations, tax expense will be a necessary element of our costs and ability to operate;</w:t>
      </w:r>
    </w:p>
    <w:p>
      <w:pPr>
        <w:spacing w:after="0" w:line="86" w:lineRule="exact"/>
        <w:rPr>
          <w:rFonts w:ascii="Arial" w:cs="Arial" w:eastAsia="Arial" w:hAnsi="Arial"/>
          <w:sz w:val="18"/>
          <w:szCs w:val="18"/>
          <w:color w:val="auto"/>
        </w:rPr>
      </w:pPr>
    </w:p>
    <w:p>
      <w:pPr>
        <w:ind w:left="1980" w:right="1139" w:hanging="352"/>
        <w:spacing w:after="0" w:line="26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86"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future periods, we expect Adjusted EBITDA and Adjusted Net Income will not reflect the noncash component of employee compensation;</w:t>
      </w:r>
    </w:p>
    <w:p>
      <w:pPr>
        <w:spacing w:after="0" w:line="75" w:lineRule="exact"/>
        <w:rPr>
          <w:rFonts w:ascii="Arial" w:cs="Arial" w:eastAsia="Arial" w:hAnsi="Arial"/>
          <w:sz w:val="18"/>
          <w:szCs w:val="18"/>
          <w:color w:val="auto"/>
        </w:rPr>
      </w:pPr>
    </w:p>
    <w:p>
      <w:pPr>
        <w:ind w:left="1980" w:right="879" w:hanging="352"/>
        <w:spacing w:after="0" w:line="342" w:lineRule="auto"/>
        <w:tabs>
          <w:tab w:leader="none" w:pos="1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and Adjusted Net Income do not reflect the impact of earnings or charges resulting from matters we consider not to be indicative, on a recurring basis, of our ongoing operations; and</w:t>
      </w:r>
    </w:p>
    <w:p>
      <w:pPr>
        <w:spacing w:after="0" w:line="42" w:lineRule="exact"/>
        <w:rPr>
          <w:rFonts w:ascii="Arial" w:cs="Arial" w:eastAsia="Arial" w:hAnsi="Arial"/>
          <w:sz w:val="16"/>
          <w:szCs w:val="16"/>
          <w:color w:val="auto"/>
        </w:rPr>
      </w:pPr>
    </w:p>
    <w:p>
      <w:pPr>
        <w:ind w:left="1980" w:right="979" w:hanging="352"/>
        <w:spacing w:after="0" w:line="26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and Adjusted Net Income or similarly titled measures differently than we do, limiting their usefulness as comparative measures.</w:t>
      </w:r>
    </w:p>
    <w:p>
      <w:pPr>
        <w:spacing w:after="0" w:line="7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and Adjusted Net Income only as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PROSPECTUS SUMMARY</w:t>
      </w:r>
    </w:p>
    <w:p>
      <w:pPr>
        <w:spacing w:after="0" w:line="108" w:lineRule="exact"/>
        <w:rPr>
          <w:sz w:val="20"/>
          <w:szCs w:val="20"/>
          <w:color w:val="auto"/>
        </w:rPr>
      </w:pPr>
    </w:p>
    <w:p>
      <w:pPr>
        <w:ind w:left="1280" w:right="799" w:firstLine="360"/>
        <w:spacing w:after="0" w:line="255" w:lineRule="auto"/>
        <w:rPr>
          <w:sz w:val="20"/>
          <w:szCs w:val="20"/>
          <w:color w:val="auto"/>
        </w:rPr>
      </w:pPr>
      <w:r>
        <w:rPr>
          <w:rFonts w:ascii="Arial" w:cs="Arial" w:eastAsia="Arial" w:hAnsi="Arial"/>
          <w:sz w:val="18"/>
          <w:szCs w:val="18"/>
          <w:i w:val="1"/>
          <w:iCs w:val="1"/>
          <w:color w:val="auto"/>
        </w:rPr>
        <w:t>This summary highlights information contained in this prospectus and does not contain all of the information that you should consider in making your investment decision. Before investing in our Class A common stock, you should carefully read this entire prospectus, including our consolidated financial statements and related notes thereto included elsewhere in this prospectus and the information in “Risk Factors,” “Cautionary Note Regarding Forward-Looking Statements” and “Management’s Discussion and Analysis of Financial Condition and Results of Operations.” For a description of certain of the terms we use to describe our business in this prospectus, see “Business.”</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80" w:right="779" w:firstLine="360"/>
        <w:spacing w:after="0" w:line="287"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2018 of over $549 billion across more than 40 products.</w:t>
      </w:r>
    </w:p>
    <w:p>
      <w:pPr>
        <w:spacing w:after="0" w:line="65" w:lineRule="exact"/>
        <w:rPr>
          <w:sz w:val="20"/>
          <w:szCs w:val="20"/>
          <w:color w:val="auto"/>
        </w:rPr>
      </w:pPr>
    </w:p>
    <w:p>
      <w:pPr>
        <w:jc w:val="both"/>
        <w:ind w:left="1280" w:right="799" w:firstLine="360"/>
        <w:spacing w:after="0" w:line="264"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trading protocols and trade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276"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4" w:lineRule="exact"/>
        <w:rPr>
          <w:sz w:val="20"/>
          <w:szCs w:val="20"/>
          <w:color w:val="auto"/>
        </w:rPr>
      </w:pPr>
    </w:p>
    <w:p>
      <w:pPr>
        <w:ind w:left="1280" w:right="779" w:firstLine="360"/>
        <w:spacing w:after="0" w:line="290"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58" w:lineRule="exact"/>
        <w:rPr>
          <w:sz w:val="20"/>
          <w:szCs w:val="20"/>
          <w:color w:val="auto"/>
        </w:rPr>
      </w:pPr>
    </w:p>
    <w:p>
      <w:pPr>
        <w:ind w:left="1280" w:right="759" w:firstLine="360"/>
        <w:spacing w:after="0" w:line="286" w:lineRule="auto"/>
        <w:rPr>
          <w:sz w:val="20"/>
          <w:szCs w:val="20"/>
          <w:color w:val="auto"/>
        </w:rPr>
      </w:pPr>
      <w:r>
        <w:rPr>
          <w:rFonts w:ascii="Arial" w:cs="Arial" w:eastAsia="Arial" w:hAnsi="Arial"/>
          <w:sz w:val="16"/>
          <w:szCs w:val="16"/>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2018, we had annual compound average daily trading volume growth of 12.5% and annual compound gross revenue growth of 12.2%. Approximately 48.0% of our gross revenue for the combined year ended December 31, 2018 was fixed and generated from subscription fees and minimum volume floors. For the combined year ended December 31, 2018 and the year ended December 31, 2017, respectively, our gross revenue was $684.4 million and $563.0 million, an increase of 21.6%. For the 2018 Successor Period, the 2018 Predecessor Period and the year ended December 31, 2017, respectively, our net income was $29.3 million, $130.2 million and $83.6 million, our Adjusted EBITDA was $65.2 million, $215.0 million and $215.9 million, with an Adjusted EBITDA margin of 36.5%, 42.5% and 38.3%, and our Adjusted Net Income was $52.0 million, $175.6 million and $173.0 million. For the definitions of Adjusted EBITDA, Adjusted EBITDA margin and Adjusted Net Income and reconciliations to net income, their most directly comparable financial measure presented in accordance with GAAP, see footnote 7 in “— Summary Historical and Pro Forma Consolidated Financial and Other Data.”</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80" w:right="73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such as credit, money markets and equities.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59" w:lineRule="exact"/>
        <w:rPr>
          <w:sz w:val="20"/>
          <w:szCs w:val="20"/>
          <w:color w:val="auto"/>
        </w:rPr>
      </w:pPr>
    </w:p>
    <w:p>
      <w:pPr>
        <w:ind w:left="1280" w:right="799" w:firstLine="360"/>
        <w:spacing w:after="0" w:line="272"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70" w:lineRule="exact"/>
        <w:rPr>
          <w:sz w:val="20"/>
          <w:szCs w:val="20"/>
          <w:color w:val="auto"/>
        </w:rPr>
      </w:pPr>
    </w:p>
    <w:p>
      <w:pPr>
        <w:ind w:left="1280" w:right="999" w:firstLine="360"/>
        <w:spacing w:after="0" w:line="286"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79"/>
        <w:spacing w:after="0" w:line="272" w:lineRule="auto"/>
        <w:rPr>
          <w:sz w:val="20"/>
          <w:szCs w:val="20"/>
          <w:color w:val="auto"/>
        </w:rPr>
      </w:pPr>
      <w:r>
        <w:rPr>
          <w:rFonts w:ascii="Arial" w:cs="Arial" w:eastAsia="Arial" w:hAnsi="Arial"/>
          <w:sz w:val="17"/>
          <w:szCs w:val="17"/>
          <w:color w:val="auto"/>
        </w:rPr>
        <w:t>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70" w:lineRule="exact"/>
        <w:rPr>
          <w:sz w:val="20"/>
          <w:szCs w:val="20"/>
          <w:color w:val="auto"/>
        </w:rPr>
      </w:pPr>
    </w:p>
    <w:p>
      <w:pPr>
        <w:ind w:left="1280" w:right="719" w:firstLine="360"/>
        <w:spacing w:after="0" w:line="255" w:lineRule="auto"/>
        <w:rPr>
          <w:sz w:val="20"/>
          <w:szCs w:val="20"/>
          <w:color w:val="auto"/>
        </w:rPr>
      </w:pPr>
      <w:r>
        <w:rPr>
          <w:rFonts w:ascii="Arial" w:cs="Arial" w:eastAsia="Arial" w:hAnsi="Arial"/>
          <w:sz w:val="18"/>
          <w:szCs w:val="18"/>
          <w:color w:val="auto"/>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money markets and equities asset classes. As a result of expanding our offerings, we have increased our opportunities in related addressable markets, where estimated average daily trading volumes have grown from approximately $0.6 trillion in 1998 to $4.0 trillion through the first nine months of 2018, according to industry sources and management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Market Opportunity</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4" w:lineRule="exact"/>
        <w:rPr>
          <w:sz w:val="20"/>
          <w:szCs w:val="20"/>
          <w:color w:val="auto"/>
        </w:rPr>
      </w:pPr>
    </w:p>
    <w:p>
      <w:pPr>
        <w:ind w:left="1280" w:right="739" w:firstLine="360"/>
        <w:spacing w:after="0" w:line="253" w:lineRule="auto"/>
        <w:rPr>
          <w:sz w:val="20"/>
          <w:szCs w:val="20"/>
          <w:color w:val="auto"/>
        </w:rPr>
      </w:pPr>
      <w:r>
        <w:rPr>
          <w:rFonts w:ascii="Arial" w:cs="Arial" w:eastAsia="Arial" w:hAnsi="Arial"/>
          <w:sz w:val="18"/>
          <w:szCs w:val="18"/>
          <w:color w:val="auto"/>
        </w:rPr>
        <w:t>Based on industry sources and management estimates, we estimate that the global notional value outstanding for rates and credit was approximately $590 trillion as of June 2018. When combined with money markets and equities, the market size for our platforms increases to an estimated notional value of approximately $605 trillion. The markets in which we participate are actively traded, and we estimate that trading in rates, credit, ETFs and money markets generated average daily trading volumes of approximately $1.9 trillion, $0.1 trillion, $0.1 trillion and $1.9 trillion, respectively, through the first nine months of 2018. As electronic trading in these markets continues to develop, we believe we are well positioned to increase our share of these markets over time. Major market participants include large asset managers, hedge funds, central banks, banks and dealers, insurance companies, corporations, proprietary trading, brokerage and retail advisory firms, governments and retail investors.</w:t>
      </w:r>
    </w:p>
    <w:p>
      <w:pPr>
        <w:spacing w:after="0" w:line="87" w:lineRule="exact"/>
        <w:rPr>
          <w:sz w:val="20"/>
          <w:szCs w:val="20"/>
          <w:color w:val="auto"/>
        </w:rPr>
      </w:pPr>
    </w:p>
    <w:p>
      <w:pPr>
        <w:ind w:left="1280" w:right="799" w:firstLine="360"/>
        <w:spacing w:after="0" w:line="276" w:lineRule="auto"/>
        <w:rPr>
          <w:sz w:val="20"/>
          <w:szCs w:val="20"/>
          <w:color w:val="auto"/>
        </w:rPr>
      </w:pPr>
      <w:r>
        <w:rPr>
          <w:rFonts w:ascii="Arial" w:cs="Arial" w:eastAsia="Arial" w:hAnsi="Arial"/>
          <w:sz w:val="17"/>
          <w:szCs w:val="17"/>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99"/>
        <w:spacing w:after="0" w:line="270" w:lineRule="auto"/>
        <w:rPr>
          <w:sz w:val="20"/>
          <w:szCs w:val="20"/>
          <w:color w:val="auto"/>
        </w:rPr>
      </w:pPr>
      <w:r>
        <w:rPr>
          <w:rFonts w:ascii="Arial" w:cs="Arial" w:eastAsia="Arial" w:hAnsi="Arial"/>
          <w:sz w:val="17"/>
          <w:szCs w:val="17"/>
          <w:color w:val="auto"/>
        </w:rPr>
        <w:t>bond and Chinese bond markets have grown annually at 5% and 21%, respectively, over the last decade, according to SIFMA and BIS. The U.S. and European ETF markets have each grown annually at nearly 20% since 2007, according to ETFGI and Refinitiv. Continuing growth in these markets is expected to be driven by increasing global trading volumes, resulting from increased economic activity, new government and corporate debt issuances and the continued growth of passive investing. Additionally, after a period of historically low interest rates, trading volumes in our rates asset class may benefit from interest rates normalizing to higher levels as global central banks move toward monetary policy normalization and interest rate volatility. These markets have migrated to electronic trading platforms at different adoption rates — some gradually over time (e.g., government bonds and corporate bonds) and others on a more accelerated basis due to regulation (e.g., interest rate swaps).</w:t>
      </w:r>
    </w:p>
    <w:p>
      <w:pPr>
        <w:spacing w:after="0" w:line="70" w:lineRule="exact"/>
        <w:rPr>
          <w:sz w:val="20"/>
          <w:szCs w:val="20"/>
          <w:color w:val="auto"/>
        </w:rPr>
      </w:pPr>
    </w:p>
    <w:p>
      <w:pPr>
        <w:ind w:left="1280" w:right="739" w:firstLine="360"/>
        <w:spacing w:after="0" w:line="259"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 throughout the global 24-hour trading day as market participants have become increasingly global and comprehensive, trading across multiple geographies, asset classes and currencies.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4" w:lineRule="exact"/>
        <w:rPr>
          <w:sz w:val="20"/>
          <w:szCs w:val="20"/>
          <w:color w:val="auto"/>
        </w:rPr>
      </w:pPr>
    </w:p>
    <w:p>
      <w:pPr>
        <w:ind w:left="1280" w:right="799" w:firstLine="360"/>
        <w:spacing w:after="0" w:line="273"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0" w:lineRule="exact"/>
        <w:rPr>
          <w:sz w:val="20"/>
          <w:szCs w:val="20"/>
          <w:color w:val="auto"/>
        </w:rPr>
      </w:pPr>
    </w:p>
    <w:p>
      <w:pPr>
        <w:ind w:left="1280" w:right="799" w:firstLine="360"/>
        <w:spacing w:after="0" w:line="269"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75" w:lineRule="exact"/>
        <w:rPr>
          <w:sz w:val="20"/>
          <w:szCs w:val="20"/>
          <w:color w:val="auto"/>
        </w:rPr>
      </w:pPr>
    </w:p>
    <w:p>
      <w:pPr>
        <w:ind w:left="1280" w:right="839" w:firstLine="360"/>
        <w:spacing w:after="0" w:line="287" w:lineRule="auto"/>
        <w:rPr>
          <w:sz w:val="20"/>
          <w:szCs w:val="20"/>
          <w:color w:val="auto"/>
        </w:rPr>
      </w:pPr>
      <w:r>
        <w:rPr>
          <w:rFonts w:ascii="Arial" w:cs="Arial" w:eastAsia="Arial" w:hAnsi="Arial"/>
          <w:sz w:val="16"/>
          <w:szCs w:val="16"/>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 confirmation systems and other third-party service providers. These integrations, which include over 350 proprietary client integrations and over 30 vendor integrations, help our clients to improve the efficiency of their front, middle and back offices and provide them with the opportunity to adopt end-to-end straight-through processing.</w:t>
      </w:r>
    </w:p>
    <w:p>
      <w:pPr>
        <w:spacing w:after="0" w:line="65" w:lineRule="exact"/>
        <w:rPr>
          <w:sz w:val="20"/>
          <w:szCs w:val="20"/>
          <w:color w:val="auto"/>
        </w:rPr>
      </w:pPr>
    </w:p>
    <w:p>
      <w:pPr>
        <w:ind w:left="1280" w:right="779" w:firstLine="360"/>
        <w:spacing w:after="0" w:line="273"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40% of overall trading volumes, according to industry sources and management estimates. Certain markets in which we operate have experienced higher rates of electronification, such as ETFs and</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99"/>
        <w:spacing w:after="0" w:line="279" w:lineRule="auto"/>
        <w:rPr>
          <w:sz w:val="20"/>
          <w:szCs w:val="20"/>
          <w:color w:val="auto"/>
        </w:rPr>
      </w:pPr>
      <w:r>
        <w:rPr>
          <w:rFonts w:ascii="Arial" w:cs="Arial" w:eastAsia="Arial" w:hAnsi="Arial"/>
          <w:sz w:val="17"/>
          <w:szCs w:val="17"/>
          <w:color w:val="auto"/>
        </w:rPr>
        <w:t>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63" w:lineRule="exact"/>
        <w:rPr>
          <w:sz w:val="20"/>
          <w:szCs w:val="20"/>
          <w:color w:val="auto"/>
        </w:rPr>
      </w:pPr>
    </w:p>
    <w:p>
      <w:pPr>
        <w:ind w:left="1280" w:right="879" w:firstLine="360"/>
        <w:spacing w:after="0" w:line="269"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Wall Street Reform and Customer Protection Act (the “Dodd-Frank Act”), Basel III and the Markets in Financial Instruments Directive II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2018, we had the leading market position in SEF trading for U.S. dollar-denominated interest rate swaps, excluding forward rate agreements, according to Clarus Financial Technology. In addition, higher capital requirements have driven dealers to reduce the size of their balance sheets and utilize the distribution and scale provided by electronic trading venues.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80" w:right="779" w:firstLine="360"/>
        <w:spacing w:after="0" w:line="270"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70" w:lineRule="exact"/>
        <w:rPr>
          <w:sz w:val="20"/>
          <w:szCs w:val="20"/>
          <w:color w:val="auto"/>
        </w:rPr>
      </w:pPr>
    </w:p>
    <w:p>
      <w:pPr>
        <w:ind w:left="1280" w:right="739" w:firstLine="360"/>
        <w:spacing w:after="0" w:line="269"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62 countries, and for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0" w:lineRule="exact"/>
        <w:rPr>
          <w:sz w:val="20"/>
          <w:szCs w:val="20"/>
          <w:color w:val="auto"/>
        </w:rPr>
      </w:pPr>
    </w:p>
    <w:p>
      <w:pPr>
        <w:ind w:left="1280" w:right="759" w:firstLine="360"/>
        <w:spacing w:after="0" w:line="289" w:lineRule="auto"/>
        <w:rPr>
          <w:sz w:val="20"/>
          <w:szCs w:val="20"/>
          <w:color w:val="auto"/>
        </w:rPr>
      </w:pPr>
      <w:r>
        <w:rPr>
          <w:rFonts w:ascii="Arial" w:cs="Arial" w:eastAsia="Arial" w:hAnsi="Arial"/>
          <w:sz w:val="16"/>
          <w:szCs w:val="16"/>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Through collaborative endeavors like these, we have become deeply integrated into our clients’ workflow and become a partner of choice for new innovations.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104" w:lineRule="exact"/>
        <w:rPr>
          <w:sz w:val="20"/>
          <w:szCs w:val="20"/>
          <w:color w:val="auto"/>
        </w:rPr>
      </w:pPr>
    </w:p>
    <w:p>
      <w:pPr>
        <w:ind w:left="1280" w:right="759" w:firstLine="360"/>
        <w:spacing w:after="0" w:line="269"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104" w:lineRule="exact"/>
        <w:rPr>
          <w:sz w:val="20"/>
          <w:szCs w:val="20"/>
          <w:color w:val="auto"/>
        </w:rPr>
      </w:pPr>
    </w:p>
    <w:p>
      <w:pPr>
        <w:ind w:left="1280" w:right="719" w:firstLine="360"/>
        <w:spacing w:after="0" w:line="272" w:lineRule="auto"/>
        <w:rPr>
          <w:sz w:val="20"/>
          <w:szCs w:val="20"/>
          <w:color w:val="auto"/>
        </w:rPr>
      </w:pPr>
      <w:r>
        <w:rPr>
          <w:rFonts w:ascii="Arial" w:cs="Arial" w:eastAsia="Arial" w:hAnsi="Arial"/>
          <w:sz w:val="17"/>
          <w:szCs w:val="17"/>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104" w:lineRule="exact"/>
        <w:rPr>
          <w:sz w:val="20"/>
          <w:szCs w:val="20"/>
          <w:color w:val="auto"/>
        </w:rPr>
      </w:pPr>
    </w:p>
    <w:p>
      <w:pPr>
        <w:ind w:left="1280" w:right="979" w:firstLine="360"/>
        <w:spacing w:after="0" w:line="276" w:lineRule="auto"/>
        <w:rPr>
          <w:sz w:val="20"/>
          <w:szCs w:val="20"/>
          <w:color w:val="auto"/>
        </w:rPr>
      </w:pPr>
      <w:r>
        <w:rPr>
          <w:rFonts w:ascii="Arial" w:cs="Arial" w:eastAsia="Arial" w:hAnsi="Arial"/>
          <w:sz w:val="17"/>
          <w:szCs w:val="17"/>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19"/>
        <w:spacing w:after="0" w:line="259" w:lineRule="auto"/>
        <w:rPr>
          <w:sz w:val="20"/>
          <w:szCs w:val="20"/>
          <w:color w:val="auto"/>
        </w:rPr>
      </w:pPr>
      <w:r>
        <w:rPr>
          <w:rFonts w:ascii="Arial" w:cs="Arial" w:eastAsia="Arial" w:hAnsi="Arial"/>
          <w:sz w:val="18"/>
          <w:szCs w:val="18"/>
          <w:color w:val="auto"/>
        </w:rPr>
        <w:t>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w:t>
      </w:r>
    </w:p>
    <w:p>
      <w:pPr>
        <w:spacing w:after="0" w:line="79" w:lineRule="exact"/>
        <w:rPr>
          <w:sz w:val="20"/>
          <w:szCs w:val="20"/>
          <w:color w:val="auto"/>
        </w:rPr>
      </w:pPr>
    </w:p>
    <w:p>
      <w:pPr>
        <w:ind w:left="1280" w:right="739" w:firstLine="360"/>
        <w:spacing w:after="0" w:line="271"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41,600 trades and 950 million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both through potential expansion of our existing market data license agreement with Refinitiv and through distributing additional datasets and analytics offerings through our own network or through other third-party networks.</w:t>
      </w:r>
    </w:p>
    <w:p>
      <w:pPr>
        <w:spacing w:after="0" w:line="71" w:lineRule="exact"/>
        <w:rPr>
          <w:sz w:val="20"/>
          <w:szCs w:val="20"/>
          <w:color w:val="auto"/>
        </w:rPr>
      </w:pPr>
    </w:p>
    <w:p>
      <w:pPr>
        <w:ind w:left="1280" w:right="759" w:firstLine="360"/>
        <w:spacing w:after="0" w:line="255" w:lineRule="auto"/>
        <w:rPr>
          <w:sz w:val="20"/>
          <w:szCs w:val="20"/>
          <w:color w:val="auto"/>
        </w:rPr>
      </w:pPr>
      <w:r>
        <w:rPr>
          <w:rFonts w:ascii="Arial" w:cs="Arial" w:eastAsia="Arial" w:hAnsi="Arial"/>
          <w:sz w:val="18"/>
          <w:szCs w:val="18"/>
          <w:color w:val="auto"/>
        </w:rPr>
        <w:t>We are continuously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and over-the-counter (“OTC”) reporting requirements under MiFID II. We now operate one of the largest fixed income APA services with over 100 clients, including 20 leading global banks, and expect to expand our APA service in the coming years.</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80" w:right="77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80" w:right="81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80" w:right="121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62"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7" w:lineRule="exact"/>
        <w:rPr>
          <w:sz w:val="20"/>
          <w:szCs w:val="20"/>
          <w:color w:val="auto"/>
        </w:rPr>
      </w:pPr>
    </w:p>
    <w:p>
      <w:pPr>
        <w:ind w:left="1280" w:right="759" w:firstLine="360"/>
        <w:spacing w:after="0" w:line="291"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and higher market volatility.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due to current market trends include global government bonds, derivatives, ETFs and credit.</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Growth in Our Market Share</w:t>
      </w:r>
    </w:p>
    <w:p>
      <w:pPr>
        <w:spacing w:after="0" w:line="104" w:lineRule="exact"/>
        <w:rPr>
          <w:sz w:val="20"/>
          <w:szCs w:val="20"/>
          <w:color w:val="auto"/>
        </w:rPr>
      </w:pPr>
    </w:p>
    <w:p>
      <w:pPr>
        <w:ind w:left="1280" w:right="779" w:firstLine="360"/>
        <w:spacing w:after="0" w:line="270"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in our U.S. credit marketplace, 90% of trades include a net hedge transaction leveraging our U.S. Treasury marketplace.</w:t>
      </w:r>
    </w:p>
    <w:p>
      <w:pPr>
        <w:spacing w:after="0" w:line="70"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Electronification of Our Markets</w:t>
      </w:r>
    </w:p>
    <w:p>
      <w:pPr>
        <w:spacing w:after="0" w:line="117" w:lineRule="exact"/>
        <w:rPr>
          <w:sz w:val="20"/>
          <w:szCs w:val="20"/>
          <w:color w:val="auto"/>
        </w:rPr>
      </w:pPr>
    </w:p>
    <w:p>
      <w:pPr>
        <w:ind w:left="1280" w:right="759" w:firstLine="360"/>
        <w:spacing w:after="0" w:line="269"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75" w:lineRule="exact"/>
        <w:rPr>
          <w:sz w:val="20"/>
          <w:szCs w:val="20"/>
          <w:color w:val="auto"/>
        </w:rPr>
      </w:pPr>
    </w:p>
    <w:p>
      <w:pPr>
        <w:ind w:left="1280" w:right="759" w:firstLine="360"/>
        <w:spacing w:after="0" w:line="302" w:lineRule="auto"/>
        <w:rPr>
          <w:sz w:val="20"/>
          <w:szCs w:val="20"/>
          <w:color w:val="auto"/>
        </w:rPr>
      </w:pPr>
      <w:r>
        <w:rPr>
          <w:rFonts w:ascii="Arial" w:cs="Arial" w:eastAsia="Arial" w:hAnsi="Arial"/>
          <w:sz w:val="16"/>
          <w:szCs w:val="16"/>
          <w:color w:val="auto"/>
        </w:rPr>
        <w:t>We believe that U.S. Treasuries, global swaps, global ETFs and U.S. credit products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80" w:right="759" w:firstLine="360"/>
        <w:spacing w:after="0" w:line="270"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add new products and expand into new complementary markets as client demand and market trends evolve. We recently expanded into China and offer our global clients access to the Chinese bond market. In addition, we have expanded our product set to include wholesale electronic repurchase agreements, U.S. and European bilateral repurchase agreements, European cash equities and U.S. options.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70" w:lineRule="exact"/>
        <w:rPr>
          <w:sz w:val="20"/>
          <w:szCs w:val="20"/>
          <w:color w:val="auto"/>
        </w:rPr>
      </w:pPr>
    </w:p>
    <w:p>
      <w:pPr>
        <w:ind w:left="1280" w:right="719" w:firstLine="360"/>
        <w:spacing w:after="0" w:line="253" w:lineRule="auto"/>
        <w:rPr>
          <w:sz w:val="20"/>
          <w:szCs w:val="20"/>
          <w:color w:val="auto"/>
        </w:rPr>
      </w:pPr>
      <w:r>
        <w:rPr>
          <w:rFonts w:ascii="Arial" w:cs="Arial" w:eastAsia="Arial" w:hAnsi="Arial"/>
          <w:sz w:val="18"/>
          <w:szCs w:val="18"/>
          <w:color w:val="auto"/>
        </w:rPr>
        <w:t>In addition, we believe our business model is well suited to serve market participants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are leveraging our session-based trading technology in European corporate bonds for session-based trading in U.S. corporate bonds and Off-the-Run U.S. Treasury securities,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63" w:lineRule="exact"/>
        <w:rPr>
          <w:sz w:val="20"/>
          <w:szCs w:val="20"/>
          <w:color w:val="auto"/>
        </w:rPr>
      </w:pPr>
    </w:p>
    <w:p>
      <w:pPr>
        <w:ind w:left="1280" w:right="899" w:firstLine="360"/>
        <w:spacing w:after="0" w:line="255"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68" w:lineRule="exact"/>
        <w:rPr>
          <w:sz w:val="20"/>
          <w:szCs w:val="20"/>
          <w:color w:val="auto"/>
        </w:rPr>
      </w:pPr>
    </w:p>
    <w:p>
      <w:pPr>
        <w:ind w:left="1280" w:right="1139" w:firstLine="360"/>
        <w:spacing w:after="0" w:line="312" w:lineRule="auto"/>
        <w:rPr>
          <w:sz w:val="20"/>
          <w:szCs w:val="20"/>
          <w:color w:val="auto"/>
        </w:rPr>
      </w:pPr>
      <w:r>
        <w:rPr>
          <w:rFonts w:ascii="Arial" w:cs="Arial" w:eastAsia="Arial" w:hAnsi="Arial"/>
          <w:sz w:val="16"/>
          <w:szCs w:val="16"/>
          <w:color w:val="auto"/>
        </w:rPr>
        <w:t>Our technology architecture reduces the time to market for new data solutions, which allows us to react quickly to client needs. Recently, we extended our long-term agreement with Refinitiv, pursuant to which Refinitiv licenses certain data from us, which provides us with a predictable and growing revenue stream.</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63" w:lineRule="exact"/>
        <w:rPr>
          <w:sz w:val="20"/>
          <w:szCs w:val="20"/>
          <w:color w:val="auto"/>
        </w:rPr>
      </w:pPr>
    </w:p>
    <w:p>
      <w:pPr>
        <w:ind w:left="1280" w:right="779" w:firstLine="360"/>
        <w:spacing w:after="0" w:line="273" w:lineRule="auto"/>
        <w:rPr>
          <w:sz w:val="20"/>
          <w:szCs w:val="20"/>
          <w:color w:val="auto"/>
        </w:rPr>
      </w:pPr>
      <w:r>
        <w:rPr>
          <w:rFonts w:ascii="Arial" w:cs="Arial" w:eastAsia="Arial" w:hAnsi="Arial"/>
          <w:sz w:val="17"/>
          <w:szCs w:val="17"/>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81" w:lineRule="exact"/>
        <w:rPr>
          <w:sz w:val="20"/>
          <w:szCs w:val="20"/>
          <w:color w:val="auto"/>
        </w:rPr>
      </w:pPr>
    </w:p>
    <w:p>
      <w:pPr>
        <w:ind w:left="1640"/>
        <w:spacing w:after="0"/>
        <w:tabs>
          <w:tab w:leader="none" w:pos="6560" w:val="left"/>
        </w:tabs>
        <w:rPr>
          <w:sz w:val="20"/>
          <w:szCs w:val="20"/>
          <w:color w:val="auto"/>
        </w:rPr>
      </w:pPr>
      <w:r>
        <w:rPr>
          <w:rFonts w:ascii="Arial" w:cs="Arial" w:eastAsia="Arial" w:hAnsi="Arial"/>
          <w:sz w:val="18"/>
          <w:szCs w:val="18"/>
          <w:color w:val="auto"/>
        </w:rPr>
        <w:t>In connection with this offering, we expect to enter into a new $</w:t>
      </w:r>
      <w:r>
        <w:rPr>
          <w:sz w:val="20"/>
          <w:szCs w:val="20"/>
          <w:color w:val="auto"/>
        </w:rPr>
        <w:tab/>
      </w:r>
      <w:r>
        <w:rPr>
          <w:rFonts w:ascii="Arial" w:cs="Arial" w:eastAsia="Arial" w:hAnsi="Arial"/>
          <w:sz w:val="16"/>
          <w:szCs w:val="16"/>
          <w:color w:val="auto"/>
        </w:rPr>
        <w:t>million senior secured revolving credit</w:t>
      </w:r>
    </w:p>
    <w:p>
      <w:pPr>
        <w:spacing w:after="0" w:line="23" w:lineRule="exact"/>
        <w:rPr>
          <w:sz w:val="20"/>
          <w:szCs w:val="20"/>
          <w:color w:val="auto"/>
        </w:rPr>
      </w:pPr>
    </w:p>
    <w:p>
      <w:pPr>
        <w:ind w:left="1280"/>
        <w:spacing w:after="0"/>
        <w:tabs>
          <w:tab w:leader="none" w:pos="5940" w:val="left"/>
        </w:tabs>
        <w:rPr>
          <w:sz w:val="20"/>
          <w:szCs w:val="20"/>
          <w:color w:val="auto"/>
        </w:rPr>
      </w:pPr>
      <w:r>
        <w:rPr>
          <w:rFonts w:ascii="Arial" w:cs="Arial" w:eastAsia="Arial" w:hAnsi="Arial"/>
          <w:sz w:val="18"/>
          <w:szCs w:val="18"/>
          <w:color w:val="auto"/>
        </w:rPr>
        <w:t>facility (the “New Revolving Credit Facility”) with</w:t>
      </w:r>
      <w:r>
        <w:rPr>
          <w:sz w:val="20"/>
          <w:szCs w:val="20"/>
          <w:color w:val="auto"/>
        </w:rPr>
        <w:tab/>
      </w:r>
      <w:r>
        <w:rPr>
          <w:rFonts w:ascii="Arial" w:cs="Arial" w:eastAsia="Arial" w:hAnsi="Arial"/>
          <w:sz w:val="16"/>
          <w:szCs w:val="16"/>
          <w:color w:val="auto"/>
        </w:rPr>
        <w:t>, as administrative agent and collateral agent,</w:t>
      </w:r>
    </w:p>
    <w:p>
      <w:pPr>
        <w:spacing w:after="0" w:line="9" w:lineRule="exact"/>
        <w:rPr>
          <w:sz w:val="20"/>
          <w:szCs w:val="20"/>
          <w:color w:val="auto"/>
        </w:rPr>
      </w:pPr>
    </w:p>
    <w:p>
      <w:pPr>
        <w:ind w:left="1280" w:right="819"/>
        <w:spacing w:after="0" w:line="290" w:lineRule="auto"/>
        <w:rPr>
          <w:sz w:val="20"/>
          <w:szCs w:val="20"/>
          <w:color w:val="auto"/>
        </w:rPr>
      </w:pPr>
      <w:r>
        <w:rPr>
          <w:rFonts w:ascii="Arial" w:cs="Arial" w:eastAsia="Arial" w:hAnsi="Arial"/>
          <w:sz w:val="17"/>
          <w:szCs w:val="17"/>
          <w:color w:val="auto"/>
        </w:rPr>
        <w:t>and the other lenders party thereto. See “Description of Certain Indebtedness — New Revolving Credit Facility.” We expect the New Revolving Credit Facility will be undrawn at the completion of this offering.</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of the Reorganization Transactions</w:t>
      </w:r>
    </w:p>
    <w:p>
      <w:pPr>
        <w:spacing w:after="0" w:line="81" w:lineRule="exact"/>
        <w:rPr>
          <w:sz w:val="20"/>
          <w:szCs w:val="20"/>
          <w:color w:val="auto"/>
        </w:rPr>
      </w:pPr>
    </w:p>
    <w:p>
      <w:pPr>
        <w:ind w:left="1280" w:right="1079" w:firstLine="360"/>
        <w:spacing w:after="0" w:line="312" w:lineRule="auto"/>
        <w:rPr>
          <w:sz w:val="20"/>
          <w:szCs w:val="20"/>
          <w:color w:val="auto"/>
        </w:rPr>
      </w:pPr>
      <w:r>
        <w:rPr>
          <w:rFonts w:ascii="Arial" w:cs="Arial" w:eastAsia="Arial" w:hAnsi="Arial"/>
          <w:sz w:val="16"/>
          <w:szCs w:val="16"/>
          <w:color w:val="auto"/>
        </w:rPr>
        <w:t>Prior to the completion of this offering and the organizational transactions described below, the Original LLC Owners are the only members of TWM LLC. Tradeweb Markets Inc. was incorporated as a Delaware corporation on November 7, 2018 to serve as the issuer of the Class A common stock offered hereby.</w:t>
      </w:r>
    </w:p>
    <w:p>
      <w:pPr>
        <w:spacing w:after="0" w:line="1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Prior to the closing of this offering, we will consummate the following organizational transactions:</w:t>
      </w:r>
    </w:p>
    <w:p>
      <w:pPr>
        <w:spacing w:after="0" w:line="63" w:lineRule="exact"/>
        <w:rPr>
          <w:sz w:val="20"/>
          <w:szCs w:val="20"/>
          <w:color w:val="auto"/>
        </w:rPr>
      </w:pPr>
    </w:p>
    <w:p>
      <w:pPr>
        <w:ind w:left="2000" w:right="799" w:hanging="354"/>
        <w:spacing w:after="0" w:line="255"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amend and restate the fourth amended and restated limited liability company agreement of TWM LLC (as amended, effective as of the completion of this offering,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30" w:lineRule="exact"/>
        <w:rPr>
          <w:rFonts w:ascii="Arial" w:cs="Arial" w:eastAsia="Arial" w:hAnsi="Arial"/>
          <w:sz w:val="18"/>
          <w:szCs w:val="18"/>
          <w:color w:val="auto"/>
        </w:rPr>
      </w:pPr>
    </w:p>
    <w:p>
      <w:pPr>
        <w:ind w:left="2000" w:right="819" w:hanging="354"/>
        <w:spacing w:after="0" w:line="270" w:lineRule="auto"/>
        <w:tabs>
          <w:tab w:leader="none" w:pos="2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106" w:lineRule="exact"/>
        <w:rPr>
          <w:sz w:val="20"/>
          <w:szCs w:val="20"/>
          <w:color w:val="auto"/>
        </w:rPr>
      </w:pPr>
    </w:p>
    <w:tbl>
      <w:tblPr>
        <w:tblLayout w:type="fixed"/>
        <w:tblInd w:w="2540" w:type="dxa"/>
        <w:tblCellMar>
          <w:top w:w="0" w:type="dxa"/>
          <w:left w:w="0" w:type="dxa"/>
          <w:bottom w:w="0" w:type="dxa"/>
          <w:right w:w="0" w:type="dxa"/>
        </w:tblCellMar>
      </w:tblPr>
      <w:tr>
        <w:trPr>
          <w:trHeight w:val="185"/>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183"/>
        </w:trPr>
        <w:tc>
          <w:tcPr>
            <w:tcW w:w="29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Class A common stock</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374"/>
              <w:spacing w:after="0" w:line="182"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3"/>
              </w:rPr>
              <w:t>Yes</w:t>
            </w:r>
          </w:p>
        </w:tc>
      </w:tr>
      <w:tr>
        <w:trPr>
          <w:trHeight w:val="189"/>
        </w:trPr>
        <w:tc>
          <w:tcPr>
            <w:tcW w:w="3160" w:type="dxa"/>
            <w:vAlign w:val="bottom"/>
            <w:gridSpan w:val="2"/>
          </w:tcPr>
          <w:p>
            <w:pPr>
              <w:spacing w:after="0" w:line="189" w:lineRule="exact"/>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line="189"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w w:val="83"/>
              </w:rPr>
              <w:t>Yes</w:t>
            </w:r>
          </w:p>
        </w:tc>
      </w:tr>
      <w:tr>
        <w:trPr>
          <w:trHeight w:val="189"/>
        </w:trPr>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line="189"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No</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879"/>
        <w:spacing w:after="0" w:line="312"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66" w:lineRule="exact"/>
        <w:rPr>
          <w:sz w:val="20"/>
          <w:szCs w:val="20"/>
          <w:color w:val="auto"/>
        </w:rPr>
      </w:pPr>
    </w:p>
    <w:p>
      <w:pPr>
        <w:ind w:left="2000" w:right="959" w:hanging="354"/>
        <w:spacing w:after="0" w:line="312" w:lineRule="auto"/>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will assume sponsorship of the Option Plan (as defined herein) and the PRSU Plan (as defined herein) currently sponsored by Tradeweb Markets LLC. Accordingly, all options and PRSUs granted under such plans will be converted into economically equivalent awards of Tradeweb Markets Inc.;</w:t>
      </w:r>
    </w:p>
    <w:p>
      <w:pPr>
        <w:spacing w:after="0" w:line="66" w:lineRule="exact"/>
        <w:rPr>
          <w:sz w:val="20"/>
          <w:szCs w:val="20"/>
          <w:color w:val="auto"/>
        </w:rPr>
      </w:pPr>
    </w:p>
    <w:p>
      <w:pPr>
        <w:ind w:left="1640"/>
        <w:spacing w:after="0"/>
        <w:tabs>
          <w:tab w:leader="none" w:pos="1980" w:val="left"/>
          <w:tab w:leader="none" w:pos="3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shares of Class D common stock to the Continuing LLC Owners, on a one-to-one</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basis with the number of LLC Interests they own, for nominal consideration;</w:t>
      </w:r>
    </w:p>
    <w:p>
      <w:pPr>
        <w:spacing w:after="0" w:line="130" w:lineRule="exact"/>
        <w:rPr>
          <w:sz w:val="20"/>
          <w:szCs w:val="20"/>
          <w:color w:val="auto"/>
        </w:rPr>
      </w:pPr>
    </w:p>
    <w:p>
      <w:pPr>
        <w:ind w:left="1640"/>
        <w:spacing w:after="0"/>
        <w:tabs>
          <w:tab w:leader="none" w:pos="1980" w:val="left"/>
          <w:tab w:leader="none" w:pos="8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as a result of the Refinitiv Contribution, the Refinitiv Direct Owner will receive</w:t>
      </w:r>
      <w:r>
        <w:rPr>
          <w:sz w:val="20"/>
          <w:szCs w:val="20"/>
          <w:color w:val="auto"/>
        </w:rPr>
        <w:tab/>
      </w:r>
      <w:r>
        <w:rPr>
          <w:rFonts w:ascii="Arial" w:cs="Arial" w:eastAsia="Arial" w:hAnsi="Arial"/>
          <w:sz w:val="15"/>
          <w:szCs w:val="15"/>
          <w:color w:val="auto"/>
        </w:rPr>
        <w:t>shares of Class B</w:t>
      </w:r>
    </w:p>
    <w:p>
      <w:pPr>
        <w:spacing w:after="0" w:line="23" w:lineRule="exact"/>
        <w:rPr>
          <w:sz w:val="20"/>
          <w:szCs w:val="20"/>
          <w:color w:val="auto"/>
        </w:rPr>
      </w:pPr>
    </w:p>
    <w:p>
      <w:pPr>
        <w:ind w:left="2000"/>
        <w:spacing w:after="0"/>
        <w:tabs>
          <w:tab w:leader="none" w:pos="4980" w:val="left"/>
        </w:tabs>
        <w:rPr>
          <w:sz w:val="20"/>
          <w:szCs w:val="20"/>
          <w:color w:val="auto"/>
        </w:rPr>
      </w:pPr>
      <w:r>
        <w:rPr>
          <w:rFonts w:ascii="Arial" w:cs="Arial" w:eastAsia="Arial" w:hAnsi="Arial"/>
          <w:sz w:val="18"/>
          <w:szCs w:val="18"/>
          <w:color w:val="auto"/>
        </w:rPr>
        <w:t>common stock and we will receive</w:t>
      </w:r>
      <w:r>
        <w:rPr>
          <w:sz w:val="20"/>
          <w:szCs w:val="20"/>
          <w:color w:val="auto"/>
        </w:rPr>
        <w:tab/>
      </w:r>
      <w:r>
        <w:rPr>
          <w:rFonts w:ascii="Arial" w:cs="Arial" w:eastAsia="Arial" w:hAnsi="Arial"/>
          <w:sz w:val="16"/>
          <w:szCs w:val="16"/>
          <w:color w:val="auto"/>
        </w:rPr>
        <w:t>LLC Interests. The Refinitiv Direct Owner and other future</w:t>
      </w:r>
    </w:p>
    <w:p>
      <w:pPr>
        <w:spacing w:after="0" w:line="9" w:lineRule="exact"/>
        <w:rPr>
          <w:sz w:val="20"/>
          <w:szCs w:val="20"/>
          <w:color w:val="auto"/>
        </w:rPr>
      </w:pPr>
    </w:p>
    <w:p>
      <w:pPr>
        <w:ind w:left="2000" w:right="739"/>
        <w:spacing w:after="0" w:line="254" w:lineRule="auto"/>
        <w:rPr>
          <w:sz w:val="20"/>
          <w:szCs w:val="20"/>
          <w:color w:val="auto"/>
        </w:rPr>
      </w:pPr>
      <w:r>
        <w:rPr>
          <w:rFonts w:ascii="Arial" w:cs="Arial" w:eastAsia="Arial" w:hAnsi="Arial"/>
          <w:sz w:val="18"/>
          <w:szCs w:val="18"/>
          <w:color w:val="auto"/>
        </w:rPr>
        <w:t>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pacing w:after="0" w:line="109" w:lineRule="exact"/>
        <w:rPr>
          <w:sz w:val="20"/>
          <w:szCs w:val="20"/>
          <w:color w:val="auto"/>
        </w:rPr>
      </w:pPr>
    </w:p>
    <w:p>
      <w:pPr>
        <w:ind w:left="2000" w:right="779" w:hanging="354"/>
        <w:spacing w:after="0" w:line="270" w:lineRule="auto"/>
        <w:tabs>
          <w:tab w:leader="none" w:pos="2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Continuing LLC Owners will continue to own the LLC Interests they receive in exchange for their existing membership interests in TWM LLC, which LLC Interests following the completion of this offering, will be redeemable, at the election of such members, for newly issued shares of Class A common stock or Class B common stock on a one-for-one basis (and such holders’ shares of Class C common stock or Class D common stock, as the case may be, will be cancelled on a one-for-one basis upon any such issuance). The Continuing LLC Owners may also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100" w:lineRule="exact"/>
        <w:rPr>
          <w:rFonts w:ascii="Arial" w:cs="Arial" w:eastAsia="Arial" w:hAnsi="Arial"/>
          <w:sz w:val="17"/>
          <w:szCs w:val="17"/>
          <w:color w:val="auto"/>
        </w:rPr>
      </w:pPr>
    </w:p>
    <w:p>
      <w:pPr>
        <w:ind w:left="2000" w:right="759" w:hanging="354"/>
        <w:spacing w:after="0" w:line="273" w:lineRule="auto"/>
        <w:tabs>
          <w:tab w:leader="none" w:pos="2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w:t>
      </w:r>
    </w:p>
    <w:p>
      <w:pPr>
        <w:spacing w:after="0" w:line="97" w:lineRule="exact"/>
        <w:rPr>
          <w:rFonts w:ascii="Arial" w:cs="Arial" w:eastAsia="Arial" w:hAnsi="Arial"/>
          <w:sz w:val="17"/>
          <w:szCs w:val="17"/>
          <w:color w:val="auto"/>
        </w:rPr>
      </w:pPr>
    </w:p>
    <w:p>
      <w:pPr>
        <w:ind w:left="2000" w:right="819" w:hanging="354"/>
        <w:spacing w:after="0" w:line="270" w:lineRule="auto"/>
        <w:tabs>
          <w:tab w:leader="none" w:pos="2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or (ii) once the Refinitiv Owners and their affiliates together no longer beneficially own a number of shares of our common stock and LLC Interests that together entitle them to at least 10% of TWM LLC’s economic interests.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 and</w:t>
      </w:r>
    </w:p>
    <w:p>
      <w:pPr>
        <w:spacing w:after="0" w:line="110" w:lineRule="exact"/>
        <w:rPr>
          <w:rFonts w:ascii="Arial" w:cs="Arial" w:eastAsia="Arial" w:hAnsi="Arial"/>
          <w:sz w:val="17"/>
          <w:szCs w:val="17"/>
          <w:color w:val="auto"/>
        </w:rPr>
      </w:pPr>
    </w:p>
    <w:p>
      <w:pPr>
        <w:ind w:left="2000" w:right="859" w:hanging="354"/>
        <w:spacing w:after="0" w:line="259"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will enter into (i) a tax receivable agreement (the “Tax Receivable Agreement”) with TWM LLC and the Continuing LLC Owners, (ii) a stockholders agreement (the “Stockholders Agreement”) with the Refinitiv Owners and (iii) a registration rights agreement (the “Registration Rights Agreement”) with the Refinitiv Owners and the Bank Stockholders.</w:t>
      </w:r>
    </w:p>
    <w:p>
      <w:pPr>
        <w:spacing w:after="0" w:line="79" w:lineRule="exact"/>
        <w:rPr>
          <w:sz w:val="20"/>
          <w:szCs w:val="20"/>
          <w:color w:val="auto"/>
        </w:rPr>
      </w:pPr>
    </w:p>
    <w:p>
      <w:pPr>
        <w:ind w:left="1600" w:right="979" w:firstLine="45"/>
        <w:spacing w:after="0" w:line="291" w:lineRule="auto"/>
        <w:rPr>
          <w:sz w:val="20"/>
          <w:szCs w:val="20"/>
          <w:color w:val="auto"/>
        </w:rPr>
      </w:pPr>
      <w:r>
        <w:rPr>
          <w:rFonts w:ascii="Arial" w:cs="Arial" w:eastAsia="Arial" w:hAnsi="Arial"/>
          <w:sz w:val="16"/>
          <w:szCs w:val="16"/>
          <w:color w:val="auto"/>
        </w:rPr>
        <w:t>We will issue shares of Class A common stock to the purchasers in this offering in exchange for $ million of net proceeds. We estimate that the offering expenses (other than the underwriting discounts and</w:t>
      </w:r>
    </w:p>
    <w:p>
      <w:pPr>
        <w:ind w:left="1280" w:right="919"/>
        <w:spacing w:after="0" w:line="261" w:lineRule="auto"/>
        <w:rPr>
          <w:sz w:val="20"/>
          <w:szCs w:val="20"/>
          <w:color w:val="auto"/>
        </w:rPr>
      </w:pPr>
      <w:r>
        <w:rPr>
          <w:rFonts w:ascii="Arial" w:cs="Arial" w:eastAsia="Arial" w:hAnsi="Arial"/>
          <w:sz w:val="18"/>
          <w:szCs w:val="18"/>
          <w:color w:val="auto"/>
        </w:rPr>
        <w:t>commissions) will be approximately $ million. All of such offering expenses will be paid for or otherwise borne by TWM LLC.</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919" w:firstLine="360"/>
        <w:spacing w:after="0" w:line="273" w:lineRule="auto"/>
        <w:rPr>
          <w:sz w:val="20"/>
          <w:szCs w:val="20"/>
          <w:color w:val="auto"/>
        </w:rPr>
      </w:pPr>
      <w:r>
        <w:rPr>
          <w:rFonts w:ascii="Arial" w:cs="Arial" w:eastAsia="Arial" w:hAnsi="Arial"/>
          <w:sz w:val="17"/>
          <w:szCs w:val="17"/>
          <w:color w:val="auto"/>
        </w:rPr>
        <w:t>After the completion of this offering, in order to facilitate the disposition of equity interests in TWM LLC held by certain of the Other LLC Owners, we intend to use the net proceeds from this offering to purchase issued and outstanding LLC Interests from certain of the Other LLC Owners (and cancel the corresponding shares of Class D common stock), at a purchase price per interest equal to the initial public offering price per share of Class A common stock, less the underwriting discounts and commissions payable thereon, collectively representing a % economic interest in TWM LLC. See “Use of Proceeds.”</w:t>
      </w:r>
    </w:p>
    <w:p>
      <w:pPr>
        <w:spacing w:after="0" w:line="70" w:lineRule="exact"/>
        <w:rPr>
          <w:sz w:val="20"/>
          <w:szCs w:val="20"/>
          <w:color w:val="auto"/>
        </w:rPr>
      </w:pPr>
    </w:p>
    <w:p>
      <w:pPr>
        <w:ind w:left="1280" w:right="799" w:firstLine="360"/>
        <w:spacing w:after="0" w:line="257" w:lineRule="auto"/>
        <w:rPr>
          <w:sz w:val="20"/>
          <w:szCs w:val="20"/>
          <w:color w:val="auto"/>
        </w:rPr>
      </w:pPr>
      <w:r>
        <w:rPr>
          <w:rFonts w:ascii="Arial" w:cs="Arial" w:eastAsia="Arial" w:hAnsi="Arial"/>
          <w:sz w:val="18"/>
          <w:szCs w:val="18"/>
          <w:color w:val="auto"/>
        </w:rPr>
        <w:t>We refer to this offering and the foregoing organizational transactions we will consummate prior to the closing of this offering collectively as the “Reorganization Transactions.” For more information regarding the Reorganization Transactions and our structure after the completion of the Reorganization Transactions, including this offering and the application of the net proceeds therefrom. See “The Reorganization Transactions” and “Use of Proceeds.”</w:t>
      </w:r>
    </w:p>
    <w:p>
      <w:pPr>
        <w:spacing w:after="0" w:line="80" w:lineRule="exact"/>
        <w:rPr>
          <w:sz w:val="20"/>
          <w:szCs w:val="20"/>
          <w:color w:val="auto"/>
        </w:rPr>
      </w:pPr>
    </w:p>
    <w:p>
      <w:pPr>
        <w:ind w:left="1280" w:right="779" w:firstLine="360"/>
        <w:spacing w:after="0" w:line="254" w:lineRule="auto"/>
        <w:rPr>
          <w:sz w:val="20"/>
          <w:szCs w:val="20"/>
          <w:color w:val="auto"/>
        </w:rPr>
      </w:pPr>
      <w:r>
        <w:rPr>
          <w:rFonts w:ascii="Arial" w:cs="Arial" w:eastAsia="Arial" w:hAnsi="Arial"/>
          <w:sz w:val="18"/>
          <w:szCs w:val="18"/>
          <w:color w:val="auto"/>
        </w:rPr>
        <w:t>Immediately following this offering, Tradeweb will be a holding company whose principal asset will be the LLC Interests it acquires from certain of the Other LLC Owners using the net proceeds from this offering and the LLC Interests it receives as a result of the Refinitiv Contribution.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TWM LLC in our consolidated financial statements and will report a non-controlling interest related to the LLC Interests held by the Continuing LLC Owners on our consolidated financial statements.</w:t>
      </w:r>
    </w:p>
    <w:p>
      <w:pPr>
        <w:spacing w:after="0" w:line="84" w:lineRule="exact"/>
        <w:rPr>
          <w:sz w:val="20"/>
          <w:szCs w:val="20"/>
          <w:color w:val="auto"/>
        </w:rPr>
      </w:pPr>
    </w:p>
    <w:p>
      <w:pPr>
        <w:ind w:left="1280" w:right="819" w:firstLine="360"/>
        <w:spacing w:after="0" w:line="255" w:lineRule="auto"/>
        <w:rPr>
          <w:sz w:val="20"/>
          <w:szCs w:val="20"/>
          <w:color w:val="auto"/>
        </w:rPr>
      </w:pPr>
      <w:r>
        <w:rPr>
          <w:rFonts w:ascii="Arial" w:cs="Arial" w:eastAsia="Arial" w:hAnsi="Arial"/>
          <w:sz w:val="18"/>
          <w:szCs w:val="18"/>
          <w:color w:val="auto"/>
        </w:rPr>
        <w:t>See “Description of Capital Stock” for more information about our amended and restated certificate of incorporation and the terms of the Class A common stock, Class B common stock, Class C common stock and Class D common stock. See “Certain Relationships and Related Party Transactions” for more information about the TWM LLC Agreement, including the terms of the LLC Interests and the redemption rights of the Continuing LLC Owners; the Tax Receivable Agreement; the Stockholders Agreement; and the Registration Rights Agreement.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99" w:firstLine="360"/>
        <w:spacing w:after="0" w:line="259" w:lineRule="auto"/>
        <w:rPr>
          <w:sz w:val="20"/>
          <w:szCs w:val="20"/>
          <w:color w:val="auto"/>
        </w:rPr>
      </w:pPr>
      <w:r>
        <w:rPr>
          <w:rFonts w:ascii="Arial" w:cs="Arial" w:eastAsia="Arial" w:hAnsi="Arial"/>
          <w:sz w:val="18"/>
          <w:szCs w:val="18"/>
          <w:color w:val="auto"/>
        </w:rPr>
        <w:t>The following diagram shows our simplified organizational structure after giving effect to the Reorganization Transactions, including this offering and the application of the net proceeds therefrom as described in “Use of Proceeds,”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40" w:hanging="354"/>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economic interests in Tradeweb Markets Inc. and not Tradeweb Markets LLC.</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08" w:lineRule="exact"/>
        <w:rPr>
          <w:sz w:val="20"/>
          <w:szCs w:val="20"/>
          <w:color w:val="auto"/>
        </w:rPr>
      </w:pPr>
    </w:p>
    <w:p>
      <w:pPr>
        <w:ind w:left="1280" w:right="759" w:firstLine="360"/>
        <w:spacing w:after="0" w:line="259" w:lineRule="auto"/>
        <w:rPr>
          <w:sz w:val="20"/>
          <w:szCs w:val="20"/>
          <w:color w:val="auto"/>
        </w:rPr>
      </w:pPr>
      <w:r>
        <w:rPr>
          <w:rFonts w:ascii="Arial" w:cs="Arial" w:eastAsia="Arial" w:hAnsi="Arial"/>
          <w:sz w:val="18"/>
          <w:szCs w:val="18"/>
          <w:color w:val="auto"/>
        </w:rPr>
        <w:t>Our business is subject to numerous risks described in “Risk Factors” immediately following this prospectus summary and elsewhere in this prospectus. These risks represent challenges to the successful implementation of our strategy and to the growth and future profitability of our business. Some of the more significant risks we face include:</w:t>
      </w:r>
    </w:p>
    <w:p>
      <w:pPr>
        <w:spacing w:after="0" w:line="119" w:lineRule="exact"/>
        <w:rPr>
          <w:sz w:val="20"/>
          <w:szCs w:val="20"/>
          <w:color w:val="auto"/>
        </w:rPr>
      </w:pPr>
    </w:p>
    <w:p>
      <w:pPr>
        <w:ind w:left="2000" w:right="1259" w:hanging="354"/>
        <w:spacing w:after="0" w:line="277" w:lineRule="auto"/>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 and electronic trading;</w:t>
      </w:r>
    </w:p>
    <w:p>
      <w:pPr>
        <w:spacing w:after="0" w:line="89" w:lineRule="exact"/>
        <w:rPr>
          <w:rFonts w:ascii="Arial" w:cs="Arial" w:eastAsia="Arial" w:hAnsi="Arial"/>
          <w:sz w:val="18"/>
          <w:szCs w:val="18"/>
          <w:color w:val="auto"/>
        </w:rPr>
      </w:pPr>
    </w:p>
    <w:p>
      <w:pPr>
        <w:ind w:left="2000" w:hanging="354"/>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44" w:lineRule="exact"/>
        <w:rPr>
          <w:rFonts w:ascii="Arial" w:cs="Arial" w:eastAsia="Arial" w:hAnsi="Arial"/>
          <w:sz w:val="18"/>
          <w:szCs w:val="18"/>
          <w:color w:val="auto"/>
        </w:rPr>
      </w:pPr>
    </w:p>
    <w:p>
      <w:pPr>
        <w:ind w:left="2000" w:hanging="354"/>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55" w:lineRule="exact"/>
        <w:rPr>
          <w:rFonts w:ascii="Arial" w:cs="Arial" w:eastAsia="Arial" w:hAnsi="Arial"/>
          <w:sz w:val="17"/>
          <w:szCs w:val="17"/>
          <w:color w:val="auto"/>
        </w:rPr>
      </w:pPr>
    </w:p>
    <w:p>
      <w:pPr>
        <w:ind w:left="2000" w:hanging="354"/>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extensive regulation of our industry; and</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w:t>
      </w:r>
    </w:p>
    <w:p>
      <w:pPr>
        <w:spacing w:after="0" w:line="117" w:lineRule="exact"/>
        <w:rPr>
          <w:sz w:val="20"/>
          <w:szCs w:val="20"/>
          <w:color w:val="auto"/>
        </w:rPr>
      </w:pPr>
    </w:p>
    <w:p>
      <w:pPr>
        <w:ind w:left="1280" w:right="779" w:firstLine="360"/>
        <w:spacing w:after="0" w:line="277" w:lineRule="auto"/>
        <w:rPr>
          <w:sz w:val="20"/>
          <w:szCs w:val="20"/>
          <w:color w:val="auto"/>
        </w:rPr>
      </w:pPr>
      <w:r>
        <w:rPr>
          <w:rFonts w:ascii="Arial" w:cs="Arial" w:eastAsia="Arial" w:hAnsi="Arial"/>
          <w:sz w:val="18"/>
          <w:szCs w:val="18"/>
          <w:color w:val="auto"/>
        </w:rPr>
        <w:t>See “Risk Factors” immediately following this prospectus summary for a more thorough discussion of these and other risks and uncertainties we face.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8" w:lineRule="exact"/>
        <w:rPr>
          <w:sz w:val="20"/>
          <w:szCs w:val="20"/>
          <w:color w:val="auto"/>
        </w:rPr>
      </w:pPr>
    </w:p>
    <w:p>
      <w:pPr>
        <w:ind w:left="1280" w:right="759" w:firstLine="360"/>
        <w:spacing w:after="0" w:line="279"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(the “JOBS Act”). An emerging growth company may take advantage of specified reduced reporting and other requirements that are otherwise applicable generally to public companies. These provisions include:</w:t>
      </w:r>
    </w:p>
    <w:p>
      <w:pPr>
        <w:spacing w:after="0" w:line="104" w:lineRule="exact"/>
        <w:rPr>
          <w:sz w:val="20"/>
          <w:szCs w:val="20"/>
          <w:color w:val="auto"/>
        </w:rPr>
      </w:pPr>
    </w:p>
    <w:p>
      <w:pPr>
        <w:ind w:left="2000" w:right="1179" w:hanging="354"/>
        <w:spacing w:after="0" w:line="342" w:lineRule="auto"/>
        <w:tabs>
          <w:tab w:leader="none" w:pos="2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not required to engage an auditor to report on our internal controls over financial reporting pursuant to Section 404(b) of the Sarbanes-Oxley Act of 2002 (the “Sarbanes-Oxley Act”);</w:t>
      </w:r>
    </w:p>
    <w:p>
      <w:pPr>
        <w:spacing w:after="0" w:line="56" w:lineRule="exact"/>
        <w:rPr>
          <w:rFonts w:ascii="Arial" w:cs="Arial" w:eastAsia="Arial" w:hAnsi="Arial"/>
          <w:sz w:val="16"/>
          <w:szCs w:val="16"/>
          <w:color w:val="auto"/>
        </w:rPr>
      </w:pPr>
    </w:p>
    <w:p>
      <w:pPr>
        <w:ind w:left="2000" w:right="839" w:hanging="354"/>
        <w:spacing w:after="0" w:line="259" w:lineRule="auto"/>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19" w:lineRule="exact"/>
        <w:rPr>
          <w:rFonts w:ascii="Arial" w:cs="Arial" w:eastAsia="Arial" w:hAnsi="Arial"/>
          <w:sz w:val="18"/>
          <w:szCs w:val="18"/>
          <w:color w:val="auto"/>
        </w:rPr>
      </w:pPr>
    </w:p>
    <w:p>
      <w:pPr>
        <w:ind w:left="2000" w:right="999" w:hanging="354"/>
        <w:spacing w:after="0" w:line="308" w:lineRule="auto"/>
        <w:tabs>
          <w:tab w:leader="none" w:pos="2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not required to submit certain executive compensation matters to stockholder advisory votes, such as “say-on-pay,” “say-on-frequency” and “say-on-golden parachutes”; and</w:t>
      </w:r>
    </w:p>
    <w:p>
      <w:pPr>
        <w:spacing w:after="0" w:line="79" w:lineRule="exact"/>
        <w:rPr>
          <w:rFonts w:ascii="Arial" w:cs="Arial" w:eastAsia="Arial" w:hAnsi="Arial"/>
          <w:sz w:val="17"/>
          <w:szCs w:val="17"/>
          <w:color w:val="auto"/>
        </w:rPr>
      </w:pPr>
    </w:p>
    <w:p>
      <w:pPr>
        <w:jc w:val="both"/>
        <w:ind w:left="2000" w:right="1059" w:hanging="354"/>
        <w:spacing w:after="0" w:line="264" w:lineRule="auto"/>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73" w:lineRule="exact"/>
        <w:rPr>
          <w:sz w:val="20"/>
          <w:szCs w:val="20"/>
          <w:color w:val="auto"/>
        </w:rPr>
      </w:pPr>
    </w:p>
    <w:p>
      <w:pPr>
        <w:ind w:left="1280" w:right="739" w:firstLine="360"/>
        <w:spacing w:after="0" w:line="288"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completion of this offering or such earlier time that we are no longer an emerging growth company. We would cease to be an emerging growth company upon the earliest of: (i) the last day of the first fiscal year in which our annual gross revenues are $1.07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Securities Exchange Act of 1934, as amended (the “Exchange Act”), for a period of at least 12 months and (z) have filed at least one annual report pursuant to the Exchange Act.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257" w:lineRule="auto"/>
        <w:rPr>
          <w:sz w:val="20"/>
          <w:szCs w:val="20"/>
          <w:color w:val="auto"/>
        </w:rPr>
      </w:pPr>
      <w:r>
        <w:rPr>
          <w:rFonts w:ascii="Arial" w:cs="Arial" w:eastAsia="Arial" w:hAnsi="Arial"/>
          <w:sz w:val="18"/>
          <w:szCs w:val="18"/>
          <w:color w:val="auto"/>
        </w:rPr>
        <w:t>We have elected to take advantage of some of the reduced disclosure obligations listed above in this prospectus, and may elect to take advantage of other reduced reporting requirements in future filings. In particular, we have elected to adopt the reduced disclosure with respect to our executive compensation disclosure. As a result of this election, the information that we provide stockholders may be different than you might get from other public companies.</w:t>
      </w:r>
    </w:p>
    <w:p>
      <w:pPr>
        <w:spacing w:after="0" w:line="80" w:lineRule="exact"/>
        <w:rPr>
          <w:sz w:val="20"/>
          <w:szCs w:val="20"/>
          <w:color w:val="auto"/>
        </w:rPr>
      </w:pPr>
    </w:p>
    <w:p>
      <w:pPr>
        <w:ind w:left="1280" w:right="759" w:firstLine="360"/>
        <w:spacing w:after="0" w:line="297"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819" w:firstLine="360"/>
        <w:spacing w:after="0" w:line="276" w:lineRule="auto"/>
        <w:rPr>
          <w:sz w:val="20"/>
          <w:szCs w:val="20"/>
          <w:color w:val="auto"/>
        </w:rPr>
      </w:pPr>
      <w:r>
        <w:rPr>
          <w:rFonts w:ascii="Arial" w:cs="Arial" w:eastAsia="Arial" w:hAnsi="Arial"/>
          <w:sz w:val="17"/>
          <w:szCs w:val="17"/>
          <w:color w:val="auto"/>
        </w:rPr>
        <w:t xml:space="preserve">Tradeweb Markets Inc., the issuer of the Class A common stock in this offering, was incorporated as a Delaware corporation on November 7, 2018. Our corporate headquarters are located at 1177 Avenue of the Americas, New York, New York 10036. Our telephone number is (646) 430-6000. Our principal website address is </w:t>
      </w:r>
      <w:r>
        <w:rPr>
          <w:rFonts w:ascii="Arial" w:cs="Arial" w:eastAsia="Arial" w:hAnsi="Arial"/>
          <w:sz w:val="17"/>
          <w:szCs w:val="17"/>
          <w:i w:val="1"/>
          <w:iCs w:val="1"/>
          <w:color w:val="auto"/>
        </w:rPr>
        <w:t>www.tradeweb.com</w:t>
      </w:r>
      <w:r>
        <w:rPr>
          <w:rFonts w:ascii="Arial" w:cs="Arial" w:eastAsia="Arial" w:hAnsi="Arial"/>
          <w:sz w:val="17"/>
          <w:szCs w:val="17"/>
          <w:color w:val="auto"/>
        </w:rPr>
        <w:t>. The information contained on, or that can be accessed through, our website is deemed not to be incorporated in this prospectus or to be part of this prospectus.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Class A common stock offered by us</w:t>
      </w:r>
    </w:p>
    <w:p>
      <w:pPr>
        <w:spacing w:after="0" w:line="117" w:lineRule="exact"/>
        <w:rPr>
          <w:sz w:val="20"/>
          <w:szCs w:val="20"/>
          <w:color w:val="auto"/>
        </w:rPr>
      </w:pPr>
    </w:p>
    <w:p>
      <w:pPr>
        <w:ind w:left="1460" w:right="120" w:hanging="179"/>
        <w:spacing w:after="0" w:line="277" w:lineRule="auto"/>
        <w:rPr>
          <w:sz w:val="20"/>
          <w:szCs w:val="20"/>
          <w:color w:val="auto"/>
        </w:rPr>
      </w:pPr>
      <w:r>
        <w:rPr>
          <w:rFonts w:ascii="Arial" w:cs="Arial" w:eastAsia="Arial" w:hAnsi="Arial"/>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00" w:lineRule="exact"/>
        <w:rPr>
          <w:sz w:val="20"/>
          <w:szCs w:val="20"/>
          <w:color w:val="auto"/>
        </w:rPr>
      </w:pPr>
    </w:p>
    <w:p>
      <w:pPr>
        <w:spacing w:after="0" w:line="295"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279"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C common stock to be outstanding after this offering</w:t>
      </w:r>
    </w:p>
    <w:p>
      <w:pPr>
        <w:spacing w:after="0" w:line="62"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Class D common stock to be outstanding after this offering</w:t>
      </w:r>
    </w:p>
    <w:p>
      <w:pPr>
        <w:spacing w:after="0" w:line="200" w:lineRule="exact"/>
        <w:rPr>
          <w:sz w:val="20"/>
          <w:szCs w:val="20"/>
          <w:color w:val="auto"/>
        </w:rPr>
      </w:pPr>
    </w:p>
    <w:p>
      <w:pPr>
        <w:spacing w:after="0" w:line="295" w:lineRule="exact"/>
        <w:rPr>
          <w:sz w:val="20"/>
          <w:szCs w:val="20"/>
          <w:color w:val="auto"/>
        </w:rPr>
      </w:pPr>
    </w:p>
    <w:p>
      <w:pPr>
        <w:ind w:left="1460" w:right="100" w:hanging="179"/>
        <w:spacing w:after="0" w:line="277" w:lineRule="auto"/>
        <w:rPr>
          <w:sz w:val="20"/>
          <w:szCs w:val="20"/>
          <w:color w:val="auto"/>
        </w:rPr>
      </w:pPr>
      <w:r>
        <w:rPr>
          <w:rFonts w:ascii="Arial" w:cs="Arial" w:eastAsia="Arial" w:hAnsi="Arial"/>
          <w:sz w:val="18"/>
          <w:szCs w:val="18"/>
          <w:color w:val="auto"/>
        </w:rPr>
        <w:t>LLC Interests to be held by us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 a Delaware corporation.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an option to purchase up to an aggregate</w:t>
      </w:r>
    </w:p>
    <w:p>
      <w:pPr>
        <w:spacing w:after="0" w:line="46" w:lineRule="exact"/>
        <w:rPr>
          <w:sz w:val="20"/>
          <w:szCs w:val="20"/>
          <w:color w:val="auto"/>
        </w:rPr>
      </w:pPr>
    </w:p>
    <w:p>
      <w:pPr>
        <w:jc w:val="both"/>
        <w:ind w:right="899"/>
        <w:spacing w:after="0" w:line="273" w:lineRule="auto"/>
        <w:rPr>
          <w:sz w:val="20"/>
          <w:szCs w:val="20"/>
          <w:color w:val="auto"/>
        </w:rPr>
      </w:pPr>
      <w:r>
        <w:rPr>
          <w:rFonts w:ascii="Arial" w:cs="Arial" w:eastAsia="Arial" w:hAnsi="Arial"/>
          <w:sz w:val="17"/>
          <w:szCs w:val="17"/>
          <w:color w:val="auto"/>
        </w:rPr>
        <w:t>of additional shares of Class A common stock from us at the initial public offering price, less underwriting discounts and commissions. The underwriters can exercise this option at any time within 30 days from the date of this prospectus.</w:t>
      </w:r>
    </w:p>
    <w:p>
      <w:pPr>
        <w:spacing w:after="0" w:line="285" w:lineRule="exact"/>
        <w:rPr>
          <w:sz w:val="20"/>
          <w:szCs w:val="20"/>
          <w:color w:val="auto"/>
        </w:rPr>
      </w:pPr>
    </w:p>
    <w:p>
      <w:pPr>
        <w:ind w:right="939" w:firstLine="405"/>
        <w:spacing w:after="0" w:line="264" w:lineRule="auto"/>
        <w:rPr>
          <w:sz w:val="20"/>
          <w:szCs w:val="20"/>
          <w:color w:val="auto"/>
        </w:rPr>
      </w:pPr>
      <w:r>
        <w:rPr>
          <w:rFonts w:ascii="Arial" w:cs="Arial" w:eastAsia="Arial" w:hAnsi="Arial"/>
          <w:sz w:val="18"/>
          <w:szCs w:val="18"/>
          <w:color w:val="auto"/>
        </w:rPr>
        <w:t>shares (or shares, if the underwriters exercise in full their option to purchase additional shares of Class A common stock).</w:t>
      </w:r>
    </w:p>
    <w:p>
      <w:pPr>
        <w:spacing w:after="0" w:line="289" w:lineRule="exact"/>
        <w:rPr>
          <w:sz w:val="20"/>
          <w:szCs w:val="20"/>
          <w:color w:val="auto"/>
        </w:rPr>
      </w:pPr>
    </w:p>
    <w:p>
      <w:pPr>
        <w:ind w:right="939" w:firstLine="405"/>
        <w:spacing w:after="0" w:line="277" w:lineRule="auto"/>
        <w:rPr>
          <w:sz w:val="20"/>
          <w:szCs w:val="20"/>
          <w:color w:val="auto"/>
        </w:rPr>
      </w:pPr>
      <w:r>
        <w:rPr>
          <w:rFonts w:ascii="Arial" w:cs="Arial" w:eastAsia="Arial" w:hAnsi="Arial"/>
          <w:sz w:val="18"/>
          <w:szCs w:val="18"/>
          <w:color w:val="auto"/>
        </w:rPr>
        <w:t>shares, all of which will be owned by the Refinitiv Direct Owner.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shares, all of which will be owned by the Continuing LLC</w:t>
      </w:r>
    </w:p>
    <w:p>
      <w:pPr>
        <w:spacing w:after="0" w:line="35" w:lineRule="exact"/>
        <w:rPr>
          <w:sz w:val="20"/>
          <w:szCs w:val="20"/>
          <w:color w:val="auto"/>
        </w:rPr>
      </w:pPr>
    </w:p>
    <w:p>
      <w:pPr>
        <w:jc w:val="both"/>
        <w:ind w:right="859"/>
        <w:spacing w:after="0" w:line="323" w:lineRule="auto"/>
        <w:rPr>
          <w:sz w:val="20"/>
          <w:szCs w:val="20"/>
          <w:color w:val="auto"/>
        </w:rPr>
      </w:pPr>
      <w:r>
        <w:rPr>
          <w:rFonts w:ascii="Arial" w:cs="Arial" w:eastAsia="Arial" w:hAnsi="Arial"/>
          <w:sz w:val="16"/>
          <w:szCs w:val="16"/>
          <w:color w:val="auto"/>
        </w:rPr>
        <w:t>Owners (or shares, if the underwriters exercise in full their option to purchase additional shares of Class A common stock).</w:t>
      </w:r>
    </w:p>
    <w:p>
      <w:pPr>
        <w:spacing w:after="0" w:line="247" w:lineRule="exact"/>
        <w:rPr>
          <w:sz w:val="20"/>
          <w:szCs w:val="20"/>
          <w:color w:val="auto"/>
        </w:rPr>
      </w:pPr>
    </w:p>
    <w:p>
      <w:pPr>
        <w:ind w:left="400"/>
        <w:spacing w:after="0"/>
        <w:tabs>
          <w:tab w:leader="none" w:pos="2900" w:val="left"/>
        </w:tabs>
        <w:rPr>
          <w:sz w:val="20"/>
          <w:szCs w:val="20"/>
          <w:color w:val="auto"/>
        </w:rPr>
      </w:pPr>
      <w:r>
        <w:rPr>
          <w:rFonts w:ascii="Arial" w:cs="Arial" w:eastAsia="Arial" w:hAnsi="Arial"/>
          <w:sz w:val="18"/>
          <w:szCs w:val="18"/>
          <w:color w:val="auto"/>
        </w:rPr>
        <w:t>LLC Interests, representing a</w:t>
      </w:r>
      <w:r>
        <w:rPr>
          <w:sz w:val="20"/>
          <w:szCs w:val="20"/>
          <w:color w:val="auto"/>
        </w:rPr>
        <w:tab/>
      </w:r>
      <w:r>
        <w:rPr>
          <w:rFonts w:ascii="Arial" w:cs="Arial" w:eastAsia="Arial" w:hAnsi="Arial"/>
          <w:sz w:val="16"/>
          <w:szCs w:val="16"/>
          <w:color w:val="auto"/>
        </w:rPr>
        <w:t>% economic interest in</w:t>
      </w:r>
    </w:p>
    <w:p>
      <w:pPr>
        <w:spacing w:after="0" w:line="23" w:lineRule="exact"/>
        <w:rPr>
          <w:sz w:val="20"/>
          <w:szCs w:val="20"/>
          <w:color w:val="auto"/>
        </w:rPr>
      </w:pPr>
    </w:p>
    <w:p>
      <w:pPr>
        <w:spacing w:after="0"/>
        <w:tabs>
          <w:tab w:leader="none" w:pos="1520" w:val="left"/>
          <w:tab w:leader="none" w:pos="4020" w:val="left"/>
        </w:tabs>
        <w:rPr>
          <w:sz w:val="20"/>
          <w:szCs w:val="20"/>
          <w:color w:val="auto"/>
        </w:rPr>
      </w:pPr>
      <w:r>
        <w:rPr>
          <w:rFonts w:ascii="Arial" w:cs="Arial" w:eastAsia="Arial" w:hAnsi="Arial"/>
          <w:sz w:val="18"/>
          <w:szCs w:val="18"/>
          <w:color w:val="auto"/>
        </w:rPr>
        <w:t>TWM LLC (or</w:t>
      </w:r>
      <w:r>
        <w:rPr>
          <w:sz w:val="20"/>
          <w:szCs w:val="20"/>
          <w:color w:val="auto"/>
        </w:rPr>
        <w:tab/>
      </w:r>
      <w:r>
        <w:rPr>
          <w:rFonts w:ascii="Arial" w:cs="Arial" w:eastAsia="Arial" w:hAnsi="Arial"/>
          <w:sz w:val="18"/>
          <w:szCs w:val="18"/>
          <w:color w:val="auto"/>
        </w:rPr>
        <w:t>LLC Interests, representing a</w:t>
      </w:r>
      <w:r>
        <w:rPr>
          <w:sz w:val="20"/>
          <w:szCs w:val="20"/>
          <w:color w:val="auto"/>
        </w:rPr>
        <w:tab/>
      </w:r>
      <w:r>
        <w:rPr>
          <w:rFonts w:ascii="Arial" w:cs="Arial" w:eastAsia="Arial" w:hAnsi="Arial"/>
          <w:sz w:val="15"/>
          <w:szCs w:val="15"/>
          <w:color w:val="auto"/>
        </w:rPr>
        <w:t>%</w:t>
      </w:r>
    </w:p>
    <w:p>
      <w:pPr>
        <w:spacing w:after="0" w:line="9" w:lineRule="exact"/>
        <w:rPr>
          <w:sz w:val="20"/>
          <w:szCs w:val="20"/>
          <w:color w:val="auto"/>
        </w:rPr>
      </w:pPr>
    </w:p>
    <w:p>
      <w:pPr>
        <w:ind w:right="739"/>
        <w:spacing w:after="0" w:line="255" w:lineRule="auto"/>
        <w:rPr>
          <w:sz w:val="20"/>
          <w:szCs w:val="20"/>
          <w:color w:val="auto"/>
        </w:rPr>
      </w:pPr>
      <w:r>
        <w:rPr>
          <w:rFonts w:ascii="Arial" w:cs="Arial" w:eastAsia="Arial" w:hAnsi="Arial"/>
          <w:sz w:val="18"/>
          <w:szCs w:val="18"/>
          <w:color w:val="auto"/>
        </w:rPr>
        <w:t>economic interest in TWM LLC, if the underwriters exercise in full their option to purchase additional shares of Class A common stock).</w:t>
      </w:r>
    </w:p>
    <w:p>
      <w:pPr>
        <w:spacing w:after="0" w:line="82" w:lineRule="exact"/>
        <w:rPr>
          <w:sz w:val="20"/>
          <w:szCs w:val="20"/>
          <w:color w:val="auto"/>
        </w:rPr>
      </w:pPr>
    </w:p>
    <w:p>
      <w:pPr>
        <w:ind w:right="1019"/>
        <w:spacing w:after="0" w:line="291" w:lineRule="auto"/>
        <w:rPr>
          <w:sz w:val="20"/>
          <w:szCs w:val="20"/>
          <w:color w:val="auto"/>
        </w:rPr>
      </w:pPr>
      <w:r>
        <w:rPr>
          <w:rFonts w:ascii="Arial" w:cs="Arial" w:eastAsia="Arial" w:hAnsi="Arial"/>
          <w:sz w:val="16"/>
          <w:szCs w:val="16"/>
          <w:color w:val="auto"/>
        </w:rPr>
        <w:t>Each share of Class A common stock entitles its holder to one vote on all matters presented to our stockholders generally,</w:t>
      </w:r>
    </w:p>
    <w:p>
      <w:pPr>
        <w:spacing w:after="0"/>
        <w:tabs>
          <w:tab w:leader="none" w:pos="2460" w:val="left"/>
        </w:tabs>
        <w:rPr>
          <w:sz w:val="20"/>
          <w:szCs w:val="20"/>
          <w:color w:val="auto"/>
        </w:rPr>
      </w:pPr>
      <w:r>
        <w:rPr>
          <w:rFonts w:ascii="Arial" w:cs="Arial" w:eastAsia="Arial" w:hAnsi="Arial"/>
          <w:sz w:val="18"/>
          <w:szCs w:val="18"/>
          <w:color w:val="auto"/>
        </w:rPr>
        <w:t>representing an aggregate of</w:t>
      </w:r>
      <w:r>
        <w:rPr>
          <w:sz w:val="20"/>
          <w:szCs w:val="20"/>
          <w:color w:val="auto"/>
        </w:rPr>
        <w:tab/>
      </w:r>
      <w:r>
        <w:rPr>
          <w:rFonts w:ascii="Arial" w:cs="Arial" w:eastAsia="Arial" w:hAnsi="Arial"/>
          <w:sz w:val="16"/>
          <w:szCs w:val="16"/>
          <w:color w:val="auto"/>
        </w:rPr>
        <w:t>% of the combined voting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of our issued and outstanding common stock upon</w:t>
      </w:r>
    </w:p>
    <w:p>
      <w:pPr>
        <w:spacing w:after="0" w:line="9"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completion of this offering (or</w:t>
      </w:r>
      <w:r>
        <w:rPr>
          <w:sz w:val="20"/>
          <w:szCs w:val="20"/>
          <w:color w:val="auto"/>
        </w:rPr>
        <w:tab/>
      </w:r>
      <w:r>
        <w:rPr>
          <w:rFonts w:ascii="Arial" w:cs="Arial" w:eastAsia="Arial" w:hAnsi="Arial"/>
          <w:sz w:val="16"/>
          <w:szCs w:val="16"/>
          <w:color w:val="auto"/>
        </w:rPr>
        <w:t>%, if the underwriters</w:t>
      </w:r>
    </w:p>
    <w:p>
      <w:pPr>
        <w:spacing w:after="0" w:line="9" w:lineRule="exact"/>
        <w:rPr>
          <w:sz w:val="20"/>
          <w:szCs w:val="20"/>
          <w:color w:val="auto"/>
        </w:rPr>
      </w:pPr>
    </w:p>
    <w:p>
      <w:pPr>
        <w:ind w:right="1199"/>
        <w:spacing w:after="0" w:line="261" w:lineRule="auto"/>
        <w:rPr>
          <w:sz w:val="20"/>
          <w:szCs w:val="20"/>
          <w:color w:val="auto"/>
        </w:rPr>
      </w:pPr>
      <w:r>
        <w:rPr>
          <w:rFonts w:ascii="Arial" w:cs="Arial" w:eastAsia="Arial" w:hAnsi="Arial"/>
          <w:sz w:val="18"/>
          <w:szCs w:val="18"/>
          <w:color w:val="auto"/>
        </w:rPr>
        <w:t>exercise in full their option to purchase additional shares of Class A common stock).</w:t>
      </w:r>
    </w:p>
    <w:p>
      <w:pPr>
        <w:spacing w:after="0" w:line="62" w:lineRule="exact"/>
        <w:rPr>
          <w:sz w:val="20"/>
          <w:szCs w:val="20"/>
          <w:color w:val="auto"/>
        </w:rPr>
      </w:pPr>
    </w:p>
    <w:p>
      <w:pPr>
        <w:ind w:right="1059"/>
        <w:spacing w:after="0" w:line="257" w:lineRule="auto"/>
        <w:rPr>
          <w:sz w:val="20"/>
          <w:szCs w:val="20"/>
          <w:color w:val="auto"/>
        </w:rPr>
      </w:pPr>
      <w:r>
        <w:rPr>
          <w:rFonts w:ascii="Arial" w:cs="Arial" w:eastAsia="Arial" w:hAnsi="Arial"/>
          <w:sz w:val="16"/>
          <w:szCs w:val="16"/>
          <w:color w:val="auto"/>
        </w:rPr>
        <w:t>Each share of Class B common stock entitles its holder to ten votes on all matters presented to our stockholders generally,</w:t>
      </w:r>
    </w:p>
    <w:p>
      <w:pPr>
        <w:spacing w:after="0"/>
        <w:tabs>
          <w:tab w:leader="none" w:pos="2460" w:val="left"/>
        </w:tabs>
        <w:rPr>
          <w:sz w:val="20"/>
          <w:szCs w:val="20"/>
          <w:color w:val="auto"/>
        </w:rPr>
      </w:pPr>
      <w:r>
        <w:rPr>
          <w:rFonts w:ascii="Arial" w:cs="Arial" w:eastAsia="Arial" w:hAnsi="Arial"/>
          <w:sz w:val="18"/>
          <w:szCs w:val="18"/>
          <w:color w:val="auto"/>
        </w:rPr>
        <w:t>representing an aggregate of</w:t>
      </w:r>
      <w:r>
        <w:rPr>
          <w:sz w:val="20"/>
          <w:szCs w:val="20"/>
          <w:color w:val="auto"/>
        </w:rPr>
        <w:tab/>
      </w:r>
      <w:r>
        <w:rPr>
          <w:rFonts w:ascii="Arial" w:cs="Arial" w:eastAsia="Arial" w:hAnsi="Arial"/>
          <w:sz w:val="16"/>
          <w:szCs w:val="16"/>
          <w:color w:val="auto"/>
        </w:rPr>
        <w:t>% of the combined voting</w:t>
      </w:r>
    </w:p>
    <w:p>
      <w:pPr>
        <w:spacing w:after="0" w:line="219" w:lineRule="auto"/>
        <w:rPr>
          <w:sz w:val="20"/>
          <w:szCs w:val="20"/>
          <w:color w:val="auto"/>
        </w:rPr>
      </w:pPr>
      <w:r>
        <w:rPr>
          <w:rFonts w:ascii="Arial" w:cs="Arial" w:eastAsia="Arial" w:hAnsi="Arial"/>
          <w:sz w:val="18"/>
          <w:szCs w:val="18"/>
          <w:color w:val="auto"/>
        </w:rPr>
        <w:t>power of our issued and outstanding common stock upon</w:t>
      </w:r>
    </w:p>
    <w:p>
      <w:pPr>
        <w:spacing w:after="0"/>
        <w:tabs>
          <w:tab w:leader="none" w:pos="2580" w:val="left"/>
        </w:tabs>
        <w:rPr>
          <w:sz w:val="20"/>
          <w:szCs w:val="20"/>
          <w:color w:val="auto"/>
        </w:rPr>
      </w:pPr>
      <w:r>
        <w:rPr>
          <w:rFonts w:ascii="Arial" w:cs="Arial" w:eastAsia="Arial" w:hAnsi="Arial"/>
          <w:sz w:val="18"/>
          <w:szCs w:val="18"/>
          <w:color w:val="auto"/>
        </w:rPr>
        <w:t>completion of this offering (or</w:t>
      </w:r>
      <w:r>
        <w:rPr>
          <w:sz w:val="20"/>
          <w:szCs w:val="20"/>
          <w:color w:val="auto"/>
        </w:rPr>
        <w:tab/>
      </w:r>
      <w:r>
        <w:rPr>
          <w:rFonts w:ascii="Arial" w:cs="Arial" w:eastAsia="Arial" w:hAnsi="Arial"/>
          <w:sz w:val="16"/>
          <w:szCs w:val="16"/>
          <w:color w:val="auto"/>
        </w:rPr>
        <w:t>%, if the underwriters</w:t>
      </w:r>
    </w:p>
    <w:p>
      <w:pPr>
        <w:spacing w:after="0" w:line="1" w:lineRule="exact"/>
        <w:rPr>
          <w:sz w:val="20"/>
          <w:szCs w:val="20"/>
          <w:color w:val="auto"/>
        </w:rPr>
      </w:pPr>
    </w:p>
    <w:p>
      <w:pPr>
        <w:ind w:right="939"/>
        <w:spacing w:after="0" w:line="226" w:lineRule="auto"/>
        <w:rPr>
          <w:sz w:val="20"/>
          <w:szCs w:val="20"/>
          <w:color w:val="auto"/>
        </w:rPr>
      </w:pPr>
      <w:r>
        <w:rPr>
          <w:rFonts w:ascii="Arial" w:cs="Arial" w:eastAsia="Arial" w:hAnsi="Arial"/>
          <w:sz w:val="18"/>
          <w:szCs w:val="18"/>
          <w:color w:val="auto"/>
        </w:rPr>
        <w:t>exercise in full their option to purchase additional shares of Class A common stock). Upon completion of this offering, the Refinitiv Direct Owner will own all of our outstanding Class B common stock.</w:t>
      </w:r>
    </w:p>
    <w:p>
      <w:pPr>
        <w:spacing w:after="0" w:line="82" w:lineRule="exact"/>
        <w:rPr>
          <w:sz w:val="20"/>
          <w:szCs w:val="20"/>
          <w:color w:val="auto"/>
        </w:rPr>
      </w:pPr>
    </w:p>
    <w:p>
      <w:pPr>
        <w:ind w:right="779"/>
        <w:spacing w:after="0" w:line="259" w:lineRule="auto"/>
        <w:rPr>
          <w:sz w:val="20"/>
          <w:szCs w:val="20"/>
          <w:color w:val="auto"/>
        </w:rPr>
      </w:pPr>
      <w:r>
        <w:rPr>
          <w:rFonts w:ascii="Arial" w:cs="Arial" w:eastAsia="Arial" w:hAnsi="Arial"/>
          <w:sz w:val="18"/>
          <w:szCs w:val="18"/>
          <w:color w:val="auto"/>
        </w:rPr>
        <w:t>Each share of Class C common stock entitles its holder to one vote on all matters presented to our stockholders generally. Upon completion of this offering, no shares of Class C common stock will be outstanding.</w:t>
      </w:r>
    </w:p>
    <w:p>
      <w:pPr>
        <w:spacing w:after="0" w:line="200" w:lineRule="exact"/>
        <w:rPr>
          <w:sz w:val="20"/>
          <w:szCs w:val="20"/>
          <w:color w:val="auto"/>
        </w:rPr>
      </w:pPr>
    </w:p>
    <w:p>
      <w:pPr>
        <w:sectPr>
          <w:pgSz w:w="11900" w:h="16838" w:orient="portrait"/>
          <w:cols w:equalWidth="0" w:num="2">
            <w:col w:w="4240" w:space="500"/>
            <w:col w:w="547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Each share of Class D common stock entitles its holder to ten</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votes on all matters presented to our stockholders generally,</w:t>
      </w:r>
    </w:p>
    <w:p>
      <w:pPr>
        <w:spacing w:after="0" w:line="21" w:lineRule="exact"/>
        <w:rPr>
          <w:sz w:val="20"/>
          <w:szCs w:val="20"/>
          <w:color w:val="auto"/>
        </w:rPr>
      </w:pPr>
    </w:p>
    <w:p>
      <w:pPr>
        <w:ind w:left="4740"/>
        <w:spacing w:after="0"/>
        <w:tabs>
          <w:tab w:leader="none" w:pos="7200" w:val="left"/>
        </w:tabs>
        <w:rPr>
          <w:sz w:val="20"/>
          <w:szCs w:val="20"/>
          <w:color w:val="auto"/>
        </w:rPr>
      </w:pPr>
      <w:r>
        <w:rPr>
          <w:rFonts w:ascii="Arial" w:cs="Arial" w:eastAsia="Arial" w:hAnsi="Arial"/>
          <w:sz w:val="18"/>
          <w:szCs w:val="18"/>
          <w:color w:val="auto"/>
        </w:rPr>
        <w:t>representing an aggregate of</w:t>
      </w:r>
      <w:r>
        <w:rPr>
          <w:sz w:val="20"/>
          <w:szCs w:val="20"/>
          <w:color w:val="auto"/>
        </w:rPr>
        <w:tab/>
      </w:r>
      <w:r>
        <w:rPr>
          <w:rFonts w:ascii="Arial" w:cs="Arial" w:eastAsia="Arial" w:hAnsi="Arial"/>
          <w:sz w:val="16"/>
          <w:szCs w:val="16"/>
          <w:color w:val="auto"/>
        </w:rPr>
        <w:t>% of the combined voting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power of our issued and outstanding common stock upon</w:t>
      </w:r>
    </w:p>
    <w:p>
      <w:pPr>
        <w:spacing w:after="0" w:line="9" w:lineRule="exact"/>
        <w:rPr>
          <w:sz w:val="20"/>
          <w:szCs w:val="20"/>
          <w:color w:val="auto"/>
        </w:rPr>
      </w:pPr>
    </w:p>
    <w:p>
      <w:pPr>
        <w:ind w:left="4740"/>
        <w:spacing w:after="0"/>
        <w:tabs>
          <w:tab w:leader="none" w:pos="7380" w:val="left"/>
        </w:tabs>
        <w:rPr>
          <w:sz w:val="20"/>
          <w:szCs w:val="20"/>
          <w:color w:val="auto"/>
        </w:rPr>
      </w:pPr>
      <w:r>
        <w:rPr>
          <w:rFonts w:ascii="Arial" w:cs="Arial" w:eastAsia="Arial" w:hAnsi="Arial"/>
          <w:sz w:val="18"/>
          <w:szCs w:val="18"/>
          <w:color w:val="auto"/>
        </w:rPr>
        <w:t>consummation of this offering (or</w:t>
      </w:r>
      <w:r>
        <w:rPr>
          <w:sz w:val="20"/>
          <w:szCs w:val="20"/>
          <w:color w:val="auto"/>
        </w:rPr>
        <w:tab/>
      </w:r>
      <w:r>
        <w:rPr>
          <w:rFonts w:ascii="Arial" w:cs="Arial" w:eastAsia="Arial" w:hAnsi="Arial"/>
          <w:sz w:val="16"/>
          <w:szCs w:val="16"/>
          <w:color w:val="auto"/>
        </w:rPr>
        <w:t>%, if the underwriters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exercise in full their option to purchase additional shares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A common stock). Upon completion of this offering,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Continuing LLC Owners will own all of our outstanding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Holders of any outstanding shares of our Class A common stock,</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B common stock, Class C common stock and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will vote together as a single class on all matters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presented to our stockholders for their vote or approval, except as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otherwise required by applicable law. See “Description of Capital</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w:t>
      </w:r>
    </w:p>
    <w:p>
      <w:pPr>
        <w:spacing w:after="0" w:line="103"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Voting power held by the Refinitiv</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Owners</w:t>
            </w:r>
          </w:p>
        </w:tc>
        <w:tc>
          <w:tcPr>
            <w:tcW w:w="72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 (or</w:t>
            </w:r>
          </w:p>
        </w:tc>
        <w:tc>
          <w:tcPr>
            <w:tcW w:w="3760" w:type="dxa"/>
            <w:vAlign w:val="bottom"/>
            <w:gridSpan w:val="3"/>
          </w:tcPr>
          <w:p>
            <w:pPr>
              <w:ind w:left="200"/>
              <w:spacing w:after="0"/>
              <w:rPr>
                <w:sz w:val="20"/>
                <w:szCs w:val="20"/>
                <w:color w:val="auto"/>
              </w:rPr>
            </w:pPr>
            <w:r>
              <w:rPr>
                <w:rFonts w:ascii="Arial" w:cs="Arial" w:eastAsia="Arial" w:hAnsi="Arial"/>
                <w:sz w:val="18"/>
                <w:szCs w:val="18"/>
                <w:color w:val="auto"/>
                <w:w w:val="92"/>
              </w:rPr>
              <w:t>%, if the underwriters exercise in full their option</w:t>
            </w:r>
          </w:p>
        </w:tc>
      </w:tr>
      <w:tr>
        <w:trPr>
          <w:trHeight w:val="230"/>
        </w:trPr>
        <w:tc>
          <w:tcPr>
            <w:tcW w:w="3060" w:type="dxa"/>
            <w:vAlign w:val="bottom"/>
          </w:tcPr>
          <w:p>
            <w:pPr>
              <w:spacing w:after="0"/>
              <w:rPr>
                <w:sz w:val="20"/>
                <w:szCs w:val="20"/>
                <w:color w:val="auto"/>
              </w:rPr>
            </w:pPr>
          </w:p>
        </w:tc>
        <w:tc>
          <w:tcPr>
            <w:tcW w:w="4980" w:type="dxa"/>
            <w:vAlign w:val="bottom"/>
            <w:gridSpan w:val="4"/>
          </w:tcPr>
          <w:p>
            <w:pPr>
              <w:ind w:left="400"/>
              <w:spacing w:after="0"/>
              <w:rPr>
                <w:sz w:val="20"/>
                <w:szCs w:val="20"/>
                <w:color w:val="auto"/>
              </w:rPr>
            </w:pPr>
            <w:r>
              <w:rPr>
                <w:rFonts w:ascii="Arial" w:cs="Arial" w:eastAsia="Arial" w:hAnsi="Arial"/>
                <w:sz w:val="18"/>
                <w:szCs w:val="18"/>
                <w:color w:val="auto"/>
              </w:rPr>
              <w:t>to purchase additional shares of Class A common stock).</w:t>
            </w:r>
          </w:p>
        </w:tc>
        <w:tc>
          <w:tcPr>
            <w:tcW w:w="160" w:type="dxa"/>
            <w:vAlign w:val="bottom"/>
          </w:tcPr>
          <w:p>
            <w:pPr>
              <w:spacing w:after="0"/>
              <w:rPr>
                <w:sz w:val="20"/>
                <w:szCs w:val="20"/>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Voting power held by the Other LLC</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Owners</w:t>
            </w:r>
          </w:p>
        </w:tc>
        <w:tc>
          <w:tcPr>
            <w:tcW w:w="72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 (or</w:t>
            </w:r>
          </w:p>
        </w:tc>
        <w:tc>
          <w:tcPr>
            <w:tcW w:w="3760" w:type="dxa"/>
            <w:vAlign w:val="bottom"/>
            <w:gridSpan w:val="3"/>
          </w:tcPr>
          <w:p>
            <w:pPr>
              <w:ind w:left="200"/>
              <w:spacing w:after="0"/>
              <w:rPr>
                <w:sz w:val="20"/>
                <w:szCs w:val="20"/>
                <w:color w:val="auto"/>
              </w:rPr>
            </w:pPr>
            <w:r>
              <w:rPr>
                <w:rFonts w:ascii="Arial" w:cs="Arial" w:eastAsia="Arial" w:hAnsi="Arial"/>
                <w:sz w:val="18"/>
                <w:szCs w:val="18"/>
                <w:color w:val="auto"/>
                <w:w w:val="92"/>
              </w:rPr>
              <w:t>%, if the underwriters exercise in full their option</w:t>
            </w:r>
          </w:p>
        </w:tc>
      </w:tr>
      <w:tr>
        <w:trPr>
          <w:trHeight w:val="230"/>
        </w:trPr>
        <w:tc>
          <w:tcPr>
            <w:tcW w:w="3060" w:type="dxa"/>
            <w:vAlign w:val="bottom"/>
          </w:tcPr>
          <w:p>
            <w:pPr>
              <w:spacing w:after="0"/>
              <w:rPr>
                <w:sz w:val="20"/>
                <w:szCs w:val="20"/>
                <w:color w:val="auto"/>
              </w:rPr>
            </w:pPr>
          </w:p>
        </w:tc>
        <w:tc>
          <w:tcPr>
            <w:tcW w:w="4980" w:type="dxa"/>
            <w:vAlign w:val="bottom"/>
            <w:gridSpan w:val="4"/>
          </w:tcPr>
          <w:p>
            <w:pPr>
              <w:ind w:left="400"/>
              <w:spacing w:after="0"/>
              <w:rPr>
                <w:sz w:val="20"/>
                <w:szCs w:val="20"/>
                <w:color w:val="auto"/>
              </w:rPr>
            </w:pPr>
            <w:r>
              <w:rPr>
                <w:rFonts w:ascii="Arial" w:cs="Arial" w:eastAsia="Arial" w:hAnsi="Arial"/>
                <w:sz w:val="18"/>
                <w:szCs w:val="18"/>
                <w:color w:val="auto"/>
              </w:rPr>
              <w:t>to purchase additional shares of Class A common stock).</w:t>
            </w:r>
          </w:p>
        </w:tc>
        <w:tc>
          <w:tcPr>
            <w:tcW w:w="160" w:type="dxa"/>
            <w:vAlign w:val="bottom"/>
          </w:tcPr>
          <w:p>
            <w:pPr>
              <w:spacing w:after="0"/>
              <w:rPr>
                <w:sz w:val="20"/>
                <w:szCs w:val="20"/>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Controlled company</w:t>
            </w:r>
          </w:p>
        </w:tc>
        <w:tc>
          <w:tcPr>
            <w:tcW w:w="5140" w:type="dxa"/>
            <w:vAlign w:val="bottom"/>
            <w:gridSpan w:val="5"/>
          </w:tcPr>
          <w:p>
            <w:pPr>
              <w:ind w:left="400"/>
              <w:spacing w:after="0"/>
              <w:rPr>
                <w:sz w:val="20"/>
                <w:szCs w:val="20"/>
                <w:color w:val="auto"/>
              </w:rPr>
            </w:pPr>
            <w:r>
              <w:rPr>
                <w:rFonts w:ascii="Arial" w:cs="Arial" w:eastAsia="Arial" w:hAnsi="Arial"/>
                <w:sz w:val="18"/>
                <w:szCs w:val="18"/>
                <w:color w:val="auto"/>
                <w:w w:val="94"/>
              </w:rPr>
              <w:t>After completion of this offering, Refinitiv will continue to own a</w:t>
            </w:r>
          </w:p>
        </w:tc>
      </w:tr>
      <w:tr>
        <w:trPr>
          <w:trHeight w:val="216"/>
        </w:trPr>
        <w:tc>
          <w:tcPr>
            <w:tcW w:w="3060" w:type="dxa"/>
            <w:vAlign w:val="bottom"/>
          </w:tcPr>
          <w:p>
            <w:pPr>
              <w:spacing w:after="0"/>
              <w:rPr>
                <w:sz w:val="18"/>
                <w:szCs w:val="18"/>
                <w:color w:val="auto"/>
              </w:rPr>
            </w:pPr>
          </w:p>
        </w:tc>
        <w:tc>
          <w:tcPr>
            <w:tcW w:w="5140" w:type="dxa"/>
            <w:vAlign w:val="bottom"/>
            <w:gridSpan w:val="5"/>
          </w:tcPr>
          <w:p>
            <w:pPr>
              <w:ind w:left="400"/>
              <w:spacing w:after="0"/>
              <w:rPr>
                <w:sz w:val="20"/>
                <w:szCs w:val="20"/>
                <w:color w:val="auto"/>
              </w:rPr>
            </w:pPr>
            <w:r>
              <w:rPr>
                <w:rFonts w:ascii="Arial" w:cs="Arial" w:eastAsia="Arial" w:hAnsi="Arial"/>
                <w:sz w:val="18"/>
                <w:szCs w:val="18"/>
                <w:color w:val="auto"/>
                <w:w w:val="93"/>
              </w:rPr>
              <w:t>majority of the combined voting power in us. As a result, we will</w:t>
            </w:r>
          </w:p>
        </w:tc>
      </w:tr>
      <w:tr>
        <w:trPr>
          <w:trHeight w:val="216"/>
        </w:trPr>
        <w:tc>
          <w:tcPr>
            <w:tcW w:w="3060" w:type="dxa"/>
            <w:vAlign w:val="bottom"/>
          </w:tcPr>
          <w:p>
            <w:pPr>
              <w:spacing w:after="0"/>
              <w:rPr>
                <w:sz w:val="18"/>
                <w:szCs w:val="18"/>
                <w:color w:val="auto"/>
              </w:rPr>
            </w:pPr>
          </w:p>
        </w:tc>
        <w:tc>
          <w:tcPr>
            <w:tcW w:w="4980" w:type="dxa"/>
            <w:vAlign w:val="bottom"/>
            <w:gridSpan w:val="4"/>
          </w:tcPr>
          <w:p>
            <w:pPr>
              <w:ind w:left="400"/>
              <w:spacing w:after="0"/>
              <w:rPr>
                <w:sz w:val="20"/>
                <w:szCs w:val="20"/>
                <w:color w:val="auto"/>
              </w:rPr>
            </w:pPr>
            <w:r>
              <w:rPr>
                <w:rFonts w:ascii="Arial" w:cs="Arial" w:eastAsia="Arial" w:hAnsi="Arial"/>
                <w:sz w:val="18"/>
                <w:szCs w:val="18"/>
                <w:color w:val="auto"/>
                <w:w w:val="92"/>
              </w:rPr>
              <w:t>be a “controlled company” within the meaning of the corporate</w:t>
            </w:r>
          </w:p>
        </w:tc>
        <w:tc>
          <w:tcPr>
            <w:tcW w:w="16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140" w:type="dxa"/>
            <w:vAlign w:val="bottom"/>
            <w:gridSpan w:val="5"/>
          </w:tcPr>
          <w:p>
            <w:pPr>
              <w:ind w:left="400"/>
              <w:spacing w:after="0"/>
              <w:rPr>
                <w:sz w:val="20"/>
                <w:szCs w:val="20"/>
                <w:color w:val="auto"/>
              </w:rPr>
            </w:pPr>
            <w:r>
              <w:rPr>
                <w:rFonts w:ascii="Arial" w:cs="Arial" w:eastAsia="Arial" w:hAnsi="Arial"/>
                <w:sz w:val="18"/>
                <w:szCs w:val="18"/>
                <w:color w:val="auto"/>
                <w:w w:val="91"/>
              </w:rPr>
              <w:t>governance standards of Nasdaq. See “Management — Director</w:t>
            </w:r>
          </w:p>
        </w:tc>
      </w:tr>
      <w:tr>
        <w:trPr>
          <w:trHeight w:val="230"/>
        </w:trPr>
        <w:tc>
          <w:tcPr>
            <w:tcW w:w="3060" w:type="dxa"/>
            <w:vAlign w:val="bottom"/>
          </w:tcPr>
          <w:p>
            <w:pPr>
              <w:spacing w:after="0"/>
              <w:rPr>
                <w:sz w:val="20"/>
                <w:szCs w:val="20"/>
                <w:color w:val="auto"/>
              </w:rPr>
            </w:pPr>
          </w:p>
        </w:tc>
        <w:tc>
          <w:tcPr>
            <w:tcW w:w="4980" w:type="dxa"/>
            <w:vAlign w:val="bottom"/>
            <w:gridSpan w:val="4"/>
          </w:tcPr>
          <w:p>
            <w:pPr>
              <w:ind w:left="400"/>
              <w:spacing w:after="0"/>
              <w:rPr>
                <w:sz w:val="20"/>
                <w:szCs w:val="20"/>
                <w:color w:val="auto"/>
              </w:rPr>
            </w:pPr>
            <w:r>
              <w:rPr>
                <w:rFonts w:ascii="Arial" w:cs="Arial" w:eastAsia="Arial" w:hAnsi="Arial"/>
                <w:sz w:val="18"/>
                <w:szCs w:val="18"/>
                <w:color w:val="auto"/>
              </w:rPr>
              <w:t>Independence and Controlled Company Exception.”</w:t>
            </w:r>
          </w:p>
        </w:tc>
        <w:tc>
          <w:tcPr>
            <w:tcW w:w="160" w:type="dxa"/>
            <w:vAlign w:val="bottom"/>
          </w:tcPr>
          <w:p>
            <w:pPr>
              <w:spacing w:after="0"/>
              <w:rPr>
                <w:sz w:val="20"/>
                <w:szCs w:val="20"/>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Dividend policy</w:t>
            </w:r>
          </w:p>
        </w:tc>
        <w:tc>
          <w:tcPr>
            <w:tcW w:w="4980" w:type="dxa"/>
            <w:vAlign w:val="bottom"/>
            <w:gridSpan w:val="4"/>
          </w:tcPr>
          <w:p>
            <w:pPr>
              <w:ind w:left="400"/>
              <w:spacing w:after="0"/>
              <w:rPr>
                <w:sz w:val="20"/>
                <w:szCs w:val="20"/>
                <w:color w:val="auto"/>
              </w:rPr>
            </w:pPr>
            <w:r>
              <w:rPr>
                <w:rFonts w:ascii="Arial" w:cs="Arial" w:eastAsia="Arial" w:hAnsi="Arial"/>
                <w:sz w:val="18"/>
                <w:szCs w:val="18"/>
                <w:color w:val="auto"/>
                <w:w w:val="93"/>
              </w:rPr>
              <w:t>Following the completion of this offering and subject to legally</w:t>
            </w:r>
          </w:p>
        </w:tc>
        <w:tc>
          <w:tcPr>
            <w:tcW w:w="1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140" w:type="dxa"/>
            <w:vAlign w:val="bottom"/>
            <w:gridSpan w:val="5"/>
          </w:tcPr>
          <w:p>
            <w:pPr>
              <w:ind w:left="400"/>
              <w:spacing w:after="0"/>
              <w:rPr>
                <w:sz w:val="20"/>
                <w:szCs w:val="20"/>
                <w:color w:val="auto"/>
              </w:rPr>
            </w:pPr>
            <w:r>
              <w:rPr>
                <w:rFonts w:ascii="Arial" w:cs="Arial" w:eastAsia="Arial" w:hAnsi="Arial"/>
                <w:sz w:val="18"/>
                <w:szCs w:val="18"/>
                <w:color w:val="auto"/>
                <w:w w:val="91"/>
              </w:rPr>
              <w:t>available funds, we intend to pay quarterly cash dividends on our</w:t>
            </w:r>
          </w:p>
        </w:tc>
      </w:tr>
      <w:tr>
        <w:trPr>
          <w:trHeight w:val="216"/>
        </w:trPr>
        <w:tc>
          <w:tcPr>
            <w:tcW w:w="3060" w:type="dxa"/>
            <w:vAlign w:val="bottom"/>
          </w:tcPr>
          <w:p>
            <w:pPr>
              <w:spacing w:after="0"/>
              <w:rPr>
                <w:sz w:val="18"/>
                <w:szCs w:val="18"/>
                <w:color w:val="auto"/>
              </w:rPr>
            </w:pPr>
          </w:p>
        </w:tc>
        <w:tc>
          <w:tcPr>
            <w:tcW w:w="5140" w:type="dxa"/>
            <w:vAlign w:val="bottom"/>
            <w:gridSpan w:val="5"/>
          </w:tcPr>
          <w:p>
            <w:pPr>
              <w:ind w:left="400"/>
              <w:spacing w:after="0"/>
              <w:rPr>
                <w:sz w:val="20"/>
                <w:szCs w:val="20"/>
                <w:color w:val="auto"/>
              </w:rPr>
            </w:pPr>
            <w:r>
              <w:rPr>
                <w:rFonts w:ascii="Arial" w:cs="Arial" w:eastAsia="Arial" w:hAnsi="Arial"/>
                <w:sz w:val="18"/>
                <w:szCs w:val="18"/>
                <w:color w:val="auto"/>
                <w:w w:val="91"/>
              </w:rPr>
              <w:t>Class A common stock and Class B common stock initially equal</w:t>
            </w:r>
          </w:p>
        </w:tc>
      </w:tr>
      <w:tr>
        <w:trPr>
          <w:trHeight w:val="230"/>
        </w:trPr>
        <w:tc>
          <w:tcPr>
            <w:tcW w:w="3060" w:type="dxa"/>
            <w:vAlign w:val="bottom"/>
          </w:tcPr>
          <w:p>
            <w:pPr>
              <w:spacing w:after="0"/>
              <w:rPr>
                <w:sz w:val="20"/>
                <w:szCs w:val="20"/>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w w:val="99"/>
              </w:rPr>
              <w:t>to $</w:t>
            </w:r>
          </w:p>
        </w:tc>
        <w:tc>
          <w:tcPr>
            <w:tcW w:w="2900" w:type="dxa"/>
            <w:vAlign w:val="bottom"/>
            <w:gridSpan w:val="2"/>
          </w:tcPr>
          <w:p>
            <w:pPr>
              <w:ind w:left="360"/>
              <w:spacing w:after="0"/>
              <w:rPr>
                <w:sz w:val="20"/>
                <w:szCs w:val="20"/>
                <w:color w:val="auto"/>
              </w:rPr>
            </w:pPr>
            <w:r>
              <w:rPr>
                <w:rFonts w:ascii="Arial" w:cs="Arial" w:eastAsia="Arial" w:hAnsi="Arial"/>
                <w:sz w:val="18"/>
                <w:szCs w:val="18"/>
                <w:color w:val="auto"/>
                <w:w w:val="98"/>
              </w:rPr>
              <w:t>per share, commencing with the</w:t>
            </w:r>
          </w:p>
        </w:tc>
        <w:tc>
          <w:tcPr>
            <w:tcW w:w="1360" w:type="dxa"/>
            <w:vAlign w:val="bottom"/>
          </w:tcPr>
          <w:p>
            <w:pPr>
              <w:ind w:left="220"/>
              <w:spacing w:after="0"/>
              <w:rPr>
                <w:sz w:val="20"/>
                <w:szCs w:val="20"/>
                <w:color w:val="auto"/>
              </w:rPr>
            </w:pPr>
            <w:r>
              <w:rPr>
                <w:rFonts w:ascii="Arial" w:cs="Arial" w:eastAsia="Arial" w:hAnsi="Arial"/>
                <w:sz w:val="18"/>
                <w:szCs w:val="18"/>
                <w:color w:val="auto"/>
              </w:rPr>
              <w:t>quarter of</w:t>
            </w:r>
          </w:p>
        </w:tc>
        <w:tc>
          <w:tcPr>
            <w:tcW w:w="160" w:type="dxa"/>
            <w:vAlign w:val="bottom"/>
          </w:tcPr>
          <w:p>
            <w:pPr>
              <w:jc w:val="right"/>
              <w:ind w:right="70"/>
              <w:spacing w:after="0"/>
              <w:rPr>
                <w:sz w:val="20"/>
                <w:szCs w:val="20"/>
                <w:color w:val="auto"/>
              </w:rPr>
            </w:pPr>
            <w:r>
              <w:rPr>
                <w:rFonts w:ascii="Arial" w:cs="Arial" w:eastAsia="Arial" w:hAnsi="Arial"/>
                <w:sz w:val="10"/>
                <w:szCs w:val="10"/>
                <w:color w:val="auto"/>
                <w:w w:val="70"/>
              </w:rPr>
              <w:t>.</w:t>
            </w:r>
          </w:p>
        </w:tc>
      </w:tr>
    </w:tbl>
    <w:p>
      <w:pPr>
        <w:spacing w:after="0" w:line="94"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Because we are a holding company and all of our business is</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conducted through our subsidiaries, we expect to pay dividends,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if any, from funds we receive from our subsidiaries. As the sole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managing member of TWM LLC, we intend to cause, and will</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rely on, TWM LLC to make distributions in respect of LLC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Interests to fund our dividends. When TWM LLC makes such</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distributions, the Continuing LLC Owners will be entitled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receive proportionate distributions based on their economic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interests in TWM LLC. If TWM LLC is unable to cause these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subsidiaries to make distributions, it may have inadequate funds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distribute to us and we may be unable to fund our expected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dividends.</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 declaration, amount and payment of any dividends will be at</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 sole discretion of our board of directors and subject to certain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considerations. See “Dividend Policy.”</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Ratio of shares of common stock 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60" w:right="20" w:hanging="179"/>
        <w:spacing w:after="0" w:line="259" w:lineRule="auto"/>
        <w:rPr>
          <w:sz w:val="20"/>
          <w:szCs w:val="20"/>
          <w:color w:val="auto"/>
        </w:rPr>
      </w:pPr>
      <w:r>
        <w:rPr>
          <w:rFonts w:ascii="Arial" w:cs="Arial" w:eastAsia="Arial" w:hAnsi="Arial"/>
          <w:sz w:val="18"/>
          <w:szCs w:val="18"/>
          <w:color w:val="auto"/>
        </w:rPr>
        <w:t>Redemption rights of holders of LLC Interests/exchange rights of holders of Class B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59"/>
        <w:spacing w:after="0" w:line="284" w:lineRule="auto"/>
        <w:rPr>
          <w:sz w:val="20"/>
          <w:szCs w:val="20"/>
          <w:color w:val="auto"/>
        </w:rPr>
      </w:pPr>
      <w:r>
        <w:rPr>
          <w:rFonts w:ascii="Arial" w:cs="Arial" w:eastAsia="Arial" w:hAnsi="Arial"/>
          <w:sz w:val="16"/>
          <w:szCs w:val="16"/>
          <w:color w:val="auto"/>
        </w:rPr>
        <w:t>Our amended and restated certificate of incorporation and the TWM LLC Agreement will require that (i) we at all times maintain a ratio of one LLC Interest owned by us for each share of Class A common stock and Class B common stock issued by us (subject to certain exceptions for treasury shares and shares underlying certain convertible or exchangeable securities), and</w:t>
      </w:r>
    </w:p>
    <w:p>
      <w:pPr>
        <w:spacing w:after="0" w:line="5" w:lineRule="exact"/>
        <w:rPr>
          <w:sz w:val="20"/>
          <w:szCs w:val="20"/>
          <w:color w:val="auto"/>
        </w:rPr>
      </w:pPr>
    </w:p>
    <w:p>
      <w:pPr>
        <w:ind w:right="779" w:firstLine="4"/>
        <w:spacing w:after="0" w:line="252"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19"/>
        <w:spacing w:after="0" w:line="272" w:lineRule="auto"/>
        <w:rPr>
          <w:sz w:val="20"/>
          <w:szCs w:val="20"/>
          <w:color w:val="auto"/>
        </w:rPr>
      </w:pPr>
      <w:r>
        <w:rPr>
          <w:rFonts w:ascii="Arial" w:cs="Arial" w:eastAsia="Arial" w:hAnsi="Arial"/>
          <w:sz w:val="17"/>
          <w:szCs w:val="17"/>
          <w:color w:val="auto"/>
        </w:rPr>
        <w:t>The Continuing LLC Owners, from time to time following this offering, may require TWM LLC to redeem all or a portion of their LLC Interests for newly issued shares of Class A common stock or Class B common stock on a one-for-one basis (and such holders’ shares of Class C common stock or Class D common stock, as the case may be, will be cancelled on a one-for-one basis upon any such issuance).</w:t>
      </w:r>
    </w:p>
    <w:p>
      <w:pPr>
        <w:spacing w:after="0" w:line="70" w:lineRule="exact"/>
        <w:rPr>
          <w:sz w:val="20"/>
          <w:szCs w:val="20"/>
          <w:color w:val="auto"/>
        </w:rPr>
      </w:pPr>
    </w:p>
    <w:p>
      <w:pPr>
        <w:ind w:right="799"/>
        <w:spacing w:after="0" w:line="287" w:lineRule="auto"/>
        <w:rPr>
          <w:sz w:val="20"/>
          <w:szCs w:val="20"/>
          <w:color w:val="auto"/>
        </w:rPr>
      </w:pPr>
      <w:r>
        <w:rPr>
          <w:rFonts w:ascii="Arial" w:cs="Arial" w:eastAsia="Arial" w:hAnsi="Arial"/>
          <w:sz w:val="16"/>
          <w:szCs w:val="16"/>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the volume weighted average market price of one share of our Class A common stock for each LLC Interest redeemed (subject to customary adjustments, including for stock splits, stock dividends and reclassifications) in accordance with the terms of the TWM LLC Agreement. See “Certain Relationships and Related Party Transactions — Related Party Transactions Entered Into in Connection With This Offering — TWM LLC Agreement.”</w:t>
      </w:r>
    </w:p>
    <w:p>
      <w:pPr>
        <w:spacing w:after="0" w:line="61" w:lineRule="exact"/>
        <w:rPr>
          <w:sz w:val="20"/>
          <w:szCs w:val="20"/>
          <w:color w:val="auto"/>
        </w:rPr>
      </w:pPr>
    </w:p>
    <w:p>
      <w:pPr>
        <w:ind w:right="719"/>
        <w:spacing w:after="0" w:line="287" w:lineRule="auto"/>
        <w:rPr>
          <w:sz w:val="20"/>
          <w:szCs w:val="20"/>
          <w:color w:val="auto"/>
        </w:rPr>
      </w:pPr>
      <w:r>
        <w:rPr>
          <w:rFonts w:ascii="Arial" w:cs="Arial" w:eastAsia="Arial" w:hAnsi="Arial"/>
          <w:sz w:val="16"/>
          <w:szCs w:val="16"/>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Furthermore, the Continuing LLC Owners may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65" w:lineRule="exact"/>
        <w:rPr>
          <w:sz w:val="20"/>
          <w:szCs w:val="20"/>
          <w:color w:val="auto"/>
        </w:rPr>
      </w:pPr>
    </w:p>
    <w:p>
      <w:pPr>
        <w:ind w:right="879"/>
        <w:spacing w:after="0" w:line="286" w:lineRule="auto"/>
        <w:rPr>
          <w:sz w:val="20"/>
          <w:szCs w:val="20"/>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w:t>
      </w:r>
    </w:p>
    <w:p>
      <w:pPr>
        <w:spacing w:after="0" w:line="200" w:lineRule="exact"/>
        <w:rPr>
          <w:sz w:val="20"/>
          <w:szCs w:val="20"/>
          <w:color w:val="auto"/>
        </w:rPr>
      </w:pPr>
    </w:p>
    <w:p>
      <w:pPr>
        <w:sectPr>
          <w:pgSz w:w="11900" w:h="16838" w:orient="portrait"/>
          <w:cols w:equalWidth="0" w:num="2">
            <w:col w:w="4240" w:space="500"/>
            <w:col w:w="547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convert into one share of our Class C common stock</w:t>
      </w:r>
    </w:p>
    <w:p>
      <w:pPr>
        <w:spacing w:after="0" w:line="23" w:lineRule="exact"/>
        <w:rPr>
          <w:sz w:val="20"/>
          <w:szCs w:val="20"/>
          <w:color w:val="auto"/>
        </w:rPr>
      </w:pPr>
    </w:p>
    <w:p>
      <w:pPr>
        <w:ind w:left="4740" w:right="719" w:firstLine="4"/>
        <w:spacing w:after="0" w:line="285" w:lineRule="auto"/>
        <w:tabs>
          <w:tab w:leader="none" w:pos="49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immediately prior to any sale or other transfer of such share by a holder or its permitted transferees, which, in the case of Class D common stock, such sale or other transfer will be limited by the transfer restrictions on LLC Interests contained in the TWM LLC Agreement or (ii) once the Refinitiv Owners and their affiliates together no longer beneficially own a number of shares of our common stock and LLC Interests that together entitle them to at least 10% of TWM LLC’s economic interests.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w:t>
      </w:r>
    </w:p>
    <w:p>
      <w:pPr>
        <w:spacing w:after="0" w:line="6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9"/>
              </w:rPr>
              <w:t>We will enter into the Tax Receivable Agreement with TWM</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8"/>
              </w:rPr>
              <w:t>LLC and the Continuing LLC Owners that will provide for the</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1"/>
              </w:rPr>
              <w:t>payment by Tradeweb to a Continuing LLC Owner of 50% of the</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4"/>
              </w:rPr>
              <w:t>amount of U.S. federal, state and local income or franchise tax</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rPr>
              <w:t>savings, if any, that Tradeweb actually realizes (or in some</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0"/>
              </w:rPr>
              <w:t>circumstances is deemed to realize) as a result of (i) increases in</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rPr>
              <w:t>the tax basis of TWM LLC’s assets resulting from (a) the</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8"/>
              </w:rPr>
              <w:t>purchase of LLC Interests from such Continuing LLC Owner</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rPr>
              <w:t>using the net proceeds from this or any future offering or</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1"/>
              </w:rPr>
              <w:t>(b) redemptions or exchanges by such Continuing LLC Owner of</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0"/>
              </w:rPr>
              <w:t>LLC Interests for shares of our Class A common stock or Class B</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6"/>
              </w:rPr>
              <w:t>common stock or for cash, as applicable, as described above</w:t>
            </w:r>
          </w:p>
        </w:tc>
      </w:tr>
      <w:tr>
        <w:trPr>
          <w:trHeight w:val="216"/>
        </w:trPr>
        <w:tc>
          <w:tcPr>
            <w:tcW w:w="2860" w:type="dxa"/>
            <w:vAlign w:val="bottom"/>
          </w:tcPr>
          <w:p>
            <w:pPr>
              <w:spacing w:after="0"/>
              <w:rPr>
                <w:sz w:val="18"/>
                <w:szCs w:val="18"/>
                <w:color w:val="auto"/>
              </w:rPr>
            </w:pPr>
          </w:p>
        </w:tc>
        <w:tc>
          <w:tcPr>
            <w:tcW w:w="4060" w:type="dxa"/>
            <w:vAlign w:val="bottom"/>
            <w:gridSpan w:val="2"/>
          </w:tcPr>
          <w:p>
            <w:pPr>
              <w:ind w:left="600"/>
              <w:spacing w:after="0"/>
              <w:rPr>
                <w:sz w:val="20"/>
                <w:szCs w:val="20"/>
                <w:color w:val="auto"/>
              </w:rPr>
            </w:pPr>
            <w:r>
              <w:rPr>
                <w:rFonts w:ascii="Arial" w:cs="Arial" w:eastAsia="Arial" w:hAnsi="Arial"/>
                <w:sz w:val="18"/>
                <w:szCs w:val="18"/>
                <w:color w:val="auto"/>
                <w:w w:val="93"/>
              </w:rPr>
              <w:t>under “— Redemption rights of holders of LLC</w:t>
            </w:r>
          </w:p>
        </w:tc>
        <w:tc>
          <w:tcPr>
            <w:tcW w:w="126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5"/>
              </w:rPr>
              <w:t>Interests/exchange rights of holders of Class B common stock</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6"/>
              </w:rPr>
              <w:t>and Class D common stock” and (ii) certain other tax benefits</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rPr>
              <w:t>related to our making payments under the Tax Receivable</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rPr>
              <w:t>Agreement. See “Certain Relationships and Related Party</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9"/>
              </w:rPr>
              <w:t>Transactions — Related Party Transactions Entered Into in</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rPr>
              <w:t>Connection With This Transaction — Tax Receivable</w:t>
            </w:r>
          </w:p>
        </w:tc>
      </w:tr>
      <w:tr>
        <w:trPr>
          <w:trHeight w:val="230"/>
        </w:trPr>
        <w:tc>
          <w:tcPr>
            <w:tcW w:w="2860" w:type="dxa"/>
            <w:vAlign w:val="bottom"/>
          </w:tcPr>
          <w:p>
            <w:pPr>
              <w:spacing w:after="0"/>
              <w:rPr>
                <w:sz w:val="20"/>
                <w:szCs w:val="20"/>
                <w:color w:val="auto"/>
              </w:rPr>
            </w:pPr>
          </w:p>
        </w:tc>
        <w:tc>
          <w:tcPr>
            <w:tcW w:w="2120" w:type="dxa"/>
            <w:vAlign w:val="bottom"/>
          </w:tcPr>
          <w:p>
            <w:pPr>
              <w:ind w:left="600"/>
              <w:spacing w:after="0"/>
              <w:rPr>
                <w:sz w:val="20"/>
                <w:szCs w:val="20"/>
                <w:color w:val="auto"/>
              </w:rPr>
            </w:pPr>
            <w:r>
              <w:rPr>
                <w:rFonts w:ascii="Arial" w:cs="Arial" w:eastAsia="Arial" w:hAnsi="Arial"/>
                <w:sz w:val="18"/>
                <w:szCs w:val="18"/>
                <w:color w:val="auto"/>
              </w:rPr>
              <w:t>Agreement.”</w:t>
            </w:r>
          </w:p>
        </w:tc>
        <w:tc>
          <w:tcPr>
            <w:tcW w:w="19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0"/>
        </w:trPr>
        <w:tc>
          <w:tcPr>
            <w:tcW w:w="2860" w:type="dxa"/>
            <w:vAlign w:val="bottom"/>
          </w:tcPr>
          <w:p>
            <w:pPr>
              <w:spacing w:after="0"/>
              <w:rPr>
                <w:sz w:val="20"/>
                <w:szCs w:val="20"/>
                <w:color w:val="auto"/>
              </w:rPr>
            </w:pPr>
            <w:r>
              <w:rPr>
                <w:rFonts w:ascii="Arial" w:cs="Arial" w:eastAsia="Arial" w:hAnsi="Arial"/>
                <w:sz w:val="18"/>
                <w:szCs w:val="18"/>
                <w:color w:val="auto"/>
              </w:rPr>
              <w:t>Registration Rights Agreement</w:t>
            </w: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1"/>
              </w:rPr>
              <w:t>Pursuant to the Registration Rights Agreement, we will grant the</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9"/>
              </w:rPr>
              <w:t>Refinitiv Owners, the Bank Stockholders, their affiliates and</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1"/>
              </w:rPr>
              <w:t>certain of their transferees the right, under certain circumstances</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2"/>
              </w:rPr>
              <w:t>and subject to certain restrictions, to require us to register under</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0"/>
              </w:rPr>
              <w:t>the Securities Act shares of Class A common stock. See “Certain</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3"/>
              </w:rPr>
              <w:t>Relationships and Related Party Transactions — Related Party</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5"/>
              </w:rPr>
              <w:t>Transactions Entered Into in Connection With This Offering —</w:t>
            </w:r>
          </w:p>
        </w:tc>
      </w:tr>
      <w:tr>
        <w:trPr>
          <w:trHeight w:val="230"/>
        </w:trPr>
        <w:tc>
          <w:tcPr>
            <w:tcW w:w="2860" w:type="dxa"/>
            <w:vAlign w:val="bottom"/>
          </w:tcPr>
          <w:p>
            <w:pPr>
              <w:spacing w:after="0"/>
              <w:rPr>
                <w:sz w:val="20"/>
                <w:szCs w:val="20"/>
                <w:color w:val="auto"/>
              </w:rPr>
            </w:pPr>
          </w:p>
        </w:tc>
        <w:tc>
          <w:tcPr>
            <w:tcW w:w="4060" w:type="dxa"/>
            <w:vAlign w:val="bottom"/>
            <w:gridSpan w:val="2"/>
          </w:tcPr>
          <w:p>
            <w:pPr>
              <w:ind w:left="600"/>
              <w:spacing w:after="0"/>
              <w:rPr>
                <w:sz w:val="20"/>
                <w:szCs w:val="20"/>
                <w:color w:val="auto"/>
              </w:rPr>
            </w:pPr>
            <w:r>
              <w:rPr>
                <w:rFonts w:ascii="Arial" w:cs="Arial" w:eastAsia="Arial" w:hAnsi="Arial"/>
                <w:sz w:val="18"/>
                <w:szCs w:val="18"/>
                <w:color w:val="auto"/>
              </w:rPr>
              <w:t>Registration Rights Agreement.”</w:t>
            </w:r>
          </w:p>
        </w:tc>
        <w:tc>
          <w:tcPr>
            <w:tcW w:w="1260" w:type="dxa"/>
            <w:vAlign w:val="bottom"/>
          </w:tcPr>
          <w:p>
            <w:pPr>
              <w:spacing w:after="0"/>
              <w:rPr>
                <w:sz w:val="20"/>
                <w:szCs w:val="20"/>
                <w:color w:val="auto"/>
              </w:rPr>
            </w:pPr>
          </w:p>
        </w:tc>
      </w:tr>
      <w:tr>
        <w:trPr>
          <w:trHeight w:val="310"/>
        </w:trPr>
        <w:tc>
          <w:tcPr>
            <w:tcW w:w="2860" w:type="dxa"/>
            <w:vAlign w:val="bottom"/>
          </w:tcPr>
          <w:p>
            <w:pPr>
              <w:spacing w:after="0"/>
              <w:rPr>
                <w:sz w:val="20"/>
                <w:szCs w:val="20"/>
                <w:color w:val="auto"/>
              </w:rPr>
            </w:pPr>
            <w:r>
              <w:rPr>
                <w:rFonts w:ascii="Arial" w:cs="Arial" w:eastAsia="Arial" w:hAnsi="Arial"/>
                <w:sz w:val="18"/>
                <w:szCs w:val="18"/>
                <w:color w:val="auto"/>
              </w:rPr>
              <w:t>Use of proceeds</w:t>
            </w: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3"/>
              </w:rPr>
              <w:t>We estimate that the net proceeds to us from this offering, after</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0"/>
              </w:rPr>
              <w:t>deducting underwriting discounts, but before deducting estimated</w:t>
            </w:r>
          </w:p>
        </w:tc>
      </w:tr>
      <w:tr>
        <w:trPr>
          <w:trHeight w:val="216"/>
        </w:trPr>
        <w:tc>
          <w:tcPr>
            <w:tcW w:w="2860" w:type="dxa"/>
            <w:vAlign w:val="bottom"/>
          </w:tcPr>
          <w:p>
            <w:pPr>
              <w:spacing w:after="0"/>
              <w:rPr>
                <w:sz w:val="18"/>
                <w:szCs w:val="18"/>
                <w:color w:val="auto"/>
              </w:rPr>
            </w:pPr>
          </w:p>
        </w:tc>
        <w:tc>
          <w:tcPr>
            <w:tcW w:w="4060" w:type="dxa"/>
            <w:vAlign w:val="bottom"/>
            <w:gridSpan w:val="2"/>
          </w:tcPr>
          <w:p>
            <w:pPr>
              <w:ind w:left="600"/>
              <w:spacing w:after="0"/>
              <w:rPr>
                <w:sz w:val="20"/>
                <w:szCs w:val="20"/>
                <w:color w:val="auto"/>
              </w:rPr>
            </w:pPr>
            <w:r>
              <w:rPr>
                <w:rFonts w:ascii="Arial" w:cs="Arial" w:eastAsia="Arial" w:hAnsi="Arial"/>
                <w:sz w:val="18"/>
                <w:szCs w:val="18"/>
                <w:color w:val="auto"/>
              </w:rPr>
              <w:t>offering expenses, will be approximately $</w:t>
            </w:r>
          </w:p>
        </w:tc>
        <w:tc>
          <w:tcPr>
            <w:tcW w:w="1260" w:type="dxa"/>
            <w:vAlign w:val="bottom"/>
          </w:tcPr>
          <w:p>
            <w:pPr>
              <w:ind w:left="20"/>
              <w:spacing w:after="0"/>
              <w:rPr>
                <w:sz w:val="20"/>
                <w:szCs w:val="20"/>
                <w:color w:val="auto"/>
              </w:rPr>
            </w:pPr>
            <w:r>
              <w:rPr>
                <w:rFonts w:ascii="Arial" w:cs="Arial" w:eastAsia="Arial" w:hAnsi="Arial"/>
                <w:sz w:val="18"/>
                <w:szCs w:val="18"/>
                <w:color w:val="auto"/>
              </w:rPr>
              <w:t>million (or</w:t>
            </w:r>
          </w:p>
        </w:tc>
      </w:tr>
      <w:tr>
        <w:trPr>
          <w:trHeight w:val="216"/>
        </w:trPr>
        <w:tc>
          <w:tcPr>
            <w:tcW w:w="2860" w:type="dxa"/>
            <w:vAlign w:val="bottom"/>
          </w:tcPr>
          <w:p>
            <w:pPr>
              <w:spacing w:after="0"/>
              <w:rPr>
                <w:sz w:val="18"/>
                <w:szCs w:val="18"/>
                <w:color w:val="auto"/>
              </w:rPr>
            </w:pPr>
          </w:p>
        </w:tc>
        <w:tc>
          <w:tcPr>
            <w:tcW w:w="2120" w:type="dxa"/>
            <w:vAlign w:val="bottom"/>
          </w:tcPr>
          <w:p>
            <w:pPr>
              <w:ind w:left="600"/>
              <w:spacing w:after="0"/>
              <w:rPr>
                <w:sz w:val="20"/>
                <w:szCs w:val="20"/>
                <w:color w:val="auto"/>
              </w:rPr>
            </w:pPr>
            <w:r>
              <w:rPr>
                <w:rFonts w:ascii="Arial" w:cs="Arial" w:eastAsia="Arial" w:hAnsi="Arial"/>
                <w:sz w:val="18"/>
                <w:szCs w:val="18"/>
                <w:color w:val="auto"/>
              </w:rPr>
              <w:t>approximately $</w:t>
            </w:r>
          </w:p>
        </w:tc>
        <w:tc>
          <w:tcPr>
            <w:tcW w:w="3200" w:type="dxa"/>
            <w:vAlign w:val="bottom"/>
            <w:gridSpan w:val="2"/>
          </w:tcPr>
          <w:p>
            <w:pPr>
              <w:ind w:left="60"/>
              <w:spacing w:after="0"/>
              <w:rPr>
                <w:sz w:val="20"/>
                <w:szCs w:val="20"/>
                <w:color w:val="auto"/>
              </w:rPr>
            </w:pPr>
            <w:r>
              <w:rPr>
                <w:rFonts w:ascii="Arial" w:cs="Arial" w:eastAsia="Arial" w:hAnsi="Arial"/>
                <w:sz w:val="18"/>
                <w:szCs w:val="18"/>
                <w:color w:val="auto"/>
                <w:w w:val="96"/>
              </w:rPr>
              <w:t>million, if the underwriters exercise in full</w:t>
            </w:r>
          </w:p>
        </w:tc>
      </w:tr>
      <w:tr>
        <w:trPr>
          <w:trHeight w:val="216"/>
        </w:trPr>
        <w:tc>
          <w:tcPr>
            <w:tcW w:w="2860" w:type="dxa"/>
            <w:vAlign w:val="bottom"/>
          </w:tcPr>
          <w:p>
            <w:pPr>
              <w:spacing w:after="0"/>
              <w:rPr>
                <w:sz w:val="18"/>
                <w:szCs w:val="18"/>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5"/>
              </w:rPr>
              <w:t>their option to purchase additional shares of Class A common</w:t>
            </w:r>
          </w:p>
        </w:tc>
      </w:tr>
      <w:tr>
        <w:trPr>
          <w:trHeight w:val="230"/>
        </w:trPr>
        <w:tc>
          <w:tcPr>
            <w:tcW w:w="2860" w:type="dxa"/>
            <w:vAlign w:val="bottom"/>
          </w:tcPr>
          <w:p>
            <w:pPr>
              <w:spacing w:after="0"/>
              <w:rPr>
                <w:sz w:val="20"/>
                <w:szCs w:val="20"/>
                <w:color w:val="auto"/>
              </w:rPr>
            </w:pPr>
          </w:p>
        </w:tc>
        <w:tc>
          <w:tcPr>
            <w:tcW w:w="2120" w:type="dxa"/>
            <w:vAlign w:val="bottom"/>
          </w:tcPr>
          <w:p>
            <w:pPr>
              <w:ind w:left="600"/>
              <w:spacing w:after="0"/>
              <w:rPr>
                <w:sz w:val="20"/>
                <w:szCs w:val="20"/>
                <w:color w:val="auto"/>
              </w:rPr>
            </w:pPr>
            <w:r>
              <w:rPr>
                <w:rFonts w:ascii="Arial" w:cs="Arial" w:eastAsia="Arial" w:hAnsi="Arial"/>
                <w:sz w:val="18"/>
                <w:szCs w:val="18"/>
                <w:color w:val="auto"/>
              </w:rPr>
              <w:t>stock).</w:t>
            </w:r>
          </w:p>
        </w:tc>
        <w:tc>
          <w:tcPr>
            <w:tcW w:w="19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0"/>
        </w:trPr>
        <w:tc>
          <w:tcPr>
            <w:tcW w:w="2860" w:type="dxa"/>
            <w:vAlign w:val="bottom"/>
          </w:tcPr>
          <w:p>
            <w:pPr>
              <w:spacing w:after="0"/>
              <w:rPr>
                <w:sz w:val="24"/>
                <w:szCs w:val="24"/>
                <w:color w:val="auto"/>
              </w:rPr>
            </w:pP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w w:val="99"/>
              </w:rPr>
              <w:t>We intend to use the net proceeds that we receive from this</w:t>
            </w:r>
          </w:p>
        </w:tc>
      </w:tr>
      <w:tr>
        <w:trPr>
          <w:trHeight w:val="230"/>
        </w:trPr>
        <w:tc>
          <w:tcPr>
            <w:tcW w:w="2860" w:type="dxa"/>
            <w:vAlign w:val="bottom"/>
          </w:tcPr>
          <w:p>
            <w:pPr>
              <w:spacing w:after="0"/>
              <w:rPr>
                <w:sz w:val="20"/>
                <w:szCs w:val="20"/>
                <w:color w:val="auto"/>
              </w:rPr>
            </w:pPr>
          </w:p>
        </w:tc>
        <w:tc>
          <w:tcPr>
            <w:tcW w:w="2120" w:type="dxa"/>
            <w:vAlign w:val="bottom"/>
          </w:tcPr>
          <w:p>
            <w:pPr>
              <w:ind w:left="600"/>
              <w:spacing w:after="0"/>
              <w:rPr>
                <w:sz w:val="20"/>
                <w:szCs w:val="20"/>
                <w:color w:val="auto"/>
              </w:rPr>
            </w:pPr>
            <w:r>
              <w:rPr>
                <w:rFonts w:ascii="Arial" w:cs="Arial" w:eastAsia="Arial" w:hAnsi="Arial"/>
                <w:sz w:val="18"/>
                <w:szCs w:val="18"/>
                <w:color w:val="auto"/>
                <w:w w:val="94"/>
              </w:rPr>
              <w:t>offering to purchase</w:t>
            </w:r>
          </w:p>
        </w:tc>
        <w:tc>
          <w:tcPr>
            <w:tcW w:w="3200" w:type="dxa"/>
            <w:vAlign w:val="bottom"/>
            <w:gridSpan w:val="2"/>
          </w:tcPr>
          <w:p>
            <w:pPr>
              <w:ind w:left="380"/>
              <w:spacing w:after="0"/>
              <w:rPr>
                <w:sz w:val="20"/>
                <w:szCs w:val="20"/>
                <w:color w:val="auto"/>
              </w:rPr>
            </w:pPr>
            <w:r>
              <w:rPr>
                <w:rFonts w:ascii="Arial" w:cs="Arial" w:eastAsia="Arial" w:hAnsi="Arial"/>
                <w:sz w:val="18"/>
                <w:szCs w:val="18"/>
                <w:color w:val="auto"/>
              </w:rPr>
              <w:t>issued and outstanding LLC</w:t>
            </w: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2020" w:type="dxa"/>
            <w:vAlign w:val="bottom"/>
          </w:tcPr>
          <w:p>
            <w:pPr>
              <w:ind w:left="880"/>
              <w:spacing w:after="0"/>
              <w:rPr>
                <w:sz w:val="20"/>
                <w:szCs w:val="20"/>
                <w:color w:val="auto"/>
              </w:rPr>
            </w:pPr>
            <w:r>
              <w:rPr>
                <w:rFonts w:ascii="Arial" w:cs="Arial" w:eastAsia="Arial" w:hAnsi="Arial"/>
                <w:sz w:val="18"/>
                <w:szCs w:val="18"/>
                <w:color w:val="auto"/>
              </w:rPr>
              <w:t>Interests (or</w:t>
            </w:r>
          </w:p>
        </w:tc>
        <w:tc>
          <w:tcPr>
            <w:tcW w:w="3600" w:type="dxa"/>
            <w:vAlign w:val="bottom"/>
            <w:gridSpan w:val="2"/>
          </w:tcPr>
          <w:p>
            <w:pPr>
              <w:ind w:left="260"/>
              <w:spacing w:after="0"/>
              <w:rPr>
                <w:sz w:val="20"/>
                <w:szCs w:val="20"/>
                <w:color w:val="auto"/>
              </w:rPr>
            </w:pPr>
            <w:r>
              <w:rPr>
                <w:rFonts w:ascii="Arial" w:cs="Arial" w:eastAsia="Arial" w:hAnsi="Arial"/>
                <w:sz w:val="18"/>
                <w:szCs w:val="18"/>
                <w:color w:val="auto"/>
                <w:w w:val="94"/>
              </w:rPr>
              <w:t>LLC Interests, if the underwriters exercise in</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1"/>
              </w:rPr>
              <w:t>full their option to purchase additional shares of Class A common</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8"/>
              </w:rPr>
              <w:t>stock) from certain of the Other LLC Owners (and cancel the</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3"/>
              </w:rPr>
              <w:t>corresponding shares of Class D common stock), at a purchase</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rPr>
              <w:t>price per interest equal to the initial public offering price per</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rPr>
              <w:t>share of our Class A common stock, less the underwriting</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rPr>
              <w:t>discounts and commissions payable thereon. See “Use of</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rPr>
              <w:t>Proceeds” and “Certain Relationships and Related Party</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rPr>
              <w:t>Transactions — Transactions With Certain Original LLC</w:t>
            </w:r>
          </w:p>
        </w:tc>
      </w:tr>
      <w:tr>
        <w:trPr>
          <w:trHeight w:val="230"/>
        </w:trPr>
        <w:tc>
          <w:tcPr>
            <w:tcW w:w="2580" w:type="dxa"/>
            <w:vAlign w:val="bottom"/>
          </w:tcPr>
          <w:p>
            <w:pPr>
              <w:spacing w:after="0"/>
              <w:rPr>
                <w:sz w:val="20"/>
                <w:szCs w:val="20"/>
                <w:color w:val="auto"/>
              </w:rPr>
            </w:pPr>
          </w:p>
        </w:tc>
        <w:tc>
          <w:tcPr>
            <w:tcW w:w="3520" w:type="dxa"/>
            <w:vAlign w:val="bottom"/>
            <w:gridSpan w:val="2"/>
          </w:tcPr>
          <w:p>
            <w:pPr>
              <w:ind w:left="880"/>
              <w:spacing w:after="0"/>
              <w:rPr>
                <w:sz w:val="20"/>
                <w:szCs w:val="20"/>
                <w:color w:val="auto"/>
              </w:rPr>
            </w:pPr>
            <w:r>
              <w:rPr>
                <w:rFonts w:ascii="Arial" w:cs="Arial" w:eastAsia="Arial" w:hAnsi="Arial"/>
                <w:sz w:val="18"/>
                <w:szCs w:val="18"/>
                <w:color w:val="auto"/>
                <w:w w:val="95"/>
              </w:rPr>
              <w:t>Owners” for additional information.</w:t>
            </w:r>
          </w:p>
        </w:tc>
        <w:tc>
          <w:tcPr>
            <w:tcW w:w="2100" w:type="dxa"/>
            <w:vAlign w:val="bottom"/>
          </w:tcPr>
          <w:p>
            <w:pPr>
              <w:spacing w:after="0"/>
              <w:rPr>
                <w:sz w:val="20"/>
                <w:szCs w:val="20"/>
                <w:color w:val="auto"/>
              </w:rPr>
            </w:pPr>
          </w:p>
        </w:tc>
      </w:tr>
      <w:tr>
        <w:trPr>
          <w:trHeight w:val="310"/>
        </w:trPr>
        <w:tc>
          <w:tcPr>
            <w:tcW w:w="2580" w:type="dxa"/>
            <w:vAlign w:val="bottom"/>
          </w:tcPr>
          <w:p>
            <w:pPr>
              <w:spacing w:after="0"/>
              <w:rPr>
                <w:sz w:val="20"/>
                <w:szCs w:val="20"/>
                <w:color w:val="auto"/>
              </w:rPr>
            </w:pPr>
            <w:r>
              <w:rPr>
                <w:rFonts w:ascii="Arial" w:cs="Arial" w:eastAsia="Arial" w:hAnsi="Arial"/>
                <w:sz w:val="18"/>
                <w:szCs w:val="18"/>
                <w:color w:val="auto"/>
              </w:rPr>
              <w:t>Directed share program</w:t>
            </w: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rPr>
              <w:t>The underwriters have reserved for sale, at the initial public</w:t>
            </w:r>
          </w:p>
        </w:tc>
      </w:tr>
      <w:tr>
        <w:trPr>
          <w:trHeight w:val="216"/>
        </w:trPr>
        <w:tc>
          <w:tcPr>
            <w:tcW w:w="2580" w:type="dxa"/>
            <w:vAlign w:val="bottom"/>
          </w:tcPr>
          <w:p>
            <w:pPr>
              <w:spacing w:after="0"/>
              <w:rPr>
                <w:sz w:val="18"/>
                <w:szCs w:val="18"/>
                <w:color w:val="auto"/>
              </w:rPr>
            </w:pPr>
          </w:p>
        </w:tc>
        <w:tc>
          <w:tcPr>
            <w:tcW w:w="3520" w:type="dxa"/>
            <w:vAlign w:val="bottom"/>
            <w:gridSpan w:val="2"/>
          </w:tcPr>
          <w:p>
            <w:pPr>
              <w:ind w:left="880"/>
              <w:spacing w:after="0"/>
              <w:rPr>
                <w:sz w:val="20"/>
                <w:szCs w:val="20"/>
                <w:color w:val="auto"/>
              </w:rPr>
            </w:pPr>
            <w:r>
              <w:rPr>
                <w:rFonts w:ascii="Arial" w:cs="Arial" w:eastAsia="Arial" w:hAnsi="Arial"/>
                <w:sz w:val="18"/>
                <w:szCs w:val="18"/>
                <w:color w:val="auto"/>
                <w:w w:val="96"/>
              </w:rPr>
              <w:t>offering price, up to approximately</w:t>
            </w:r>
          </w:p>
        </w:tc>
        <w:tc>
          <w:tcPr>
            <w:tcW w:w="2100" w:type="dxa"/>
            <w:vAlign w:val="bottom"/>
          </w:tcPr>
          <w:p>
            <w:pPr>
              <w:ind w:left="380"/>
              <w:spacing w:after="0"/>
              <w:rPr>
                <w:sz w:val="20"/>
                <w:szCs w:val="20"/>
                <w:color w:val="auto"/>
              </w:rPr>
            </w:pPr>
            <w:r>
              <w:rPr>
                <w:rFonts w:ascii="Arial" w:cs="Arial" w:eastAsia="Arial" w:hAnsi="Arial"/>
                <w:sz w:val="18"/>
                <w:szCs w:val="18"/>
                <w:color w:val="auto"/>
                <w:w w:val="98"/>
              </w:rPr>
              <w:t>shares of our Class A</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1"/>
              </w:rPr>
              <w:t>common stock being offered for sale to our directors, officers and</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8"/>
              </w:rPr>
              <w:t>certain employees and other parties with a connection to the</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8"/>
              </w:rPr>
              <w:t>Company. We will offer these shares to the extent permitted</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6"/>
              </w:rPr>
              <w:t>under applicable regulations. Certain employees of TWM LLC</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1"/>
              </w:rPr>
              <w:t>are entitled to a special bonus in recognition of their performance</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9"/>
              </w:rPr>
              <w:t>during calendar year 2018 and will use the special bonus to</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0"/>
              </w:rPr>
              <w:t>purchase reserved shares. Each person buying shares of Class A</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rPr>
              <w:t>common stock through the directed share program will be</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89"/>
              </w:rPr>
              <w:t>subjected to a 180-day lock-up period with respect to such shares.</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0"/>
              </w:rPr>
              <w:t>The number of shares of Class A common stock available for sale</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2"/>
              </w:rPr>
              <w:t>to the general public in this offering will be reduced to the extent</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1"/>
              </w:rPr>
              <w:t>that such persons purchase such reserved shares. Any reserved</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4"/>
              </w:rPr>
              <w:t>shares not purchased will be offered by the underwriters to the</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2"/>
              </w:rPr>
              <w:t>general public on the same terms as the other shares of Class A</w:t>
            </w:r>
          </w:p>
        </w:tc>
      </w:tr>
      <w:tr>
        <w:trPr>
          <w:trHeight w:val="230"/>
        </w:trPr>
        <w:tc>
          <w:tcPr>
            <w:tcW w:w="2580" w:type="dxa"/>
            <w:vAlign w:val="bottom"/>
          </w:tcPr>
          <w:p>
            <w:pPr>
              <w:spacing w:after="0"/>
              <w:rPr>
                <w:sz w:val="20"/>
                <w:szCs w:val="20"/>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rPr>
              <w:t>common stock. See “Underwriting (Conflicts of Interest).”</w:t>
            </w:r>
          </w:p>
        </w:tc>
      </w:tr>
      <w:tr>
        <w:trPr>
          <w:trHeight w:val="310"/>
        </w:trPr>
        <w:tc>
          <w:tcPr>
            <w:tcW w:w="2580" w:type="dxa"/>
            <w:vAlign w:val="bottom"/>
          </w:tcPr>
          <w:p>
            <w:pPr>
              <w:spacing w:after="0"/>
              <w:rPr>
                <w:sz w:val="20"/>
                <w:szCs w:val="20"/>
                <w:color w:val="auto"/>
              </w:rPr>
            </w:pPr>
            <w:r>
              <w:rPr>
                <w:rFonts w:ascii="Arial" w:cs="Arial" w:eastAsia="Arial" w:hAnsi="Arial"/>
                <w:sz w:val="18"/>
                <w:szCs w:val="18"/>
                <w:color w:val="auto"/>
              </w:rPr>
              <w:t>Conflicts of interest</w:t>
            </w:r>
          </w:p>
        </w:tc>
        <w:tc>
          <w:tcPr>
            <w:tcW w:w="3520" w:type="dxa"/>
            <w:vAlign w:val="bottom"/>
            <w:gridSpan w:val="2"/>
          </w:tcPr>
          <w:p>
            <w:pPr>
              <w:ind w:left="880"/>
              <w:spacing w:after="0"/>
              <w:rPr>
                <w:sz w:val="20"/>
                <w:szCs w:val="20"/>
                <w:color w:val="auto"/>
              </w:rPr>
            </w:pPr>
            <w:r>
              <w:rPr>
                <w:rFonts w:ascii="Arial" w:cs="Arial" w:eastAsia="Arial" w:hAnsi="Arial"/>
                <w:sz w:val="18"/>
                <w:szCs w:val="18"/>
                <w:color w:val="auto"/>
              </w:rPr>
              <w:t>Because affiliates of</w:t>
            </w:r>
          </w:p>
        </w:tc>
        <w:tc>
          <w:tcPr>
            <w:tcW w:w="2100" w:type="dxa"/>
            <w:vAlign w:val="bottom"/>
          </w:tcPr>
          <w:p>
            <w:pPr>
              <w:ind w:left="40"/>
              <w:spacing w:after="0"/>
              <w:rPr>
                <w:sz w:val="20"/>
                <w:szCs w:val="20"/>
                <w:color w:val="auto"/>
              </w:rPr>
            </w:pPr>
            <w:r>
              <w:rPr>
                <w:rFonts w:ascii="Arial" w:cs="Arial" w:eastAsia="Arial" w:hAnsi="Arial"/>
                <w:sz w:val="18"/>
                <w:szCs w:val="18"/>
                <w:color w:val="auto"/>
                <w:w w:val="94"/>
              </w:rPr>
              <w:t>are Bank Stockholders that</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rPr>
              <w:t>will receive more than 5.0% of the net proceeds from this</w:t>
            </w:r>
          </w:p>
        </w:tc>
      </w:tr>
      <w:tr>
        <w:trPr>
          <w:trHeight w:val="216"/>
        </w:trPr>
        <w:tc>
          <w:tcPr>
            <w:tcW w:w="2580" w:type="dxa"/>
            <w:vAlign w:val="bottom"/>
          </w:tcPr>
          <w:p>
            <w:pPr>
              <w:spacing w:after="0"/>
              <w:rPr>
                <w:sz w:val="18"/>
                <w:szCs w:val="18"/>
                <w:color w:val="auto"/>
              </w:rPr>
            </w:pPr>
          </w:p>
        </w:tc>
        <w:tc>
          <w:tcPr>
            <w:tcW w:w="2020" w:type="dxa"/>
            <w:vAlign w:val="bottom"/>
          </w:tcPr>
          <w:p>
            <w:pPr>
              <w:ind w:left="880"/>
              <w:spacing w:after="0"/>
              <w:rPr>
                <w:sz w:val="20"/>
                <w:szCs w:val="20"/>
                <w:color w:val="auto"/>
              </w:rPr>
            </w:pPr>
            <w:r>
              <w:rPr>
                <w:rFonts w:ascii="Arial" w:cs="Arial" w:eastAsia="Arial" w:hAnsi="Arial"/>
                <w:sz w:val="18"/>
                <w:szCs w:val="18"/>
                <w:color w:val="auto"/>
              </w:rPr>
              <w:t>offering,</w:t>
            </w:r>
          </w:p>
        </w:tc>
        <w:tc>
          <w:tcPr>
            <w:tcW w:w="3600" w:type="dxa"/>
            <w:vAlign w:val="bottom"/>
            <w:gridSpan w:val="2"/>
          </w:tcPr>
          <w:p>
            <w:pPr>
              <w:ind w:left="660"/>
              <w:spacing w:after="0"/>
              <w:rPr>
                <w:sz w:val="20"/>
                <w:szCs w:val="20"/>
                <w:color w:val="auto"/>
              </w:rPr>
            </w:pPr>
            <w:r>
              <w:rPr>
                <w:rFonts w:ascii="Arial" w:cs="Arial" w:eastAsia="Arial" w:hAnsi="Arial"/>
                <w:sz w:val="18"/>
                <w:szCs w:val="18"/>
                <w:color w:val="auto"/>
                <w:w w:val="91"/>
              </w:rPr>
              <w:t>is deemed to have a “conflict of interest”</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rPr>
              <w:t>pursuant to FINRA Rule 5121(f)(5)(C)(ii). See “Use of</w:t>
            </w:r>
          </w:p>
        </w:tc>
      </w:tr>
      <w:tr>
        <w:trPr>
          <w:trHeight w:val="216"/>
        </w:trPr>
        <w:tc>
          <w:tcPr>
            <w:tcW w:w="2580" w:type="dxa"/>
            <w:vAlign w:val="bottom"/>
          </w:tcPr>
          <w:p>
            <w:pPr>
              <w:spacing w:after="0"/>
              <w:rPr>
                <w:sz w:val="18"/>
                <w:szCs w:val="18"/>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2"/>
              </w:rPr>
              <w:t>Proceeds.” Accordingly, this offering will be made in compliance</w:t>
            </w:r>
          </w:p>
        </w:tc>
      </w:tr>
      <w:tr>
        <w:trPr>
          <w:trHeight w:val="230"/>
        </w:trPr>
        <w:tc>
          <w:tcPr>
            <w:tcW w:w="2580" w:type="dxa"/>
            <w:vAlign w:val="bottom"/>
          </w:tcPr>
          <w:p>
            <w:pPr>
              <w:spacing w:after="0"/>
              <w:rPr>
                <w:sz w:val="20"/>
                <w:szCs w:val="20"/>
                <w:color w:val="auto"/>
              </w:rPr>
            </w:pP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rPr>
              <w:t>with the applicable provisions of Rule 5121. As such, any</w:t>
            </w:r>
          </w:p>
        </w:tc>
      </w:tr>
    </w:tbl>
    <w:p>
      <w:pPr>
        <w:ind w:left="4740"/>
        <w:spacing w:after="0"/>
        <w:rPr>
          <w:sz w:val="20"/>
          <w:szCs w:val="20"/>
          <w:color w:val="auto"/>
        </w:rPr>
      </w:pPr>
      <w:r>
        <w:rPr>
          <w:rFonts w:ascii="Arial" w:cs="Arial" w:eastAsia="Arial" w:hAnsi="Arial"/>
          <w:sz w:val="17"/>
          <w:szCs w:val="17"/>
          <w:color w:val="auto"/>
        </w:rPr>
        <w:t>underwriter that has a conflict of interest pursuant to Rule 5121</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will not confirm sales to accounts in which it exercises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discretionary authority without the prior written consent of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customer. Pursuant to Rule 5121, a “qualified independent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underwriter” (as defined in Rule 5121) must participate in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preparation of the prospectus and perform its usual standard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due diligence with respect to the registration statement and this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prospectus. Sandler O’Neill &amp; Partners, L.P. has agreed to act as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qualified independent underwriter for the offering and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undertake the legal responsibilities and liabilities of an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underwriter under the Securities Act, specifically including those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inherent in Section 11 of the Securities Act. We have also agreed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indemnify Sandler O’Neill &amp; Partners, L.P. against certain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liabilities incurred in connection with it acting as a qualified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independent underwriter in this offering, including liabilities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 the Securities Act.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Proposed Nasdaq symbol</w:t>
      </w:r>
      <w:r>
        <w:rPr>
          <w:sz w:val="20"/>
          <w:szCs w:val="20"/>
          <w:color w:val="auto"/>
        </w:rPr>
        <w:tab/>
      </w:r>
      <w:r>
        <w:rPr>
          <w:rFonts w:ascii="Arial" w:cs="Arial" w:eastAsia="Arial" w:hAnsi="Arial"/>
          <w:sz w:val="18"/>
          <w:szCs w:val="18"/>
          <w:color w:val="auto"/>
        </w:rPr>
        <w:t>“TW.”</w:t>
      </w:r>
    </w:p>
    <w:p>
      <w:pPr>
        <w:spacing w:after="0" w:line="117"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Class A common stock involves a high degree of</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risk. See “Risk Factors” in this prospectus for a discussion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factors you should carefully consider before investing in our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Class A common stock.</w:t>
      </w:r>
    </w:p>
    <w:p>
      <w:pPr>
        <w:spacing w:after="0" w:line="103"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The number of shares of our common stock to be outstanding after this offering is based on the membership</w:t>
      </w:r>
    </w:p>
    <w:p>
      <w:pPr>
        <w:spacing w:after="0" w:line="46" w:lineRule="exact"/>
        <w:rPr>
          <w:sz w:val="20"/>
          <w:szCs w:val="20"/>
          <w:color w:val="auto"/>
        </w:rPr>
      </w:pPr>
    </w:p>
    <w:p>
      <w:pPr>
        <w:ind w:left="1280" w:right="1279"/>
        <w:spacing w:after="0" w:line="261" w:lineRule="auto"/>
        <w:rPr>
          <w:sz w:val="20"/>
          <w:szCs w:val="20"/>
          <w:color w:val="auto"/>
        </w:rPr>
      </w:pPr>
      <w:r>
        <w:rPr>
          <w:rFonts w:ascii="Arial" w:cs="Arial" w:eastAsia="Arial" w:hAnsi="Arial"/>
          <w:sz w:val="18"/>
          <w:szCs w:val="18"/>
          <w:color w:val="auto"/>
        </w:rPr>
        <w:t>interests of TWM LLC outstanding as of , 2019 and, after giving effect to the Reorganization Transactions, excludes:</w:t>
      </w:r>
    </w:p>
    <w:p>
      <w:pPr>
        <w:spacing w:after="0" w:line="76" w:lineRule="exact"/>
        <w:rPr>
          <w:sz w:val="20"/>
          <w:szCs w:val="20"/>
          <w:color w:val="auto"/>
        </w:rPr>
      </w:pPr>
    </w:p>
    <w:p>
      <w:pPr>
        <w:jc w:val="both"/>
        <w:ind w:left="2000" w:right="1079" w:hanging="354"/>
        <w:spacing w:after="0" w:line="291" w:lineRule="auto"/>
        <w:tabs>
          <w:tab w:leader="none" w:pos="24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shares of Class A common stock issuable upon the exercise of outstanding options (of which will vest in connection with this offering) under the Amended and Restated Tradeweb Markets Inc.</w:t>
      </w:r>
    </w:p>
    <w:p>
      <w:pPr>
        <w:ind w:left="2000"/>
        <w:spacing w:after="0"/>
        <w:tabs>
          <w:tab w:leader="none" w:pos="6540" w:val="left"/>
          <w:tab w:leader="none" w:pos="9200" w:val="left"/>
        </w:tabs>
        <w:rPr>
          <w:sz w:val="20"/>
          <w:szCs w:val="20"/>
          <w:color w:val="auto"/>
        </w:rPr>
      </w:pPr>
      <w:r>
        <w:rPr>
          <w:rFonts w:ascii="Arial" w:cs="Arial" w:eastAsia="Arial" w:hAnsi="Arial"/>
          <w:sz w:val="18"/>
          <w:szCs w:val="18"/>
          <w:color w:val="auto"/>
        </w:rPr>
        <w:t>2018 Stock Option Plan (the “Option Plan”) as of</w:t>
      </w:r>
      <w:r>
        <w:rPr>
          <w:sz w:val="20"/>
          <w:szCs w:val="20"/>
          <w:color w:val="auto"/>
        </w:rPr>
        <w:tab/>
      </w:r>
      <w:r>
        <w:rPr>
          <w:rFonts w:ascii="Arial" w:cs="Arial" w:eastAsia="Arial" w:hAnsi="Arial"/>
          <w:sz w:val="18"/>
          <w:szCs w:val="18"/>
          <w:color w:val="auto"/>
        </w:rPr>
        <w:t>, 2019 at an exercise price of $</w:t>
      </w:r>
      <w:r>
        <w:rPr>
          <w:sz w:val="20"/>
          <w:szCs w:val="20"/>
          <w:color w:val="auto"/>
        </w:rPr>
        <w:tab/>
      </w:r>
      <w:r>
        <w:rPr>
          <w:rFonts w:ascii="Arial" w:cs="Arial" w:eastAsia="Arial" w:hAnsi="Arial"/>
          <w:sz w:val="15"/>
          <w:szCs w:val="15"/>
          <w:color w:val="auto"/>
        </w:rPr>
        <w:t>per</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share, which options may be exercised on a cashless or net settlement basis;</w:t>
      </w:r>
    </w:p>
    <w:p>
      <w:pPr>
        <w:spacing w:after="0" w:line="103" w:lineRule="exact"/>
        <w:rPr>
          <w:sz w:val="20"/>
          <w:szCs w:val="20"/>
          <w:color w:val="auto"/>
        </w:rPr>
      </w:pPr>
    </w:p>
    <w:p>
      <w:pPr>
        <w:ind w:left="2000" w:right="739" w:hanging="354"/>
        <w:spacing w:after="0" w:line="308" w:lineRule="auto"/>
        <w:tabs>
          <w:tab w:leader="none" w:pos="24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shares of Class A common stock underlying performance based restricted share units issued under the Amended &amp; Restated Tradeweb Markets Inc. PRSU Plan (the “PRSU Plan”);</w:t>
      </w:r>
    </w:p>
    <w:p>
      <w:pPr>
        <w:spacing w:after="0" w:line="38" w:lineRule="exact"/>
        <w:rPr>
          <w:rFonts w:ascii="Arial" w:cs="Arial" w:eastAsia="Arial" w:hAnsi="Arial"/>
          <w:sz w:val="17"/>
          <w:szCs w:val="17"/>
          <w:color w:val="auto"/>
        </w:rPr>
      </w:pPr>
    </w:p>
    <w:p>
      <w:pPr>
        <w:ind w:left="2000" w:right="779" w:hanging="354"/>
        <w:spacing w:after="0" w:line="277" w:lineRule="auto"/>
        <w:tabs>
          <w:tab w:leader="none" w:pos="24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Option Plan and our 2019 Omnibus Equity Incentive Plan (the “2019 Equity Incentive Plan”);</w:t>
      </w:r>
    </w:p>
    <w:p>
      <w:pPr>
        <w:spacing w:after="0" w:line="62"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with respect to the Refinitiv Direct Owner,</w:t>
            </w:r>
          </w:p>
        </w:tc>
        <w:tc>
          <w:tcPr>
            <w:tcW w:w="4000" w:type="dxa"/>
            <w:vAlign w:val="bottom"/>
            <w:gridSpan w:val="2"/>
          </w:tcPr>
          <w:p>
            <w:pPr>
              <w:ind w:left="60"/>
              <w:spacing w:after="0"/>
              <w:rPr>
                <w:sz w:val="20"/>
                <w:szCs w:val="20"/>
                <w:color w:val="auto"/>
              </w:rPr>
            </w:pPr>
            <w:r>
              <w:rPr>
                <w:rFonts w:ascii="Arial" w:cs="Arial" w:eastAsia="Arial" w:hAnsi="Arial"/>
                <w:sz w:val="18"/>
                <w:szCs w:val="18"/>
                <w:color w:val="auto"/>
                <w:w w:val="95"/>
              </w:rPr>
              <w:t>shares of Class A common stock reserved as of the</w:t>
            </w:r>
          </w:p>
        </w:tc>
      </w:tr>
      <w:tr>
        <w:trPr>
          <w:trHeight w:val="216"/>
        </w:trPr>
        <w:tc>
          <w:tcPr>
            <w:tcW w:w="220" w:type="dxa"/>
            <w:vAlign w:val="bottom"/>
          </w:tcPr>
          <w:p>
            <w:pPr>
              <w:spacing w:after="0"/>
              <w:rPr>
                <w:sz w:val="18"/>
                <w:szCs w:val="18"/>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w w:val="95"/>
              </w:rPr>
              <w:t>closing date of this offering for future issuance upon (i) exchange of Class B common stock by the</w:t>
            </w:r>
          </w:p>
        </w:tc>
      </w:tr>
      <w:tr>
        <w:trPr>
          <w:trHeight w:val="230"/>
        </w:trPr>
        <w:tc>
          <w:tcPr>
            <w:tcW w:w="220" w:type="dxa"/>
            <w:vAlign w:val="bottom"/>
          </w:tcPr>
          <w:p>
            <w:pPr>
              <w:spacing w:after="0"/>
              <w:rPr>
                <w:sz w:val="20"/>
                <w:szCs w:val="20"/>
                <w:color w:val="auto"/>
              </w:rPr>
            </w:pPr>
          </w:p>
        </w:tc>
        <w:tc>
          <w:tcPr>
            <w:tcW w:w="6900" w:type="dxa"/>
            <w:vAlign w:val="bottom"/>
            <w:gridSpan w:val="2"/>
          </w:tcPr>
          <w:p>
            <w:pPr>
              <w:ind w:left="140"/>
              <w:spacing w:after="0"/>
              <w:rPr>
                <w:sz w:val="20"/>
                <w:szCs w:val="20"/>
                <w:color w:val="auto"/>
              </w:rPr>
            </w:pPr>
            <w:r>
              <w:rPr>
                <w:rFonts w:ascii="Arial" w:cs="Arial" w:eastAsia="Arial" w:hAnsi="Arial"/>
                <w:sz w:val="18"/>
                <w:szCs w:val="18"/>
                <w:color w:val="auto"/>
              </w:rPr>
              <w:t>Refinitiv Direct Owner or (ii) conversion of the Class B common stock; and</w:t>
            </w:r>
          </w:p>
        </w:tc>
        <w:tc>
          <w:tcPr>
            <w:tcW w:w="720" w:type="dxa"/>
            <w:vAlign w:val="bottom"/>
          </w:tcPr>
          <w:p>
            <w:pPr>
              <w:spacing w:after="0"/>
              <w:rPr>
                <w:sz w:val="20"/>
                <w:szCs w:val="20"/>
                <w:color w:val="auto"/>
              </w:rPr>
            </w:pPr>
          </w:p>
        </w:tc>
      </w:tr>
      <w:tr>
        <w:trPr>
          <w:trHeight w:val="31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w w:val="93"/>
              </w:rPr>
              <w:t>with respect to the Continuing LLC Owners, (i)</w:t>
            </w:r>
          </w:p>
        </w:tc>
        <w:tc>
          <w:tcPr>
            <w:tcW w:w="3280" w:type="dxa"/>
            <w:vAlign w:val="bottom"/>
          </w:tcPr>
          <w:p>
            <w:pPr>
              <w:ind w:left="580"/>
              <w:spacing w:after="0"/>
              <w:rPr>
                <w:sz w:val="20"/>
                <w:szCs w:val="20"/>
                <w:color w:val="auto"/>
              </w:rPr>
            </w:pPr>
            <w:r>
              <w:rPr>
                <w:rFonts w:ascii="Arial" w:cs="Arial" w:eastAsia="Arial" w:hAnsi="Arial"/>
                <w:sz w:val="18"/>
                <w:szCs w:val="18"/>
                <w:color w:val="auto"/>
                <w:w w:val="90"/>
              </w:rPr>
              <w:t>shares of Class A common stock and</w:t>
            </w:r>
          </w:p>
        </w:tc>
        <w:tc>
          <w:tcPr>
            <w:tcW w:w="72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w w:val="90"/>
              </w:rPr>
              <w:t>shares of Class B common stock reserved as of the closing date of this offering for future issuance upon</w:t>
            </w:r>
          </w:p>
        </w:tc>
      </w:tr>
      <w:tr>
        <w:trPr>
          <w:trHeight w:val="216"/>
        </w:trPr>
        <w:tc>
          <w:tcPr>
            <w:tcW w:w="220" w:type="dxa"/>
            <w:vAlign w:val="bottom"/>
          </w:tcPr>
          <w:p>
            <w:pPr>
              <w:spacing w:after="0"/>
              <w:rPr>
                <w:sz w:val="18"/>
                <w:szCs w:val="18"/>
                <w:color w:val="auto"/>
              </w:rPr>
            </w:pPr>
          </w:p>
        </w:tc>
        <w:tc>
          <w:tcPr>
            <w:tcW w:w="6900" w:type="dxa"/>
            <w:vAlign w:val="bottom"/>
            <w:gridSpan w:val="2"/>
          </w:tcPr>
          <w:p>
            <w:pPr>
              <w:ind w:left="140"/>
              <w:spacing w:after="0"/>
              <w:rPr>
                <w:sz w:val="20"/>
                <w:szCs w:val="20"/>
                <w:color w:val="auto"/>
              </w:rPr>
            </w:pPr>
            <w:r>
              <w:rPr>
                <w:rFonts w:ascii="Arial" w:cs="Arial" w:eastAsia="Arial" w:hAnsi="Arial"/>
                <w:sz w:val="18"/>
                <w:szCs w:val="18"/>
                <w:color w:val="auto"/>
              </w:rPr>
              <w:t>the redemption or exchange of LLC Interests by the Continuing LLC Owners and (ii)</w:t>
            </w:r>
          </w:p>
        </w:tc>
        <w:tc>
          <w:tcPr>
            <w:tcW w:w="720" w:type="dxa"/>
            <w:vAlign w:val="bottom"/>
          </w:tcPr>
          <w:p>
            <w:pPr>
              <w:ind w:left="20"/>
              <w:spacing w:after="0"/>
              <w:rPr>
                <w:sz w:val="20"/>
                <w:szCs w:val="20"/>
                <w:color w:val="auto"/>
              </w:rPr>
            </w:pPr>
            <w:r>
              <w:rPr>
                <w:rFonts w:ascii="Arial" w:cs="Arial" w:eastAsia="Arial" w:hAnsi="Arial"/>
                <w:sz w:val="18"/>
                <w:szCs w:val="18"/>
                <w:color w:val="auto"/>
                <w:w w:val="91"/>
              </w:rPr>
              <w:t>shares of</w:t>
            </w:r>
          </w:p>
        </w:tc>
      </w:tr>
      <w:tr>
        <w:trPr>
          <w:trHeight w:val="216"/>
        </w:trPr>
        <w:tc>
          <w:tcPr>
            <w:tcW w:w="220" w:type="dxa"/>
            <w:vAlign w:val="bottom"/>
          </w:tcPr>
          <w:p>
            <w:pPr>
              <w:spacing w:after="0"/>
              <w:rPr>
                <w:sz w:val="18"/>
                <w:szCs w:val="18"/>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w w:val="89"/>
              </w:rPr>
              <w:t>Class C common stock reserved for future issuance upon (x) exchange of Class D common stock by the</w:t>
            </w:r>
          </w:p>
        </w:tc>
      </w:tr>
      <w:tr>
        <w:trPr>
          <w:trHeight w:val="216"/>
        </w:trPr>
        <w:tc>
          <w:tcPr>
            <w:tcW w:w="220" w:type="dxa"/>
            <w:vAlign w:val="bottom"/>
          </w:tcPr>
          <w:p>
            <w:pPr>
              <w:spacing w:after="0"/>
              <w:rPr>
                <w:sz w:val="18"/>
                <w:szCs w:val="18"/>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w w:val="94"/>
              </w:rPr>
              <w:t>Continuing LLC Owners or (y) conversion of the Class D common stock. See “— Redemption rights</w:t>
            </w:r>
          </w:p>
        </w:tc>
      </w:tr>
      <w:tr>
        <w:trPr>
          <w:trHeight w:val="216"/>
        </w:trPr>
        <w:tc>
          <w:tcPr>
            <w:tcW w:w="220" w:type="dxa"/>
            <w:vAlign w:val="bottom"/>
          </w:tcPr>
          <w:p>
            <w:pPr>
              <w:spacing w:after="0"/>
              <w:rPr>
                <w:sz w:val="18"/>
                <w:szCs w:val="18"/>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w w:val="91"/>
              </w:rPr>
              <w:t>of holders of LLC Interests/exchange rights of holders of Class B common stock and Class D common</w:t>
            </w:r>
          </w:p>
        </w:tc>
      </w:tr>
      <w:tr>
        <w:trPr>
          <w:trHeight w:val="230"/>
        </w:trPr>
        <w:tc>
          <w:tcPr>
            <w:tcW w:w="220" w:type="dxa"/>
            <w:vAlign w:val="bottom"/>
          </w:tcPr>
          <w:p>
            <w:pPr>
              <w:spacing w:after="0"/>
              <w:rPr>
                <w:sz w:val="20"/>
                <w:szCs w:val="20"/>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stock.”</w:t>
            </w:r>
          </w:p>
        </w:tc>
        <w:tc>
          <w:tcPr>
            <w:tcW w:w="328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94"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Unless otherwise stated or the context otherwise requires, all information contained in this prospectus:</w:t>
      </w:r>
    </w:p>
    <w:p>
      <w:pPr>
        <w:spacing w:after="0" w:line="129" w:lineRule="exact"/>
        <w:rPr>
          <w:sz w:val="20"/>
          <w:szCs w:val="20"/>
          <w:color w:val="auto"/>
        </w:rPr>
      </w:pPr>
    </w:p>
    <w:p>
      <w:pPr>
        <w:ind w:left="1640"/>
        <w:spacing w:after="0"/>
        <w:tabs>
          <w:tab w:leader="none" w:pos="1980" w:val="left"/>
          <w:tab w:leader="none" w:pos="5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assumes an initial public offering price of $</w:t>
      </w:r>
      <w:r>
        <w:rPr>
          <w:sz w:val="20"/>
          <w:szCs w:val="20"/>
          <w:color w:val="auto"/>
        </w:rPr>
        <w:tab/>
      </w:r>
      <w:r>
        <w:rPr>
          <w:rFonts w:ascii="Arial" w:cs="Arial" w:eastAsia="Arial" w:hAnsi="Arial"/>
          <w:sz w:val="16"/>
          <w:szCs w:val="16"/>
          <w:color w:val="auto"/>
        </w:rPr>
        <w:t>per share of Class A common stock, which is the</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midpoint of the price range set forth on the cover page of this prospectus;</w:t>
      </w:r>
    </w:p>
    <w:p>
      <w:pPr>
        <w:spacing w:after="0" w:line="103" w:lineRule="exact"/>
        <w:rPr>
          <w:sz w:val="20"/>
          <w:szCs w:val="20"/>
          <w:color w:val="auto"/>
        </w:rPr>
      </w:pPr>
    </w:p>
    <w:p>
      <w:pPr>
        <w:ind w:left="2000" w:right="859" w:hanging="354"/>
        <w:spacing w:after="0" w:line="277"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w:t>
      </w:r>
    </w:p>
    <w:p>
      <w:pPr>
        <w:spacing w:after="0" w:line="62" w:lineRule="exact"/>
        <w:rPr>
          <w:rFonts w:ascii="Arial" w:cs="Arial" w:eastAsia="Arial" w:hAnsi="Arial"/>
          <w:sz w:val="18"/>
          <w:szCs w:val="18"/>
          <w:color w:val="auto"/>
        </w:rPr>
      </w:pPr>
    </w:p>
    <w:p>
      <w:pPr>
        <w:ind w:left="2000" w:right="1319" w:hanging="354"/>
        <w:spacing w:after="0" w:line="277"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assumes the completion of the organizational transactions described under “The Reorganization Transactions;”</w:t>
      </w:r>
    </w:p>
    <w:p>
      <w:pPr>
        <w:spacing w:after="0" w:line="62" w:lineRule="exact"/>
        <w:rPr>
          <w:rFonts w:ascii="Arial" w:cs="Arial" w:eastAsia="Arial" w:hAnsi="Arial"/>
          <w:sz w:val="18"/>
          <w:szCs w:val="18"/>
          <w:color w:val="auto"/>
        </w:rPr>
      </w:pPr>
    </w:p>
    <w:p>
      <w:pPr>
        <w:ind w:left="2000" w:right="1379" w:hanging="354"/>
        <w:spacing w:after="0" w:line="277"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gives effect to the application of the net proceeds from this offering as described under “Use of Proceeds;” and</w:t>
      </w:r>
    </w:p>
    <w:p>
      <w:pPr>
        <w:spacing w:after="0" w:line="62" w:lineRule="exact"/>
        <w:rPr>
          <w:rFonts w:ascii="Arial" w:cs="Arial" w:eastAsia="Arial" w:hAnsi="Arial"/>
          <w:sz w:val="18"/>
          <w:szCs w:val="18"/>
          <w:color w:val="auto"/>
        </w:rPr>
      </w:pPr>
    </w:p>
    <w:p>
      <w:pPr>
        <w:ind w:left="2000" w:right="1139" w:hanging="354"/>
        <w:spacing w:after="0" w:line="308" w:lineRule="auto"/>
        <w:tabs>
          <w:tab w:leader="none" w:pos="2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gives effect to our amended and restated certificate of incorporation and our amended and restated bylaws, which will become effective prior to or upon the closing of this offering.</w:t>
      </w:r>
    </w:p>
    <w:p>
      <w:pPr>
        <w:spacing w:after="0" w:line="38" w:lineRule="exact"/>
        <w:rPr>
          <w:sz w:val="20"/>
          <w:szCs w:val="20"/>
          <w:color w:val="auto"/>
        </w:rPr>
      </w:pPr>
    </w:p>
    <w:p>
      <w:pPr>
        <w:jc w:val="both"/>
        <w:ind w:left="1280" w:right="819" w:firstLine="360"/>
        <w:spacing w:after="0" w:line="264" w:lineRule="auto"/>
        <w:rPr>
          <w:sz w:val="20"/>
          <w:szCs w:val="20"/>
          <w:color w:val="auto"/>
        </w:rPr>
      </w:pPr>
      <w:r>
        <w:rPr>
          <w:rFonts w:ascii="Arial" w:cs="Arial" w:eastAsia="Arial" w:hAnsi="Arial"/>
          <w:sz w:val="18"/>
          <w:szCs w:val="18"/>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08" w:lineRule="exact"/>
        <w:rPr>
          <w:sz w:val="20"/>
          <w:szCs w:val="20"/>
          <w:color w:val="auto"/>
        </w:rPr>
      </w:pPr>
    </w:p>
    <w:p>
      <w:pPr>
        <w:ind w:left="1280" w:right="759" w:firstLine="360"/>
        <w:spacing w:after="0" w:line="270" w:lineRule="auto"/>
        <w:rPr>
          <w:sz w:val="20"/>
          <w:szCs w:val="20"/>
          <w:color w:val="auto"/>
        </w:rPr>
      </w:pPr>
      <w:r>
        <w:rPr>
          <w:rFonts w:ascii="Arial" w:cs="Arial" w:eastAsia="Arial" w:hAnsi="Arial"/>
          <w:sz w:val="17"/>
          <w:szCs w:val="17"/>
          <w:color w:val="auto"/>
        </w:rPr>
        <w:t>The following tables present the summary historical and pro forma consolidated financial and other data for Tradeweb Markets LLC and its subsidiaries. Tradeweb Markets LLC is the predecessor of the issuer, Tradeweb Markets Inc., for financial reporting purposes. The summary consolidated statement of operations data for the 2018 Successor Period, the 2018 Predecessor Period and each of the years in the two-year period ended December 31, 2017 and the summary consolidated statement of financial condition data as of December 31, 2018 and 2017 are derived from the consolidated financial statements of Tradeweb Markets LLC and its subsidiaries included elsewhere in this prospectus. The summary consolidated statement of financial condition as of December 31, 2016 is derived from the consolidated financial statements of Tradeweb Markets LLC not included in this prospectus.</w:t>
      </w:r>
    </w:p>
    <w:p>
      <w:pPr>
        <w:spacing w:after="0" w:line="74"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As discussed elsewhere in this prospectus,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and “Management’s Discussion and Analysis of Financial Condition and Results of Operations — Effects of Pushdown Accounting on our Financial Statements.”</w:t>
      </w:r>
    </w:p>
    <w:p>
      <w:pPr>
        <w:spacing w:after="0" w:line="70" w:lineRule="exact"/>
        <w:rPr>
          <w:sz w:val="20"/>
          <w:szCs w:val="20"/>
          <w:color w:val="auto"/>
        </w:rPr>
      </w:pPr>
    </w:p>
    <w:p>
      <w:pPr>
        <w:ind w:left="1280" w:right="799" w:firstLine="360"/>
        <w:spacing w:after="0" w:line="257" w:lineRule="auto"/>
        <w:rPr>
          <w:sz w:val="20"/>
          <w:szCs w:val="20"/>
          <w:color w:val="auto"/>
        </w:rPr>
      </w:pPr>
      <w:r>
        <w:rPr>
          <w:rFonts w:ascii="Arial" w:cs="Arial" w:eastAsia="Arial" w:hAnsi="Arial"/>
          <w:sz w:val="18"/>
          <w:szCs w:val="18"/>
          <w:color w:val="auto"/>
        </w:rPr>
        <w:t>The results of operations for the periods presented below are not necessarily indicative of the results to be expected for any future period. The information set forth below should be read together with “Basis of Presentation,” “Selected Historical Consolidated Financial and Other Data” and “Management’s Discussion and Analysis of Financial Condition and Results of Operations” and the consolidated financial statements and related notes thereto appearing elsewhere in this prospectus.</w:t>
      </w:r>
    </w:p>
    <w:p>
      <w:pPr>
        <w:spacing w:after="0" w:line="80" w:lineRule="exact"/>
        <w:rPr>
          <w:sz w:val="20"/>
          <w:szCs w:val="20"/>
          <w:color w:val="auto"/>
        </w:rPr>
      </w:pPr>
    </w:p>
    <w:p>
      <w:pPr>
        <w:ind w:left="1280" w:right="719" w:firstLine="360"/>
        <w:spacing w:after="0" w:line="287" w:lineRule="auto"/>
        <w:rPr>
          <w:sz w:val="20"/>
          <w:szCs w:val="20"/>
          <w:color w:val="auto"/>
        </w:rPr>
      </w:pPr>
      <w:r>
        <w:rPr>
          <w:rFonts w:ascii="Arial" w:cs="Arial" w:eastAsia="Arial" w:hAnsi="Arial"/>
          <w:sz w:val="16"/>
          <w:szCs w:val="16"/>
          <w:color w:val="auto"/>
        </w:rPr>
        <w:t>The summary unaudited pro forma consolidated financial data of Tradeweb Markets Inc. presented below have been derived from our unaudited pro forma consolidated financial statements included elsewhere in this prospectus. The summary unaudited pro forma consolidated financial data as of and for the year ended December 31, 2018 give effect to the Transactions, including this offering, as if all such transactions had occurred on January 1, 2018, in the case of the summary unaudited pro forma consolidated statement of operations data, and as of December 31, 2018, in the case of the summary unaudited pro forma consolidated statement of financial condition data. The unaudited pro forma consolidated financial data includes various estimates which are subject to material change and may not be indicative of what our operations or financial position would have been had the Transactions, including this offering, taken place on the dates indicated, or that may be expected to occur in the future. See “Unaudited Pro Forma Consolidated Financial Information” for a complete description of the adjustments and assumptions underlying the summary unaudited pro forma consolidated financial data.</w:t>
      </w:r>
    </w:p>
    <w:p>
      <w:pPr>
        <w:spacing w:after="0" w:line="65" w:lineRule="exact"/>
        <w:rPr>
          <w:sz w:val="20"/>
          <w:szCs w:val="20"/>
          <w:color w:val="auto"/>
        </w:rPr>
      </w:pPr>
    </w:p>
    <w:p>
      <w:pPr>
        <w:jc w:val="both"/>
        <w:ind w:left="1280" w:right="939" w:firstLine="360"/>
        <w:spacing w:after="0" w:line="286" w:lineRule="auto"/>
        <w:rPr>
          <w:sz w:val="20"/>
          <w:szCs w:val="20"/>
          <w:color w:val="auto"/>
        </w:rPr>
      </w:pPr>
      <w:r>
        <w:rPr>
          <w:rFonts w:ascii="Arial" w:cs="Arial" w:eastAsia="Arial" w:hAnsi="Arial"/>
          <w:sz w:val="17"/>
          <w:szCs w:val="17"/>
          <w:color w:val="auto"/>
        </w:rPr>
        <w:t>The summary historical consolidated financial data of Tradeweb Markets Inc. have not been presented as Tradeweb Markets Inc. is a newly incorporated entity, has had no business transactions or activities to date and had no material assets or liabilities during the periods presented in this section.</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7"/>
              </w:rPr>
              <w:t>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9"/>
            <w:vMerge w:val="restart"/>
          </w:tcPr>
          <w:p>
            <w:pPr>
              <w:jc w:val="right"/>
              <w:ind w:right="80"/>
              <w:spacing w:after="0"/>
              <w:rPr>
                <w:sz w:val="20"/>
                <w:szCs w:val="20"/>
                <w:color w:val="auto"/>
              </w:rPr>
            </w:pPr>
            <w:r>
              <w:rPr>
                <w:rFonts w:ascii="Arial" w:cs="Arial" w:eastAsia="Arial" w:hAnsi="Arial"/>
                <w:sz w:val="14"/>
                <w:szCs w:val="14"/>
                <w:b w:val="1"/>
                <w:bCs w:val="1"/>
                <w:color w:val="auto"/>
                <w:w w:val="96"/>
              </w:rPr>
              <w:t>Historical Tradeweb Markets LLC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4"/>
          </w:tcPr>
          <w:p>
            <w:pPr>
              <w:jc w:val="center"/>
              <w:ind w:right="140"/>
              <w:spacing w:after="0" w:line="125" w:lineRule="exact"/>
              <w:rPr>
                <w:sz w:val="20"/>
                <w:szCs w:val="20"/>
                <w:color w:val="auto"/>
              </w:rPr>
            </w:pPr>
            <w:r>
              <w:rPr>
                <w:rFonts w:ascii="Arial" w:cs="Arial" w:eastAsia="Arial" w:hAnsi="Arial"/>
                <w:sz w:val="14"/>
                <w:szCs w:val="14"/>
                <w:b w:val="1"/>
                <w:bCs w:val="1"/>
                <w:color w:val="auto"/>
                <w:w w:val="91"/>
              </w:rPr>
              <w:t>Tradeweb</w:t>
            </w: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9"/>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1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Markets Inc.</w:t>
            </w:r>
            <w:r>
              <w:rPr>
                <w:rFonts w:ascii="Arial" w:cs="Arial" w:eastAsia="Arial" w:hAnsi="Arial"/>
                <w:sz w:val="21"/>
                <w:szCs w:val="21"/>
                <w:b w:val="1"/>
                <w:bCs w:val="1"/>
                <w:color w:val="auto"/>
                <w:w w:val="93"/>
                <w:vertAlign w:val="superscript"/>
              </w:rPr>
              <w:t>(1)</w:t>
            </w:r>
          </w:p>
        </w:tc>
        <w:tc>
          <w:tcPr>
            <w:tcW w:w="160" w:type="dxa"/>
            <w:vAlign w:val="bottom"/>
          </w:tcPr>
          <w:p>
            <w:pPr>
              <w:spacing w:after="0"/>
              <w:rPr>
                <w:sz w:val="21"/>
                <w:szCs w:val="21"/>
                <w:color w:val="auto"/>
              </w:rPr>
            </w:pPr>
          </w:p>
        </w:tc>
        <w:tc>
          <w:tcPr>
            <w:tcW w:w="90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right w:val="single" w:sz="8" w:color="auto"/>
            </w:tcBorders>
            <w:gridSpan w:val="4"/>
          </w:tcPr>
          <w:p>
            <w:pPr>
              <w:ind w:left="160"/>
              <w:spacing w:after="0" w:line="160" w:lineRule="exact"/>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spacing w:after="0" w:line="160" w:lineRule="exact"/>
              <w:rPr>
                <w:sz w:val="20"/>
                <w:szCs w:val="20"/>
                <w:color w:val="auto"/>
              </w:rPr>
            </w:pPr>
            <w:r>
              <w:rPr>
                <w:rFonts w:ascii="Arial" w:cs="Arial" w:eastAsia="Arial" w:hAnsi="Arial"/>
                <w:sz w:val="14"/>
                <w:szCs w:val="14"/>
                <w:b w:val="1"/>
                <w:bCs w:val="1"/>
                <w:color w:val="auto"/>
              </w:rPr>
              <w:t>January 1,</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2018 to</w:t>
            </w:r>
          </w:p>
        </w:tc>
        <w:tc>
          <w:tcPr>
            <w:tcW w:w="1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Year Ended</w:t>
            </w:r>
          </w:p>
        </w:tc>
        <w:tc>
          <w:tcPr>
            <w:tcW w:w="10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10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4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gridSpan w:val="12"/>
          </w:tcPr>
          <w:p>
            <w:pPr>
              <w:jc w:val="right"/>
              <w:ind w:right="2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97,130</w:t>
            </w:r>
          </w:p>
        </w:tc>
        <w:tc>
          <w:tcPr>
            <w:tcW w:w="22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273,751</w:t>
            </w:r>
          </w:p>
        </w:tc>
        <w:tc>
          <w:tcPr>
            <w:tcW w:w="2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267,020</w:t>
            </w:r>
          </w:p>
        </w:tc>
        <w:tc>
          <w:tcPr>
            <w:tcW w:w="2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230,171</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tcPr>
          <w:p>
            <w:pPr>
              <w:spacing w:after="0" w:line="257"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46,519</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143,981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194,534</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191,983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32,840</w:t>
            </w: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91,663</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2,148</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8,209</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4,669</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178,637</w:t>
            </w:r>
          </w:p>
        </w:tc>
        <w:tc>
          <w:tcPr>
            <w:tcW w:w="220" w:type="dxa"/>
            <w:vAlign w:val="bottom"/>
            <w:tcBorders>
              <w:top w:val="single" w:sz="8" w:color="CCEEFF"/>
              <w:right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505,771</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562,968</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518,404</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40" w:type="dxa"/>
            <w:vAlign w:val="bottom"/>
          </w:tcPr>
          <w:p>
            <w:pPr>
              <w:spacing w:after="0" w:line="270"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7"/>
                <w:szCs w:val="27"/>
                <w:color w:val="auto"/>
                <w:vertAlign w:val="superscript"/>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(26,830)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(58,520)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(26,224)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178,637</w:t>
            </w:r>
          </w:p>
        </w:tc>
        <w:tc>
          <w:tcPr>
            <w:tcW w:w="2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478,941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504,448</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492,180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0"/>
              </w:rPr>
              <w:t>Employee compensation and benefits</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80,436</w:t>
            </w:r>
          </w:p>
        </w:tc>
        <w:tc>
          <w:tcPr>
            <w:tcW w:w="220" w:type="dxa"/>
            <w:vAlign w:val="bottom"/>
            <w:tcBorders>
              <w:right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209,053</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248,963</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228,584</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33,020</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48,808</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68,615</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80,859</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220" w:type="dxa"/>
            <w:vAlign w:val="bottom"/>
            <w:tcBorders>
              <w:right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33,973</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6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9,907</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26,598</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30,013</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28,239</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220" w:type="dxa"/>
            <w:vAlign w:val="bottom"/>
            <w:tcBorders>
              <w:right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6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3,308</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10,732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14,441</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15,817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146,702</w:t>
            </w:r>
          </w:p>
        </w:tc>
        <w:tc>
          <w:tcPr>
            <w:tcW w:w="220" w:type="dxa"/>
            <w:vAlign w:val="bottom"/>
            <w:tcBorders>
              <w:bottom w:val="single" w:sz="8" w:color="CCEEFF"/>
              <w:right w:val="single" w:sz="8" w:color="auto"/>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338,607</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415,356</w:t>
            </w:r>
          </w:p>
        </w:tc>
        <w:tc>
          <w:tcPr>
            <w:tcW w:w="2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399,049</w:t>
            </w: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7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31,935</w:t>
            </w: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140,334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89,092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93,131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top w:val="single" w:sz="8" w:color="CCEEFF"/>
              <w:right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32,722</w:t>
            </w:r>
          </w:p>
        </w:tc>
        <w:tc>
          <w:tcPr>
            <w:tcW w:w="220" w:type="dxa"/>
            <w:vAlign w:val="bottom"/>
            <w:tcBorders>
              <w:top w:val="single" w:sz="8" w:color="CCEEFF"/>
              <w:right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142,060</w:t>
            </w: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89,777</w:t>
            </w:r>
          </w:p>
        </w:tc>
        <w:tc>
          <w:tcPr>
            <w:tcW w:w="2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92,436</w:t>
            </w: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(3,415)</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(11,900)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(6,129)</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22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130,160</w:t>
            </w:r>
          </w:p>
        </w:tc>
        <w:tc>
          <w:tcPr>
            <w:tcW w:w="2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non-</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controlling interests</w:t>
            </w: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Borders>
              <w:top w:val="single" w:sz="8" w:color="CCEEFF"/>
            </w:tcBorders>
            <w:shd w:val="clear" w:color="auto" w:fill="CCEEFF"/>
          </w:tcPr>
          <w:p>
            <w:pPr>
              <w:ind w:left="160"/>
              <w:spacing w:after="0" w:line="189" w:lineRule="exact"/>
              <w:rPr>
                <w:sz w:val="20"/>
                <w:szCs w:val="20"/>
                <w:color w:val="auto"/>
              </w:rPr>
            </w:pPr>
            <w:r>
              <w:rPr>
                <w:rFonts w:ascii="Arial" w:cs="Arial" w:eastAsia="Arial" w:hAnsi="Arial"/>
                <w:sz w:val="18"/>
                <w:szCs w:val="18"/>
                <w:color w:val="auto"/>
              </w:rPr>
              <w:t>Net income attributable to</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Tradeweb Markets Inc.</w:t>
            </w:r>
          </w:p>
        </w:tc>
        <w:tc>
          <w:tcPr>
            <w:tcW w:w="7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980"/>
        <w:spacing w:after="0"/>
        <w:rPr>
          <w:sz w:val="20"/>
          <w:szCs w:val="20"/>
          <w:color w:val="auto"/>
        </w:rPr>
      </w:pPr>
      <w:r>
        <w:rPr>
          <w:rFonts w:ascii="Arial" w:cs="Arial" w:eastAsia="Arial" w:hAnsi="Arial"/>
          <w:sz w:val="14"/>
          <w:szCs w:val="14"/>
          <w:b w:val="1"/>
          <w:bCs w:val="1"/>
          <w:color w:val="auto"/>
        </w:rPr>
        <w:t>Pro Forma</w:t>
      </w:r>
    </w:p>
    <w:p>
      <w:pPr>
        <w:ind w:left="6000"/>
        <w:spacing w:after="0" w:line="234" w:lineRule="auto"/>
        <w:rPr>
          <w:sz w:val="20"/>
          <w:szCs w:val="20"/>
          <w:color w:val="auto"/>
        </w:rPr>
      </w:pPr>
      <w:r>
        <w:rPr>
          <w:rFonts w:ascii="Arial" w:cs="Arial" w:eastAsia="Arial" w:hAnsi="Arial"/>
          <w:sz w:val="14"/>
          <w:szCs w:val="14"/>
          <w:b w:val="1"/>
          <w:bCs w:val="1"/>
          <w:color w:val="auto"/>
        </w:rPr>
        <w:t>Tradeweb</w:t>
      </w:r>
    </w:p>
    <w:p>
      <w:pPr>
        <w:ind w:left="5880"/>
        <w:spacing w:after="0"/>
        <w:rPr>
          <w:sz w:val="20"/>
          <w:szCs w:val="20"/>
          <w:color w:val="auto"/>
        </w:rPr>
      </w:pPr>
      <w:r>
        <w:rPr>
          <w:rFonts w:ascii="Arial" w:cs="Arial" w:eastAsia="Arial" w:hAnsi="Arial"/>
          <w:sz w:val="14"/>
          <w:szCs w:val="14"/>
          <w:b w:val="1"/>
          <w:bCs w:val="1"/>
          <w:color w:val="auto"/>
        </w:rPr>
        <w:t>Markets Inc.</w:t>
      </w:r>
      <w:r>
        <w:rPr>
          <w:rFonts w:ascii="Arial" w:cs="Arial" w:eastAsia="Arial" w:hAnsi="Arial"/>
          <w:sz w:val="21"/>
          <w:szCs w:val="21"/>
          <w:b w:val="1"/>
          <w:bCs w:val="1"/>
          <w:color w:val="auto"/>
          <w:vertAlign w:val="superscript"/>
        </w:rPr>
        <w:t>(1)</w:t>
      </w:r>
    </w:p>
    <w:p>
      <w:pPr>
        <w:spacing w:after="0" w:line="24"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2018</w:t>
      </w:r>
    </w:p>
    <w:p>
      <w:pPr>
        <w:spacing w:after="0" w:line="117" w:lineRule="exact"/>
        <w:rPr>
          <w:sz w:val="20"/>
          <w:szCs w:val="20"/>
          <w:color w:val="auto"/>
        </w:rPr>
      </w:pPr>
    </w:p>
    <w:tbl>
      <w:tblPr>
        <w:tblLayout w:type="fixed"/>
        <w:tblInd w:w="1280" w:type="dxa"/>
        <w:tblCellMar>
          <w:top w:w="0" w:type="dxa"/>
          <w:left w:w="0" w:type="dxa"/>
          <w:bottom w:w="0" w:type="dxa"/>
          <w:right w:w="0" w:type="dxa"/>
        </w:tblCellMar>
      </w:tblPr>
      <w:tr>
        <w:trPr>
          <w:trHeight w:val="24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Pro forma net income per share data</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1"/>
              </w:rPr>
              <w:t>Pro forma weighted average shares of Class A and Class B</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outstanding</w:t>
            </w: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Basic</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w w:val="99"/>
              </w:rPr>
              <w:t>Pro forma net income available to Class A and Class B</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common stock per share</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Diluted</w:t>
            </w: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Supplemental pro forma net income per share data</w:t>
            </w:r>
            <w:r>
              <w:rPr>
                <w:rFonts w:ascii="Arial" w:cs="Arial" w:eastAsia="Arial" w:hAnsi="Arial"/>
                <w:sz w:val="27"/>
                <w:szCs w:val="27"/>
                <w:color w:val="auto"/>
                <w:vertAlign w:val="superscript"/>
              </w:rPr>
              <w:t>(4)</w:t>
            </w: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w w:val="92"/>
              </w:rPr>
              <w:t>Weighted-average shares of Class A and Class B common</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stock outstanding</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Diluted</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0"/>
              </w:rPr>
              <w:t>Net income available to Class A and Class B common stock</w:t>
            </w:r>
          </w:p>
        </w:tc>
        <w:tc>
          <w:tcPr>
            <w:tcW w:w="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Basic</w:t>
            </w: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5"/>
            <w:vMerge w:val="restart"/>
          </w:tcPr>
          <w:p>
            <w:pPr>
              <w:jc w:val="center"/>
              <w:ind w:right="8"/>
              <w:spacing w:after="0"/>
              <w:rPr>
                <w:sz w:val="20"/>
                <w:szCs w:val="20"/>
                <w:color w:val="auto"/>
              </w:rPr>
            </w:pPr>
            <w:r>
              <w:rPr>
                <w:rFonts w:ascii="Arial" w:cs="Arial" w:eastAsia="Arial" w:hAnsi="Arial"/>
                <w:sz w:val="14"/>
                <w:szCs w:val="14"/>
                <w:b w:val="1"/>
                <w:bCs w:val="1"/>
                <w:color w:val="auto"/>
                <w:w w:val="96"/>
              </w:rPr>
              <w:t>Historical Tradeweb Markets LLC</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center"/>
              <w:ind w:left="8"/>
              <w:spacing w:after="0" w:line="158" w:lineRule="exact"/>
              <w:rPr>
                <w:sz w:val="20"/>
                <w:szCs w:val="20"/>
                <w:color w:val="auto"/>
              </w:rPr>
            </w:pPr>
            <w:r>
              <w:rPr>
                <w:rFonts w:ascii="Arial" w:cs="Arial" w:eastAsia="Arial" w:hAnsi="Arial"/>
                <w:sz w:val="14"/>
                <w:szCs w:val="14"/>
                <w:b w:val="1"/>
                <w:bCs w:val="1"/>
                <w:color w:val="auto"/>
                <w:w w:val="94"/>
              </w:rPr>
              <w:t>Tradeweb</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74"/>
              </w:rPr>
              <w:t>(1)</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Markets Inc.</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40" w:type="dxa"/>
            <w:vAlign w:val="bottom"/>
          </w:tcPr>
          <w:p>
            <w:pPr>
              <w:spacing w:after="0"/>
              <w:rPr>
                <w:sz w:val="17"/>
                <w:szCs w:val="17"/>
                <w:color w:val="auto"/>
              </w:rPr>
            </w:pPr>
          </w:p>
        </w:tc>
        <w:tc>
          <w:tcPr>
            <w:tcW w:w="1800" w:type="dxa"/>
            <w:vAlign w:val="bottom"/>
            <w:gridSpan w:val="2"/>
          </w:tcPr>
          <w:p>
            <w:pPr>
              <w:ind w:left="5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tcBorders>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8"/>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0219"/>
          </w:cols>
          <w:pgMar w:left="240" w:top="131" w:right="1440" w:bottom="144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Statement of Financial Condition Data:</w:t>
      </w:r>
    </w:p>
    <w:p>
      <w:pPr>
        <w:ind w:left="1280"/>
        <w:spacing w:after="0" w:line="209" w:lineRule="auto"/>
        <w:rPr>
          <w:sz w:val="20"/>
          <w:szCs w:val="20"/>
          <w:color w:val="auto"/>
        </w:rPr>
      </w:pPr>
      <w:r>
        <w:rPr>
          <w:rFonts w:ascii="Arial" w:cs="Arial" w:eastAsia="Arial" w:hAnsi="Arial"/>
          <w:sz w:val="18"/>
          <w:szCs w:val="18"/>
          <w:color w:val="auto"/>
        </w:rPr>
        <w:t>Cash and cash equivalents</w:t>
      </w:r>
      <w:r>
        <w:rPr>
          <w:rFonts w:ascii="Arial" w:cs="Arial" w:eastAsia="Arial" w:hAnsi="Arial"/>
          <w:sz w:val="27"/>
          <w:szCs w:val="27"/>
          <w:color w:val="auto"/>
          <w:vertAlign w:val="superscript"/>
        </w:rPr>
        <w:t>(5)</w:t>
      </w:r>
    </w:p>
    <w:p>
      <w:pPr>
        <w:ind w:left="1280"/>
        <w:spacing w:after="0"/>
        <w:rPr>
          <w:sz w:val="20"/>
          <w:szCs w:val="20"/>
          <w:color w:val="auto"/>
        </w:rPr>
      </w:pPr>
      <w:r>
        <w:rPr>
          <w:rFonts w:ascii="Arial" w:cs="Arial" w:eastAsia="Arial" w:hAnsi="Arial"/>
          <w:sz w:val="18"/>
          <w:szCs w:val="18"/>
          <w:color w:val="auto"/>
        </w:rPr>
        <w:t>Total assets</w:t>
      </w:r>
    </w:p>
    <w:p>
      <w:pPr>
        <w:ind w:left="1280"/>
        <w:spacing w:after="0" w:line="213" w:lineRule="auto"/>
        <w:rPr>
          <w:sz w:val="20"/>
          <w:szCs w:val="20"/>
          <w:color w:val="auto"/>
        </w:rPr>
      </w:pPr>
      <w:r>
        <w:rPr>
          <w:rFonts w:ascii="Arial" w:cs="Arial" w:eastAsia="Arial" w:hAnsi="Arial"/>
          <w:sz w:val="18"/>
          <w:szCs w:val="18"/>
          <w:color w:val="auto"/>
        </w:rPr>
        <w:t>Total liabilities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Total stockholders’ equity/members’ capital</w:t>
      </w:r>
      <w:r>
        <w:rPr>
          <w:rFonts w:ascii="Arial" w:cs="Arial" w:eastAsia="Arial" w:hAnsi="Arial"/>
          <w:sz w:val="24"/>
          <w:szCs w:val="24"/>
          <w:color w:val="auto"/>
          <w:vertAlign w:val="superscript"/>
        </w:rPr>
        <w:t>(5)</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right"/>
        <w:ind w:left="1060" w:right="739" w:hanging="917"/>
        <w:spacing w:after="0" w:line="274" w:lineRule="auto"/>
        <w:tabs>
          <w:tab w:leader="none" w:pos="947" w:val="left"/>
        </w:tabs>
        <w:numPr>
          <w:ilvl w:val="0"/>
          <w:numId w:val="19"/>
        </w:numPr>
        <w:rPr>
          <w:rFonts w:ascii="Arial" w:cs="Arial" w:eastAsia="Arial" w:hAnsi="Arial"/>
          <w:sz w:val="17"/>
          <w:szCs w:val="17"/>
          <w:color w:val="auto"/>
        </w:rPr>
      </w:pPr>
      <w:r>
        <w:rPr>
          <w:rFonts w:ascii="Arial" w:cs="Arial" w:eastAsia="Arial" w:hAnsi="Arial"/>
          <w:sz w:val="17"/>
          <w:szCs w:val="17"/>
          <w:color w:val="auto"/>
        </w:rPr>
        <w:t>$  410,104  $  352,598  $  324,074 4,997,139   1,316,887   1,320,732</w:t>
      </w:r>
    </w:p>
    <w:p>
      <w:pPr>
        <w:ind w:left="1200"/>
        <w:spacing w:after="0"/>
        <w:rPr>
          <w:rFonts w:ascii="Arial" w:cs="Arial" w:eastAsia="Arial" w:hAnsi="Arial"/>
          <w:sz w:val="17"/>
          <w:szCs w:val="17"/>
          <w:color w:val="auto"/>
        </w:rPr>
      </w:pPr>
      <w:r>
        <w:rPr>
          <w:rFonts w:ascii="Arial" w:cs="Arial" w:eastAsia="Arial" w:hAnsi="Arial"/>
          <w:sz w:val="18"/>
          <w:szCs w:val="18"/>
          <w:color w:val="auto"/>
        </w:rPr>
        <w:t>410,626317,118</w:t>
      </w:r>
      <w:r>
        <w:rPr>
          <w:rFonts w:ascii="Arial" w:cs="Arial" w:eastAsia="Arial" w:hAnsi="Arial"/>
          <w:sz w:val="16"/>
          <w:szCs w:val="16"/>
          <w:color w:val="auto"/>
        </w:rPr>
        <w:t>283,319</w:t>
      </w:r>
    </w:p>
    <w:p>
      <w:pPr>
        <w:spacing w:after="0" w:line="9" w:lineRule="exact"/>
        <w:rPr>
          <w:rFonts w:ascii="Arial" w:cs="Arial" w:eastAsia="Arial" w:hAnsi="Arial"/>
          <w:sz w:val="17"/>
          <w:szCs w:val="17"/>
          <w:color w:val="auto"/>
        </w:rPr>
      </w:pPr>
    </w:p>
    <w:p>
      <w:pPr>
        <w:ind w:left="1060"/>
        <w:spacing w:after="0"/>
        <w:rPr>
          <w:rFonts w:ascii="Arial" w:cs="Arial" w:eastAsia="Arial" w:hAnsi="Arial"/>
          <w:sz w:val="17"/>
          <w:szCs w:val="17"/>
          <w:color w:val="auto"/>
        </w:rPr>
      </w:pPr>
      <w:r>
        <w:rPr>
          <w:rFonts w:ascii="Arial" w:cs="Arial" w:eastAsia="Arial" w:hAnsi="Arial"/>
          <w:sz w:val="18"/>
          <w:szCs w:val="18"/>
          <w:color w:val="auto"/>
        </w:rPr>
        <w:t>4,572,334</w:t>
      </w:r>
      <w:r>
        <w:rPr>
          <w:rFonts w:ascii="Arial" w:cs="Arial" w:eastAsia="Arial" w:hAnsi="Arial"/>
          <w:sz w:val="17"/>
          <w:szCs w:val="17"/>
          <w:color w:val="auto"/>
        </w:rPr>
        <w:t>986,468   1,024,759</w:t>
      </w:r>
    </w:p>
    <w:p>
      <w:pPr>
        <w:spacing w:after="0" w:line="189"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Tradeweb Markets LLC</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900" w:type="dxa"/>
            <w:vAlign w:val="bottom"/>
            <w:tcBorders>
              <w:top w:val="single" w:sz="8" w:color="auto"/>
              <w:bottom w:val="single" w:sz="8" w:color="auto"/>
            </w:tcBorders>
          </w:tcPr>
          <w:p>
            <w:pPr>
              <w:spacing w:after="0"/>
              <w:rPr>
                <w:sz w:val="16"/>
                <w:szCs w:val="16"/>
                <w:color w:val="auto"/>
              </w:rPr>
            </w:pPr>
          </w:p>
        </w:tc>
      </w:tr>
      <w:tr>
        <w:trPr>
          <w:trHeight w:val="165"/>
        </w:trPr>
        <w:tc>
          <w:tcPr>
            <w:tcW w:w="9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October 1,</w:t>
            </w:r>
          </w:p>
        </w:tc>
        <w:tc>
          <w:tcPr>
            <w:tcW w:w="2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January 1,</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9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2018 to</w:t>
            </w:r>
          </w:p>
        </w:tc>
        <w:tc>
          <w:tcPr>
            <w:tcW w:w="20" w:type="dxa"/>
            <w:vAlign w:val="bottom"/>
          </w:tcPr>
          <w:p>
            <w:pPr>
              <w:spacing w:after="0"/>
              <w:rPr>
                <w:sz w:val="14"/>
                <w:szCs w:val="14"/>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2018 to</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9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bl>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(dollars in thousands)</w:t>
      </w:r>
    </w:p>
    <w:p>
      <w:pPr>
        <w:spacing w:after="0" w:line="19" w:lineRule="exact"/>
        <w:rPr>
          <w:sz w:val="20"/>
          <w:szCs w:val="20"/>
          <w:color w:val="auto"/>
        </w:rPr>
      </w:pPr>
    </w:p>
    <w:p>
      <w:pPr>
        <w:sectPr>
          <w:pgSz w:w="11900" w:h="16838" w:orient="portrait"/>
          <w:cols w:equalWidth="0" w:num="2">
            <w:col w:w="5060" w:space="720"/>
            <w:col w:w="4439"/>
          </w:cols>
          <w:pgMar w:left="240" w:top="131"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060" w:type="dxa"/>
            <w:vAlign w:val="bottom"/>
            <w:tcBorders>
              <w:right w:val="single" w:sz="8" w:color="auto"/>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line="230" w:lineRule="exact"/>
              <w:rPr>
                <w:sz w:val="20"/>
                <w:szCs w:val="20"/>
                <w:color w:val="auto"/>
              </w:rPr>
            </w:pPr>
            <w:r>
              <w:rPr>
                <w:rFonts w:ascii="Arial" w:cs="Arial" w:eastAsia="Arial" w:hAnsi="Arial"/>
                <w:sz w:val="17"/>
                <w:szCs w:val="17"/>
                <w:color w:val="auto"/>
              </w:rPr>
              <w:t>Free Cash Flow</w:t>
            </w:r>
            <w:r>
              <w:rPr>
                <w:rFonts w:ascii="Arial" w:cs="Arial" w:eastAsia="Arial" w:hAnsi="Arial"/>
                <w:sz w:val="26"/>
                <w:szCs w:val="26"/>
                <w:color w:val="auto"/>
                <w:vertAlign w:val="superscript"/>
              </w:rPr>
              <w:t>(6)</w:t>
            </w:r>
          </w:p>
        </w:tc>
        <w:tc>
          <w:tcPr>
            <w:tcW w:w="20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$96,310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$138,978</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8"/>
              </w:rPr>
              <w:t>$183,962</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$136,496</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line="230" w:lineRule="exact"/>
              <w:rPr>
                <w:sz w:val="20"/>
                <w:szCs w:val="20"/>
                <w:color w:val="auto"/>
              </w:rPr>
            </w:pPr>
            <w:r>
              <w:rPr>
                <w:rFonts w:ascii="Arial" w:cs="Arial" w:eastAsia="Arial" w:hAnsi="Arial"/>
                <w:sz w:val="17"/>
                <w:szCs w:val="17"/>
                <w:color w:val="auto"/>
              </w:rPr>
              <w:t>Adjusted EBITDA</w:t>
            </w:r>
            <w:r>
              <w:rPr>
                <w:rFonts w:ascii="Arial" w:cs="Arial" w:eastAsia="Arial" w:hAnsi="Arial"/>
                <w:sz w:val="26"/>
                <w:szCs w:val="26"/>
                <w:color w:val="auto"/>
                <w:vertAlign w:val="superscript"/>
              </w:rPr>
              <w:t>(7)</w:t>
            </w:r>
          </w:p>
        </w:tc>
        <w:tc>
          <w:tcPr>
            <w:tcW w:w="20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$65,218</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$215,012</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$215,863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$202,086</w:t>
            </w:r>
          </w:p>
        </w:tc>
        <w:tc>
          <w:tcPr>
            <w:tcW w:w="60" w:type="dxa"/>
            <w:vAlign w:val="bottom"/>
          </w:tcPr>
          <w:p>
            <w:pPr>
              <w:spacing w:after="0"/>
              <w:rPr>
                <w:sz w:val="19"/>
                <w:szCs w:val="19"/>
                <w:color w:val="auto"/>
              </w:rPr>
            </w:pPr>
          </w:p>
        </w:tc>
      </w:tr>
      <w:tr>
        <w:trPr>
          <w:trHeight w:val="243"/>
        </w:trPr>
        <w:tc>
          <w:tcPr>
            <w:tcW w:w="3340" w:type="dxa"/>
            <w:vAlign w:val="bottom"/>
            <w:gridSpan w:val="2"/>
          </w:tcPr>
          <w:p>
            <w:pPr>
              <w:spacing w:after="0" w:line="242"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7"/>
                <w:szCs w:val="27"/>
                <w:color w:val="auto"/>
                <w:vertAlign w:val="superscript"/>
              </w:rPr>
              <w:t>(7)</w:t>
            </w:r>
          </w:p>
        </w:tc>
        <w:tc>
          <w:tcPr>
            <w:tcW w:w="2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20" w:type="dxa"/>
            <w:vAlign w:val="bottom"/>
          </w:tcPr>
          <w:p>
            <w:pPr>
              <w:jc w:val="right"/>
              <w:spacing w:after="0"/>
              <w:rPr>
                <w:sz w:val="20"/>
                <w:szCs w:val="20"/>
                <w:color w:val="auto"/>
              </w:rPr>
            </w:pPr>
            <w:r>
              <w:rPr>
                <w:rFonts w:ascii="Arial" w:cs="Arial" w:eastAsia="Arial" w:hAnsi="Arial"/>
                <w:sz w:val="18"/>
                <w:szCs w:val="18"/>
                <w:color w:val="auto"/>
              </w:rPr>
              <w:t>42.5%</w:t>
            </w: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39.0%</w:t>
            </w: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spacing w:after="0" w:line="242"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7"/>
                <w:szCs w:val="27"/>
                <w:color w:val="auto"/>
                <w:vertAlign w:val="superscript"/>
              </w:rPr>
              <w:t>(7)</w:t>
            </w:r>
          </w:p>
        </w:tc>
        <w:tc>
          <w:tcPr>
            <w:tcW w:w="20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$51,983</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$175,606</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$173,040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$162,382</w:t>
            </w:r>
          </w:p>
        </w:tc>
        <w:tc>
          <w:tcPr>
            <w:tcW w:w="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Tradeweb Markets LLC</w:t>
            </w:r>
          </w:p>
        </w:tc>
        <w:tc>
          <w:tcPr>
            <w:tcW w:w="940" w:type="dxa"/>
            <w:vAlign w:val="bottom"/>
            <w:tcBorders>
              <w:bottom w:val="single" w:sz="8" w:color="auto"/>
            </w:tcBorders>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20" w:type="dxa"/>
            <w:vAlign w:val="bottom"/>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20" w:type="dxa"/>
            <w:vAlign w:val="bottom"/>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189"/>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94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Average Daily Volumes:</w:t>
            </w: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Rates</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98"/>
              </w:rPr>
              <w:t>$354,999</w:t>
            </w:r>
          </w:p>
        </w:tc>
        <w:tc>
          <w:tcPr>
            <w:tcW w:w="162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rPr>
              <w:t>$ 254,103</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$ 219,475</w:t>
            </w:r>
          </w:p>
        </w:tc>
      </w:tr>
      <w:tr>
        <w:trPr>
          <w:trHeight w:val="230"/>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Credit</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12,658</w:t>
            </w:r>
          </w:p>
        </w:tc>
        <w:tc>
          <w:tcPr>
            <w:tcW w:w="1620" w:type="dxa"/>
            <w:vAlign w:val="bottom"/>
          </w:tcPr>
          <w:p>
            <w:pPr>
              <w:jc w:val="right"/>
              <w:ind w:right="380"/>
              <w:spacing w:after="0"/>
              <w:rPr>
                <w:sz w:val="20"/>
                <w:szCs w:val="20"/>
                <w:color w:val="auto"/>
              </w:rPr>
            </w:pPr>
            <w:r>
              <w:rPr>
                <w:rFonts w:ascii="Arial" w:cs="Arial" w:eastAsia="Arial" w:hAnsi="Arial"/>
                <w:sz w:val="18"/>
                <w:szCs w:val="18"/>
                <w:color w:val="auto"/>
              </w:rPr>
              <w:t>7,554</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5,954</w:t>
            </w: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Equities</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7,798</w:t>
            </w:r>
          </w:p>
        </w:tc>
        <w:tc>
          <w:tcPr>
            <w:tcW w:w="162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rPr>
              <w:t>4,817</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4,523</w:t>
            </w:r>
          </w:p>
        </w:tc>
      </w:tr>
      <w:tr>
        <w:trPr>
          <w:trHeight w:val="257"/>
        </w:trPr>
        <w:tc>
          <w:tcPr>
            <w:tcW w:w="20" w:type="dxa"/>
            <w:vAlign w:val="bottom"/>
          </w:tcPr>
          <w:p>
            <w:pPr>
              <w:spacing w:after="0"/>
              <w:rPr>
                <w:sz w:val="22"/>
                <w:szCs w:val="22"/>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Money markets</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173,743</w:t>
            </w:r>
          </w:p>
        </w:tc>
        <w:tc>
          <w:tcPr>
            <w:tcW w:w="1620" w:type="dxa"/>
            <w:vAlign w:val="bottom"/>
          </w:tcPr>
          <w:p>
            <w:pPr>
              <w:jc w:val="right"/>
              <w:ind w:right="380"/>
              <w:spacing w:after="0"/>
              <w:rPr>
                <w:sz w:val="20"/>
                <w:szCs w:val="20"/>
                <w:color w:val="auto"/>
              </w:rPr>
            </w:pPr>
            <w:r>
              <w:rPr>
                <w:rFonts w:ascii="Arial" w:cs="Arial" w:eastAsia="Arial" w:hAnsi="Arial"/>
                <w:sz w:val="18"/>
                <w:szCs w:val="18"/>
                <w:color w:val="auto"/>
              </w:rPr>
              <w:t>132,105</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94,324</w:t>
            </w:r>
          </w:p>
        </w:tc>
      </w:tr>
    </w:tbl>
    <w:p>
      <w:pPr>
        <w:spacing w:after="0" w:line="337" w:lineRule="exact"/>
        <w:rPr>
          <w:sz w:val="20"/>
          <w:szCs w:val="20"/>
          <w:color w:val="auto"/>
        </w:rPr>
      </w:pPr>
    </w:p>
    <w:p>
      <w:pPr>
        <w:ind w:left="1640" w:right="1099" w:hanging="354"/>
        <w:spacing w:after="0" w:line="312" w:lineRule="auto"/>
        <w:tabs>
          <w:tab w:leader="none" w:pos="1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25" w:lineRule="exact"/>
        <w:rPr>
          <w:rFonts w:ascii="Arial" w:cs="Arial" w:eastAsia="Arial" w:hAnsi="Arial"/>
          <w:sz w:val="16"/>
          <w:szCs w:val="16"/>
          <w:color w:val="auto"/>
        </w:rPr>
      </w:pPr>
    </w:p>
    <w:p>
      <w:pPr>
        <w:ind w:left="1640" w:right="739" w:hanging="354"/>
        <w:spacing w:after="0" w:line="264" w:lineRule="auto"/>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Subscription fees for the 2018 Successor Period, the 2018 Predecessor Period and the years ended December 31, 2017 and 2016 include $13.5 million, $36.9 million, $50.1 million and $50.6 million, respectively, of Refinitiv (formerly Thomson Reuters) market data fees.</w:t>
      </w:r>
    </w:p>
    <w:p>
      <w:pPr>
        <w:spacing w:after="0" w:line="46" w:lineRule="exact"/>
        <w:rPr>
          <w:rFonts w:ascii="Arial" w:cs="Arial" w:eastAsia="Arial" w:hAnsi="Arial"/>
          <w:sz w:val="18"/>
          <w:szCs w:val="18"/>
          <w:color w:val="auto"/>
        </w:rPr>
      </w:pPr>
    </w:p>
    <w:p>
      <w:pPr>
        <w:ind w:left="1640" w:right="899" w:hanging="354"/>
        <w:spacing w:after="0" w:line="257" w:lineRule="auto"/>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 for the periods presented.</w:t>
      </w:r>
    </w:p>
    <w:p>
      <w:pPr>
        <w:spacing w:after="0" w:line="66" w:lineRule="exact"/>
        <w:rPr>
          <w:rFonts w:ascii="Arial" w:cs="Arial" w:eastAsia="Arial" w:hAnsi="Arial"/>
          <w:sz w:val="18"/>
          <w:szCs w:val="18"/>
          <w:color w:val="auto"/>
        </w:rPr>
      </w:pPr>
    </w:p>
    <w:p>
      <w:pPr>
        <w:ind w:left="1640" w:right="759" w:hanging="354"/>
        <w:spacing w:after="0" w:line="283" w:lineRule="auto"/>
        <w:tabs>
          <w:tab w:leader="none" w:pos="1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Distributions declared in the year preceding an initial public offering are deemed to be in contemplation of the offering with the intention of repayment out of offering proceeds to the extent that the distributions exceed earnings during such period. TWM LLC paid cash distributions of $25.0 million, $55.0 million, $59.4 million and $36.0 million in February, June, September and December 2018, respectively, which we collectively refer to as the “2018 Distributions.” TWM LLC anticipates paying a cash distribution of $100.0 million to the Original LLC Owners prior to the consummation of this offering, which we refer to as the “Special Distribution.” The Special Distribution is expected to be funded with cash on hand. The supplemental pro forma information has been computed to give effect to the number of shares whose proceeds would be necessary to pay (i) the Special Distribution and (ii) the 2018 Distributions, but only to the extent the aggregate amount of these distributions exceed our earnings for the applicable preceding twelve-month period. The computations of the supplemental pro forma weighted average shares of Class A and Class B common stock outstanding and net income per share of Class A and Class B common stock are based on historical Tradeweb Markets LLC financial information, which as a limited liability company did</w:t>
      </w:r>
    </w:p>
    <w:p>
      <w:pPr>
        <w:spacing w:after="0" w:line="3" w:lineRule="exact"/>
        <w:rPr>
          <w:sz w:val="20"/>
          <w:szCs w:val="20"/>
          <w:color w:val="auto"/>
        </w:rPr>
      </w:pPr>
    </w:p>
    <w:p>
      <w:pPr>
        <w:ind w:left="1640" w:right="919"/>
        <w:spacing w:after="0" w:line="281" w:lineRule="auto"/>
        <w:rPr>
          <w:sz w:val="20"/>
          <w:szCs w:val="20"/>
          <w:color w:val="auto"/>
        </w:rPr>
      </w:pPr>
      <w:r>
        <w:rPr>
          <w:rFonts w:ascii="Arial" w:cs="Arial" w:eastAsia="Arial" w:hAnsi="Arial"/>
          <w:sz w:val="16"/>
          <w:szCs w:val="16"/>
          <w:color w:val="auto"/>
        </w:rPr>
        <w:t>not have any shares of Class A or Class B common stock outstanding during the year ended December 31, 2018. The supplemental pro forma weighted average shares of Class A and Class B common stock</w:t>
      </w:r>
    </w:p>
    <w:p>
      <w:pPr>
        <w:spacing w:after="0" w:line="1" w:lineRule="exact"/>
        <w:rPr>
          <w:sz w:val="20"/>
          <w:szCs w:val="20"/>
          <w:color w:val="auto"/>
        </w:rPr>
      </w:pPr>
    </w:p>
    <w:p>
      <w:pPr>
        <w:ind w:left="1640"/>
        <w:spacing w:after="0"/>
        <w:tabs>
          <w:tab w:leader="none" w:pos="6960" w:val="left"/>
        </w:tabs>
        <w:rPr>
          <w:sz w:val="20"/>
          <w:szCs w:val="20"/>
          <w:color w:val="auto"/>
        </w:rPr>
      </w:pPr>
      <w:r>
        <w:rPr>
          <w:rFonts w:ascii="Arial" w:cs="Arial" w:eastAsia="Arial" w:hAnsi="Arial"/>
          <w:sz w:val="18"/>
          <w:szCs w:val="18"/>
          <w:color w:val="auto"/>
        </w:rPr>
        <w:t>outstanding during the year ended December 31, 2018 only include</w:t>
      </w:r>
      <w:r>
        <w:rPr>
          <w:sz w:val="20"/>
          <w:szCs w:val="20"/>
          <w:color w:val="auto"/>
        </w:rPr>
        <w:tab/>
      </w:r>
      <w:r>
        <w:rPr>
          <w:rFonts w:ascii="Arial" w:cs="Arial" w:eastAsia="Arial" w:hAnsi="Arial"/>
          <w:sz w:val="16"/>
          <w:szCs w:val="16"/>
          <w:color w:val="auto"/>
        </w:rPr>
        <w:t>shares to pay such distributions.</w:t>
      </w:r>
    </w:p>
    <w:p>
      <w:pPr>
        <w:spacing w:after="0" w:line="89" w:lineRule="exact"/>
        <w:rPr>
          <w:sz w:val="20"/>
          <w:szCs w:val="20"/>
          <w:color w:val="auto"/>
        </w:rPr>
      </w:pPr>
    </w:p>
    <w:p>
      <w:pPr>
        <w:jc w:val="both"/>
        <w:ind w:left="1640" w:right="879" w:hanging="354"/>
        <w:spacing w:after="0" w:line="264" w:lineRule="auto"/>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cash equivalents and total members’ capital do not reflect the $100.0 million special distribution expected to be paid to the Original LLC Owners prior to the consummation of this offering. See “Dividend Policy.”</w:t>
      </w:r>
    </w:p>
    <w:p>
      <w:pPr>
        <w:spacing w:after="0" w:line="59" w:lineRule="exact"/>
        <w:rPr>
          <w:rFonts w:ascii="Arial" w:cs="Arial" w:eastAsia="Arial" w:hAnsi="Arial"/>
          <w:sz w:val="18"/>
          <w:szCs w:val="18"/>
          <w:color w:val="auto"/>
        </w:rPr>
      </w:pPr>
    </w:p>
    <w:p>
      <w:pPr>
        <w:ind w:left="1640" w:right="1039" w:hanging="354"/>
        <w:spacing w:after="0" w:line="259" w:lineRule="auto"/>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40" w:right="819"/>
        <w:spacing w:after="0" w:line="259"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739"/>
        <w:spacing w:after="0" w:line="254"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4" w:lineRule="exact"/>
        <w:rPr>
          <w:sz w:val="20"/>
          <w:szCs w:val="20"/>
          <w:color w:val="auto"/>
        </w:rPr>
      </w:pPr>
    </w:p>
    <w:p>
      <w:pPr>
        <w:jc w:val="both"/>
        <w:ind w:left="1640" w:right="939"/>
        <w:spacing w:after="0" w:line="264"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2018 Successor Period, the 2018 Predecessor Period and the years ended December 31, 2017 and 2016:</w:t>
      </w:r>
    </w:p>
    <w:p>
      <w:pPr>
        <w:spacing w:after="0" w:line="11" w:lineRule="exact"/>
        <w:rPr>
          <w:sz w:val="20"/>
          <w:szCs w:val="20"/>
          <w:color w:val="auto"/>
        </w:rPr>
      </w:pPr>
    </w:p>
    <w:tbl>
      <w:tblPr>
        <w:tblLayout w:type="fixed"/>
        <w:tblInd w:w="164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5"/>
              </w:rPr>
              <w:t>January 1,</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left="13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left="120"/>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5"/>
          </w:tcPr>
          <w:p>
            <w:pPr>
              <w:jc w:val="right"/>
              <w:ind w:right="66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 from operating activities</w:t>
            </w: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89"/>
              </w:rPr>
              <w:t>112,556</w:t>
            </w:r>
          </w:p>
        </w:tc>
        <w:tc>
          <w:tcPr>
            <w:tcW w:w="120" w:type="dxa"/>
            <w:vAlign w:val="bottom"/>
            <w:tcBorders>
              <w:right w:val="single" w:sz="8" w:color="auto"/>
            </w:tcBorders>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$ 164,828</w:t>
            </w:r>
          </w:p>
        </w:tc>
        <w:tc>
          <w:tcPr>
            <w:tcW w:w="10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$224,580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$171,845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Less: Capitalization of software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(7,156)</w:t>
            </w:r>
          </w:p>
        </w:tc>
        <w:tc>
          <w:tcPr>
            <w:tcW w:w="120" w:type="dxa"/>
            <w:vAlign w:val="bottom"/>
            <w:tcBorders>
              <w:right w:val="single" w:sz="8" w:color="auto"/>
            </w:tcBorders>
          </w:tcPr>
          <w:p>
            <w:pPr>
              <w:spacing w:after="0"/>
              <w:rPr>
                <w:sz w:val="20"/>
                <w:szCs w:val="20"/>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(19,523)</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(27,157)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(25,351)</w:t>
            </w:r>
          </w:p>
        </w:tc>
        <w:tc>
          <w:tcPr>
            <w:tcW w:w="20" w:type="dxa"/>
            <w:vAlign w:val="bottom"/>
          </w:tcPr>
          <w:p>
            <w:pPr>
              <w:spacing w:after="0"/>
              <w:rPr>
                <w:sz w:val="20"/>
                <w:szCs w:val="20"/>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Less: Purchases of furniture, equipment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leasehold improvements</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(9,090)</w:t>
            </w:r>
          </w:p>
        </w:tc>
        <w:tc>
          <w:tcPr>
            <w:tcW w:w="12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(6,327)</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(13,461)</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(9,998)</w:t>
            </w:r>
          </w:p>
        </w:tc>
        <w:tc>
          <w:tcPr>
            <w:tcW w:w="20" w:type="dxa"/>
            <w:vAlign w:val="bottom"/>
            <w:shd w:val="clear" w:color="auto" w:fill="CCEEFF"/>
          </w:tcPr>
          <w:p>
            <w:pPr>
              <w:spacing w:after="0"/>
              <w:rPr>
                <w:sz w:val="20"/>
                <w:szCs w:val="20"/>
                <w:color w:val="auto"/>
              </w:rPr>
            </w:pPr>
          </w:p>
        </w:tc>
      </w:tr>
      <w:tr>
        <w:trPr>
          <w:trHeight w:val="223"/>
        </w:trPr>
        <w:tc>
          <w:tcPr>
            <w:tcW w:w="3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Free Cash Flow</w:t>
            </w: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96,310</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$ 138,978</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183,962</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136,496</w:t>
            </w: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3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29" w:lineRule="exact"/>
        <w:rPr>
          <w:sz w:val="20"/>
          <w:szCs w:val="20"/>
          <w:color w:val="auto"/>
        </w:rPr>
      </w:pPr>
    </w:p>
    <w:p>
      <w:pPr>
        <w:ind w:left="1640" w:right="879" w:hanging="354"/>
        <w:spacing w:after="0" w:line="308" w:lineRule="auto"/>
        <w:tabs>
          <w:tab w:leader="none" w:pos="1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8" w:lineRule="exact"/>
        <w:rPr>
          <w:rFonts w:ascii="Arial" w:cs="Arial" w:eastAsia="Arial" w:hAnsi="Arial"/>
          <w:sz w:val="17"/>
          <w:szCs w:val="17"/>
          <w:color w:val="auto"/>
        </w:rPr>
      </w:pPr>
    </w:p>
    <w:p>
      <w:pPr>
        <w:ind w:left="1640" w:right="739"/>
        <w:spacing w:after="0" w:line="286" w:lineRule="auto"/>
        <w:rPr>
          <w:rFonts w:ascii="Arial" w:cs="Arial" w:eastAsia="Arial" w:hAnsi="Arial"/>
          <w:sz w:val="17"/>
          <w:szCs w:val="17"/>
          <w:color w:val="auto"/>
        </w:rPr>
      </w:pPr>
      <w:r>
        <w:rPr>
          <w:rFonts w:ascii="Arial" w:cs="Arial" w:eastAsia="Arial" w:hAnsi="Arial"/>
          <w:sz w:val="16"/>
          <w:szCs w:val="16"/>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 may be incurred from time to time. We believe it will be useful to exclude stock-based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63" w:lineRule="exact"/>
        <w:rPr>
          <w:rFonts w:ascii="Arial" w:cs="Arial" w:eastAsia="Arial" w:hAnsi="Arial"/>
          <w:sz w:val="17"/>
          <w:szCs w:val="17"/>
          <w:color w:val="auto"/>
        </w:rPr>
      </w:pPr>
    </w:p>
    <w:p>
      <w:pPr>
        <w:ind w:left="1640" w:right="739"/>
        <w:spacing w:after="0" w:line="257" w:lineRule="auto"/>
        <w:rPr>
          <w:rFonts w:ascii="Arial" w:cs="Arial" w:eastAsia="Arial" w:hAnsi="Arial"/>
          <w:sz w:val="17"/>
          <w:szCs w:val="17"/>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rFonts w:ascii="Arial" w:cs="Arial" w:eastAsia="Arial" w:hAnsi="Arial"/>
          <w:sz w:val="17"/>
          <w:szCs w:val="17"/>
          <w:color w:val="auto"/>
        </w:rPr>
      </w:pPr>
    </w:p>
    <w:p>
      <w:pPr>
        <w:ind w:left="1640" w:right="1159"/>
        <w:spacing w:after="0" w:line="277" w:lineRule="auto"/>
        <w:rPr>
          <w:rFonts w:ascii="Arial" w:cs="Arial" w:eastAsia="Arial" w:hAnsi="Arial"/>
          <w:sz w:val="17"/>
          <w:szCs w:val="17"/>
          <w:color w:val="auto"/>
        </w:rPr>
      </w:pPr>
      <w:r>
        <w:rPr>
          <w:rFonts w:ascii="Arial" w:cs="Arial" w:eastAsia="Arial" w:hAnsi="Arial"/>
          <w:sz w:val="18"/>
          <w:szCs w:val="18"/>
          <w:color w:val="auto"/>
        </w:rPr>
        <w:t>Adjusted EBITDA margin is defined as Adjusted EBITDA divided by gross revenue for the applicable period.</w:t>
      </w:r>
    </w:p>
    <w:p>
      <w:pPr>
        <w:spacing w:after="0" w:line="62" w:lineRule="exact"/>
        <w:rPr>
          <w:rFonts w:ascii="Arial" w:cs="Arial" w:eastAsia="Arial" w:hAnsi="Arial"/>
          <w:sz w:val="17"/>
          <w:szCs w:val="17"/>
          <w:color w:val="auto"/>
        </w:rPr>
      </w:pPr>
    </w:p>
    <w:p>
      <w:pPr>
        <w:ind w:left="1640" w:right="1059"/>
        <w:spacing w:after="0" w:line="279" w:lineRule="auto"/>
        <w:rPr>
          <w:rFonts w:ascii="Arial" w:cs="Arial" w:eastAsia="Arial" w:hAnsi="Arial"/>
          <w:sz w:val="17"/>
          <w:szCs w:val="17"/>
          <w:color w:val="auto"/>
        </w:rPr>
      </w:pPr>
      <w:r>
        <w:rPr>
          <w:rFonts w:ascii="Arial" w:cs="Arial" w:eastAsia="Arial" w:hAnsi="Arial"/>
          <w:sz w:val="17"/>
          <w:szCs w:val="17"/>
          <w:color w:val="auto"/>
        </w:rPr>
        <w:t>Adjusted Net Income is defined as net income before contingent consideration, acquisition and Refinitiv Transaction related depreciation and amortization and unrealized foreign exchange gains/losses. We use Adjusted Net Income as a supplemental metric to evaluate our business performance in a way that also considers our ability to generate profit without the impact of certain</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759"/>
        <w:spacing w:after="0" w:line="289" w:lineRule="auto"/>
        <w:rPr>
          <w:sz w:val="20"/>
          <w:szCs w:val="20"/>
          <w:color w:val="auto"/>
        </w:rPr>
      </w:pPr>
      <w:r>
        <w:rPr>
          <w:rFonts w:ascii="Arial" w:cs="Arial" w:eastAsia="Arial" w:hAnsi="Arial"/>
          <w:sz w:val="16"/>
          <w:szCs w:val="16"/>
          <w:color w:val="auto"/>
        </w:rPr>
        <w:t>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59" w:lineRule="exact"/>
        <w:rPr>
          <w:sz w:val="20"/>
          <w:szCs w:val="20"/>
          <w:color w:val="auto"/>
        </w:rPr>
      </w:pPr>
    </w:p>
    <w:p>
      <w:pPr>
        <w:ind w:left="1640" w:right="719"/>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table set forth below presents a reconciliation of net income to Adjusted EBITDA for the 2018</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Successor Period, the 2018 Predecessor Period and the years ended December 31, 2017 and 2016:</w:t>
      </w:r>
    </w:p>
    <w:p>
      <w:pPr>
        <w:spacing w:after="0" w:line="160" w:lineRule="exact"/>
        <w:rPr>
          <w:sz w:val="20"/>
          <w:szCs w:val="20"/>
          <w:color w:val="auto"/>
        </w:rPr>
      </w:pPr>
    </w:p>
    <w:tbl>
      <w:tblPr>
        <w:tblLayout w:type="fixed"/>
        <w:tblInd w:w="164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3460" w:type="dxa"/>
            <w:vAlign w:val="bottom"/>
          </w:tcPr>
          <w:p>
            <w:pPr>
              <w:spacing w:after="0"/>
              <w:rPr>
                <w:sz w:val="2"/>
                <w:szCs w:val="2"/>
                <w:color w:val="auto"/>
              </w:rPr>
            </w:pPr>
          </w:p>
        </w:tc>
        <w:tc>
          <w:tcPr>
            <w:tcW w:w="960" w:type="dxa"/>
            <w:vAlign w:val="bottom"/>
            <w:tcBorders>
              <w:bottom w:val="single" w:sz="8" w:color="auto"/>
              <w:right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3460" w:type="dxa"/>
            <w:vAlign w:val="bottom"/>
          </w:tcPr>
          <w:p>
            <w:pPr>
              <w:spacing w:after="0"/>
              <w:rPr>
                <w:sz w:val="15"/>
                <w:szCs w:val="15"/>
                <w:color w:val="auto"/>
              </w:rPr>
            </w:pPr>
          </w:p>
        </w:tc>
        <w:tc>
          <w:tcPr>
            <w:tcW w:w="96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October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2018 to</w:t>
            </w: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460" w:type="dxa"/>
            <w:vAlign w:val="bottom"/>
          </w:tcPr>
          <w:p>
            <w:pPr>
              <w:spacing w:after="0"/>
              <w:rPr>
                <w:sz w:val="14"/>
                <w:szCs w:val="14"/>
                <w:color w:val="auto"/>
              </w:rPr>
            </w:pPr>
          </w:p>
        </w:tc>
        <w:tc>
          <w:tcPr>
            <w:tcW w:w="9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c>
          <w:tcPr>
            <w:tcW w:w="10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8"/>
              </w:rPr>
              <w:t>December 31,</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460" w:type="dxa"/>
            <w:vAlign w:val="bottom"/>
          </w:tcPr>
          <w:p>
            <w:pPr>
              <w:spacing w:after="0"/>
              <w:rPr>
                <w:sz w:val="16"/>
                <w:szCs w:val="16"/>
                <w:color w:val="auto"/>
              </w:rPr>
            </w:pPr>
          </w:p>
        </w:tc>
        <w:tc>
          <w:tcPr>
            <w:tcW w:w="7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$ 29,307</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$ 130,160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83,648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93,161</w:t>
            </w:r>
          </w:p>
        </w:tc>
        <w:tc>
          <w:tcPr>
            <w:tcW w:w="20" w:type="dxa"/>
            <w:vAlign w:val="bottom"/>
            <w:shd w:val="clear" w:color="auto" w:fill="CCEEFF"/>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26,830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58,520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26,224</w:t>
            </w:r>
          </w:p>
        </w:tc>
        <w:tc>
          <w:tcPr>
            <w:tcW w:w="20" w:type="dxa"/>
            <w:vAlign w:val="bottom"/>
          </w:tcPr>
          <w:p>
            <w:pPr>
              <w:spacing w:after="0"/>
              <w:rPr>
                <w:sz w:val="22"/>
                <w:szCs w:val="22"/>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9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(787)</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(1,726)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CEEFF"/>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33,020</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48,808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68,615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80,859</w:t>
            </w:r>
          </w:p>
        </w:tc>
        <w:tc>
          <w:tcPr>
            <w:tcW w:w="20" w:type="dxa"/>
            <w:vAlign w:val="bottom"/>
          </w:tcPr>
          <w:p>
            <w:pPr>
              <w:spacing w:after="0"/>
              <w:rPr>
                <w:sz w:val="22"/>
                <w:szCs w:val="22"/>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3,415</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11,900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6,129</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22"/>
                <w:szCs w:val="22"/>
                <w:color w:val="auto"/>
              </w:rPr>
            </w:pPr>
          </w:p>
        </w:tc>
      </w:tr>
      <w:tr>
        <w:trPr>
          <w:trHeight w:val="263"/>
        </w:trPr>
        <w:tc>
          <w:tcPr>
            <w:tcW w:w="3460" w:type="dxa"/>
            <w:vAlign w:val="bottom"/>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263</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22"/>
                <w:szCs w:val="22"/>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22"/>
                <w:szCs w:val="22"/>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$ 65,218</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$ 215,012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215,863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202,086</w:t>
            </w:r>
          </w:p>
        </w:tc>
        <w:tc>
          <w:tcPr>
            <w:tcW w:w="20" w:type="dxa"/>
            <w:vAlign w:val="bottom"/>
            <w:shd w:val="clear" w:color="auto" w:fill="CCEEFF"/>
          </w:tcPr>
          <w:p>
            <w:pPr>
              <w:spacing w:after="0"/>
              <w:rPr>
                <w:sz w:val="22"/>
                <w:szCs w:val="22"/>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62"/>
        </w:trPr>
        <w:tc>
          <w:tcPr>
            <w:tcW w:w="3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table set forth below presents a reconciliation of net income to Adjusted Net Income for the 2018</w:t>
      </w:r>
    </w:p>
    <w:p>
      <w:pPr>
        <w:spacing w:after="0" w:line="35"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Successor Period, the 2018 Predecessor Period and the years ended December 31, 2017 and 2016:</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Tradeweb Markets LLC</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5"/>
              </w:rPr>
              <w:t>October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5"/>
              </w:rPr>
              <w:t>2018 to</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2018 to</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40" w:type="dxa"/>
            <w:vAlign w:val="bottom"/>
            <w:gridSpan w:val="2"/>
          </w:tcPr>
          <w:p>
            <w:pPr>
              <w:jc w:val="center"/>
              <w:ind w:left="81"/>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6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7"/>
        </w:trPr>
        <w:tc>
          <w:tcPr>
            <w:tcW w:w="34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$ 29,307</w:t>
            </w:r>
          </w:p>
        </w:tc>
        <w:tc>
          <w:tcPr>
            <w:tcW w:w="100" w:type="dxa"/>
            <w:vAlign w:val="bottom"/>
            <w:tcBorders>
              <w:right w:val="single" w:sz="8" w:color="auto"/>
            </w:tcBorders>
            <w:shd w:val="clear" w:color="auto" w:fill="CCEEFF"/>
          </w:tcPr>
          <w:p>
            <w:pPr>
              <w:spacing w:after="0"/>
              <w:rPr>
                <w:sz w:val="22"/>
                <w:szCs w:val="22"/>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$ 130,160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83,648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93,161</w:t>
            </w:r>
          </w:p>
        </w:tc>
        <w:tc>
          <w:tcPr>
            <w:tcW w:w="20" w:type="dxa"/>
            <w:vAlign w:val="bottom"/>
            <w:shd w:val="clear" w:color="auto" w:fill="CCEEFF"/>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26,830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58,520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26,224</w:t>
            </w:r>
          </w:p>
        </w:tc>
        <w:tc>
          <w:tcPr>
            <w:tcW w:w="20" w:type="dxa"/>
            <w:vAlign w:val="bottom"/>
          </w:tcPr>
          <w:p>
            <w:pPr>
              <w:spacing w:after="0"/>
              <w:rPr>
                <w:sz w:val="22"/>
                <w:szCs w:val="22"/>
                <w:color w:val="auto"/>
              </w:rPr>
            </w:pPr>
          </w:p>
        </w:tc>
      </w:tr>
      <w:tr>
        <w:trPr>
          <w:trHeight w:val="192"/>
        </w:trPr>
        <w:tc>
          <w:tcPr>
            <w:tcW w:w="340" w:type="dxa"/>
            <w:vAlign w:val="bottom"/>
          </w:tcPr>
          <w:p>
            <w:pPr>
              <w:spacing w:after="0"/>
              <w:rPr>
                <w:sz w:val="16"/>
                <w:szCs w:val="16"/>
                <w:color w:val="auto"/>
              </w:rPr>
            </w:pPr>
          </w:p>
        </w:tc>
        <w:tc>
          <w:tcPr>
            <w:tcW w:w="34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8"/>
              </w:rPr>
              <w:t>Acquisition and Refinitiv Transaction related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94"/>
        </w:trPr>
        <w:tc>
          <w:tcPr>
            <w:tcW w:w="340" w:type="dxa"/>
            <w:vAlign w:val="bottom"/>
          </w:tcPr>
          <w:p>
            <w:pPr>
              <w:spacing w:after="0"/>
              <w:rPr>
                <w:sz w:val="24"/>
                <w:szCs w:val="24"/>
                <w:color w:val="auto"/>
              </w:rPr>
            </w:pPr>
          </w:p>
        </w:tc>
        <w:tc>
          <w:tcPr>
            <w:tcW w:w="348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7"/>
                <w:szCs w:val="27"/>
                <w:color w:val="auto"/>
                <w:vertAlign w:val="superscript"/>
              </w:rPr>
              <w:t>(a)</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22,413</w:t>
            </w:r>
          </w:p>
        </w:tc>
        <w:tc>
          <w:tcPr>
            <w:tcW w:w="100" w:type="dxa"/>
            <w:vAlign w:val="bottom"/>
            <w:tcBorders>
              <w:right w:val="single" w:sz="8" w:color="auto"/>
            </w:tcBorders>
            <w:shd w:val="clear" w:color="auto" w:fill="CCEEFF"/>
          </w:tcPr>
          <w:p>
            <w:pPr>
              <w:spacing w:after="0"/>
              <w:rPr>
                <w:sz w:val="24"/>
                <w:szCs w:val="24"/>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19,576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31,236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41,125</w:t>
            </w:r>
          </w:p>
        </w:tc>
        <w:tc>
          <w:tcPr>
            <w:tcW w:w="20" w:type="dxa"/>
            <w:vAlign w:val="bottom"/>
            <w:shd w:val="clear" w:color="auto" w:fill="CCEEFF"/>
          </w:tcPr>
          <w:p>
            <w:pPr>
              <w:spacing w:after="0"/>
              <w:rPr>
                <w:sz w:val="24"/>
                <w:szCs w:val="24"/>
                <w:color w:val="auto"/>
              </w:rPr>
            </w:pPr>
          </w:p>
        </w:tc>
      </w:tr>
      <w:tr>
        <w:trPr>
          <w:trHeight w:val="263"/>
        </w:trPr>
        <w:tc>
          <w:tcPr>
            <w:tcW w:w="34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00" w:type="dxa"/>
            <w:vAlign w:val="bottom"/>
            <w:tcBorders>
              <w:right w:val="single" w:sz="8" w:color="auto"/>
            </w:tcBorders>
          </w:tcPr>
          <w:p>
            <w:pPr>
              <w:spacing w:after="0"/>
              <w:rPr>
                <w:sz w:val="22"/>
                <w:szCs w:val="22"/>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57"/>
        </w:trPr>
        <w:tc>
          <w:tcPr>
            <w:tcW w:w="34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$ 51,983</w:t>
            </w:r>
          </w:p>
        </w:tc>
        <w:tc>
          <w:tcPr>
            <w:tcW w:w="100" w:type="dxa"/>
            <w:vAlign w:val="bottom"/>
            <w:tcBorders>
              <w:right w:val="single" w:sz="8" w:color="auto"/>
            </w:tcBorders>
            <w:shd w:val="clear" w:color="auto" w:fill="CCEEFF"/>
          </w:tcPr>
          <w:p>
            <w:pPr>
              <w:spacing w:after="0"/>
              <w:rPr>
                <w:sz w:val="22"/>
                <w:szCs w:val="22"/>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$ 175,606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173,040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162,382</w:t>
            </w:r>
          </w:p>
        </w:tc>
        <w:tc>
          <w:tcPr>
            <w:tcW w:w="20" w:type="dxa"/>
            <w:vAlign w:val="bottom"/>
            <w:shd w:val="clear" w:color="auto" w:fill="CCEEFF"/>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62"/>
        </w:trPr>
        <w:tc>
          <w:tcPr>
            <w:tcW w:w="3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2" w:lineRule="exact"/>
        <w:rPr>
          <w:sz w:val="20"/>
          <w:szCs w:val="20"/>
          <w:color w:val="auto"/>
        </w:rPr>
      </w:pPr>
    </w:p>
    <w:p>
      <w:pPr>
        <w:ind w:left="1640" w:right="779" w:hanging="354"/>
        <w:spacing w:after="0" w:line="312"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acquisition 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following risks, together with all of the other information contained in this prospectus,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5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02"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75" w:lineRule="exact"/>
        <w:rPr>
          <w:sz w:val="20"/>
          <w:szCs w:val="20"/>
          <w:color w:val="auto"/>
        </w:rPr>
      </w:pPr>
    </w:p>
    <w:p>
      <w:pPr>
        <w:ind w:left="1260" w:right="839" w:firstLine="360"/>
        <w:spacing w:after="0" w:line="302" w:lineRule="auto"/>
        <w:rPr>
          <w:sz w:val="20"/>
          <w:szCs w:val="20"/>
          <w:color w:val="auto"/>
        </w:rPr>
      </w:pPr>
      <w:r>
        <w:rPr>
          <w:rFonts w:ascii="Arial" w:cs="Arial" w:eastAsia="Arial" w:hAnsi="Arial"/>
          <w:sz w:val="16"/>
          <w:szCs w:val="16"/>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60" w:lineRule="exact"/>
        <w:rPr>
          <w:sz w:val="20"/>
          <w:szCs w:val="20"/>
          <w:color w:val="auto"/>
        </w:rPr>
      </w:pPr>
    </w:p>
    <w:p>
      <w:pPr>
        <w:ind w:left="1980" w:right="1099" w:hanging="352"/>
        <w:spacing w:after="0" w:line="279" w:lineRule="auto"/>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economic and political conditions and uncertainties in the United States, the United Kingdom, the European Union and/or its member states, China or other major economies around the world, including, among other things, the proposed exit by the United Kingdom from the European Union (“Brexit”) or any prolonged shutdown of the U.S. government;</w:t>
      </w:r>
    </w:p>
    <w:p>
      <w:pPr>
        <w:spacing w:after="0" w:line="63" w:lineRule="exact"/>
        <w:rPr>
          <w:rFonts w:ascii="Arial" w:cs="Arial" w:eastAsia="Arial" w:hAnsi="Arial"/>
          <w:sz w:val="17"/>
          <w:szCs w:val="17"/>
          <w:color w:val="auto"/>
        </w:rPr>
      </w:pPr>
    </w:p>
    <w:p>
      <w:pPr>
        <w:ind w:left="1980" w:right="1379" w:hanging="352"/>
        <w:spacing w:after="0" w:line="342" w:lineRule="auto"/>
        <w:tabs>
          <w:tab w:leader="none" w:pos="1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effect of Federal Reserve Board and other central banks’ monetary policy, increased capital requirements for banks and other financial institutions, and other regulatory requirements;</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adverse market conditions, including unforeseen market closures or other disruptions in trading;</w:t>
      </w:r>
    </w:p>
    <w:p>
      <w:pPr>
        <w:spacing w:after="0" w:line="128" w:lineRule="exact"/>
        <w:rPr>
          <w:rFonts w:ascii="Arial" w:cs="Arial" w:eastAsia="Arial" w:hAnsi="Arial"/>
          <w:sz w:val="17"/>
          <w:szCs w:val="17"/>
          <w:color w:val="auto"/>
        </w:rPr>
      </w:pPr>
    </w:p>
    <w:p>
      <w:pPr>
        <w:ind w:left="1980" w:right="77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spacing w:after="0" w:line="75" w:lineRule="exact"/>
        <w:rPr>
          <w:rFonts w:ascii="Arial" w:cs="Arial" w:eastAsia="Arial" w:hAnsi="Arial"/>
          <w:sz w:val="18"/>
          <w:szCs w:val="18"/>
          <w:color w:val="auto"/>
        </w:rPr>
      </w:pPr>
    </w:p>
    <w:p>
      <w:pPr>
        <w:ind w:left="1980" w:right="165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concerns over inflation and weakening consumer and investor confidence levels;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concerns over credit default or bankruptcy of one or more sovereign nations or corporate entities;</w:t>
      </w:r>
    </w:p>
    <w:p>
      <w:pPr>
        <w:spacing w:after="0" w:line="128" w:lineRule="exact"/>
        <w:rPr>
          <w:rFonts w:ascii="Arial" w:cs="Arial" w:eastAsia="Arial" w:hAnsi="Arial"/>
          <w:sz w:val="17"/>
          <w:szCs w:val="17"/>
          <w:color w:val="auto"/>
        </w:rPr>
      </w:pPr>
    </w:p>
    <w:p>
      <w:pPr>
        <w:ind w:left="1980" w:right="779" w:hanging="352"/>
        <w:spacing w:after="0" w:line="308" w:lineRule="auto"/>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legislative and regulatory changes, including changes to financial industry regulations and tax laws that could limit the ability of market participants to engage in a wider array of trading activities;</w:t>
      </w:r>
    </w:p>
    <w:p>
      <w:pPr>
        <w:spacing w:after="0" w:line="51" w:lineRule="exact"/>
        <w:rPr>
          <w:rFonts w:ascii="Arial" w:cs="Arial" w:eastAsia="Arial" w:hAnsi="Arial"/>
          <w:sz w:val="17"/>
          <w:szCs w:val="17"/>
          <w:color w:val="auto"/>
        </w:rPr>
      </w:pPr>
    </w:p>
    <w:p>
      <w:pPr>
        <w:ind w:left="1980" w:right="93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 and</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threatened acts of war, terrorism or other armed hostilities.</w:t>
      </w:r>
    </w:p>
    <w:p>
      <w:pPr>
        <w:spacing w:after="0" w:line="117"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59" w:lineRule="exact"/>
        <w:rPr>
          <w:sz w:val="20"/>
          <w:szCs w:val="20"/>
          <w:color w:val="auto"/>
        </w:rPr>
      </w:pPr>
    </w:p>
    <w:p>
      <w:pPr>
        <w:ind w:left="1260" w:right="959" w:firstLine="360"/>
        <w:spacing w:after="0" w:line="276" w:lineRule="auto"/>
        <w:rPr>
          <w:sz w:val="20"/>
          <w:szCs w:val="20"/>
          <w:color w:val="auto"/>
        </w:rPr>
      </w:pPr>
      <w:r>
        <w:rPr>
          <w:rFonts w:ascii="Arial" w:cs="Arial" w:eastAsia="Arial" w:hAnsi="Arial"/>
          <w:sz w:val="17"/>
          <w:szCs w:val="17"/>
          <w:color w:val="auto"/>
        </w:rPr>
        <w:t>In the event of stagnant economic conditions or stability in the U.S. and/or global financial markets, we would likely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markets could be jeopardized, which, in turn, could further discourage clients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80"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54"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75"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We face intense competition in both the financial services industry generally and the institutional, wholesale and retail client sectors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57"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61"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trading protocols we offer our clients.</w:t>
      </w:r>
    </w:p>
    <w:p>
      <w:pPr>
        <w:spacing w:after="0" w:line="65" w:lineRule="exact"/>
        <w:rPr>
          <w:sz w:val="20"/>
          <w:szCs w:val="20"/>
          <w:color w:val="auto"/>
        </w:rPr>
      </w:pPr>
    </w:p>
    <w:p>
      <w:pPr>
        <w:jc w:val="both"/>
        <w:ind w:left="1260" w:right="839" w:firstLine="360"/>
        <w:spacing w:after="0" w:line="276" w:lineRule="auto"/>
        <w:rPr>
          <w:sz w:val="20"/>
          <w:szCs w:val="20"/>
          <w:color w:val="auto"/>
        </w:rPr>
      </w:pPr>
      <w:r>
        <w:rPr>
          <w:rFonts w:ascii="Arial" w:cs="Arial" w:eastAsia="Arial" w:hAnsi="Arial"/>
          <w:sz w:val="17"/>
          <w:szCs w:val="17"/>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Intercontinental Exchange (“ICE”) recently acquired BondPoint, TMC Bonds and IDC, in an effort to expand its portfolio of fixed income products and services. In</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93" w:lineRule="auto"/>
        <w:rPr>
          <w:sz w:val="20"/>
          <w:szCs w:val="20"/>
          <w:color w:val="auto"/>
        </w:rPr>
      </w:pPr>
      <w:r>
        <w:rPr>
          <w:rFonts w:ascii="Arial" w:cs="Arial" w:eastAsia="Arial" w:hAnsi="Arial"/>
          <w:sz w:val="16"/>
          <w:szCs w:val="16"/>
          <w:color w:val="auto"/>
        </w:rPr>
        <w:t>addition, in 2018, CME Group completed its acquisition of NEX Group, which expands CME Group’s offerings to include NEX Group’s OTC foreign exchange and rates products and market data. If, as a result of industry consolidation, our competitors are able to offer lower cost (including fixed cost proceeds compared to our variable fees)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57"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a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166" w:lineRule="exact"/>
        <w:rPr>
          <w:sz w:val="20"/>
          <w:szCs w:val="20"/>
          <w:color w:val="auto"/>
        </w:rPr>
      </w:pPr>
    </w:p>
    <w:p>
      <w:pPr>
        <w:ind w:left="1260" w:right="799"/>
        <w:spacing w:after="0" w:line="253" w:lineRule="auto"/>
        <w:rPr>
          <w:sz w:val="20"/>
          <w:szCs w:val="20"/>
          <w:color w:val="auto"/>
        </w:rPr>
      </w:pPr>
      <w:r>
        <w:rPr>
          <w:rFonts w:ascii="Arial" w:cs="Arial" w:eastAsia="Arial" w:hAnsi="Arial"/>
          <w:sz w:val="17"/>
          <w:szCs w:val="17"/>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71"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59"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89" w:lineRule="exact"/>
        <w:rPr>
          <w:sz w:val="20"/>
          <w:szCs w:val="20"/>
          <w:color w:val="auto"/>
        </w:rPr>
      </w:pPr>
    </w:p>
    <w:p>
      <w:pPr>
        <w:ind w:left="1980" w:right="117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89" w:lineRule="exact"/>
        <w:rPr>
          <w:rFonts w:ascii="Arial" w:cs="Arial" w:eastAsia="Arial" w:hAnsi="Arial"/>
          <w:sz w:val="18"/>
          <w:szCs w:val="18"/>
          <w:color w:val="auto"/>
        </w:rPr>
      </w:pPr>
    </w:p>
    <w:p>
      <w:pPr>
        <w:ind w:left="1980" w:right="819" w:hanging="352"/>
        <w:spacing w:after="0" w:line="286" w:lineRule="auto"/>
        <w:tabs>
          <w:tab w:leader="none" w:pos="1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develop and/or license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84" w:lineRule="exact"/>
        <w:rPr>
          <w:rFonts w:ascii="Arial" w:cs="Arial" w:eastAsia="Arial" w:hAnsi="Arial"/>
          <w:sz w:val="17"/>
          <w:szCs w:val="17"/>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144" w:lineRule="exact"/>
        <w:rPr>
          <w:rFonts w:ascii="Arial" w:cs="Arial" w:eastAsia="Arial" w:hAnsi="Arial"/>
          <w:sz w:val="18"/>
          <w:szCs w:val="18"/>
          <w:color w:val="auto"/>
        </w:rPr>
      </w:pPr>
    </w:p>
    <w:p>
      <w:pPr>
        <w:ind w:left="1980" w:right="859" w:hanging="352"/>
        <w:spacing w:after="0" w:line="342" w:lineRule="auto"/>
        <w:tabs>
          <w:tab w:leader="none" w:pos="1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respond to competitive pressures, technological advances, including new or disruptive technology, emerging industry standards and practices and regulatory changes on a cost-effective and timely basis;</w:t>
      </w:r>
    </w:p>
    <w:p>
      <w:pPr>
        <w:spacing w:after="0" w:line="29" w:lineRule="exact"/>
        <w:rPr>
          <w:rFonts w:ascii="Arial" w:cs="Arial" w:eastAsia="Arial" w:hAnsi="Arial"/>
          <w:sz w:val="16"/>
          <w:szCs w:val="16"/>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operate, support, expand, adapt and develop our operations, systems, networks and infrastructure;</w:t>
      </w:r>
    </w:p>
    <w:p>
      <w:pPr>
        <w:spacing w:after="0" w:line="155" w:lineRule="exact"/>
        <w:rPr>
          <w:rFonts w:ascii="Arial" w:cs="Arial" w:eastAsia="Arial" w:hAnsi="Arial"/>
          <w:sz w:val="17"/>
          <w:szCs w:val="17"/>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57"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new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5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54" w:lineRule="exact"/>
        <w:rPr>
          <w:sz w:val="20"/>
          <w:szCs w:val="20"/>
          <w:color w:val="auto"/>
        </w:rPr>
      </w:pPr>
    </w:p>
    <w:p>
      <w:pPr>
        <w:ind w:left="1260" w:right="1299"/>
        <w:spacing w:after="0" w:line="246"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75"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85"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65"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26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We are dependent on our dealer clients that are also stockholders to support our marketplaces by transacting with our other institutional, wholesale and retail clients.</w:t>
      </w:r>
    </w:p>
    <w:p>
      <w:pPr>
        <w:spacing w:after="0" w:line="7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We rely on our dealer clients to provide liquidity on our trading platforms by posting prices on our platforms and responding to client inquiries. In particular, we have historically earned a substantial portion of our revenues from dealer clients that are also stockholders. We refer to these clients and stockholders as the “Bank Stockholders.” For the combined year ended December 31, 2018 and the years ended December 31, 2017 and 2016, 42.2%, 41.3% and 40.8%, respectively, of our revenues were generated by the Bank Stockholders and their affiliates. Market knowledge and feedback from these Bank Stockholders have been important factors in the development of many of our offerings and solutions. In addition, these Bank Stockholders also provide us with data via feeds and through the transactions they execute on our trading platforms, which is an important input for our market data offerings.</w:t>
      </w:r>
    </w:p>
    <w:p>
      <w:pPr>
        <w:spacing w:after="0" w:line="74"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There are inherent risks whenever a significant percentage of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Bank Stockholder’s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7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Bank Stockholders or their affiliates, as is typical for a large number of major banks, have their own single bank or other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61"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Although we have established and maintain significant long-term relationships with our key dealer clients, we cannot assure you that all of these relationships will continue or will not diminish. In addition, it is possible that the Bank Stockholders may reduce their engagement with us after this offering due to the reduction in the level of their equity ownership following the completion of this offering.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169" w:lineRule="exact"/>
        <w:rPr>
          <w:sz w:val="20"/>
          <w:szCs w:val="20"/>
          <w:color w:val="auto"/>
        </w:rPr>
      </w:pPr>
    </w:p>
    <w:p>
      <w:pPr>
        <w:ind w:left="1260" w:right="859"/>
        <w:spacing w:after="0" w:line="307" w:lineRule="auto"/>
        <w:rPr>
          <w:sz w:val="20"/>
          <w:szCs w:val="20"/>
          <w:color w:val="auto"/>
        </w:rPr>
      </w:pPr>
      <w:r>
        <w:rPr>
          <w:rFonts w:ascii="Arial" w:cs="Arial" w:eastAsia="Arial" w:hAnsi="Arial"/>
          <w:sz w:val="16"/>
          <w:szCs w:val="16"/>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29"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1079"/>
        <w:spacing w:after="0" w:line="264" w:lineRule="auto"/>
        <w:rPr>
          <w:sz w:val="20"/>
          <w:szCs w:val="20"/>
          <w:color w:val="auto"/>
        </w:rPr>
      </w:pPr>
      <w:r>
        <w:rPr>
          <w:rFonts w:ascii="Arial" w:cs="Arial" w:eastAsia="Arial" w:hAnsi="Arial"/>
          <w:sz w:val="18"/>
          <w:szCs w:val="18"/>
          <w:color w:val="auto"/>
        </w:rPr>
        <w:t>significant reduction in their use of our platforms and solutions could have a material negative impact on our trading volumes and revenues, and materially adversely affect our business, financial condition and results of operations.</w:t>
      </w:r>
    </w:p>
    <w:p>
      <w:pPr>
        <w:spacing w:after="0" w:line="168"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81"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6"/>
          <w:szCs w:val="16"/>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57"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61"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79" w:lineRule="exact"/>
        <w:rPr>
          <w:sz w:val="20"/>
          <w:szCs w:val="20"/>
          <w:color w:val="auto"/>
        </w:rPr>
      </w:pPr>
    </w:p>
    <w:p>
      <w:pPr>
        <w:ind w:left="1260" w:right="999"/>
        <w:spacing w:after="0" w:line="246" w:lineRule="auto"/>
        <w:rPr>
          <w:sz w:val="20"/>
          <w:szCs w:val="20"/>
          <w:color w:val="auto"/>
        </w:rPr>
      </w:pPr>
      <w:r>
        <w:rPr>
          <w:rFonts w:ascii="Arial" w:cs="Arial" w:eastAsia="Arial" w:hAnsi="Arial"/>
          <w:sz w:val="18"/>
          <w:szCs w:val="18"/>
          <w:b w:val="1"/>
          <w:bCs w:val="1"/>
          <w:i w:val="1"/>
          <w:iCs w:val="1"/>
          <w:color w:val="auto"/>
        </w:rPr>
        <w:t>Our business could be harmed if we are unable to maintain and grow the capacity of our trading platforms, systems and infrastructure.</w:t>
      </w:r>
    </w:p>
    <w:p>
      <w:pPr>
        <w:spacing w:after="0" w:line="75"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 in our clients deciding to stop using or to reduce their use of our trading platforms, either of which would have a material adverse effect on our business, financial condition and results of operations.</w:t>
      </w:r>
    </w:p>
    <w:p>
      <w:pPr>
        <w:spacing w:after="0" w:line="85"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58"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75"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Despite testing, our platforms and solutions may contain design defects and errors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75"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51" w:lineRule="exact"/>
        <w:rPr>
          <w:sz w:val="20"/>
          <w:szCs w:val="20"/>
          <w:color w:val="auto"/>
        </w:rPr>
      </w:pPr>
    </w:p>
    <w:p>
      <w:pPr>
        <w:ind w:left="1260" w:right="1359"/>
        <w:spacing w:after="0" w:line="307" w:lineRule="auto"/>
        <w:rPr>
          <w:sz w:val="20"/>
          <w:szCs w:val="20"/>
          <w:color w:val="auto"/>
        </w:rPr>
      </w:pPr>
      <w:r>
        <w:rPr>
          <w:rFonts w:ascii="Arial" w:cs="Arial" w:eastAsia="Arial" w:hAnsi="Arial"/>
          <w:sz w:val="16"/>
          <w:szCs w:val="16"/>
          <w:b w:val="1"/>
          <w:bCs w:val="1"/>
          <w:i w:val="1"/>
          <w:iCs w:val="1"/>
          <w:color w:val="auto"/>
        </w:rPr>
        <w:t>Systems failures, interruptions, delays in service, catastrophic events and resulting interruptions in the availability of our platform or solution could materially harm our business and reputation.</w:t>
      </w:r>
    </w:p>
    <w:p>
      <w:pPr>
        <w:spacing w:after="0" w:line="29"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Our business depends on the efficient and uninterrupted operation of our platforms, systems, networks and infrastructure. We cannot assure you that we, or our third-party providers, will not experience systems failures or business interruptions. Our systems, networks, infrastructure and other operations, in particular our trading platforms, are vulnerable to impact or interruption from a wide variety of causes, including: irregular or heavy use of our trading platforms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or terrorism;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72"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281"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Commodity Futures Trading Commission (“CFTC”) subject portions of our trading platforms and other technological systems related to our swap execution facilities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59" w:lineRule="exact"/>
        <w:rPr>
          <w:sz w:val="20"/>
          <w:szCs w:val="20"/>
          <w:color w:val="auto"/>
        </w:rPr>
      </w:pPr>
    </w:p>
    <w:p>
      <w:pPr>
        <w:ind w:left="1260" w:right="939"/>
        <w:spacing w:after="0" w:line="235" w:lineRule="auto"/>
        <w:rPr>
          <w:sz w:val="20"/>
          <w:szCs w:val="20"/>
          <w:color w:val="auto"/>
        </w:rPr>
      </w:pPr>
      <w:r>
        <w:rPr>
          <w:rFonts w:ascii="Arial" w:cs="Arial" w:eastAsia="Arial" w:hAnsi="Arial"/>
          <w:sz w:val="18"/>
          <w:szCs w:val="18"/>
          <w:b w:val="1"/>
          <w:bCs w:val="1"/>
          <w:i w:val="1"/>
          <w:iCs w:val="1"/>
          <w:color w:val="auto"/>
        </w:rPr>
        <w:t>Actual or perceived security vulnerabilities in our systems, networks and infrastructure, breaches of security controls, unauthorized access to confidential information or cyber-attacks could harm our business, reputation and results of operations.</w:t>
      </w:r>
    </w:p>
    <w:p>
      <w:pPr>
        <w:spacing w:after="0" w:line="81"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Our business relies on technology and automation to perform significant functions within our firm. Because of our reliance on technology, we are susceptible to various cyber-threats to our systems, network and infrastructure.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improperly modify or degrade our information, systems, networks and infrastructure, the introduction of computer viruses and other malicious codes and fraudulent “phishing” emails that seek to misappropriate data and information or install malware onto users’ computers. We carry what we believe are sufficient levels of cyber insurance. However, if one or more cyber-attacks occur, it could jeopardize the confidential, proprietary and other information processed and stored in, and transmitted through, our systems and networks, or cause interruptions or malfunctions in our operations, which could result in reputational damage, financial losses, client dissatisfaction and/or regulatory fines and penalties, which may not in all cases be covered by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While we have dedicated personnel who are responsible for maintaining our cybersecurity program and training our employees on cybersecurity, and while we utilize third-party technology product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may be unable to anticipate these techniques or to implement adequate defensive measures or security controls. Additionally, we may be required in the future to incur significant costs to continue to minimize, mitigate against or alleviate the effects of cyber-attacks or other security vulnerabilities and to protect against damage caused by disruptions or cyber-attacks that may occur.</w:t>
      </w:r>
    </w:p>
    <w:p>
      <w:pPr>
        <w:spacing w:after="0" w:line="51"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6"/>
          <w:szCs w:val="16"/>
          <w:color w:val="auto"/>
        </w:rPr>
        <w:t>There have been an increasing number of cyber-attacks in recent years in various industries, including ours, and cybersecurity risk management has been the subject of increasing focus by U.S. and foreign regulators. As a result,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reputational harm.</w:t>
      </w:r>
    </w:p>
    <w:p>
      <w:pPr>
        <w:spacing w:after="0" w:line="43"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color w:val="auto"/>
        </w:rPr>
        <w:t>Although we have not been a victim of a cyber-attacks or other cyber incidents that have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trading platforms, security measures and reliability, which would materially harm our ability to retain clients and gain new ones.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are dependent on third parties for our pre- and post-trade data, analytics and reporting solutions.</w:t>
      </w:r>
    </w:p>
    <w:p>
      <w:pPr>
        <w:spacing w:after="0" w:line="88"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48"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39" w:firstLine="360"/>
        <w:spacing w:after="0" w:line="312" w:lineRule="auto"/>
        <w:rPr>
          <w:sz w:val="20"/>
          <w:szCs w:val="20"/>
          <w:color w:val="auto"/>
        </w:rPr>
      </w:pPr>
      <w:r>
        <w:rPr>
          <w:rFonts w:ascii="Arial" w:cs="Arial" w:eastAsia="Arial" w:hAnsi="Arial"/>
          <w:sz w:val="16"/>
          <w:szCs w:val="16"/>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3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We are dependent upon our trading counterparties and clearinghouses to perform their obligations to us.</w:t>
      </w:r>
    </w:p>
    <w:p>
      <w:pPr>
        <w:spacing w:after="0" w:line="11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Our business consists of providing consistent two-sided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161" w:lineRule="exact"/>
        <w:rPr>
          <w:sz w:val="20"/>
          <w:szCs w:val="20"/>
          <w:color w:val="auto"/>
        </w:rPr>
      </w:pPr>
    </w:p>
    <w:p>
      <w:pPr>
        <w:ind w:left="1260" w:right="739"/>
        <w:spacing w:after="0" w:line="235" w:lineRule="auto"/>
        <w:rPr>
          <w:sz w:val="20"/>
          <w:szCs w:val="20"/>
          <w:color w:val="auto"/>
        </w:rPr>
      </w:pPr>
      <w:r>
        <w:rPr>
          <w:rFonts w:ascii="Arial" w:cs="Arial" w:eastAsia="Arial" w:hAnsi="Arial"/>
          <w:sz w:val="18"/>
          <w:szCs w:val="18"/>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81"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We may incur losses as a result of unforeseen or catastrophic events, including fire, natural disasters, extreme weather events, power loss, telecommunications failure, software or hardware malfunctions, theft, cyber-attacks, war or terrorist attacks. In addition, employee misconduct or error could expose us to significant liability, losses, regulatory sanctions and reputational harm. Misconduct or error by employees could include engaging in improperly using confidential 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service providers or clients. If our systems were to fail or be negatively impacted as a result of an unforeseen or catastrophic event, our business functions could be interrupted, our ability to make our trading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75"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173" w:lineRule="exact"/>
        <w:rPr>
          <w:sz w:val="20"/>
          <w:szCs w:val="20"/>
          <w:color w:val="auto"/>
        </w:rPr>
      </w:pPr>
    </w:p>
    <w:p>
      <w:pPr>
        <w:ind w:left="1260" w:right="1379"/>
        <w:spacing w:after="0" w:line="246"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75"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We currently derive approximately 55% of our gross revenue from our Rates asset class. Our long-term growth plan includes expanding the growth of our underlying asset classes, including the number of products we offer across those asset classes, by investing in product development, and increasing our revenues, by growing in our existing markets and entering into new markets. Although our long-term growth plan includes entering into new asset classes, we may not enter into new asset classes in the near term. We cannot assure you that we will be able to successfully execute our growth plan or be able to maintain or improve our current level of business, and we may decide to alter or discontinue certain aspects of our growth plan at any time.</w:t>
      </w:r>
    </w:p>
    <w:p>
      <w:pPr>
        <w:spacing w:after="0" w:line="75"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 adopted may extend over many months or years, if ever. Even after incurring these costs, such platform, platform feature or solution may not achieve market acceptance.</w:t>
      </w:r>
    </w:p>
    <w:p>
      <w:pPr>
        <w:spacing w:after="0" w:line="153"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75"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80"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81" w:lineRule="exact"/>
        <w:rPr>
          <w:sz w:val="20"/>
          <w:szCs w:val="20"/>
          <w:color w:val="auto"/>
        </w:rPr>
      </w:pPr>
    </w:p>
    <w:p>
      <w:pPr>
        <w:jc w:val="both"/>
        <w:ind w:left="1260" w:right="859" w:firstLine="360"/>
        <w:spacing w:after="0" w:line="312" w:lineRule="auto"/>
        <w:rPr>
          <w:sz w:val="20"/>
          <w:szCs w:val="20"/>
          <w:color w:val="auto"/>
        </w:rPr>
      </w:pPr>
      <w:r>
        <w:rPr>
          <w:rFonts w:ascii="Arial" w:cs="Arial" w:eastAsia="Arial" w:hAnsi="Arial"/>
          <w:sz w:val="16"/>
          <w:szCs w:val="16"/>
          <w:color w:val="auto"/>
        </w:rPr>
        <w:t>We cannot assure you that we will be able to successfully adapt our platforms, solutions and technology for use in any new markets. Even if we do adapt our products, services and technologies, we cannot assure you that we will be able to attract clients to our platforms and compete successfully in any such new markets.</w:t>
      </w:r>
    </w:p>
    <w:p>
      <w:pPr>
        <w:spacing w:after="0" w:line="3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80"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239"/>
        <w:spacing w:after="0" w:line="246"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risks associated with our international operations.</w:t>
      </w:r>
    </w:p>
    <w:p>
      <w:pPr>
        <w:spacing w:after="0" w:line="75"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We have operations in the United States, China, Japan, Hong Kong, Singapore and the United Kingdom, and recently expanded our international operations to the Netherlands, where we obtained necessary regulatory approvals.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84" w:lineRule="exact"/>
        <w:rPr>
          <w:sz w:val="20"/>
          <w:szCs w:val="20"/>
          <w:color w:val="auto"/>
        </w:rPr>
      </w:pPr>
    </w:p>
    <w:p>
      <w:pPr>
        <w:ind w:left="1980" w:right="79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spacing w:after="0" w:line="75" w:lineRule="exact"/>
        <w:rPr>
          <w:rFonts w:ascii="Arial" w:cs="Arial" w:eastAsia="Arial" w:hAnsi="Arial"/>
          <w:sz w:val="18"/>
          <w:szCs w:val="18"/>
          <w:color w:val="auto"/>
        </w:rPr>
      </w:pPr>
    </w:p>
    <w:p>
      <w:pPr>
        <w:ind w:left="1980" w:right="151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government policies and regulations, or in how provisions are interpreted or administered and how we are supervised;</w:t>
      </w:r>
    </w:p>
    <w:p>
      <w:pPr>
        <w:spacing w:after="0" w:line="75" w:lineRule="exact"/>
        <w:rPr>
          <w:rFonts w:ascii="Arial" w:cs="Arial" w:eastAsia="Arial" w:hAnsi="Arial"/>
          <w:sz w:val="18"/>
          <w:szCs w:val="18"/>
          <w:color w:val="auto"/>
        </w:rPr>
      </w:pPr>
    </w:p>
    <w:p>
      <w:pPr>
        <w:ind w:left="1980" w:right="131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spacing w:after="0" w:line="75" w:lineRule="exact"/>
        <w:rPr>
          <w:rFonts w:ascii="Arial" w:cs="Arial" w:eastAsia="Arial" w:hAnsi="Arial"/>
          <w:sz w:val="18"/>
          <w:szCs w:val="18"/>
          <w:color w:val="auto"/>
        </w:rPr>
      </w:pPr>
    </w:p>
    <w:p>
      <w:pPr>
        <w:ind w:left="1980" w:right="859" w:hanging="352"/>
        <w:spacing w:after="0" w:line="308" w:lineRule="auto"/>
        <w:tabs>
          <w:tab w:leader="none" w:pos="1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varying tax regimes, including with respect to imposition or increase of taxes on financial transactions or withholding and other taxes on remittances and other payments by subsidiaries;</w:t>
      </w:r>
    </w:p>
    <w:p>
      <w:pPr>
        <w:spacing w:after="0" w:line="38" w:lineRule="exact"/>
        <w:rPr>
          <w:rFonts w:ascii="Arial" w:cs="Arial" w:eastAsia="Arial" w:hAnsi="Arial"/>
          <w:sz w:val="17"/>
          <w:szCs w:val="17"/>
          <w:color w:val="auto"/>
        </w:rPr>
      </w:pPr>
    </w:p>
    <w:p>
      <w:pPr>
        <w:ind w:left="1980" w:right="93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other trade barriers or international trade agreements;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exchange rate fluctuations and restrictions on currency conversion;</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117"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spacing w:after="0" w:line="75" w:lineRule="exact"/>
        <w:rPr>
          <w:rFonts w:ascii="Arial" w:cs="Arial" w:eastAsia="Arial" w:hAnsi="Arial"/>
          <w:sz w:val="18"/>
          <w:szCs w:val="18"/>
          <w:color w:val="auto"/>
        </w:rPr>
      </w:pPr>
    </w:p>
    <w:p>
      <w:pPr>
        <w:ind w:left="1980" w:right="1099" w:hanging="352"/>
        <w:spacing w:after="0" w:line="264"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the potential conflicts between locally accepted business practices and our obligations to comply with laws and regulations, including anti-corruption and anti-money laundering laws and regulations;</w:t>
      </w:r>
    </w:p>
    <w:p>
      <w:pPr>
        <w:spacing w:after="0" w:line="86"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seasonal reductions in business activity; and</w:t>
      </w:r>
    </w:p>
    <w:p>
      <w:pPr>
        <w:spacing w:after="0" w:line="130"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hyperinflationary conditions and political instability.</w:t>
      </w:r>
    </w:p>
    <w:p>
      <w:pPr>
        <w:spacing w:after="0" w:line="62"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conditions, less developed and predictable legal and regulatory regimes and increased potential for various types of adverse governmental action.</w:t>
      </w:r>
    </w:p>
    <w:p>
      <w:pPr>
        <w:spacing w:after="0" w:line="165"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b w:val="1"/>
          <w:bCs w:val="1"/>
          <w:i w:val="1"/>
          <w:iCs w:val="1"/>
          <w:color w:val="auto"/>
        </w:rPr>
        <w:t>The United Kingdom’s exit from the European Union could have a material adverse effect on our business, financial condition and results of operations.</w:t>
      </w:r>
    </w:p>
    <w:p>
      <w:pPr>
        <w:spacing w:after="0" w:line="75" w:lineRule="exact"/>
        <w:rPr>
          <w:sz w:val="20"/>
          <w:szCs w:val="20"/>
          <w:color w:val="auto"/>
        </w:rPr>
      </w:pPr>
    </w:p>
    <w:p>
      <w:pPr>
        <w:ind w:left="1260" w:right="979" w:firstLine="360"/>
        <w:spacing w:after="0" w:line="279" w:lineRule="auto"/>
        <w:rPr>
          <w:sz w:val="20"/>
          <w:szCs w:val="20"/>
          <w:color w:val="auto"/>
        </w:rPr>
      </w:pPr>
      <w:r>
        <w:rPr>
          <w:rFonts w:ascii="Arial" w:cs="Arial" w:eastAsia="Arial" w:hAnsi="Arial"/>
          <w:sz w:val="17"/>
          <w:szCs w:val="17"/>
          <w:color w:val="auto"/>
        </w:rPr>
        <w:t>In March 2017, the United Kingdom government invoked article 50 of the Lisbon Treaty and officially notified the European Union of its decision to withdraw from the European Union. This formally initiated the process of negotiations with the European Union regarding the terms of the United Kingdom’s withdrawal and the framework of the future relationship between the United Kingdom and the European</w:t>
      </w:r>
    </w:p>
    <w:p>
      <w:pPr>
        <w:sectPr>
          <w:pgSz w:w="11900" w:h="16838" w:orient="portrait"/>
          <w:cols w:equalWidth="0" w:num="1">
            <w:col w:w="10219"/>
          </w:cols>
          <w:pgMar w:left="240" w:top="132" w:right="1440" w:bottom="1440" w:gutter="0" w:footer="0" w:header="0"/>
        </w:sectPr>
      </w:pP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68345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87" w:lineRule="auto"/>
        <w:rPr>
          <w:sz w:val="20"/>
          <w:szCs w:val="20"/>
          <w:color w:val="auto"/>
        </w:rPr>
      </w:pPr>
      <w:r>
        <w:rPr>
          <w:rFonts w:ascii="Arial" w:cs="Arial" w:eastAsia="Arial" w:hAnsi="Arial"/>
          <w:sz w:val="16"/>
          <w:szCs w:val="16"/>
          <w:color w:val="auto"/>
        </w:rPr>
        <w:t>Union (the “article 50 withdrawal agreement”). The United Kingdom is currently scheduled to exit the European Union on March 29, 2019 (the “exit date”). However, as part of the negotiations with the European Union, a transitional period has been agreed in principle which would extend the application of European Union law, and provide for continuing access to the European Union market, until the end of 2020. However, it remains uncertain whether the article 50 withdrawal agreement will be finalized and ratified by the United Kingdom and the European Union ahead of the exit date. If it is not ratified, European Union law will cease to apply to the UK from that date. While continuing to negotiate the article 50 withdrawal agreement, the United Kingdom government has commenced preparations for a “hard” Brexit or “no-deal” Brexit to minimize the risks for firms and businesses associated with an exit with no transitional agreement. There are also ongoing political discussions around Brexit, including discussions on delaying the exit date to provide more time for the United Kingdom and the European Union to finalize negotiations on and ratify the article 50 withdrawal agreement.</w:t>
      </w:r>
    </w:p>
    <w:p>
      <w:pPr>
        <w:spacing w:after="0" w:line="65"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Brexit, together with the protracted negotiations around the terms of the withdrawal, could significantly impact the business environment in which we and our clients operate, increase the cost of conducting business in both the European Union and the United Kingdom, impair or prohibit access to European Union clients, affect market liquidity and introduce significant new uncertainties with respect to the legal and regulatory requirements to which we and our clients are subject. In particular, Brexit is expected to significantly affect the fiscal, monetary and regulatory landscape in both the United Kingdom and the European Union, and may have a material impact on their respective economies. It is unclear how Brexit will affect liquidity in our marketplaces.</w:t>
      </w:r>
    </w:p>
    <w:p>
      <w:pPr>
        <w:spacing w:after="0" w:line="59"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Significantly, the effects of Brexit will depend on any agreements the United Kingdom makes to retain access to the European Union single market. Discussions between the United Kingdom and the European Union regarding a transitional period following Brexit contemplate a temporary continuation of the existing passporting rights that allow financial services firms to operate throughout the European Union. However, it is not possible to predict with any certainty whether the United Kingdom and the European Union will be able to agree on a transitional period, which laws and policies will apply during any such transitional period, whether we (or our clients would be able to rely on the existing passporting regime during a transitional period or the length of such period. In the event of no political agreement on a transitional period, regulated financial services firms and trading venues based in the United Kingdom will lose such passporting rights. This potential loss of passporting rights will affect us and many of our clients. For us, it means our UK authorized subsidiary will no longer be able to provide services to EU clients other than in limited circumstances. As a result, we have established a new regulated subsidiary in the Netherlands in order to be in a position to be able to continue to serve clients in the European Union following Brexit and any transitional period. We will face regulatory and operational costs and challenges associated with the establishment of any new regulated subsidiaries in the European Union and the management of a client and employee base that is less centralized in London.</w:t>
      </w:r>
    </w:p>
    <w:p>
      <w:pPr>
        <w:spacing w:after="0" w:line="61"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Brexit may also lead to legal uncertainty and potentially divergent national laws and regulations as the United Kingdom determines which European Union laws to replace or replicate. Accordingly, the cost and complexity of operating across increasingly divergent regulatory regimes could increase following Brexit, which could have a material adverse effect on our business, financial condition, and results of operations.</w:t>
      </w:r>
    </w:p>
    <w:p>
      <w:pPr>
        <w:spacing w:after="0" w:line="63" w:lineRule="exact"/>
        <w:rPr>
          <w:sz w:val="20"/>
          <w:szCs w:val="20"/>
          <w:color w:val="auto"/>
        </w:rPr>
      </w:pPr>
    </w:p>
    <w:p>
      <w:pPr>
        <w:jc w:val="both"/>
        <w:ind w:left="1260" w:right="1039" w:firstLine="360"/>
        <w:spacing w:after="0" w:line="264" w:lineRule="auto"/>
        <w:rPr>
          <w:sz w:val="20"/>
          <w:szCs w:val="20"/>
          <w:color w:val="auto"/>
        </w:rPr>
      </w:pPr>
      <w:r>
        <w:rPr>
          <w:rFonts w:ascii="Arial" w:cs="Arial" w:eastAsia="Arial" w:hAnsi="Arial"/>
          <w:sz w:val="18"/>
          <w:szCs w:val="18"/>
          <w:color w:val="auto"/>
        </w:rPr>
        <w:t>Further, although we have an international client base, we could also be materially adversely affected by reduced growth in the United Kingdom economy and increased volatility in the rate of exchange of the pound sterling.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104" w:lineRule="exact"/>
        <w:rPr>
          <w:sz w:val="20"/>
          <w:szCs w:val="20"/>
          <w:color w:val="auto"/>
        </w:rPr>
      </w:pPr>
    </w:p>
    <w:p>
      <w:pPr>
        <w:ind w:left="1260" w:right="879" w:firstLine="360"/>
        <w:spacing w:after="0" w:line="290" w:lineRule="auto"/>
        <w:rPr>
          <w:sz w:val="20"/>
          <w:szCs w:val="20"/>
          <w:color w:val="auto"/>
        </w:rPr>
      </w:pPr>
      <w:r>
        <w:rPr>
          <w:rFonts w:ascii="Arial" w:cs="Arial" w:eastAsia="Arial" w:hAnsi="Arial"/>
          <w:sz w:val="16"/>
          <w:szCs w:val="16"/>
          <w:color w:val="auto"/>
        </w:rPr>
        <w:t>Since we operate in several different countries outside the United States, most notably the U.K., Japan and Hong Kong, significant portions of our revenues, expenses, assets and liabilities are denominated in non-U.S. dollar currencies, most notably the pound sterling, euros and Japanese Yen and Hong Kong dollars.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such as Brexit, the 2016 U.S. presidential election,</w:t>
      </w:r>
    </w:p>
    <w:p>
      <w:pPr>
        <w:spacing w:after="0" w:line="2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59" w:lineRule="auto"/>
        <w:rPr>
          <w:sz w:val="20"/>
          <w:szCs w:val="20"/>
          <w:color w:val="auto"/>
        </w:rPr>
      </w:pPr>
      <w:r>
        <w:rPr>
          <w:rFonts w:ascii="Arial" w:cs="Arial" w:eastAsia="Arial" w:hAnsi="Arial"/>
          <w:sz w:val="18"/>
          <w:szCs w:val="18"/>
          <w:color w:val="auto"/>
        </w:rPr>
        <w:t>uncertainty regarding actual and potential shifts in U.S. and foreign trade, economic and other policies, the passage of U.S. tax reform legislation and concerns over increasing interest rates (particularly short-term rates), have caused, and may continue to cause, significant volatility in currency exchange rates, especially among the U.S. dollar, the pound sterling and the euro.</w:t>
      </w:r>
    </w:p>
    <w:p>
      <w:pPr>
        <w:spacing w:after="0" w:line="79"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While we engage in hedging activity to attempt to mitigate currency exchange rate risk, these hedging activities may not be effective, particularly in the event of inaccurate forecasts of the levels of our non-U.S. dollar denominated assets and liabilities. Accordingly, if there are adverse movements in exchange rates, we may suffer significant losses, which would materially adversely affect our financial condition and results of operations.</w:t>
      </w:r>
    </w:p>
    <w:p>
      <w:pPr>
        <w:spacing w:after="0" w:line="141" w:lineRule="exact"/>
        <w:rPr>
          <w:sz w:val="20"/>
          <w:szCs w:val="20"/>
          <w:color w:val="auto"/>
        </w:rPr>
      </w:pPr>
    </w:p>
    <w:p>
      <w:pPr>
        <w:ind w:left="1260" w:right="1239"/>
        <w:spacing w:after="0" w:line="275" w:lineRule="auto"/>
        <w:rPr>
          <w:sz w:val="20"/>
          <w:szCs w:val="20"/>
          <w:color w:val="auto"/>
        </w:rPr>
      </w:pPr>
      <w:r>
        <w:rPr>
          <w:rFonts w:ascii="Arial" w:cs="Arial" w:eastAsia="Arial" w:hAnsi="Arial"/>
          <w:sz w:val="17"/>
          <w:szCs w:val="17"/>
          <w:b w:val="1"/>
          <w:bCs w:val="1"/>
          <w:i w:val="1"/>
          <w:iCs w:val="1"/>
          <w:color w:val="auto"/>
        </w:rPr>
        <w:t>We may undertake acquisitions or divestitures, which may not be successful, and which could materially adversely affect our business, financial condition and results of operations.</w:t>
      </w:r>
    </w:p>
    <w:p>
      <w:pPr>
        <w:spacing w:after="0" w:line="25"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From time to time, we may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and CodeStreet in 2016.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74"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6"/>
          <w:szCs w:val="16"/>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w:t>
      </w:r>
    </w:p>
    <w:p>
      <w:pPr>
        <w:spacing w:after="0" w:line="2" w:lineRule="exact"/>
        <w:rPr>
          <w:sz w:val="20"/>
          <w:szCs w:val="20"/>
          <w:color w:val="auto"/>
        </w:rPr>
      </w:pPr>
    </w:p>
    <w:p>
      <w:pPr>
        <w:ind w:left="1260" w:right="859" w:firstLine="8"/>
        <w:spacing w:after="0" w:line="268" w:lineRule="auto"/>
        <w:tabs>
          <w:tab w:leader="none" w:pos="15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In addition, it is possible that perceived or actual violations of these requirements could give rise to litigation or regulatory enforcement action or result in us not receiving the necessary approvals to complete a desired acquisition.</w:t>
      </w:r>
    </w:p>
    <w:p>
      <w:pPr>
        <w:spacing w:after="0" w:line="76"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Furthermore, even if we complete an acquisition, the anticipated benefits from such acquisition may not be achieved unless the operations of the acquired business, product or technology are integrated in an efficient, cost-effective and timely manner. The integration of any acquired business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our acquisitions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employees and clients.</w:t>
      </w:r>
    </w:p>
    <w:p>
      <w:pPr>
        <w:spacing w:after="0" w:line="75"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products, services or personnel; (vi) retaining future liabilities as a result of contractual indemnity obligations; and (vii) loss of, or damage to our relationships with, any of our key employees, clients, suppliers or other business partners.</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139" w:firstLine="360"/>
        <w:spacing w:after="0" w:line="259" w:lineRule="auto"/>
        <w:rPr>
          <w:sz w:val="20"/>
          <w:szCs w:val="20"/>
          <w:color w:val="auto"/>
        </w:rPr>
      </w:pPr>
      <w:r>
        <w:rPr>
          <w:rFonts w:ascii="Arial" w:cs="Arial" w:eastAsia="Arial" w:hAnsi="Arial"/>
          <w:sz w:val="18"/>
          <w:szCs w:val="18"/>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73"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If we enter into strategic alliances, partnerships or joint ventures, we may not realize the anticipated strategic goals for any such transactions.</w:t>
      </w:r>
    </w:p>
    <w:p>
      <w:pPr>
        <w:spacing w:after="0" w:line="75"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pacing w:after="0" w:line="71" w:lineRule="exact"/>
        <w:rPr>
          <w:sz w:val="20"/>
          <w:szCs w:val="20"/>
          <w:color w:val="auto"/>
        </w:rPr>
      </w:pPr>
    </w:p>
    <w:p>
      <w:pPr>
        <w:ind w:left="1260" w:right="959" w:firstLine="360"/>
        <w:spacing w:after="0" w:line="271" w:lineRule="auto"/>
        <w:rPr>
          <w:sz w:val="20"/>
          <w:szCs w:val="20"/>
          <w:color w:val="auto"/>
        </w:rPr>
      </w:pPr>
      <w:r>
        <w:rPr>
          <w:rFonts w:ascii="Arial" w:cs="Arial" w:eastAsia="Arial" w:hAnsi="Arial"/>
          <w:sz w:val="17"/>
          <w:szCs w:val="17"/>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 which may have a material adverse effect on our business, financial condition or results of operations.</w:t>
      </w:r>
    </w:p>
    <w:p>
      <w:pPr>
        <w:spacing w:after="0" w:line="71"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We cannot assure you that we will be able to enter into strategic alliances, partnerships or joint ventures on terms that are favorable to us, or at all, or that any that any strategic alliance, partnership or strategic alliance we have entered into or may enter into will be successful. In particular, these arrangements may not generate the expected number of new clients or increased trading volume or other benefits we seek. Unsuccessful strategic alliances, partnerships or joint ventures could harm our reputation and have a material adverse effect on our business, financial condition and results of operations.</w:t>
      </w:r>
    </w:p>
    <w:p>
      <w:pPr>
        <w:spacing w:after="0" w:line="165"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75"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24" w:lineRule="exact"/>
        <w:rPr>
          <w:sz w:val="20"/>
          <w:szCs w:val="20"/>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171"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02" w:lineRule="exact"/>
        <w:rPr>
          <w:rFonts w:ascii="Arial" w:cs="Arial" w:eastAsia="Arial" w:hAnsi="Arial"/>
          <w:sz w:val="18"/>
          <w:szCs w:val="18"/>
          <w:color w:val="auto"/>
        </w:rPr>
      </w:pPr>
    </w:p>
    <w:p>
      <w:pPr>
        <w:ind w:left="1980" w:right="1079" w:hanging="352"/>
        <w:spacing w:after="0" w:line="277"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service, security breaches or perceived security breaches;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27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839" w:hanging="352"/>
        <w:spacing w:after="0" w:line="259"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success of our entry into new markets or introductions of new or enhanced platforms or solutions by us and our competitors, including disruptive technology, or any other change in the competitive dynamics of our industry, including consolidation or new entrants among competitors, market participants or strategic alliances;</w:t>
      </w:r>
    </w:p>
    <w:p>
      <w:pPr>
        <w:spacing w:after="0" w:line="146"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184" w:lineRule="exact"/>
        <w:rPr>
          <w:rFonts w:ascii="Arial" w:cs="Arial" w:eastAsia="Arial" w:hAnsi="Arial"/>
          <w:sz w:val="18"/>
          <w:szCs w:val="18"/>
          <w:color w:val="auto"/>
        </w:rPr>
      </w:pPr>
    </w:p>
    <w:p>
      <w:pPr>
        <w:ind w:left="1980" w:right="899" w:hanging="352"/>
        <w:spacing w:after="0" w:line="342" w:lineRule="auto"/>
        <w:tabs>
          <w:tab w:leader="none" w:pos="1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of expenses related to the development or acquisition of products, services, technologies or businesses and potential future charges for impairment of goodwill from acquired companies; and</w:t>
      </w:r>
    </w:p>
    <w:p>
      <w:pPr>
        <w:spacing w:after="0" w:line="96" w:lineRule="exact"/>
        <w:rPr>
          <w:rFonts w:ascii="Arial" w:cs="Arial" w:eastAsia="Arial" w:hAnsi="Arial"/>
          <w:sz w:val="16"/>
          <w:szCs w:val="16"/>
          <w:color w:val="auto"/>
        </w:rPr>
      </w:pPr>
    </w:p>
    <w:p>
      <w:pPr>
        <w:ind w:left="1980" w:right="819" w:hanging="352"/>
        <w:spacing w:after="0" w:line="277"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w:t>
      </w:r>
    </w:p>
    <w:p>
      <w:pPr>
        <w:spacing w:after="0" w:line="157" w:lineRule="exact"/>
        <w:rPr>
          <w:sz w:val="20"/>
          <w:szCs w:val="20"/>
          <w:color w:val="auto"/>
        </w:rPr>
      </w:pPr>
    </w:p>
    <w:p>
      <w:pPr>
        <w:ind w:left="1260" w:right="739"/>
        <w:spacing w:after="0" w:line="275" w:lineRule="auto"/>
        <w:rPr>
          <w:sz w:val="20"/>
          <w:szCs w:val="20"/>
          <w:color w:val="auto"/>
        </w:rPr>
      </w:pPr>
      <w:r>
        <w:rPr>
          <w:rFonts w:ascii="Arial" w:cs="Arial" w:eastAsia="Arial" w:hAnsi="Arial"/>
          <w:sz w:val="17"/>
          <w:szCs w:val="17"/>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52"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The success of our business depends upon the skills, experience and efforts of our executive officers, particularly Lee Olesky, our Chief Executive Officer, and Billy Hult, our President. The terms of Messrs. Olesky’s and Hult’s employment agreements with us do not require them to continue to work for us and allow them to terminate their employment at any time, subject to certain notice requirements and forfeiture of non-vested equity awards. Although we have invested in succession planning, the loss of key members of our senior management team could nevertheless have a material adverse effect on our business, financial condition and results of operations. Should we lose the services of any member of our senior management team, we would have to conduct a search for a qualified replacement. This search may be prolonged, and we may not be able to locate and hire a qualified replacement.</w:t>
      </w:r>
    </w:p>
    <w:p>
      <w:pPr>
        <w:spacing w:after="0" w:line="74" w:lineRule="exact"/>
        <w:rPr>
          <w:sz w:val="20"/>
          <w:szCs w:val="20"/>
          <w:color w:val="auto"/>
        </w:rPr>
      </w:pPr>
    </w:p>
    <w:p>
      <w:pPr>
        <w:ind w:left="1260" w:right="839" w:firstLine="360"/>
        <w:spacing w:after="0" w:line="268" w:lineRule="auto"/>
        <w:rPr>
          <w:sz w:val="20"/>
          <w:szCs w:val="20"/>
          <w:color w:val="auto"/>
        </w:rPr>
      </w:pPr>
      <w:r>
        <w:rPr>
          <w:rFonts w:ascii="Arial" w:cs="Arial" w:eastAsia="Arial" w:hAnsi="Arial"/>
          <w:sz w:val="17"/>
          <w:szCs w:val="17"/>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are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or manage our business effectively.</w:t>
      </w:r>
    </w:p>
    <w:p>
      <w:pPr>
        <w:spacing w:after="0" w:line="174" w:lineRule="exact"/>
        <w:rPr>
          <w:sz w:val="20"/>
          <w:szCs w:val="20"/>
          <w:color w:val="auto"/>
        </w:rPr>
      </w:pPr>
    </w:p>
    <w:p>
      <w:pPr>
        <w:ind w:left="1260" w:right="999"/>
        <w:spacing w:after="0" w:line="246" w:lineRule="auto"/>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75"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and any impropriety, misconduct or fraudulent activity by any personnel formerly or currently associated with us.</w:t>
      </w:r>
    </w:p>
    <w:p>
      <w:pPr>
        <w:spacing w:after="0" w:line="81"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6"/>
          <w:szCs w:val="16"/>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2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personnel cannot be completely eliminated or mitigated and may materially harm our reputation, business, financial condition and results of operations.</w:t>
      </w:r>
    </w:p>
    <w:p>
      <w:pPr>
        <w:spacing w:after="0" w:line="168"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materially adversely affect our brand and our business.</w:t>
      </w:r>
    </w:p>
    <w:p>
      <w:pPr>
        <w:spacing w:after="0" w:line="75"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 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logos, products, services or technologies that are substantially equivalent or superior to our logos, products, services or technologies.</w:t>
      </w:r>
    </w:p>
    <w:p>
      <w:pPr>
        <w:spacing w:after="0" w:line="8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services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79"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81"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81"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products, services, technology or practices or discontinue use of such products, services, technologies or practices. Any development efforts could require significant effort and expense and, as result, our business, results of operations,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99"/>
        <w:spacing w:after="0" w:line="307" w:lineRule="auto"/>
        <w:rPr>
          <w:sz w:val="20"/>
          <w:szCs w:val="20"/>
          <w:color w:val="auto"/>
        </w:rPr>
      </w:pPr>
      <w:r>
        <w:rPr>
          <w:rFonts w:ascii="Arial" w:cs="Arial" w:eastAsia="Arial" w:hAnsi="Arial"/>
          <w:sz w:val="16"/>
          <w:szCs w:val="16"/>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29"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6"/>
          <w:szCs w:val="16"/>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 future in response to global conditions and events. The SEC, the CFTC, the Financial Industry Regulatory Authority, Inc. (“FINRA”), the National Futures Association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Financial Conduct Authority (“FCA”) in the United Kingdom, De Nederlandsche Bank (“DNB”), the Netherlands Authority for the Financial Markets (“AFM”), the Monetary Authority of Singapore, the Hong Kong Securities and Futures Commission, the Investment Industry Regulatory Organization of Canada and provincial regulators in Canada, the Japanese Financial Services Agency and the Japan Securities Dealers Association.</w:t>
      </w:r>
    </w:p>
    <w:p>
      <w:pPr>
        <w:spacing w:after="0" w:line="64"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6"/>
          <w:szCs w:val="16"/>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w:t>
      </w:r>
    </w:p>
    <w:p>
      <w:pPr>
        <w:spacing w:after="0" w:line="2" w:lineRule="exact"/>
        <w:rPr>
          <w:sz w:val="20"/>
          <w:szCs w:val="20"/>
          <w:color w:val="auto"/>
        </w:rPr>
      </w:pPr>
    </w:p>
    <w:p>
      <w:pPr>
        <w:ind w:left="1260" w:right="859"/>
        <w:spacing w:after="0" w:line="269" w:lineRule="auto"/>
        <w:rPr>
          <w:sz w:val="20"/>
          <w:szCs w:val="20"/>
          <w:color w:val="auto"/>
        </w:rPr>
      </w:pPr>
      <w:r>
        <w:rPr>
          <w:rFonts w:ascii="Arial" w:cs="Arial" w:eastAsia="Arial" w:hAnsi="Arial"/>
          <w:sz w:val="17"/>
          <w:szCs w:val="17"/>
          <w:color w:val="auto"/>
        </w:rPr>
        <w:t>and the conduct of officers, employees and other associated persons. See “Business — Regulation,”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73"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80"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Tradeweb Markets Inc.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61"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Our ability to operate our trading platforms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57" w:lineRule="exact"/>
        <w:rPr>
          <w:sz w:val="20"/>
          <w:szCs w:val="20"/>
          <w:color w:val="auto"/>
        </w:rPr>
      </w:pPr>
    </w:p>
    <w:p>
      <w:pPr>
        <w:ind w:left="1260" w:right="1079" w:firstLine="360"/>
        <w:spacing w:after="0" w:line="342" w:lineRule="auto"/>
        <w:rPr>
          <w:sz w:val="20"/>
          <w:szCs w:val="20"/>
          <w:color w:val="auto"/>
        </w:rPr>
      </w:pPr>
      <w:r>
        <w:rPr>
          <w:rFonts w:ascii="Arial" w:cs="Arial" w:eastAsia="Arial" w:hAnsi="Arial"/>
          <w:sz w:val="16"/>
          <w:szCs w:val="16"/>
          <w:color w:val="auto"/>
        </w:rPr>
        <w:t>We incur significant costs, and will continue to devote significant financial and operational resources, to develop, implement and maintain policies, systems and processes to comply with our evolving legal and</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342" w:lineRule="auto"/>
        <w:rPr>
          <w:sz w:val="20"/>
          <w:szCs w:val="20"/>
          <w:color w:val="auto"/>
        </w:rPr>
      </w:pPr>
      <w:r>
        <w:rPr>
          <w:rFonts w:ascii="Arial" w:cs="Arial" w:eastAsia="Arial" w:hAnsi="Arial"/>
          <w:sz w:val="16"/>
          <w:szCs w:val="16"/>
          <w:color w:val="auto"/>
        </w:rPr>
        <w:t>regulatory requirements. Future laws, rules and regulations, or adverse changes to, or more stringent enforcement of, existing laws, rules and regulations, could increase these costs and expose us to significant liabilities.</w:t>
      </w:r>
    </w:p>
    <w:p>
      <w:pPr>
        <w:spacing w:after="0" w:line="16"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may be difficult to assess or quantify.</w:t>
      </w:r>
    </w:p>
    <w:p>
      <w:pPr>
        <w:spacing w:after="0" w:line="7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In the normal course of our business, we have been, and expect in the future to continue to be,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75"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United Kingdom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64" w:lineRule="exact"/>
        <w:rPr>
          <w:sz w:val="20"/>
          <w:szCs w:val="20"/>
          <w:color w:val="auto"/>
        </w:rPr>
      </w:pPr>
    </w:p>
    <w:p>
      <w:pPr>
        <w:ind w:left="1260" w:right="979"/>
        <w:spacing w:after="0" w:line="235" w:lineRule="auto"/>
        <w:rPr>
          <w:sz w:val="20"/>
          <w:szCs w:val="20"/>
          <w:color w:val="auto"/>
        </w:rPr>
      </w:pPr>
      <w:r>
        <w:rPr>
          <w:rFonts w:ascii="Arial" w:cs="Arial" w:eastAsia="Arial" w:hAnsi="Arial"/>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8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Our business, and the business of many of our clients, is subject to extensive regulation. Governmental and regulatory authorities periodically review legislative and regulatory initiatives, and may promulgate new or revised, or adopt changes in the interpretation and enforcement of existing,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7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may directly impact our cost of funds for financing and investment activities and may impact the value of the financial instruments we hold.</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Furthermore, many of the underlying markets in which we facilitate trading, and in which our clients trade, are subject to regulation. For example, trading in interest rate swaps has been subject to extensive regulators in the past, and any future regulation could lead to a decline in trading in these markets, which could have a negative impact on our trading volumes and, as a result, our revenues.</w:t>
      </w:r>
    </w:p>
    <w:p>
      <w:pPr>
        <w:spacing w:after="0" w:line="63"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In addition, regulatory bodies in Europe have recently developed new rules and regulations targeted at the financial services industry, including MiFID II and the Markets in Financial Instruments Regulation (“MiFIR”), which were implemented in January 2018 and which introduced significant changes to the EU financial markets designed to facilitate more efficient markets and greater transparency for participants. MiFID II and MiFIR may have an adverse effect on our operations and our ability to offer our trading platforms in a manner that can successfully compete against other methods of trading. Additionally, most of the world’s major economies have introduced and continue to introduce regulations implementing Basel III, a global regulatory standard on bank capital adequacy, stress testing and market liquidity risk. The continued implementation of these and other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61"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believe that it remains premature to know conclusively how specific aspects of the regulatory developments described above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59" w:lineRule="exact"/>
        <w:rPr>
          <w:sz w:val="20"/>
          <w:szCs w:val="20"/>
          <w:color w:val="auto"/>
        </w:rPr>
      </w:pPr>
    </w:p>
    <w:p>
      <w:pPr>
        <w:ind w:left="1260" w:right="1439"/>
        <w:spacing w:after="0" w:line="246"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7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Certain types of information we collect, compile, store, use, transfer and/or publish are subject to numerous federal, state, local, and foreign laws and regulations regarding privacy, data protection and information security These laws and regulations govern the storing, sharing, use, processing, transfer, disclosure and protection of personal information and other content. The scope of these laws and regulations are changing, subject to differing interpretations, may be inconsistent among countries or conflict with other rules. We are also subject to the terms of our privacy policies and obligations to third parties related to applicable privacy, data protection, and information security.</w:t>
      </w:r>
    </w:p>
    <w:p>
      <w:pPr>
        <w:spacing w:after="0" w:line="8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regulatory framework for privacy and data protection worldwide is uncertain, and is likely to remain uncertain for the foreseeable future, and we expect that there will continue to be new laws, regulations and industry standards concerning privacy, data protection, and information security proposed and enacted in the various jurisdictions in which we operate. For example, European legislators adopted the General Data Protection Regulations (“GDPR”) that became effective in May 2018. The GDPR imposes more stringent EU data protection requirements, and provides for greater penalties for noncompliance. Further,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w:t>
      </w:r>
    </w:p>
    <w:p>
      <w:pPr>
        <w:spacing w:after="0" w:line="74" w:lineRule="exact"/>
        <w:rPr>
          <w:sz w:val="20"/>
          <w:szCs w:val="20"/>
          <w:color w:val="auto"/>
        </w:rPr>
      </w:pPr>
    </w:p>
    <w:p>
      <w:pPr>
        <w:ind w:left="1260" w:right="1039" w:firstLine="360"/>
        <w:spacing w:after="0" w:line="302" w:lineRule="auto"/>
        <w:rPr>
          <w:sz w:val="20"/>
          <w:szCs w:val="20"/>
          <w:color w:val="auto"/>
        </w:rPr>
      </w:pPr>
      <w:r>
        <w:rPr>
          <w:rFonts w:ascii="Arial" w:cs="Arial" w:eastAsia="Arial" w:hAnsi="Arial"/>
          <w:sz w:val="16"/>
          <w:szCs w:val="16"/>
          <w:color w:val="auto"/>
        </w:rPr>
        <w:t>Our efforts to comply with privacy, data protection and information security laws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119"/>
        <w:spacing w:after="0" w:line="259" w:lineRule="auto"/>
        <w:rPr>
          <w:sz w:val="20"/>
          <w:szCs w:val="20"/>
          <w:color w:val="auto"/>
        </w:rPr>
      </w:pPr>
      <w:r>
        <w:rPr>
          <w:rFonts w:ascii="Arial" w:cs="Arial" w:eastAsia="Arial" w:hAnsi="Arial"/>
          <w:sz w:val="18"/>
          <w:szCs w:val="18"/>
          <w:color w:val="auto"/>
        </w:rPr>
        <w:t>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73"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7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On December 22, 2017, President Trump signed into law a comprehensive tax reform bill (the “Tax Cuts and Jobs Act,” or the “TCJA”) that significantly reforms the Internal Revenue Code of 1986, as amended. The TCJA, among other things, contains significant changes to corporate taxation, including a reduction of the corporate income tax rate, a partial limitation on the deductibility of business interest expense, limitation of the deduction for certain net operating losses to 80% of current year taxable income, an indefinite carryforward of certain net operating losses, immediate deductions for certain new investments instead of deductions for depreciation expense over time and the modification or repeal of many business deductions and credits. We continue to examine the impact of this tax reform legislation, and as its overall impact is uncertain, we note that the TCJA could adversely affect our business and financial condition. The impact of this tax reform legislation on holders of our Class A common stock is also uncertain and could be adverse.</w:t>
      </w:r>
    </w:p>
    <w:p>
      <w:pPr>
        <w:spacing w:after="0" w:line="164" w:lineRule="exact"/>
        <w:rPr>
          <w:sz w:val="20"/>
          <w:szCs w:val="20"/>
          <w:color w:val="auto"/>
        </w:rPr>
      </w:pPr>
    </w:p>
    <w:p>
      <w:pPr>
        <w:ind w:left="1260" w:right="839"/>
        <w:spacing w:after="0" w:line="275" w:lineRule="auto"/>
        <w:rPr>
          <w:sz w:val="20"/>
          <w:szCs w:val="20"/>
          <w:color w:val="auto"/>
        </w:rPr>
      </w:pPr>
      <w:r>
        <w:rPr>
          <w:rFonts w:ascii="Arial" w:cs="Arial" w:eastAsia="Arial" w:hAnsi="Arial"/>
          <w:sz w:val="17"/>
          <w:szCs w:val="17"/>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52" w:lineRule="exact"/>
        <w:rPr>
          <w:sz w:val="20"/>
          <w:szCs w:val="20"/>
          <w:color w:val="auto"/>
        </w:rPr>
      </w:pPr>
    </w:p>
    <w:p>
      <w:pPr>
        <w:ind w:left="1260" w:right="919" w:firstLine="360"/>
        <w:spacing w:after="0" w:line="270" w:lineRule="auto"/>
        <w:rPr>
          <w:sz w:val="20"/>
          <w:szCs w:val="20"/>
          <w:color w:val="auto"/>
        </w:rPr>
      </w:pPr>
      <w:r>
        <w:rPr>
          <w:rFonts w:ascii="Arial" w:cs="Arial" w:eastAsia="Arial" w:hAnsi="Arial"/>
          <w:sz w:val="17"/>
          <w:szCs w:val="17"/>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or the lack of adequate, accurate or timely information. If our risk-management programs and efforts are ineffective, we could suffer losses that could have a material adverse effect on our financial condition and results of operations.</w:t>
      </w:r>
    </w:p>
    <w:p>
      <w:pPr>
        <w:spacing w:after="0" w:line="70"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70"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104"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We are from time to time involved in various litigation matters and claims, including lawsuits regarding employment matters, breach of contract matters and other business and commercial matters. See “Business — Legal Proceedings.” Many aspects of our business, and the businesses of our clients, involve substantial risks of liability. These risks include, among others, disputes over terms of a trade and claims</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color w:val="auto"/>
        </w:rPr>
        <w:t>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lawsuits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64" w:lineRule="exact"/>
        <w:rPr>
          <w:sz w:val="20"/>
          <w:szCs w:val="20"/>
          <w:color w:val="auto"/>
        </w:rPr>
      </w:pPr>
    </w:p>
    <w:p>
      <w:pPr>
        <w:ind w:left="1260" w:right="779"/>
        <w:spacing w:after="0" w:line="246"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75" w:lineRule="exact"/>
        <w:rPr>
          <w:sz w:val="20"/>
          <w:szCs w:val="20"/>
          <w:color w:val="auto"/>
        </w:rPr>
      </w:pPr>
    </w:p>
    <w:p>
      <w:pPr>
        <w:ind w:left="1260" w:right="959" w:firstLine="360"/>
        <w:spacing w:after="0" w:line="293" w:lineRule="auto"/>
        <w:rPr>
          <w:sz w:val="20"/>
          <w:szCs w:val="20"/>
          <w:color w:val="auto"/>
        </w:rPr>
      </w:pPr>
      <w:r>
        <w:rPr>
          <w:rFonts w:ascii="Arial" w:cs="Arial" w:eastAsia="Arial" w:hAnsi="Arial"/>
          <w:sz w:val="16"/>
          <w:szCs w:val="16"/>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51" w:lineRule="exact"/>
        <w:rPr>
          <w:sz w:val="20"/>
          <w:szCs w:val="20"/>
          <w:color w:val="auto"/>
        </w:rPr>
      </w:pPr>
    </w:p>
    <w:p>
      <w:pPr>
        <w:ind w:left="1260" w:right="739"/>
        <w:spacing w:after="0" w:line="231" w:lineRule="auto"/>
        <w:rPr>
          <w:sz w:val="20"/>
          <w:szCs w:val="20"/>
          <w:color w:val="auto"/>
        </w:rPr>
      </w:pPr>
      <w:r>
        <w:rPr>
          <w:rFonts w:ascii="Arial" w:cs="Arial" w:eastAsia="Arial" w:hAnsi="Arial"/>
          <w:sz w:val="18"/>
          <w:szCs w:val="18"/>
          <w:b w:val="1"/>
          <w:bCs w:val="1"/>
          <w:i w:val="1"/>
          <w:iCs w:val="1"/>
          <w:color w:val="auto"/>
        </w:rPr>
        <w:t>The credit agreement that will govern the New Revolving Credit Facility will impose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81" w:lineRule="exact"/>
        <w:rPr>
          <w:sz w:val="20"/>
          <w:szCs w:val="20"/>
          <w:color w:val="auto"/>
        </w:rPr>
      </w:pPr>
    </w:p>
    <w:p>
      <w:pPr>
        <w:jc w:val="both"/>
        <w:ind w:left="1260" w:right="839" w:firstLine="360"/>
        <w:spacing w:after="0" w:line="264" w:lineRule="auto"/>
        <w:rPr>
          <w:sz w:val="20"/>
          <w:szCs w:val="20"/>
          <w:color w:val="auto"/>
        </w:rPr>
      </w:pPr>
      <w:r>
        <w:rPr>
          <w:rFonts w:ascii="Arial" w:cs="Arial" w:eastAsia="Arial" w:hAnsi="Arial"/>
          <w:sz w:val="18"/>
          <w:szCs w:val="18"/>
          <w:color w:val="auto"/>
        </w:rPr>
        <w:t>The credit agreement that will govern the New Revolving Credit Facility will impose significant operating and financial restrictions. These restrictions, which are subject to a number of qualifications and exceptions, will limit our ability and the ability of our restricted subsidiaries to, among other things:</w:t>
      </w:r>
    </w:p>
    <w:p>
      <w:pPr>
        <w:spacing w:after="0" w:line="114" w:lineRule="exact"/>
        <w:rPr>
          <w:sz w:val="20"/>
          <w:szCs w:val="20"/>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sz w:val="20"/>
          <w:szCs w:val="20"/>
          <w:color w:val="auto"/>
        </w:rPr>
      </w:pPr>
    </w:p>
    <w:p>
      <w:pPr>
        <w:ind w:left="1260" w:right="1059" w:firstLine="360"/>
        <w:spacing w:after="0" w:line="264" w:lineRule="auto"/>
        <w:rPr>
          <w:sz w:val="20"/>
          <w:szCs w:val="20"/>
          <w:color w:val="auto"/>
        </w:rPr>
      </w:pPr>
      <w:r>
        <w:rPr>
          <w:rFonts w:ascii="Arial" w:cs="Arial" w:eastAsia="Arial" w:hAnsi="Arial"/>
          <w:sz w:val="18"/>
          <w:szCs w:val="18"/>
          <w:color w:val="auto"/>
        </w:rPr>
        <w:t>In addition, the credit agreement that will govern our New Revolving Credit Facility will require us to maintain a maximum total net leverage ratio and a minimum cash interest coverage ratio. See “Description of Certain Indebtedness.”</w:t>
      </w:r>
    </w:p>
    <w:p>
      <w:pPr>
        <w:spacing w:after="0" w:line="73"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will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58"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Our failure to comply with the covenants and other terms of the New Revolving Credit Facility and/or the terms of any future indebtedness could result in an event of default. If any such event of default occurs and is not waived, the lenders under the New Revolving Credit Facility could elect to declare all amounts outstanding and accrued and unpaid interest, if any, under the New Revolving Credit Facility to be immediately due and payable, and could foreclose on the assets securing the New Revolving Credit Facility. The lenders would also have the right in these circumstances to terminate any commitments they have to</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19"/>
        <w:spacing w:after="0" w:line="264" w:lineRule="auto"/>
        <w:rPr>
          <w:sz w:val="20"/>
          <w:szCs w:val="20"/>
          <w:color w:val="auto"/>
        </w:rPr>
      </w:pPr>
      <w:r>
        <w:rPr>
          <w:rFonts w:ascii="Arial" w:cs="Arial" w:eastAsia="Arial" w:hAnsi="Arial"/>
          <w:sz w:val="18"/>
          <w:szCs w:val="18"/>
          <w:color w:val="auto"/>
        </w:rPr>
        <w:t>provide further credit extensions. If we are forced to refinance any borrowings under the New Revolving Credit Facility on less favorable terms or if we cannot refinance these borrowings, our financial condition and results of operations could be materially adversely affected.</w:t>
      </w:r>
    </w:p>
    <w:p>
      <w:pPr>
        <w:spacing w:after="0" w:line="60"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In addition, although the credit agreement that will govern the New Revolving Credit Facility will contain restrictions on the incurrence of additional indebtedness, these restrictions will be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21" w:lineRule="exact"/>
        <w:rPr>
          <w:sz w:val="20"/>
          <w:szCs w:val="20"/>
          <w:color w:val="auto"/>
        </w:rPr>
      </w:pPr>
    </w:p>
    <w:p>
      <w:pPr>
        <w:ind w:left="1260" w:right="1199"/>
        <w:spacing w:after="0" w:line="246" w:lineRule="auto"/>
        <w:rPr>
          <w:sz w:val="20"/>
          <w:szCs w:val="20"/>
          <w:color w:val="auto"/>
        </w:rPr>
      </w:pPr>
      <w:r>
        <w:rPr>
          <w:rFonts w:ascii="Arial" w:cs="Arial" w:eastAsia="Arial" w:hAnsi="Arial"/>
          <w:sz w:val="18"/>
          <w:szCs w:val="18"/>
          <w:b w:val="1"/>
          <w:bCs w:val="1"/>
          <w:i w:val="1"/>
          <w:iCs w:val="1"/>
          <w:color w:val="auto"/>
        </w:rPr>
        <w:t>Any borrowings under the New Revolving Credit Facility will subject us to interest rate risk, which could cause our debt service obligations to increase significantly.</w:t>
      </w:r>
    </w:p>
    <w:p>
      <w:pPr>
        <w:spacing w:after="0" w:line="4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Any borrowings under the New Revolving Credit Facility will be at variable rates of interest and expose us to interest rate risk. Although there is uncertainty concerning the current interest rate environment, interest rates are still near historically low levels. If interest rates rise, our debt service obligations on any borrowings under the New Revolving Credit Facility will increase even though the amount borrowed may remain the same, and our net</w:t>
      </w:r>
    </w:p>
    <w:p>
      <w:pPr>
        <w:spacing w:after="0" w:line="2" w:lineRule="exact"/>
        <w:rPr>
          <w:sz w:val="20"/>
          <w:szCs w:val="20"/>
          <w:color w:val="auto"/>
        </w:rPr>
      </w:pPr>
    </w:p>
    <w:p>
      <w:pPr>
        <w:ind w:left="1260" w:right="939"/>
        <w:spacing w:after="0" w:line="265" w:lineRule="auto"/>
        <w:rPr>
          <w:sz w:val="20"/>
          <w:szCs w:val="20"/>
          <w:color w:val="auto"/>
        </w:rPr>
      </w:pPr>
      <w:r>
        <w:rPr>
          <w:rFonts w:ascii="Arial" w:cs="Arial" w:eastAsia="Arial" w:hAnsi="Arial"/>
          <w:sz w:val="17"/>
          <w:szCs w:val="17"/>
          <w:color w:val="auto"/>
        </w:rPr>
        <w:t>income and cash flows will correspondingly decrease. Assuming that the $ million New Revolving Credit Facility was fully drawn, each 0.125% change in interest rates would result in an approximate change of</w:t>
      </w:r>
    </w:p>
    <w:p>
      <w:pPr>
        <w:ind w:left="1940" w:hanging="672"/>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million in annual interest expense on the borrowings under the New Revolving Credit Facility.</w:t>
      </w:r>
    </w:p>
    <w:p>
      <w:pPr>
        <w:spacing w:after="0" w:line="143"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b w:val="1"/>
          <w:bCs w:val="1"/>
          <w:i w:val="1"/>
          <w:iCs w:val="1"/>
          <w:color w:val="auto"/>
        </w:rPr>
        <w:t>We are a restricted subsidiary under Refinitiv’s credit facility and the indentures governing its senior notes, which may limit Refinitiv’s ability to permit us to take certain actions.</w:t>
      </w:r>
    </w:p>
    <w:p>
      <w:pPr>
        <w:spacing w:after="0" w:line="35"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We are a “restricted subsidiary” under Refinitiv’s credit facility and the indentures governing its senior notes. While we are not a guarantor of Refinitiv’s indebtedness, or a party to the agreements governing Refinitiv’s indebtedness, the restrictions applicable to “restricted subsidiaries” contained in such agreements will nevertheless be applicable to us for so long as we are consolidated within Refinitiv’s financial statements in accordance with GAAP. Among these restrictions are limitations on Refinitiv’s ability to permit us to incur or guarantee indebtedness, issue certain preferred stock, repurchase subordinated indebtedness, make certain investments, transfer or sell certain assets, enter into restrictions affecting our ability to make distributions or loans or advances to Refinitiv, and enter into certain transactions with affiliates. As a result of these restrictions, we may be unable to take certain actions and, accordingly, limited in our ability to expand and pursue our business strategies and otherwise conduct our business.</w:t>
      </w:r>
    </w:p>
    <w:p>
      <w:pPr>
        <w:spacing w:after="0" w:line="124"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 which would negatively impact our operating results.</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December 31, 2018, we had goodwill of $2,694.8 million and indefinite-lived intangible assets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$323.1 million, which relate to the Refinitiv Transaction. The carrying value of goodwill represents the fair value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an acquired business in excess of identifiable assets and liabilities as of the acquisition date. The carrying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value of indefinite-lived intangible assets represents the fair value of licenses and trade names as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acquisition date. Determining the fair value of certain assets acquired and liabilities assumed is judgmental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nature and requires management to use significant estimates and assumptions, including assumptions with respect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future cash flows, discount rates, growth rates and asset lives. We do not amortize goodwill and indefinite-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lived intangible assets that we expect to contribute indefinitely to our cash flows, but instead we evaluate these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assets for impairment at least annually, or more frequently if changes in circumstances indicate that a potential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impairment could exist. Significant negative industry or economic trends, disruptions to our business, inability to</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effectively integrate acquired businesses, unexpected significant changes or planned changes in use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acquired assets, divestitures and market capitalization declines may impair our goodwill and other indefinite-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lived intangible assets. Any charges relating to such impairments could materially adversely affect our financial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condition and results of operations.</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Risks Relating to the Company and Our Organizational Structure</w:t>
      </w:r>
    </w:p>
    <w:p>
      <w:pPr>
        <w:spacing w:after="0" w:line="135"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Our principal asset after the completion of this offering will be our interest in TWM LLC, and, accordingly, we will depend on distributions from TWM LLC to pay our taxes and expenses, including payments under the Tax Receivable Agreement.</w:t>
      </w:r>
    </w:p>
    <w:p>
      <w:pPr>
        <w:spacing w:after="0" w:line="40"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We are a holding company and, upon completion of the Reorganization Transactions, including this offering, our principal asset will be our ownership of LLC Interests of TWM LLC. We will have no</w:t>
      </w:r>
    </w:p>
    <w:p>
      <w:pPr>
        <w:sectPr>
          <w:pgSz w:w="11900" w:h="16838" w:orient="portrait"/>
          <w:cols w:equalWidth="0" w:num="1">
            <w:col w:w="10219"/>
          </w:cols>
          <w:pgMar w:left="240" w:top="132" w:right="1440" w:bottom="1440" w:gutter="0" w:footer="0" w:header="0"/>
        </w:sectPr>
      </w:pP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independent means of generating revenue or cash flow, and our ability to pay our taxes and operating expenses or declare and pay dividends in the future, if any,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64" w:lineRule="exact"/>
        <w:rPr>
          <w:sz w:val="20"/>
          <w:szCs w:val="20"/>
          <w:color w:val="auto"/>
        </w:rPr>
      </w:pPr>
    </w:p>
    <w:p>
      <w:pPr>
        <w:ind w:left="1260" w:right="819" w:firstLine="360"/>
        <w:spacing w:after="0" w:line="285" w:lineRule="auto"/>
        <w:rPr>
          <w:sz w:val="20"/>
          <w:szCs w:val="20"/>
          <w:color w:val="auto"/>
        </w:rPr>
      </w:pPr>
      <w:r>
        <w:rPr>
          <w:rFonts w:ascii="Arial" w:cs="Arial" w:eastAsia="Arial" w:hAnsi="Arial"/>
          <w:sz w:val="16"/>
          <w:szCs w:val="16"/>
          <w:color w:val="auto"/>
        </w:rPr>
        <w:t>We will also incur expenses related to our operations, including payments under the Tax Receivable Agreement, which we expect could be significant. See “Certain Relationships and Related Party Transactions — Related Party Transactions Entered Into in Connection With This Offering — Tax Receivable Agreement.” We intend, as its sole manager, to cause TWM LLC to make cash distributions to the owners of LLC Interests in an amount sufficient to (i) fund all or part of their tax obligations in respect of taxable income allocated to them and</w:t>
      </w:r>
    </w:p>
    <w:p>
      <w:pPr>
        <w:spacing w:after="0" w:line="2" w:lineRule="exact"/>
        <w:rPr>
          <w:sz w:val="20"/>
          <w:szCs w:val="20"/>
          <w:color w:val="auto"/>
        </w:rPr>
      </w:pPr>
    </w:p>
    <w:p>
      <w:pPr>
        <w:ind w:left="1260" w:right="759" w:firstLine="8"/>
        <w:spacing w:after="0" w:line="284" w:lineRule="auto"/>
        <w:tabs>
          <w:tab w:leader="none" w:pos="1525"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cover our operating expenses, including payments under the Tax Receivable Agreement. When TWM LLC makes distributions, the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New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“Certain Relationships and Related Party Transactions — Related Party Transactions Entered Into in Connection With This Offering — Tax Receivable Agreement” and “Certain Relationships and Related Party Transactions — Related Party Transactions Entered Into in Connection With This Offering — TWM LLC Agreement.” In addition, if TWM LLC does not have sufficient funds to make distributions, our ability to declare and pay cash dividends will also be restricted or impaired. See “— Risks Relating to This Offering and Ownership of Our Class A Common Stock” and “Dividend Policy.”</w:t>
      </w:r>
    </w:p>
    <w:p>
      <w:pPr>
        <w:spacing w:after="0" w:line="159" w:lineRule="exact"/>
        <w:rPr>
          <w:sz w:val="20"/>
          <w:szCs w:val="20"/>
          <w:color w:val="auto"/>
        </w:rPr>
      </w:pPr>
    </w:p>
    <w:p>
      <w:pPr>
        <w:ind w:left="1260" w:right="759"/>
        <w:spacing w:after="0"/>
        <w:rPr>
          <w:sz w:val="20"/>
          <w:szCs w:val="20"/>
          <w:color w:val="auto"/>
        </w:rPr>
      </w:pPr>
      <w:r>
        <w:rPr>
          <w:rFonts w:ascii="Arial" w:cs="Arial" w:eastAsia="Arial" w:hAnsi="Arial"/>
          <w:sz w:val="17"/>
          <w:szCs w:val="17"/>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83"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TWM LLC will continue to be treated as a partnership for U.S. federal income tax purposes and, as such, will not be subject to any entity-level U.S. federal income tax. Instead, taxable income will be allocated to holders of LLC Interests, including us. Accordingly, we will incur income taxes on our allocable share of any net taxable income of TWM LLC. Under the TWM LLC Agreement, TWM LLC will generally be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obligations under the Tax Receivable Agreement and the payment of other expenses. We will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59"/>
        <w:spacing w:after="0" w:line="297" w:lineRule="auto"/>
        <w:rPr>
          <w:sz w:val="20"/>
          <w:szCs w:val="20"/>
          <w:color w:val="auto"/>
        </w:rPr>
      </w:pPr>
      <w:r>
        <w:rPr>
          <w:rFonts w:ascii="Arial" w:cs="Arial" w:eastAsia="Arial" w:hAnsi="Arial"/>
          <w:sz w:val="16"/>
          <w:szCs w:val="16"/>
          <w:color w:val="auto"/>
        </w:rPr>
        <w:t>LLC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w:t>
      </w:r>
    </w:p>
    <w:p>
      <w:pPr>
        <w:spacing w:after="0" w:line="145" w:lineRule="exact"/>
        <w:rPr>
          <w:sz w:val="20"/>
          <w:szCs w:val="20"/>
          <w:color w:val="auto"/>
        </w:rPr>
      </w:pPr>
    </w:p>
    <w:p>
      <w:pPr>
        <w:jc w:val="both"/>
        <w:ind w:left="1260" w:right="839"/>
        <w:spacing w:after="0" w:line="235"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81" w:lineRule="exact"/>
        <w:rPr>
          <w:sz w:val="20"/>
          <w:szCs w:val="20"/>
          <w:color w:val="auto"/>
        </w:rPr>
      </w:pPr>
    </w:p>
    <w:p>
      <w:pPr>
        <w:ind w:left="1260" w:right="819" w:firstLine="360"/>
        <w:spacing w:after="0" w:line="267" w:lineRule="auto"/>
        <w:rPr>
          <w:sz w:val="20"/>
          <w:szCs w:val="20"/>
          <w:color w:val="auto"/>
        </w:rPr>
      </w:pPr>
      <w:r>
        <w:rPr>
          <w:rFonts w:ascii="Arial" w:cs="Arial" w:eastAsia="Arial" w:hAnsi="Arial"/>
          <w:sz w:val="17"/>
          <w:szCs w:val="17"/>
          <w:color w:val="auto"/>
        </w:rPr>
        <w:t>Upon the closing of this offering, we will be a party to the Tax Receivable Agreement with TWM LLC and the Continuing LLC Owners. Under the Tax Receivable Agreement, we will be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such Continuing LLC Owner using the net proceeds from this or any future offering or (b) redemptions or exchanges by such Continuing LLC Owner of LLC Interests for shares of our Class A common stock or Class B Common Stock or for cash, as applicable, as described under “The Reorganization Transactions,” and (ii) certain other tax benefits related to our making payments under the Tax Receivable Agreement. We expect that the amount of the cash payments that we will be required to make under the Tax Receivable Agreement will be significant. Any payments made by us to the Continuing LLC Owners under the Tax Receivable Agreement will generally reduce the amount of overall cash flow that might have otherwise been available to us.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 — Related Party Transactions Entered Into in Connection With This Transaction — Tax Receivable Agreement.”</w:t>
      </w:r>
    </w:p>
    <w:p>
      <w:pPr>
        <w:spacing w:after="0" w:line="85" w:lineRule="exact"/>
        <w:rPr>
          <w:sz w:val="20"/>
          <w:szCs w:val="20"/>
          <w:color w:val="auto"/>
        </w:rPr>
      </w:pPr>
    </w:p>
    <w:p>
      <w:pPr>
        <w:ind w:left="1260" w:right="739" w:firstLine="360"/>
        <w:spacing w:after="0" w:line="283" w:lineRule="auto"/>
        <w:rPr>
          <w:sz w:val="20"/>
          <w:szCs w:val="20"/>
          <w:color w:val="auto"/>
        </w:rPr>
      </w:pPr>
      <w:r>
        <w:rPr>
          <w:rFonts w:ascii="Arial" w:cs="Arial" w:eastAsia="Arial" w:hAnsi="Arial"/>
          <w:sz w:val="16"/>
          <w:szCs w:val="16"/>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purchase, redemption or exchange,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assuming (i) that the Continuing LLC Owners redeemed or exchanged all of their LLC Interests immediately after the completion of this offering (including the LLC Interests we expect to purchase from certain of the Other LLC Owners using the net proceeds of this offering), (ii) no material changes in relevant tax law, and (iii) that we earn sufficient taxable income in each year to realize on a current basis all tax benefits that are subject to the Tax Receivable Agreement, based on the assumed initial public</w:t>
      </w:r>
    </w:p>
    <w:p>
      <w:pPr>
        <w:spacing w:after="0" w:line="2" w:lineRule="exact"/>
        <w:rPr>
          <w:sz w:val="20"/>
          <w:szCs w:val="20"/>
          <w:color w:val="auto"/>
        </w:rPr>
      </w:pPr>
    </w:p>
    <w:p>
      <w:pPr>
        <w:ind w:left="1260" w:right="779"/>
        <w:spacing w:after="0" w:line="265" w:lineRule="auto"/>
        <w:rPr>
          <w:sz w:val="20"/>
          <w:szCs w:val="20"/>
          <w:color w:val="auto"/>
        </w:rPr>
      </w:pPr>
      <w:r>
        <w:rPr>
          <w:rFonts w:ascii="Arial" w:cs="Arial" w:eastAsia="Arial" w:hAnsi="Arial"/>
          <w:sz w:val="17"/>
          <w:szCs w:val="17"/>
          <w:color w:val="auto"/>
        </w:rPr>
        <w:t>offering price of $ per share of our Class A common stock, which is the midpoint of the price range set forth on the cover page of this prospectus, we expect that the tax savings we would be deemed to realize would</w:t>
      </w:r>
    </w:p>
    <w:p>
      <w:pPr>
        <w:ind w:left="1260" w:right="899"/>
        <w:spacing w:after="0" w:line="281" w:lineRule="auto"/>
        <w:rPr>
          <w:sz w:val="20"/>
          <w:szCs w:val="20"/>
          <w:color w:val="auto"/>
        </w:rPr>
      </w:pPr>
      <w:r>
        <w:rPr>
          <w:rFonts w:ascii="Arial" w:cs="Arial" w:eastAsia="Arial" w:hAnsi="Arial"/>
          <w:sz w:val="16"/>
          <w:szCs w:val="16"/>
          <w:color w:val="auto"/>
        </w:rPr>
        <w:t>aggregate approximately $ over the 15-year period from the assumed date of such redemption or exchange, and over such period we would be required to pay the Continuing LLC Owners 50% of such amount,</w:t>
      </w:r>
    </w:p>
    <w:p>
      <w:pPr>
        <w:spacing w:after="0" w:line="1" w:lineRule="exact"/>
        <w:rPr>
          <w:sz w:val="20"/>
          <w:szCs w:val="20"/>
          <w:color w:val="auto"/>
        </w:rPr>
      </w:pPr>
    </w:p>
    <w:p>
      <w:pPr>
        <w:ind w:left="1260" w:right="819"/>
        <w:spacing w:after="0" w:line="268" w:lineRule="auto"/>
        <w:rPr>
          <w:sz w:val="20"/>
          <w:szCs w:val="20"/>
          <w:color w:val="auto"/>
        </w:rPr>
      </w:pPr>
      <w:r>
        <w:rPr>
          <w:rFonts w:ascii="Arial" w:cs="Arial" w:eastAsia="Arial" w:hAnsi="Arial"/>
          <w:sz w:val="17"/>
          <w:szCs w:val="17"/>
          <w:color w:val="auto"/>
        </w:rPr>
        <w:t>or approximately $ , over such period. The actual amounts we may be required to pay under the Tax Receivable Agreement may materially differ from these hypothetical amounts, as potential future tax savings we will be deemed to realize, and Tax Receivable Agreement payments by us, will be calculated based in part on the market value of our Class A common stock at the time of redemption or exchange and the prevailing federal tax rates applicable to us over the life of the Tax Receivable Agreement (as well as the assumed combined state and local tax rate), and will generally be dependent on us generating sufficient future taxable income to realize all of these tax savings (subject to the exceptions described under “Certain Relationships and Related Party Transactions — Related Party Transactions Entered Into in</w:t>
      </w:r>
    </w:p>
    <w:p>
      <w:pPr>
        <w:spacing w:after="0" w:line="25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93" w:lineRule="auto"/>
        <w:rPr>
          <w:sz w:val="20"/>
          <w:szCs w:val="20"/>
          <w:color w:val="auto"/>
        </w:rPr>
      </w:pPr>
      <w:r>
        <w:rPr>
          <w:rFonts w:ascii="Arial" w:cs="Arial" w:eastAsia="Arial" w:hAnsi="Arial"/>
          <w:sz w:val="16"/>
          <w:szCs w:val="16"/>
          <w:color w:val="auto"/>
        </w:rPr>
        <w:t>Connection With This Transaction — Tax Receivable Agreement”). Payments under the Tax Receivable Agreement are not conditioned on any Continuing LLC Owner’s continued ownership of LLC Interests or our Class A common stock or Class B common stock after this offering.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51" w:lineRule="exact"/>
        <w:rPr>
          <w:sz w:val="20"/>
          <w:szCs w:val="20"/>
          <w:color w:val="auto"/>
        </w:rPr>
      </w:pPr>
    </w:p>
    <w:p>
      <w:pPr>
        <w:ind w:left="1260" w:right="859"/>
        <w:spacing w:after="0" w:line="253"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71"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We will enter into the Tax Receivable Agreement with TWM LLC and the Continuing LLC Owners and it will provide for the payment by us to the Continuing LLC Owners of 50% of the tax benefits, if any, that we actually realize, or in certain circumstances are deemed to realize, as a result of (i) increases in the tax basis of TWM LLC’s assets resulting from (a) the purchase of LLC Interests from the Continuing LLC Owners using the net proceeds from this or any future offering or (b) redemptions or exchanges by the Continuing LLC Owners of LLC Interests for shares of our Class A common stock or Class B Common Stock or for cash, as applicable, as described under “The Reorganization Transactions,”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55" w:lineRule="exact"/>
        <w:rPr>
          <w:sz w:val="20"/>
          <w:szCs w:val="20"/>
          <w:color w:val="auto"/>
        </w:rPr>
      </w:pPr>
    </w:p>
    <w:p>
      <w:pPr>
        <w:ind w:left="1260" w:right="939"/>
        <w:spacing w:after="0" w:line="235"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81" w:lineRule="exact"/>
        <w:rPr>
          <w:sz w:val="20"/>
          <w:szCs w:val="20"/>
          <w:color w:val="auto"/>
        </w:rPr>
      </w:pPr>
    </w:p>
    <w:p>
      <w:pPr>
        <w:ind w:left="1260" w:right="879" w:firstLine="360"/>
        <w:spacing w:after="0" w:line="276" w:lineRule="auto"/>
        <w:rPr>
          <w:sz w:val="20"/>
          <w:szCs w:val="20"/>
          <w:color w:val="auto"/>
        </w:rPr>
      </w:pPr>
      <w:r>
        <w:rPr>
          <w:rFonts w:ascii="Arial" w:cs="Arial" w:eastAsia="Arial" w:hAnsi="Arial"/>
          <w:sz w:val="17"/>
          <w:szCs w:val="17"/>
          <w:color w:val="auto"/>
        </w:rPr>
        <w:t>The Tax Receivable Agreement provides that upon certain changes of control or if, at any time, we elect an early termination of the Tax Receivable Agreement, then our obligations, or our successor’s obligations, under the Tax Receivable Agreement to make payments thereunder would be accelerated and calculated based on certain assumptions, including an assumption that we would have sufficient taxable income to fully utilize all potential future tax benefits that are subject to the Tax Receivable Agreement.</w:t>
      </w:r>
    </w:p>
    <w:p>
      <w:pPr>
        <w:spacing w:after="0" w:line="64"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81"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75"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72" w:lineRule="auto"/>
        <w:rPr>
          <w:sz w:val="20"/>
          <w:szCs w:val="20"/>
          <w:color w:val="auto"/>
        </w:rPr>
      </w:pPr>
      <w:r>
        <w:rPr>
          <w:rFonts w:ascii="Arial" w:cs="Arial" w:eastAsia="Arial" w:hAnsi="Arial"/>
          <w:sz w:val="17"/>
          <w:szCs w:val="17"/>
          <w:color w:val="auto"/>
        </w:rPr>
        <w:t>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64" w:lineRule="exact"/>
        <w:rPr>
          <w:sz w:val="20"/>
          <w:szCs w:val="20"/>
          <w:color w:val="auto"/>
        </w:rPr>
      </w:pPr>
    </w:p>
    <w:p>
      <w:pPr>
        <w:ind w:left="1260" w:right="779"/>
        <w:spacing w:after="0" w:line="343" w:lineRule="auto"/>
        <w:rPr>
          <w:sz w:val="20"/>
          <w:szCs w:val="20"/>
          <w:color w:val="auto"/>
        </w:rPr>
      </w:pPr>
      <w:r>
        <w:rPr>
          <w:rFonts w:ascii="Arial" w:cs="Arial" w:eastAsia="Arial" w:hAnsi="Arial"/>
          <w:sz w:val="15"/>
          <w:szCs w:val="15"/>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7"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54" w:lineRule="exact"/>
        <w:rPr>
          <w:sz w:val="20"/>
          <w:szCs w:val="20"/>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84"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in countries where we have higher statutory tax rates.</w:t>
      </w:r>
    </w:p>
    <w:p>
      <w:pPr>
        <w:spacing w:after="0" w:line="62"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73"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Legislation that is effective for taxable years beginning after December 31, 2017 may impute liability for adjustments to a partnership’s tax return on the partnership itself in certain circumstances, absent an election to the contrary. TWM LLC may be subject to material liabilities pursuant to this legislation and related guidance if, for example, its calculations of taxable income are incorrect.</w:t>
      </w:r>
    </w:p>
    <w:p>
      <w:pPr>
        <w:spacing w:after="0" w:line="173" w:lineRule="exact"/>
        <w:rPr>
          <w:sz w:val="20"/>
          <w:szCs w:val="20"/>
          <w:color w:val="auto"/>
        </w:rPr>
      </w:pPr>
    </w:p>
    <w:p>
      <w:pPr>
        <w:ind w:left="1260" w:right="799"/>
        <w:spacing w:after="0" w:line="276"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54"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59"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As the sole manager of TWM LLC, we will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79" w:lineRule="exact"/>
        <w:rPr>
          <w:sz w:val="20"/>
          <w:szCs w:val="20"/>
          <w:color w:val="auto"/>
        </w:rPr>
      </w:pPr>
    </w:p>
    <w:p>
      <w:pPr>
        <w:ind w:left="1260" w:right="819" w:firstLine="360"/>
        <w:spacing w:after="0" w:line="302" w:lineRule="auto"/>
        <w:rPr>
          <w:sz w:val="20"/>
          <w:szCs w:val="20"/>
          <w:color w:val="auto"/>
        </w:rPr>
      </w:pPr>
      <w:r>
        <w:rPr>
          <w:rFonts w:ascii="Arial" w:cs="Arial" w:eastAsia="Arial" w:hAnsi="Arial"/>
          <w:sz w:val="16"/>
          <w:szCs w:val="16"/>
          <w:color w:val="auto"/>
        </w:rPr>
        <w:t>We and TWM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Risks Relating to This Offering and Ownership of Our Class A Common Stock</w:t>
      </w:r>
    </w:p>
    <w:p>
      <w:pPr>
        <w:spacing w:after="0" w:line="202"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The Refinitiv Owners and their affiliates control us and their interests may conflict with ours or yours in the future.</w:t>
      </w:r>
    </w:p>
    <w:p>
      <w:pPr>
        <w:spacing w:after="0" w:line="7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Immediately following this offering and the application of the net proceeds from this offering, the Refinitiv</w:t>
      </w:r>
    </w:p>
    <w:p>
      <w:pPr>
        <w:spacing w:after="0" w:line="35" w:lineRule="exact"/>
        <w:rPr>
          <w:sz w:val="20"/>
          <w:szCs w:val="20"/>
          <w:color w:val="auto"/>
        </w:rPr>
      </w:pPr>
    </w:p>
    <w:p>
      <w:pPr>
        <w:ind w:left="1260" w:right="779"/>
        <w:spacing w:after="0" w:line="284" w:lineRule="auto"/>
        <w:rPr>
          <w:sz w:val="20"/>
          <w:szCs w:val="20"/>
          <w:color w:val="auto"/>
        </w:rPr>
      </w:pPr>
      <w:r>
        <w:rPr>
          <w:rFonts w:ascii="Arial" w:cs="Arial" w:eastAsia="Arial" w:hAnsi="Arial"/>
          <w:sz w:val="16"/>
          <w:szCs w:val="16"/>
          <w:color w:val="auto"/>
        </w:rPr>
        <w:t>Owners and their affiliates will control approximately % of the combined voting power of our common stock (or %, if the underwriters exercise in full their option to purchase additional shares of Class A common stock) as a result of their ownership of our Class B common stock and Class D common stock, each share of which is entitled to 10 votes on all matters submitted to a vote of our stockholders. Moreover, under our amended and restated bylaws and the Stockholders Agreement that will be in effect by the completion of this offering, for so long as the Refinitiv Owners and their affiliates together continue to beneficially own at least 10% of the combined voting power of our common stock, we will agree to nominate to our board of directors a certain number of individuals designated by the Refinitiv Owners. See “Certain Relationships and Related Party Transactions — Transactions Entered Into in Connection With This Offering — Stockholders Agreement.” Even when the Refinitiv Owners and their affiliates cease to own shares of our common stock representing a majority of the combined voting power, for so long as the Refinitiv Owners continue to own a significant percentage of our common stock, the Refinitiv Owners will still be able to significantly influence the composition of our board of directors and the approval of actions requiring stockholder approval through their combined voting power. Accordingly, for such period of time, the Refinitiv Owners and their affiliates will have significant influence with respect to our management, business plans and policies. In particular, the Refinitiv Owners and their affiliates will be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63"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Refinitiv Owners and their affiliates engage in a broad spectrum of activities. In the ordinary course of their business activities, the Refinitiv Owners and their affiliates may engage in activities where their interests conflict with our interests or those of our stockholders. Our amended and restated certificate of incorporation will provide that none of the Refinitiv Owners, any of their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 Refinitiv Owners and their affiliates also may pursue acquisition opportunities that may be complementary to our business, and, as a result, those acquisition opportunities may not be available to us. In addition, the Refinitiv Owners and their affiliates may have an interest in us pursuing acquisitions, divestitures and other transactions that, in their judgment, could enhance their investment, even though such transactions might involve risks to you.</w:t>
      </w:r>
    </w:p>
    <w:p>
      <w:pPr>
        <w:spacing w:after="0" w:line="159" w:lineRule="exact"/>
        <w:rPr>
          <w:sz w:val="20"/>
          <w:szCs w:val="20"/>
          <w:color w:val="auto"/>
        </w:rPr>
      </w:pPr>
    </w:p>
    <w:p>
      <w:pPr>
        <w:ind w:left="1260" w:right="779"/>
        <w:spacing w:after="0" w:line="275" w:lineRule="auto"/>
        <w:rPr>
          <w:sz w:val="20"/>
          <w:szCs w:val="20"/>
          <w:color w:val="auto"/>
        </w:rPr>
      </w:pPr>
      <w:r>
        <w:rPr>
          <w:rFonts w:ascii="Arial" w:cs="Arial" w:eastAsia="Arial" w:hAnsi="Arial"/>
          <w:sz w:val="17"/>
          <w:szCs w:val="17"/>
          <w:b w:val="1"/>
          <w:bCs w:val="1"/>
          <w:i w:val="1"/>
          <w:iCs w:val="1"/>
          <w:color w:val="auto"/>
        </w:rPr>
        <w:t>Immediately following the consummation of this offering, the Refinitiv Direct Owner and the Continuing LLC Owners may require us to issue additional shares of our Class A common stock.</w:t>
      </w:r>
    </w:p>
    <w:p>
      <w:pPr>
        <w:spacing w:after="0" w:line="52" w:lineRule="exact"/>
        <w:rPr>
          <w:sz w:val="20"/>
          <w:szCs w:val="20"/>
          <w:color w:val="auto"/>
        </w:rPr>
      </w:pPr>
    </w:p>
    <w:p>
      <w:pPr>
        <w:ind w:left="1260" w:right="759" w:firstLine="360"/>
        <w:spacing w:after="0" w:line="274" w:lineRule="auto"/>
        <w:rPr>
          <w:sz w:val="20"/>
          <w:szCs w:val="20"/>
          <w:color w:val="auto"/>
        </w:rPr>
      </w:pPr>
      <w:r>
        <w:rPr>
          <w:rFonts w:ascii="Arial" w:cs="Arial" w:eastAsia="Arial" w:hAnsi="Arial"/>
          <w:sz w:val="17"/>
          <w:szCs w:val="17"/>
          <w:color w:val="auto"/>
        </w:rPr>
        <w:t>After this offering, we will have an aggregate of more than shares of Class A common stock authorized but unissued, including approximately shares of Class A common stock (or shares, if the underwriters</w:t>
      </w:r>
    </w:p>
    <w:p>
      <w:pPr>
        <w:ind w:left="1260"/>
        <w:spacing w:after="0"/>
        <w:rPr>
          <w:sz w:val="20"/>
          <w:szCs w:val="20"/>
          <w:color w:val="auto"/>
        </w:rPr>
      </w:pPr>
      <w:r>
        <w:rPr>
          <w:rFonts w:ascii="Arial" w:cs="Arial" w:eastAsia="Arial" w:hAnsi="Arial"/>
          <w:sz w:val="16"/>
          <w:szCs w:val="16"/>
          <w:color w:val="auto"/>
        </w:rPr>
        <w:t>exercise in full their option to purchase additional shares of Class A common stock) issuable upon the redemption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or exchange of LLC Interests that will be held by the Continuing LLC Owners or the exchange of shares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Class B common stock that will be held by the Refinitiv Direct Owner and any other future holders of Class B</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common stock. TWM LLC will enter into the TWM LLC Agreement and, subject to certain restrictions set forth</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therein and as described elsewhere in this prospectus, the Continuing LLC Owners will be entitled to have their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LLC Interests redeemed for newly issued shares of our Class A common stock or Class B common stock, in each</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case, on a one-for-one basis (in which case such holders’ shares of Class C common stock or Class D common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as the case may be, will be cancelled on a one-for-one basis upon any such issuance). Shares of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B common stock may also be exchanged at any time, at the option of the holder, for newly issued shares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A common stock (in which case such holders’ shares of Class B common stock will be cancelled on a one-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for-one basis upon any such issuance).</w:t>
      </w:r>
    </w:p>
    <w:p>
      <w:pPr>
        <w:spacing w:after="0" w:line="2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75" w:lineRule="exact"/>
        <w:rPr>
          <w:sz w:val="20"/>
          <w:szCs w:val="20"/>
          <w:color w:val="auto"/>
        </w:rPr>
      </w:pPr>
    </w:p>
    <w:p>
      <w:pPr>
        <w:ind w:left="1260" w:right="859"/>
        <w:spacing w:after="0" w:line="307" w:lineRule="auto"/>
        <w:rPr>
          <w:sz w:val="20"/>
          <w:szCs w:val="20"/>
          <w:color w:val="auto"/>
        </w:rPr>
      </w:pPr>
      <w:r>
        <w:rPr>
          <w:rFonts w:ascii="Arial" w:cs="Arial" w:eastAsia="Arial" w:hAnsi="Arial"/>
          <w:sz w:val="16"/>
          <w:szCs w:val="16"/>
          <w:b w:val="1"/>
          <w:bCs w:val="1"/>
          <w:i w:val="1"/>
          <w:iCs w:val="1"/>
          <w:color w:val="auto"/>
        </w:rPr>
        <w:t>We are a “controlled company” within the meaning of the corporate governance standards of Nasdaq and, as a result, will qualify for, and may rely on, exemptions from certain corporate governance requirements.</w:t>
      </w:r>
    </w:p>
    <w:p>
      <w:pPr>
        <w:spacing w:after="0" w:line="29"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color w:val="auto"/>
        </w:rPr>
        <w:t>After completion of this offering, Refinitiv will continue to own a majority of the combined voting power in us. As a result, we will be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19" w:lineRule="exact"/>
        <w:rPr>
          <w:sz w:val="20"/>
          <w:szCs w:val="20"/>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71"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127" w:lineRule="exact"/>
        <w:rPr>
          <w:rFonts w:ascii="Arial" w:cs="Arial" w:eastAsia="Arial" w:hAnsi="Arial"/>
          <w:sz w:val="18"/>
          <w:szCs w:val="18"/>
          <w:color w:val="auto"/>
        </w:rPr>
      </w:pPr>
    </w:p>
    <w:p>
      <w:pPr>
        <w:ind w:left="1980" w:right="1199" w:hanging="352"/>
        <w:spacing w:after="0" w:line="342" w:lineRule="auto"/>
        <w:tabs>
          <w:tab w:leader="none" w:pos="1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Following this offering, we intend to rely on all of the exemptions listed above. If we do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 of the corporate governance requirements of Nasdaq.</w:t>
      </w:r>
    </w:p>
    <w:p>
      <w:pPr>
        <w:spacing w:after="0" w:line="165" w:lineRule="exact"/>
        <w:rPr>
          <w:sz w:val="20"/>
          <w:szCs w:val="20"/>
          <w:color w:val="auto"/>
        </w:rPr>
      </w:pPr>
    </w:p>
    <w:p>
      <w:pPr>
        <w:jc w:val="both"/>
        <w:ind w:left="1260" w:right="899"/>
        <w:spacing w:after="0" w:line="235" w:lineRule="auto"/>
        <w:rPr>
          <w:sz w:val="20"/>
          <w:szCs w:val="20"/>
          <w:color w:val="auto"/>
        </w:rPr>
      </w:pPr>
      <w:r>
        <w:rPr>
          <w:rFonts w:ascii="Arial" w:cs="Arial" w:eastAsia="Arial" w:hAnsi="Arial"/>
          <w:sz w:val="18"/>
          <w:szCs w:val="18"/>
          <w:b w:val="1"/>
          <w:bCs w:val="1"/>
          <w:i w:val="1"/>
          <w:iCs w:val="1"/>
          <w:color w:val="auto"/>
        </w:rPr>
        <w:t>There is no existing market for our Class A common stock, and we do not know if one will develop to provide you with adequate liquidity to sell our Class A common stock at prices equal to or greater than the price you paid in this offering.</w:t>
      </w:r>
    </w:p>
    <w:p>
      <w:pPr>
        <w:spacing w:after="0" w:line="8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Prior to this offering, there has been no public market for our Class A common stock. We cannot predict the extent to which investor interest in us will lead to the development of a trading market on Nasdaq or otherwise or how active and liquid that market may come to be. Although we intend to apply to list our Class A common stock on Nasdaq, if an active trading market for our Class A common stock does not develop following this offering, you may not be able to sell your shares quickly or at or above the initial public offering price. The initial public offering price for our shares will be determined by negotiations between us, certain of the Original LLC Owners and the representatives of the underwriters, and this price may not be indicative of prices that will prevail in the open market following this offering. Consequently, you may not be able to sell our Class A common stock at prices equal to or greater than the price you paid in this offering.</w:t>
      </w:r>
    </w:p>
    <w:p>
      <w:pPr>
        <w:spacing w:after="0" w:line="168"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The market price of our Class A common stock may be highly volatile, and you may not be able to resell your shares at or above the public offering price.</w:t>
      </w:r>
    </w:p>
    <w:p>
      <w:pPr>
        <w:spacing w:after="0" w:line="7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trading price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of our Class A common stock:</w:t>
      </w:r>
    </w:p>
    <w:p>
      <w:pPr>
        <w:spacing w:after="0" w:line="134" w:lineRule="exact"/>
        <w:rPr>
          <w:sz w:val="20"/>
          <w:szCs w:val="20"/>
          <w:color w:val="auto"/>
        </w:rPr>
      </w:pPr>
    </w:p>
    <w:p>
      <w:pPr>
        <w:ind w:left="5280" w:right="2519" w:hanging="3652"/>
        <w:spacing w:after="0" w:line="606" w:lineRule="auto"/>
        <w:tabs>
          <w:tab w:leader="none" w:pos="19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68345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77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or expectations or trends in the markets in which we operate;</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concerning our competitors or our industry in general;</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153" w:lineRule="exact"/>
        <w:rPr>
          <w:rFonts w:ascii="Arial" w:cs="Arial" w:eastAsia="Arial" w:hAnsi="Arial"/>
          <w:sz w:val="16"/>
          <w:szCs w:val="16"/>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failure of securities analysts to cover the Company or changes in analysts’ financial estimates;</w:t>
      </w:r>
    </w:p>
    <w:p>
      <w:pPr>
        <w:spacing w:after="0" w:line="142" w:lineRule="exact"/>
        <w:rPr>
          <w:rFonts w:ascii="Arial" w:cs="Arial" w:eastAsia="Arial" w:hAnsi="Arial"/>
          <w:sz w:val="17"/>
          <w:szCs w:val="17"/>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political, legal and regulatory factors unrelated to our performance;</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130" w:lineRule="exact"/>
        <w:rPr>
          <w:rFonts w:ascii="Arial" w:cs="Arial" w:eastAsia="Arial" w:hAnsi="Arial"/>
          <w:sz w:val="18"/>
          <w:szCs w:val="18"/>
          <w:color w:val="auto"/>
        </w:rPr>
      </w:pPr>
    </w:p>
    <w:p>
      <w:pPr>
        <w:ind w:left="1980" w:right="101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Class A common stock by us, our executive officers, directors or our stockholders in the future; and</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overall fluctuations in the U.S. equity markets.</w:t>
      </w:r>
    </w:p>
    <w:p>
      <w:pPr>
        <w:spacing w:after="0" w:line="117" w:lineRule="exact"/>
        <w:rPr>
          <w:sz w:val="20"/>
          <w:szCs w:val="20"/>
          <w:color w:val="auto"/>
        </w:rPr>
      </w:pPr>
    </w:p>
    <w:p>
      <w:pPr>
        <w:ind w:left="1260" w:right="1059" w:firstLine="360"/>
        <w:spacing w:after="0" w:line="264"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68"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 as a result of this offering and any future equity issuances.</w:t>
      </w:r>
    </w:p>
    <w:p>
      <w:pPr>
        <w:spacing w:after="0" w:line="75" w:lineRule="exact"/>
        <w:rPr>
          <w:sz w:val="20"/>
          <w:szCs w:val="20"/>
          <w:color w:val="auto"/>
        </w:rPr>
      </w:pPr>
    </w:p>
    <w:p>
      <w:pPr>
        <w:jc w:val="both"/>
        <w:ind w:left="1260" w:right="879" w:firstLine="360"/>
        <w:spacing w:after="0" w:line="286"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Class A common stock. Dilution is the difference between the initial public offering price per share and the pro forma net tangible book value per share of our Class A common stock after this offering. If you purchase shares of Class A common stock in this offering, you will incur immediate and</w:t>
      </w:r>
    </w:p>
    <w:p>
      <w:pPr>
        <w:spacing w:after="0" w:line="2" w:lineRule="exact"/>
        <w:rPr>
          <w:sz w:val="20"/>
          <w:szCs w:val="20"/>
          <w:color w:val="auto"/>
        </w:rPr>
      </w:pPr>
    </w:p>
    <w:p>
      <w:pPr>
        <w:ind w:left="1260"/>
        <w:spacing w:after="0"/>
        <w:tabs>
          <w:tab w:leader="none" w:pos="4420" w:val="left"/>
        </w:tabs>
        <w:rPr>
          <w:sz w:val="20"/>
          <w:szCs w:val="20"/>
          <w:color w:val="auto"/>
        </w:rPr>
      </w:pPr>
      <w:r>
        <w:rPr>
          <w:rFonts w:ascii="Arial" w:cs="Arial" w:eastAsia="Arial" w:hAnsi="Arial"/>
          <w:sz w:val="18"/>
          <w:szCs w:val="18"/>
          <w:color w:val="auto"/>
        </w:rPr>
        <w:t>substantial dilution in the amount of $</w:t>
      </w:r>
      <w:r>
        <w:rPr>
          <w:sz w:val="20"/>
          <w:szCs w:val="20"/>
          <w:color w:val="auto"/>
        </w:rPr>
        <w:tab/>
      </w:r>
      <w:r>
        <w:rPr>
          <w:rFonts w:ascii="Arial" w:cs="Arial" w:eastAsia="Arial" w:hAnsi="Arial"/>
          <w:sz w:val="16"/>
          <w:szCs w:val="16"/>
          <w:color w:val="auto"/>
        </w:rPr>
        <w:t>per share based upon an assumed initial public offering price of</w:t>
      </w:r>
    </w:p>
    <w:p>
      <w:pPr>
        <w:spacing w:after="0" w:line="9" w:lineRule="exact"/>
        <w:rPr>
          <w:sz w:val="20"/>
          <w:szCs w:val="20"/>
          <w:color w:val="auto"/>
        </w:rPr>
      </w:pPr>
    </w:p>
    <w:p>
      <w:pPr>
        <w:ind w:left="1260" w:right="799" w:firstLine="8"/>
        <w:spacing w:after="0" w:line="252" w:lineRule="auto"/>
        <w:tabs>
          <w:tab w:leader="none" w:pos="17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 share (the midpoint of the price range listed on the cover page of this prospectus). To the extent outstanding options are ultimately exercised, there will be further dilution to investors in this offering. In addition, if the underwriters exercise in full their option to purchase additional shares of Class A common stock, or if we issue additional equity securities in the future, including to our employees and directors under our equity incentive plans, investors purchasing shares of Class A common stock in this offering will experience additional dilution. See “Dilution.”</w:t>
      </w:r>
    </w:p>
    <w:p>
      <w:pPr>
        <w:spacing w:after="0" w:line="181"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75" w:lineRule="exact"/>
        <w:rPr>
          <w:sz w:val="20"/>
          <w:szCs w:val="20"/>
          <w:color w:val="auto"/>
        </w:rPr>
      </w:pPr>
    </w:p>
    <w:p>
      <w:pPr>
        <w:ind w:left="1260" w:right="859" w:firstLine="360"/>
        <w:spacing w:after="0" w:line="288"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Upon the closing of this offering, we will</w:t>
      </w:r>
    </w:p>
    <w:p>
      <w:pPr>
        <w:ind w:left="1260" w:right="919"/>
        <w:spacing w:after="0" w:line="265" w:lineRule="auto"/>
        <w:rPr>
          <w:sz w:val="20"/>
          <w:szCs w:val="20"/>
          <w:color w:val="auto"/>
        </w:rPr>
      </w:pPr>
      <w:r>
        <w:rPr>
          <w:rFonts w:ascii="Arial" w:cs="Arial" w:eastAsia="Arial" w:hAnsi="Arial"/>
          <w:sz w:val="17"/>
          <w:szCs w:val="17"/>
          <w:color w:val="auto"/>
        </w:rPr>
        <w:t>have outstanding shares of Class A common stock (or shares, if the underwriters exercise in full their option to purchase additional shares of Class A common stock) and shares of Class A common stock that</w:t>
      </w:r>
    </w:p>
    <w:p>
      <w:pPr>
        <w:ind w:left="1260" w:right="779"/>
        <w:spacing w:after="0" w:line="261" w:lineRule="auto"/>
        <w:rPr>
          <w:sz w:val="20"/>
          <w:szCs w:val="20"/>
          <w:color w:val="auto"/>
        </w:rPr>
      </w:pPr>
      <w:r>
        <w:rPr>
          <w:rFonts w:ascii="Arial" w:cs="Arial" w:eastAsia="Arial" w:hAnsi="Arial"/>
          <w:sz w:val="18"/>
          <w:szCs w:val="18"/>
          <w:color w:val="auto"/>
        </w:rPr>
        <w:t>are authorized but unissued that would be issuable upon redemption or exchange of LLC Interests or exchange of shares of our Class B common stock.</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and each of our directors and executive officers and substantially all of our other stockholders, which</w:t>
      </w:r>
    </w:p>
    <w:p>
      <w:pPr>
        <w:spacing w:after="0" w:line="35" w:lineRule="exact"/>
        <w:rPr>
          <w:sz w:val="20"/>
          <w:szCs w:val="20"/>
          <w:color w:val="auto"/>
        </w:rPr>
      </w:pPr>
    </w:p>
    <w:p>
      <w:pPr>
        <w:ind w:left="1260" w:right="959"/>
        <w:spacing w:after="0" w:line="277" w:lineRule="auto"/>
        <w:rPr>
          <w:sz w:val="20"/>
          <w:szCs w:val="20"/>
          <w:color w:val="auto"/>
        </w:rPr>
      </w:pPr>
      <w:r>
        <w:rPr>
          <w:rFonts w:ascii="Arial" w:cs="Arial" w:eastAsia="Arial" w:hAnsi="Arial"/>
          <w:sz w:val="17"/>
          <w:szCs w:val="17"/>
          <w:color w:val="auto"/>
        </w:rPr>
        <w:t>collectively will hold % (or %, if the underwriters exercise in full their option to purchase additional shares of Class A common stock) of our outstanding common stock after giving effect to this offering, have agreed with the underwriters, subject to certain exceptions, not to dispose of or hedge any</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39"/>
        <w:spacing w:after="0" w:line="288" w:lineRule="auto"/>
        <w:rPr>
          <w:sz w:val="20"/>
          <w:szCs w:val="20"/>
          <w:color w:val="auto"/>
        </w:rPr>
      </w:pPr>
      <w:r>
        <w:rPr>
          <w:rFonts w:ascii="Arial" w:cs="Arial" w:eastAsia="Arial" w:hAnsi="Arial"/>
          <w:sz w:val="16"/>
          <w:szCs w:val="16"/>
          <w:color w:val="auto"/>
        </w:rPr>
        <w:t>shares of Class A common stock or securities convertible into or exchangeable for, or that represent the right to receive, shares of Class A common stock (including the LLC Interests and shares of Class B common stock) during the period from the date of this prospectus continuing through the date 180 days after the date of this</w:t>
      </w:r>
    </w:p>
    <w:p>
      <w:pPr>
        <w:ind w:left="1260" w:right="799"/>
        <w:spacing w:after="0" w:line="286" w:lineRule="auto"/>
        <w:rPr>
          <w:sz w:val="20"/>
          <w:szCs w:val="20"/>
          <w:color w:val="auto"/>
        </w:rPr>
      </w:pPr>
      <w:r>
        <w:rPr>
          <w:rFonts w:ascii="Arial" w:cs="Arial" w:eastAsia="Arial" w:hAnsi="Arial"/>
          <w:sz w:val="16"/>
          <w:szCs w:val="16"/>
          <w:color w:val="auto"/>
        </w:rPr>
        <w:t>prospectus, except with the prior written consent of . In addition, we intend to enter into the Registration Rights Agreement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each as of the closing of this offering, will be subject to certain transfer restrictions. See “Certain Relationships and Related Party Transactions — Related Party Transactions Entered Into in Connection With This Offering — Registration Rights Agreement.” Sales of a substantial number of Class A common stock upon expiration of such above-described agreements, the perception that such sales may occur, or early release of such agreements, could cause the market price of our shares of Class A common stock to fall or make it more difficult for you to sell your Class A common stock at a time and price that you deem appropriate.</w:t>
      </w:r>
    </w:p>
    <w:p>
      <w:pPr>
        <w:spacing w:after="0" w:line="62"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All of our shares of Class A common stock outstanding as of the date of this prospectus (and shares of Class A common stock issuable upon redemption or exchange of LLC Interests or exchange of shares of our Class B common stock) may be sold in the public market by existing stockholders following the expiration of the applicable lock-up periods, subject to applicable limitations imposed under federal securities laws. In addition, shares of Class A common stock issued or issuable upon exercise of options vested as of the expiration of the lock-up period will be eligible for sale at that time. Sales of shares of our Class A common stock following the expiration of the applicable lock-up periods could have a material adverse effect on the trading price of our Class A common stock. See “Shares Eligible for Future Sale.”</w:t>
      </w:r>
    </w:p>
    <w:p>
      <w:pPr>
        <w:spacing w:after="0" w:line="71"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Moreover, after this offering, 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 such registration statements will be available for sale in the open market following the expiration of the applicable lock-up period. We expect that the initial registration statement on Form S-8 will cover</w:t>
      </w:r>
    </w:p>
    <w:p>
      <w:pPr>
        <w:spacing w:after="0" w:line="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shares of our Class A common stock.</w:t>
      </w:r>
    </w:p>
    <w:p>
      <w:pPr>
        <w:spacing w:after="0" w:line="103"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We also intend to enter into the Registration Rights Agreement. Pursuant to the Registration Rights Agreement, we will grant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w:t>
      </w:r>
    </w:p>
    <w:p>
      <w:pPr>
        <w:spacing w:after="0" w:line="2" w:lineRule="exact"/>
        <w:rPr>
          <w:sz w:val="20"/>
          <w:szCs w:val="20"/>
          <w:color w:val="auto"/>
        </w:rPr>
      </w:pPr>
    </w:p>
    <w:p>
      <w:pPr>
        <w:ind w:left="1260" w:right="759"/>
        <w:spacing w:after="0" w:line="254" w:lineRule="auto"/>
        <w:rPr>
          <w:sz w:val="20"/>
          <w:szCs w:val="20"/>
          <w:color w:val="auto"/>
        </w:rPr>
      </w:pPr>
      <w:r>
        <w:rPr>
          <w:rFonts w:ascii="Arial" w:cs="Arial" w:eastAsia="Arial" w:hAnsi="Arial"/>
          <w:sz w:val="18"/>
          <w:szCs w:val="18"/>
          <w:color w:val="auto"/>
        </w:rPr>
        <w:t>— Related Party Transactions Entered Into in Connection With This Offering — Registration Rights Agreement.”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76" w:lineRule="exact"/>
        <w:rPr>
          <w:sz w:val="20"/>
          <w:szCs w:val="20"/>
          <w:color w:val="auto"/>
        </w:rPr>
      </w:pPr>
    </w:p>
    <w:p>
      <w:pPr>
        <w:jc w:val="both"/>
        <w:ind w:left="1260" w:right="819"/>
        <w:spacing w:after="0" w:line="303"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markets, or if they adversely change their recommendations or publish negative reports regarding our business or our Class A common stock, our stock price and trading volume could materially decline.</w:t>
      </w:r>
    </w:p>
    <w:p>
      <w:pPr>
        <w:spacing w:after="0" w:line="35"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markets or our competitors. We do not have any control over these analysts and we cannot provide any assurance that analysts will cover us or provide favorable coverage. If any of the analysts who may cover us adversely change their recommendation regarding our Class A common stock, or provide more favorable relative recommendations about our competitors, our stock price could materially decline. If any analyst who may cover us were to cease coverage of our company or fail to regularly publish reports on us, we could lose visibility in the financial markets, which in turn could cause our stock price or trading volume to materially decline.</w:t>
      </w:r>
    </w:p>
    <w:p>
      <w:pPr>
        <w:spacing w:after="0" w:line="165"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We intend to pay regular dividends on our Class A common stock and Class B common stock, but our ability to do so may be limited.</w:t>
      </w:r>
    </w:p>
    <w:p>
      <w:pPr>
        <w:spacing w:after="0" w:line="62" w:lineRule="exact"/>
        <w:rPr>
          <w:sz w:val="20"/>
          <w:szCs w:val="20"/>
          <w:color w:val="auto"/>
        </w:rPr>
      </w:pPr>
    </w:p>
    <w:p>
      <w:pPr>
        <w:ind w:left="1260" w:right="999" w:firstLine="360"/>
        <w:spacing w:after="0" w:line="286" w:lineRule="auto"/>
        <w:rPr>
          <w:sz w:val="20"/>
          <w:szCs w:val="20"/>
          <w:color w:val="auto"/>
        </w:rPr>
      </w:pPr>
      <w:r>
        <w:rPr>
          <w:rFonts w:ascii="Arial" w:cs="Arial" w:eastAsia="Arial" w:hAnsi="Arial"/>
          <w:sz w:val="17"/>
          <w:szCs w:val="17"/>
          <w:color w:val="auto"/>
        </w:rPr>
        <w:t>Following the completion of this offering, we intend to pay cash dividends on our Class A common stock and Class B common stock on a quarterly basis, subject to the discretion of our board of directors and our compliance with applicable law, and depending on our and our subsidiaries’ results of operations,</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59"/>
        <w:spacing w:after="0" w:line="277" w:lineRule="auto"/>
        <w:rPr>
          <w:sz w:val="20"/>
          <w:szCs w:val="20"/>
          <w:color w:val="auto"/>
        </w:rPr>
      </w:pPr>
      <w:r>
        <w:rPr>
          <w:rFonts w:ascii="Arial" w:cs="Arial" w:eastAsia="Arial" w:hAnsi="Arial"/>
          <w:sz w:val="18"/>
          <w:szCs w:val="18"/>
          <w:color w:val="auto"/>
        </w:rPr>
        <w:t>capital requirements, financial condition, business prospects contractual restrictions, restrictions imposed by applicable laws and other factors that our board of directors deems relevant.</w:t>
      </w:r>
    </w:p>
    <w:p>
      <w:pPr>
        <w:spacing w:after="0" w:line="62"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See “The Reorganization Transactions.”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any future credit agreement, including the New Revolving Credit Facility, or any future debt or preferred equity securities of Tradeweb or its subsidiaries.</w:t>
      </w:r>
    </w:p>
    <w:p>
      <w:pPr>
        <w:spacing w:after="0" w:line="80"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79" w:lineRule="exact"/>
        <w:rPr>
          <w:sz w:val="20"/>
          <w:szCs w:val="20"/>
          <w:color w:val="auto"/>
        </w:rPr>
      </w:pPr>
    </w:p>
    <w:p>
      <w:pPr>
        <w:ind w:left="1260" w:right="1319"/>
        <w:spacing w:after="0" w:line="246"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75"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to become effective immediately prior to the consummation of this offering will contain provisions that may make the merger or acquisition of our company more difficult without the approval of our board of directors. Among other things, these provisions:</w:t>
      </w:r>
    </w:p>
    <w:p>
      <w:pPr>
        <w:spacing w:after="0" w:line="38" w:lineRule="exact"/>
        <w:rPr>
          <w:sz w:val="20"/>
          <w:szCs w:val="20"/>
          <w:color w:val="auto"/>
        </w:rPr>
      </w:pPr>
    </w:p>
    <w:p>
      <w:pPr>
        <w:ind w:left="1980" w:right="1299" w:hanging="352"/>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for a multi-class common stock structure with a 10 vote per share feature of our Class B common stock and Class D common stock;</w:t>
      </w:r>
    </w:p>
    <w:p>
      <w:pPr>
        <w:spacing w:after="0" w:line="21" w:lineRule="exact"/>
        <w:rPr>
          <w:rFonts w:ascii="Arial" w:cs="Arial" w:eastAsia="Arial" w:hAnsi="Arial"/>
          <w:sz w:val="18"/>
          <w:szCs w:val="18"/>
          <w:color w:val="auto"/>
        </w:rPr>
      </w:pPr>
    </w:p>
    <w:p>
      <w:pPr>
        <w:ind w:left="1980" w:right="1039" w:hanging="352"/>
        <w:spacing w:after="0" w:line="302" w:lineRule="auto"/>
        <w:tabs>
          <w:tab w:leader="none" w:pos="1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would 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9" w:lineRule="exact"/>
        <w:rPr>
          <w:rFonts w:ascii="Arial" w:cs="Arial" w:eastAsia="Arial" w:hAnsi="Arial"/>
          <w:sz w:val="16"/>
          <w:szCs w:val="16"/>
          <w:color w:val="auto"/>
        </w:rPr>
      </w:pPr>
    </w:p>
    <w:p>
      <w:pPr>
        <w:jc w:val="both"/>
        <w:ind w:left="1980" w:right="959" w:hanging="352"/>
        <w:spacing w:after="0" w:line="286"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prohibit stockholder action by written consent from and after the date on which the Refinitiv Owners cease to beneficially own at least 50% of the total voting power of all then outstanding shares of our capital stock unless such action is recommended by all directors then in office;</w:t>
      </w:r>
    </w:p>
    <w:p>
      <w:pPr>
        <w:spacing w:after="0" w:line="16" w:lineRule="exact"/>
        <w:rPr>
          <w:rFonts w:ascii="Arial" w:cs="Arial" w:eastAsia="Arial" w:hAnsi="Arial"/>
          <w:sz w:val="17"/>
          <w:szCs w:val="17"/>
          <w:color w:val="auto"/>
        </w:rPr>
      </w:pPr>
    </w:p>
    <w:p>
      <w:pPr>
        <w:ind w:left="1980" w:right="799" w:hanging="352"/>
        <w:spacing w:after="0" w:line="238"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 that our stockholders may only amend our bylaws with the approval of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or more in voting power of all outstanding shares of our capital stock, if the Refinitiv Owners and their respective affiliates beneficially own less than 50% in voting power of our stock entitled to vote generally in the election of directors; and</w:t>
      </w:r>
    </w:p>
    <w:p>
      <w:pPr>
        <w:spacing w:after="0" w:line="55"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62"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24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97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89"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0" w:lineRule="exact"/>
        <w:rPr>
          <w:rFonts w:ascii="Arial" w:cs="Arial" w:eastAsia="Arial" w:hAnsi="Arial"/>
          <w:sz w:val="18"/>
          <w:szCs w:val="18"/>
          <w:color w:val="auto"/>
        </w:rPr>
      </w:pPr>
    </w:p>
    <w:p>
      <w:pPr>
        <w:ind w:left="1980" w:right="779" w:hanging="352"/>
        <w:spacing w:after="0" w:line="231"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5"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73"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See “Description of Capital Stock.”</w:t>
      </w:r>
    </w:p>
    <w:p>
      <w:pPr>
        <w:spacing w:after="0" w:line="164" w:lineRule="exact"/>
        <w:rPr>
          <w:sz w:val="20"/>
          <w:szCs w:val="20"/>
          <w:color w:val="auto"/>
        </w:rPr>
      </w:pPr>
    </w:p>
    <w:p>
      <w:pPr>
        <w:ind w:left="1260" w:right="819"/>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62"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Delaware General Corporation Law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55" w:lineRule="exact"/>
        <w:rPr>
          <w:sz w:val="20"/>
          <w:szCs w:val="20"/>
          <w:color w:val="auto"/>
        </w:rPr>
      </w:pPr>
    </w:p>
    <w:p>
      <w:pPr>
        <w:ind w:left="1260" w:right="1039"/>
        <w:spacing w:after="0" w:line="246" w:lineRule="auto"/>
        <w:rPr>
          <w:sz w:val="20"/>
          <w:szCs w:val="20"/>
          <w:color w:val="auto"/>
        </w:rPr>
      </w:pPr>
      <w:r>
        <w:rPr>
          <w:rFonts w:ascii="Arial" w:cs="Arial" w:eastAsia="Arial" w:hAnsi="Arial"/>
          <w:sz w:val="18"/>
          <w:szCs w:val="18"/>
          <w:b w:val="1"/>
          <w:bCs w:val="1"/>
          <w:i w:val="1"/>
          <w:iCs w:val="1"/>
          <w:color w:val="auto"/>
        </w:rPr>
        <w:t>Taking advantage of the reduced disclosure requirements applicable to “emerging growth companies” may make our Class A common stock less attractive to investors.</w:t>
      </w:r>
    </w:p>
    <w:p>
      <w:pPr>
        <w:spacing w:after="0" w:line="75"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89" w:lineRule="exact"/>
        <w:rPr>
          <w:sz w:val="20"/>
          <w:szCs w:val="20"/>
          <w:color w:val="auto"/>
        </w:rPr>
      </w:pPr>
    </w:p>
    <w:p>
      <w:pPr>
        <w:ind w:left="1980" w:right="959" w:hanging="352"/>
        <w:spacing w:after="0" w:line="264"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113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116" w:lineRule="exact"/>
        <w:rPr>
          <w:rFonts w:ascii="Arial" w:cs="Arial" w:eastAsia="Arial" w:hAnsi="Arial"/>
          <w:sz w:val="18"/>
          <w:szCs w:val="18"/>
          <w:color w:val="auto"/>
        </w:rPr>
      </w:pPr>
    </w:p>
    <w:p>
      <w:pPr>
        <w:ind w:left="1980" w:right="879" w:hanging="352"/>
        <w:spacing w:after="0" w:line="286" w:lineRule="auto"/>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25" w:lineRule="exact"/>
        <w:rPr>
          <w:rFonts w:ascii="Arial" w:cs="Arial" w:eastAsia="Arial" w:hAnsi="Arial"/>
          <w:sz w:val="17"/>
          <w:szCs w:val="17"/>
          <w:color w:val="auto"/>
        </w:rPr>
      </w:pPr>
    </w:p>
    <w:p>
      <w:pPr>
        <w:ind w:left="1980" w:right="1019" w:hanging="352"/>
        <w:spacing w:after="0" w:line="264"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73" w:lineRule="exact"/>
        <w:rPr>
          <w:sz w:val="20"/>
          <w:szCs w:val="20"/>
          <w:color w:val="auto"/>
        </w:rPr>
      </w:pPr>
    </w:p>
    <w:p>
      <w:pPr>
        <w:ind w:left="1260" w:right="839"/>
        <w:spacing w:after="0" w:line="257" w:lineRule="auto"/>
        <w:rPr>
          <w:sz w:val="20"/>
          <w:szCs w:val="20"/>
          <w:color w:val="auto"/>
        </w:rPr>
      </w:pPr>
      <w:r>
        <w:rPr>
          <w:rFonts w:ascii="Arial" w:cs="Arial" w:eastAsia="Arial" w:hAnsi="Arial"/>
          <w:sz w:val="18"/>
          <w:szCs w:val="18"/>
          <w:color w:val="auto"/>
        </w:rPr>
        <w:t>We currently intend to take advantage of each of the exemptions described above. In addition, the JOBS Act permits an emerging growth company like us to take advantage of an extended transition period to comply with new or revised accounting standards applicable to public companies. We have irrevocably elected not to take advantage of the extension of time to comply with new or revised financial accounting standards available under Section 107(b) of the JOBS Act.</w:t>
      </w:r>
    </w:p>
    <w:p>
      <w:pPr>
        <w:spacing w:after="0" w:line="80"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We could be an emerging growth company for up to five years after this offering. We cannot predict if investors will find our Class A common stock less attractive if we elect to rely on these exemptions, or if taking advantage of these exemptions would result in less active trading or more volatility in the price of our Class A common stock.</w:t>
      </w:r>
    </w:p>
    <w:p>
      <w:pPr>
        <w:spacing w:after="0" w:line="173"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75"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However,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64"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079"/>
        <w:spacing w:after="0" w:line="246" w:lineRule="auto"/>
        <w:rPr>
          <w:sz w:val="20"/>
          <w:szCs w:val="20"/>
          <w:color w:val="auto"/>
        </w:rPr>
      </w:pPr>
      <w:r>
        <w:rPr>
          <w:rFonts w:ascii="Arial" w:cs="Arial" w:eastAsia="Arial" w:hAnsi="Arial"/>
          <w:sz w:val="17"/>
          <w:szCs w:val="17"/>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76"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As a public company, we will be subject to the reporting requirements of the Exchange Act, and the corporate governance standards of the Sarbanes-Oxley Act and Nasdaq. These requirements will place a strain on our management, systems and resources and we will incur significant legal, accounting, insurance and other expenses that we have not incurred as a private company. The Exchange Act will require us to file annual, quarterly and current reports with respect to our business and financial condition within specified time periods and to prepare a proxy statement with respect to our annual meeting of stockholders. The Sarbanes-Oxley Act will require that we maintain effective disclosure controls and procedures and internal controls over financial reporting. Nasdaq will require that we comply with various corporate governance requirements. To maintain and improve the effectiveness of our disclosure controls and procedures and internal controls over financial reporting and comply with the Exchange Act and Nasdaq requirements, significant resources and management oversight will be required. This may divert management’s attention from other business concerns and lead to significant costs associated with compliance, which could have a material adverse effect on us and the price of our Class A common stock.</w:t>
      </w:r>
    </w:p>
    <w:p>
      <w:pPr>
        <w:spacing w:after="0" w:line="8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127" w:lineRule="exact"/>
        <w:rPr>
          <w:sz w:val="20"/>
          <w:szCs w:val="20"/>
          <w:color w:val="auto"/>
        </w:rPr>
      </w:pPr>
    </w:p>
    <w:p>
      <w:pPr>
        <w:ind w:left="1260" w:right="1019" w:firstLine="360"/>
        <w:spacing w:after="0" w:line="297" w:lineRule="auto"/>
        <w:rPr>
          <w:sz w:val="20"/>
          <w:szCs w:val="20"/>
          <w:color w:val="auto"/>
        </w:rPr>
      </w:pPr>
      <w:r>
        <w:rPr>
          <w:rFonts w:ascii="Arial" w:cs="Arial" w:eastAsia="Arial" w:hAnsi="Arial"/>
          <w:sz w:val="16"/>
          <w:szCs w:val="16"/>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This prospectus contains forward-looking statements.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expected dividend policy and our expectations, beliefs, plans, strategies, objectives, prospects, assumptions, or future events or performance, contained in this prospectus under the headings “Prospectus Summary,” “Risk Factors,” “Dividend Policy,” “Management’s Discussion and Analysis of Financial Condition and Results of Operations” and “Business” are forward-looking statements.</w:t>
      </w:r>
    </w:p>
    <w:p>
      <w:pPr>
        <w:spacing w:after="0" w:line="6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prospectus under the headings “Prospectus Summary,” “Risk Factors,” “Management’s Discussion and Analysis of Financial Condition and Results of Operations” and “Business,”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74" w:lineRule="exact"/>
        <w:rPr>
          <w:sz w:val="20"/>
          <w:szCs w:val="20"/>
          <w:color w:val="auto"/>
        </w:rPr>
      </w:pPr>
    </w:p>
    <w:p>
      <w:pPr>
        <w:ind w:left="1980" w:right="127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inability to maintain and grow the capacity of our trading platforms, systems and infrastructure;</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17"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17" w:lineRule="exact"/>
        <w:rPr>
          <w:rFonts w:ascii="Arial" w:cs="Arial" w:eastAsia="Arial" w:hAnsi="Arial"/>
          <w:sz w:val="18"/>
          <w:szCs w:val="18"/>
          <w:color w:val="auto"/>
        </w:rPr>
      </w:pPr>
    </w:p>
    <w:p>
      <w:pPr>
        <w:ind w:left="1980" w:right="1159" w:hanging="352"/>
        <w:spacing w:after="0" w:line="342" w:lineRule="auto"/>
        <w:tabs>
          <w:tab w:leader="none" w:pos="1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limitations on operating our business and incurring additional indebtedness as a result of covenant restrictions under the New Revolving Credit Facility and certain Refinitiv indebtedness;</w:t>
      </w:r>
    </w:p>
    <w:p>
      <w:pPr>
        <w:spacing w:after="0" w:line="15" w:lineRule="exact"/>
        <w:rPr>
          <w:rFonts w:ascii="Arial" w:cs="Arial" w:eastAsia="Arial" w:hAnsi="Arial"/>
          <w:sz w:val="16"/>
          <w:szCs w:val="16"/>
          <w:color w:val="auto"/>
        </w:rPr>
      </w:pPr>
    </w:p>
    <w:p>
      <w:pPr>
        <w:ind w:left="1980" w:right="87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policy and to pay our taxes and expenses, including payments under the Tax Receivable Agreement;</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risk factors described under “Risk Factors.”</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in this prospectus are not guarantees of future performance and our actual results of operations, financial condition, and liquidity, and the development of the industry in which we operate, may differ materially from the forward-looking statements contained in this prospectus. In addition, even if our results of operations, financial condition, and liquidity, and events in the industry in which we operate, are consistent with the forward-looking statements contained in this prospectus, they may not be predictive of results or developments in future periods.</w:t>
      </w:r>
    </w:p>
    <w:p>
      <w:pPr>
        <w:spacing w:after="0" w:line="7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Any forward-looking statement that we make in this prospectus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THE REORGANIZATION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Existing Organization</w:t>
      </w:r>
    </w:p>
    <w:p>
      <w:pPr>
        <w:spacing w:after="0" w:line="108"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Prior to the completion of this offering and the organizational transactions described below, the Original LLC Owners are the only members of TWM LLC. TWM LLC is treated as a partnership for U.S. federal income tax purposes and, as such, is not subject to any U.S. federal entity-level income taxes. Rather, taxable income or loss is included in the U.S. federal income tax returns of TWM LLC’s members.</w:t>
      </w:r>
    </w:p>
    <w:p>
      <w:pPr>
        <w:spacing w:after="0" w:line="63"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Tradeweb Markets Inc. was incorporated as a Delaware corporation on November 7, 2018 to serve as the issuer of the Class A common stock offered hereby.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Reorganization Transactions</w:t>
      </w:r>
    </w:p>
    <w:p>
      <w:pPr>
        <w:spacing w:after="0" w:line="108"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Prior to the closing of this offering, we will consummate the following organizational transactions, which we refer to as the “Reorganization Transactions:”</w:t>
      </w:r>
    </w:p>
    <w:p>
      <w:pPr>
        <w:spacing w:after="0" w:line="143" w:lineRule="exact"/>
        <w:rPr>
          <w:sz w:val="20"/>
          <w:szCs w:val="20"/>
          <w:color w:val="auto"/>
        </w:rPr>
      </w:pPr>
    </w:p>
    <w:p>
      <w:pPr>
        <w:ind w:left="1980" w:right="859" w:hanging="352"/>
        <w:spacing w:after="0" w:line="259"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will amend and restate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146" w:lineRule="exact"/>
        <w:rPr>
          <w:rFonts w:ascii="Arial" w:cs="Arial" w:eastAsia="Arial" w:hAnsi="Arial"/>
          <w:sz w:val="18"/>
          <w:szCs w:val="18"/>
          <w:color w:val="auto"/>
        </w:rPr>
      </w:pPr>
    </w:p>
    <w:p>
      <w:pPr>
        <w:ind w:left="1980" w:right="819" w:hanging="352"/>
        <w:spacing w:after="0" w:line="270"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92" w:lineRule="exact"/>
        <w:rPr>
          <w:sz w:val="20"/>
          <w:szCs w:val="20"/>
          <w:color w:val="auto"/>
        </w:rPr>
      </w:pPr>
    </w:p>
    <w:tbl>
      <w:tblPr>
        <w:tblLayout w:type="fixed"/>
        <w:tblInd w:w="2520" w:type="dxa"/>
        <w:tblCellMar>
          <w:top w:w="0" w:type="dxa"/>
          <w:left w:w="0" w:type="dxa"/>
          <w:bottom w:w="0" w:type="dxa"/>
          <w:right w:w="0" w:type="dxa"/>
        </w:tblCellMar>
      </w:tblPr>
      <w:tr>
        <w:trPr>
          <w:trHeight w:val="186"/>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26"/>
        </w:trPr>
        <w:tc>
          <w:tcPr>
            <w:tcW w:w="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3160" w:type="dxa"/>
            <w:vAlign w:val="bottom"/>
            <w:gridSpan w:val="3"/>
          </w:tcPr>
          <w:p>
            <w:pPr>
              <w:spacing w:after="0"/>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2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70"/>
        </w:trPr>
        <w:tc>
          <w:tcPr>
            <w:tcW w:w="3160" w:type="dxa"/>
            <w:vAlign w:val="bottom"/>
            <w:gridSpan w:val="3"/>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-668020</wp:posOffset>
            </wp:positionV>
            <wp:extent cx="137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-668020</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980" w:right="899"/>
        <w:spacing w:after="0" w:line="312"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20" w:lineRule="exact"/>
        <w:rPr>
          <w:sz w:val="20"/>
          <w:szCs w:val="20"/>
          <w:color w:val="auto"/>
        </w:rPr>
      </w:pPr>
    </w:p>
    <w:p>
      <w:pPr>
        <w:ind w:left="1980" w:right="959" w:hanging="352"/>
        <w:spacing w:after="0" w:line="264"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assume sponsorship of the Option Plan and the PRSU Plan currently sponsored by Tradeweb Markets LLC. Accordingly, all options and PRSUs granted under such plans will be converted into economically equivalent awards of Tradeweb Markets Inc.;</w:t>
      </w:r>
    </w:p>
    <w:p>
      <w:pPr>
        <w:sectPr>
          <w:pgSz w:w="11900" w:h="16838" w:orient="portrait"/>
          <w:cols w:equalWidth="0" w:num="1">
            <w:col w:w="10219"/>
          </w:cols>
          <w:pgMar w:left="240" w:top="132" w:right="1440" w:bottom="1440" w:gutter="0" w:footer="0" w:header="0"/>
        </w:sectPr>
      </w:pPr>
    </w:p>
    <w:p>
      <w:pPr>
        <w:spacing w:after="0" w:line="14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979"/>
        <w:spacing w:after="0" w:line="277" w:lineRule="auto"/>
        <w:rPr>
          <w:sz w:val="20"/>
          <w:szCs w:val="20"/>
          <w:color w:val="auto"/>
        </w:rPr>
      </w:pPr>
      <w:r>
        <w:rPr>
          <w:rFonts w:ascii="Arial" w:cs="Arial" w:eastAsia="Arial" w:hAnsi="Arial"/>
          <w:sz w:val="18"/>
          <w:szCs w:val="18"/>
          <w:color w:val="auto"/>
        </w:rPr>
        <w:t>we will issue shares of Class D common stock to the Continuing LLC Owners, on a one-to-one basis with the number of LLC Interests they own, for nominal consideration;</w:t>
      </w:r>
    </w:p>
    <w:p>
      <w:pPr>
        <w:spacing w:after="0" w:line="130" w:lineRule="exact"/>
        <w:rPr>
          <w:sz w:val="20"/>
          <w:szCs w:val="20"/>
          <w:color w:val="auto"/>
        </w:rPr>
      </w:pPr>
    </w:p>
    <w:p>
      <w:pPr>
        <w:sectPr>
          <w:pgSz w:w="11900" w:h="16838" w:orient="portrait"/>
          <w:cols w:equalWidth="0" w:num="2">
            <w:col w:w="1700" w:space="280"/>
            <w:col w:w="8239"/>
          </w:cols>
          <w:pgMar w:left="240" w:top="132"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as a result of the Refinitiv Contribution, the Refinitiv Direct Owner will receive common stock and we will receive LLC Interests;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of Class B</w:t>
      </w:r>
    </w:p>
    <w:p>
      <w:pPr>
        <w:spacing w:after="0" w:line="448" w:lineRule="exact"/>
        <w:rPr>
          <w:sz w:val="20"/>
          <w:szCs w:val="20"/>
          <w:color w:val="auto"/>
        </w:rPr>
      </w:pPr>
    </w:p>
    <w:p>
      <w:pPr>
        <w:sectPr>
          <w:pgSz w:w="11900" w:h="16838" w:orient="portrait"/>
          <w:cols w:equalWidth="0" w:num="3">
            <w:col w:w="1700" w:space="280"/>
            <w:col w:w="5760" w:space="440"/>
            <w:col w:w="2039"/>
          </w:cols>
          <w:pgMar w:left="240" w:top="132" w:right="1440" w:bottom="1440" w:gutter="0" w:footer="0" w:header="0"/>
          <w:type w:val="continuous"/>
        </w:sectPr>
      </w:pPr>
    </w:p>
    <w:p>
      <w:pPr>
        <w:ind w:left="1980" w:right="779" w:hanging="352"/>
        <w:spacing w:after="0" w:line="302" w:lineRule="auto"/>
        <w:tabs>
          <w:tab w:leader="none" w:pos="1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received in exchange for their existing membership interests in TWM LLC and will have no economic interests in Tradeweb despite their ownership of Class D common stock (where “economic interests” means the right to receive any distributions or dividends, whether cash or stock, in connection with common stock); and</w:t>
      </w: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1380" w:hanging="352"/>
        <w:spacing w:after="0" w:line="276" w:lineRule="auto"/>
        <w:tabs>
          <w:tab w:leader="none" w:pos="1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Tradeweb will enter into (i) the Tax Receivable Agreement with TWM LLC and the Continuing LLC Owners, (ii) the Stockholders Agreement with the Refinitiv Owners, and (iii) the Registration Rights Agreement with the Refinitiv Owners and the Bank Stockholders. For a description of the terms of the Tax Receivable Agreement, the Stockholders Agreement and the Registration Rights Agreement, see “Certain Relationships and Related Party Transactions.”</w:t>
      </w:r>
    </w:p>
    <w:p>
      <w:pPr>
        <w:spacing w:after="0" w:line="64" w:lineRule="exact"/>
        <w:rPr>
          <w:sz w:val="20"/>
          <w:szCs w:val="20"/>
          <w:color w:val="auto"/>
        </w:rPr>
      </w:pPr>
    </w:p>
    <w:p>
      <w:pPr>
        <w:ind w:left="1260" w:right="1400" w:firstLine="360"/>
        <w:spacing w:after="0" w:line="259" w:lineRule="auto"/>
        <w:rPr>
          <w:sz w:val="20"/>
          <w:szCs w:val="20"/>
          <w:color w:val="auto"/>
        </w:rPr>
      </w:pPr>
      <w:r>
        <w:rPr>
          <w:rFonts w:ascii="Arial" w:cs="Arial" w:eastAsia="Arial" w:hAnsi="Arial"/>
          <w:sz w:val="18"/>
          <w:szCs w:val="18"/>
          <w:color w:val="auto"/>
        </w:rPr>
        <w:t>We will issue shares of Class A common stock to the purchasers in this offering in exchange for $ million of net proceeds. We estimate that the offering expenses (other than the underwriting discounts and commissions) will be approximately $ million. All of such offering expenses will be paid for or otherwise borne by TWM LLC.</w:t>
      </w:r>
    </w:p>
    <w:p>
      <w:pPr>
        <w:spacing w:after="0" w:line="79" w:lineRule="exact"/>
        <w:rPr>
          <w:sz w:val="20"/>
          <w:szCs w:val="20"/>
          <w:color w:val="auto"/>
        </w:rPr>
      </w:pPr>
    </w:p>
    <w:p>
      <w:pPr>
        <w:ind w:left="1260" w:right="1460" w:firstLine="360"/>
        <w:spacing w:after="0" w:line="285" w:lineRule="auto"/>
        <w:rPr>
          <w:sz w:val="20"/>
          <w:szCs w:val="20"/>
          <w:color w:val="auto"/>
        </w:rPr>
      </w:pPr>
      <w:r>
        <w:rPr>
          <w:rFonts w:ascii="Arial" w:cs="Arial" w:eastAsia="Arial" w:hAnsi="Arial"/>
          <w:sz w:val="16"/>
          <w:szCs w:val="16"/>
          <w:color w:val="auto"/>
        </w:rPr>
        <w:t>After the completion of this offering, in order to facilitate the disposition of equity interests in TWM LLC held by certain of the Other LLC Owners, we intend to use the net proceeds from this offering to purchase issued and outstanding LLC Interests from certain of the Other LLC Owners (and cancel the corresponding shares of Class D common stock), at a purchase price per interest equal to the initial public offering price per share of Class A common stock, less the underwriting discounts and commissions payable thereon, collectively</w:t>
      </w:r>
    </w:p>
    <w:p>
      <w:pPr>
        <w:spacing w:after="0" w:line="2" w:lineRule="exact"/>
        <w:rPr>
          <w:sz w:val="20"/>
          <w:szCs w:val="20"/>
          <w:color w:val="auto"/>
        </w:rPr>
      </w:pPr>
    </w:p>
    <w:p>
      <w:pPr>
        <w:ind w:left="1260"/>
        <w:spacing w:after="0"/>
        <w:tabs>
          <w:tab w:leader="none" w:pos="2660" w:val="left"/>
        </w:tabs>
        <w:rPr>
          <w:sz w:val="20"/>
          <w:szCs w:val="20"/>
          <w:color w:val="auto"/>
        </w:rPr>
      </w:pPr>
      <w:r>
        <w:rPr>
          <w:rFonts w:ascii="Arial" w:cs="Arial" w:eastAsia="Arial" w:hAnsi="Arial"/>
          <w:sz w:val="18"/>
          <w:szCs w:val="18"/>
          <w:color w:val="auto"/>
        </w:rPr>
        <w:t>representing a</w:t>
      </w:r>
      <w:r>
        <w:rPr>
          <w:sz w:val="20"/>
          <w:szCs w:val="20"/>
          <w:color w:val="auto"/>
        </w:rPr>
        <w:tab/>
      </w:r>
      <w:r>
        <w:rPr>
          <w:rFonts w:ascii="Arial" w:cs="Arial" w:eastAsia="Arial" w:hAnsi="Arial"/>
          <w:sz w:val="16"/>
          <w:szCs w:val="16"/>
          <w:color w:val="auto"/>
        </w:rPr>
        <w:t>% economic interest in TWM LLC. See “Use of Proceeds.”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Organizational Structure Following this Offering</w:t>
      </w:r>
    </w:p>
    <w:p>
      <w:pPr>
        <w:spacing w:after="0" w:line="108" w:lineRule="exact"/>
        <w:rPr>
          <w:sz w:val="20"/>
          <w:szCs w:val="20"/>
          <w:color w:val="auto"/>
        </w:rPr>
      </w:pPr>
    </w:p>
    <w:p>
      <w:pPr>
        <w:ind w:left="1260" w:right="1520" w:firstLine="360"/>
        <w:spacing w:after="0" w:line="277" w:lineRule="auto"/>
        <w:rPr>
          <w:sz w:val="20"/>
          <w:szCs w:val="20"/>
          <w:color w:val="auto"/>
        </w:rPr>
      </w:pPr>
      <w:r>
        <w:rPr>
          <w:rFonts w:ascii="Arial" w:cs="Arial" w:eastAsia="Arial" w:hAnsi="Arial"/>
          <w:sz w:val="18"/>
          <w:szCs w:val="18"/>
          <w:color w:val="auto"/>
        </w:rPr>
        <w:t>Immediately following the completion of the Reorganization Transactions, including this offering and the application of the net proceeds therefrom as described in “Use of Proceeds:”</w:t>
      </w:r>
    </w:p>
    <w:p>
      <w:pPr>
        <w:spacing w:after="0" w:line="130" w:lineRule="exact"/>
        <w:rPr>
          <w:sz w:val="20"/>
          <w:szCs w:val="20"/>
          <w:color w:val="auto"/>
        </w:rPr>
      </w:pPr>
    </w:p>
    <w:p>
      <w:pPr>
        <w:jc w:val="both"/>
        <w:ind w:left="1980" w:right="1380" w:hanging="352"/>
        <w:spacing w:after="0" w:line="264"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Tradeweb will be a holding company whose principal asset will be LLC Interests of TWM LLC that it acquires from certain of the Other LLC Owners using the net proceeds from this offering and the LLC Interests that it receives as a result of the Refinitiv Contribution;</w:t>
      </w:r>
    </w:p>
    <w:p>
      <w:pPr>
        <w:spacing w:after="0" w:line="140" w:lineRule="exact"/>
        <w:rPr>
          <w:rFonts w:ascii="Arial" w:cs="Arial" w:eastAsia="Arial" w:hAnsi="Arial"/>
          <w:sz w:val="18"/>
          <w:szCs w:val="18"/>
          <w:color w:val="auto"/>
        </w:rPr>
      </w:pPr>
    </w:p>
    <w:p>
      <w:pPr>
        <w:ind w:left="1980" w:right="1460" w:hanging="352"/>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Tradeweb will be the sole manager of TWM LLC and will operate and control all of the business and affairs of TWM LLC and its subsidiaries;</w:t>
      </w:r>
    </w:p>
    <w:p>
      <w:pPr>
        <w:spacing w:after="0" w:line="143" w:lineRule="exact"/>
        <w:rPr>
          <w:rFonts w:ascii="Arial" w:cs="Arial" w:eastAsia="Arial" w:hAnsi="Arial"/>
          <w:sz w:val="18"/>
          <w:szCs w:val="18"/>
          <w:color w:val="auto"/>
        </w:rPr>
      </w:pPr>
    </w:p>
    <w:p>
      <w:pPr>
        <w:ind w:left="1980" w:hanging="352"/>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and the TWM LLC Agreement will require that</w:t>
      </w:r>
    </w:p>
    <w:p>
      <w:pPr>
        <w:spacing w:after="0" w:line="23" w:lineRule="exact"/>
        <w:rPr>
          <w:rFonts w:ascii="Arial" w:cs="Arial" w:eastAsia="Arial" w:hAnsi="Arial"/>
          <w:sz w:val="18"/>
          <w:szCs w:val="18"/>
          <w:color w:val="auto"/>
        </w:rPr>
      </w:pPr>
    </w:p>
    <w:p>
      <w:pPr>
        <w:ind w:left="1980" w:right="1360"/>
        <w:spacing w:after="0" w:line="252" w:lineRule="auto"/>
        <w:rPr>
          <w:rFonts w:ascii="Arial" w:cs="Arial" w:eastAsia="Arial" w:hAnsi="Arial"/>
          <w:sz w:val="18"/>
          <w:szCs w:val="18"/>
          <w:color w:val="auto"/>
        </w:rPr>
      </w:pPr>
      <w:r>
        <w:rPr>
          <w:rFonts w:ascii="Arial" w:cs="Arial" w:eastAsia="Arial" w:hAnsi="Arial"/>
          <w:sz w:val="18"/>
          <w:szCs w:val="18"/>
          <w:color w:val="auto"/>
        </w:rPr>
        <w:t>(i) we at all times maintain a ratio of one LLC Interest owned by us for each share of Class A common stock and Class B common stock issued by us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ind w:left="1620"/>
              <w:spacing w:after="0"/>
              <w:rPr>
                <w:sz w:val="20"/>
                <w:szCs w:val="20"/>
                <w:color w:val="auto"/>
              </w:rPr>
            </w:pPr>
            <w:r>
              <w:rPr>
                <w:rFonts w:ascii="Arial" w:cs="Arial" w:eastAsia="Arial" w:hAnsi="Arial"/>
                <w:sz w:val="18"/>
                <w:szCs w:val="18"/>
                <w:color w:val="auto"/>
              </w:rPr>
              <w:t>•</w:t>
            </w:r>
          </w:p>
        </w:tc>
        <w:tc>
          <w:tcPr>
            <w:tcW w:w="3780" w:type="dxa"/>
            <w:vAlign w:val="bottom"/>
            <w:gridSpan w:val="2"/>
          </w:tcPr>
          <w:p>
            <w:pPr>
              <w:ind w:left="140"/>
              <w:spacing w:after="0"/>
              <w:rPr>
                <w:sz w:val="20"/>
                <w:szCs w:val="20"/>
                <w:color w:val="auto"/>
              </w:rPr>
            </w:pPr>
            <w:r>
              <w:rPr>
                <w:rFonts w:ascii="Arial" w:cs="Arial" w:eastAsia="Arial" w:hAnsi="Arial"/>
                <w:sz w:val="18"/>
                <w:szCs w:val="18"/>
                <w:color w:val="auto"/>
                <w:w w:val="99"/>
              </w:rPr>
              <w:t>Tradeweb will own LLC Interests representing</w:t>
            </w:r>
          </w:p>
        </w:tc>
        <w:tc>
          <w:tcPr>
            <w:tcW w:w="5120" w:type="dxa"/>
            <w:vAlign w:val="bottom"/>
            <w:gridSpan w:val="4"/>
          </w:tcPr>
          <w:p>
            <w:pPr>
              <w:ind w:left="140"/>
              <w:spacing w:after="0"/>
              <w:rPr>
                <w:sz w:val="20"/>
                <w:szCs w:val="20"/>
                <w:color w:val="auto"/>
              </w:rPr>
            </w:pPr>
            <w:r>
              <w:rPr>
                <w:rFonts w:ascii="Arial" w:cs="Arial" w:eastAsia="Arial" w:hAnsi="Arial"/>
                <w:sz w:val="18"/>
                <w:szCs w:val="18"/>
                <w:color w:val="auto"/>
              </w:rPr>
              <w:t>% of the economic interest in TWM LLC (or</w:t>
            </w:r>
          </w:p>
        </w:tc>
      </w:tr>
      <w:tr>
        <w:trPr>
          <w:trHeight w:val="216"/>
        </w:trPr>
        <w:tc>
          <w:tcPr>
            <w:tcW w:w="1840" w:type="dxa"/>
            <w:vAlign w:val="bottom"/>
          </w:tcPr>
          <w:p>
            <w:pPr>
              <w:spacing w:after="0"/>
              <w:rPr>
                <w:sz w:val="18"/>
                <w:szCs w:val="18"/>
                <w:color w:val="auto"/>
              </w:rPr>
            </w:pPr>
          </w:p>
        </w:tc>
        <w:tc>
          <w:tcPr>
            <w:tcW w:w="8900" w:type="dxa"/>
            <w:vAlign w:val="bottom"/>
            <w:gridSpan w:val="6"/>
          </w:tcPr>
          <w:p>
            <w:pPr>
              <w:ind w:left="500"/>
              <w:spacing w:after="0"/>
              <w:rPr>
                <w:sz w:val="20"/>
                <w:szCs w:val="20"/>
                <w:color w:val="auto"/>
              </w:rPr>
            </w:pPr>
            <w:r>
              <w:rPr>
                <w:rFonts w:ascii="Arial" w:cs="Arial" w:eastAsia="Arial" w:hAnsi="Arial"/>
                <w:sz w:val="18"/>
                <w:szCs w:val="18"/>
                <w:color w:val="auto"/>
              </w:rPr>
              <w:t>%, if the underwriters exercise in full their option to purchase additional shares of Class A</w:t>
            </w:r>
          </w:p>
        </w:tc>
      </w:tr>
      <w:tr>
        <w:trPr>
          <w:trHeight w:val="230"/>
        </w:trPr>
        <w:tc>
          <w:tcPr>
            <w:tcW w:w="1840" w:type="dxa"/>
            <w:vAlign w:val="bottom"/>
          </w:tcPr>
          <w:p>
            <w:pPr>
              <w:spacing w:after="0"/>
              <w:rPr>
                <w:sz w:val="20"/>
                <w:szCs w:val="20"/>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77"/>
        </w:trPr>
        <w:tc>
          <w:tcPr>
            <w:tcW w:w="1840" w:type="dxa"/>
            <w:vAlign w:val="bottom"/>
          </w:tcPr>
          <w:p>
            <w:pPr>
              <w:ind w:left="1620"/>
              <w:spacing w:after="0"/>
              <w:rPr>
                <w:sz w:val="20"/>
                <w:szCs w:val="20"/>
                <w:color w:val="auto"/>
              </w:rPr>
            </w:pPr>
            <w:r>
              <w:rPr>
                <w:rFonts w:ascii="Arial" w:cs="Arial" w:eastAsia="Arial" w:hAnsi="Arial"/>
                <w:sz w:val="18"/>
                <w:szCs w:val="18"/>
                <w:color w:val="auto"/>
              </w:rPr>
              <w:t>•</w:t>
            </w:r>
          </w:p>
        </w:tc>
        <w:tc>
          <w:tcPr>
            <w:tcW w:w="6940" w:type="dxa"/>
            <w:vAlign w:val="bottom"/>
            <w:gridSpan w:val="5"/>
          </w:tcPr>
          <w:p>
            <w:pPr>
              <w:ind w:left="140"/>
              <w:spacing w:after="0"/>
              <w:rPr>
                <w:sz w:val="20"/>
                <w:szCs w:val="20"/>
                <w:color w:val="auto"/>
              </w:rPr>
            </w:pPr>
            <w:r>
              <w:rPr>
                <w:rFonts w:ascii="Arial" w:cs="Arial" w:eastAsia="Arial" w:hAnsi="Arial"/>
                <w:sz w:val="18"/>
                <w:szCs w:val="18"/>
                <w:color w:val="auto"/>
                <w:w w:val="93"/>
              </w:rPr>
              <w:t>the purchasers in this offering (i) will own shares of Class A common stock representing (x)</w:t>
            </w:r>
          </w:p>
        </w:tc>
        <w:tc>
          <w:tcPr>
            <w:tcW w:w="1960" w:type="dxa"/>
            <w:vAlign w:val="bottom"/>
          </w:tcPr>
          <w:p>
            <w:pPr>
              <w:ind w:left="240"/>
              <w:spacing w:after="0"/>
              <w:rPr>
                <w:sz w:val="20"/>
                <w:szCs w:val="20"/>
                <w:color w:val="auto"/>
              </w:rPr>
            </w:pPr>
            <w:r>
              <w:rPr>
                <w:rFonts w:ascii="Arial" w:cs="Arial" w:eastAsia="Arial" w:hAnsi="Arial"/>
                <w:sz w:val="18"/>
                <w:szCs w:val="18"/>
                <w:color w:val="auto"/>
              </w:rPr>
              <w:t>% of</w:t>
            </w:r>
          </w:p>
        </w:tc>
      </w:tr>
      <w:tr>
        <w:trPr>
          <w:trHeight w:val="216"/>
        </w:trPr>
        <w:tc>
          <w:tcPr>
            <w:tcW w:w="1840" w:type="dxa"/>
            <w:vAlign w:val="bottom"/>
          </w:tcPr>
          <w:p>
            <w:pPr>
              <w:spacing w:after="0"/>
              <w:rPr>
                <w:sz w:val="18"/>
                <w:szCs w:val="18"/>
                <w:color w:val="auto"/>
              </w:rPr>
            </w:pPr>
          </w:p>
        </w:tc>
        <w:tc>
          <w:tcPr>
            <w:tcW w:w="5040" w:type="dxa"/>
            <w:vAlign w:val="bottom"/>
            <w:gridSpan w:val="3"/>
          </w:tcPr>
          <w:p>
            <w:pPr>
              <w:ind w:left="140"/>
              <w:spacing w:after="0"/>
              <w:rPr>
                <w:sz w:val="20"/>
                <w:szCs w:val="20"/>
                <w:color w:val="auto"/>
              </w:rPr>
            </w:pPr>
            <w:r>
              <w:rPr>
                <w:rFonts w:ascii="Arial" w:cs="Arial" w:eastAsia="Arial" w:hAnsi="Arial"/>
                <w:sz w:val="18"/>
                <w:szCs w:val="18"/>
                <w:color w:val="auto"/>
                <w:w w:val="93"/>
              </w:rPr>
              <w:t>the combined voting power of all of Tradeweb’s common stock (or</w:t>
            </w:r>
          </w:p>
        </w:tc>
        <w:tc>
          <w:tcPr>
            <w:tcW w:w="3860" w:type="dxa"/>
            <w:vAlign w:val="bottom"/>
            <w:gridSpan w:val="3"/>
          </w:tcPr>
          <w:p>
            <w:pPr>
              <w:ind w:left="240"/>
              <w:spacing w:after="0"/>
              <w:rPr>
                <w:sz w:val="20"/>
                <w:szCs w:val="20"/>
                <w:color w:val="auto"/>
              </w:rPr>
            </w:pPr>
            <w:r>
              <w:rPr>
                <w:rFonts w:ascii="Arial" w:cs="Arial" w:eastAsia="Arial" w:hAnsi="Arial"/>
                <w:sz w:val="18"/>
                <w:szCs w:val="18"/>
                <w:color w:val="auto"/>
              </w:rPr>
              <w:t>%, if the underwriters exercise</w:t>
            </w:r>
          </w:p>
        </w:tc>
      </w:tr>
      <w:tr>
        <w:trPr>
          <w:trHeight w:val="216"/>
        </w:trPr>
        <w:tc>
          <w:tcPr>
            <w:tcW w:w="1840" w:type="dxa"/>
            <w:vAlign w:val="bottom"/>
          </w:tcPr>
          <w:p>
            <w:pPr>
              <w:spacing w:after="0"/>
              <w:rPr>
                <w:sz w:val="18"/>
                <w:szCs w:val="18"/>
                <w:color w:val="auto"/>
              </w:rPr>
            </w:pPr>
          </w:p>
        </w:tc>
        <w:tc>
          <w:tcPr>
            <w:tcW w:w="6260" w:type="dxa"/>
            <w:vAlign w:val="bottom"/>
            <w:gridSpan w:val="4"/>
          </w:tcPr>
          <w:p>
            <w:pPr>
              <w:ind w:left="140"/>
              <w:spacing w:after="0"/>
              <w:rPr>
                <w:sz w:val="20"/>
                <w:szCs w:val="20"/>
                <w:color w:val="auto"/>
              </w:rPr>
            </w:pPr>
            <w:r>
              <w:rPr>
                <w:rFonts w:ascii="Arial" w:cs="Arial" w:eastAsia="Arial" w:hAnsi="Arial"/>
                <w:sz w:val="18"/>
                <w:szCs w:val="18"/>
                <w:color w:val="auto"/>
                <w:w w:val="93"/>
              </w:rPr>
              <w:t>in full their option to purchase additional shares of Class A common stock) and (y)</w:t>
            </w:r>
          </w:p>
        </w:tc>
        <w:tc>
          <w:tcPr>
            <w:tcW w:w="2640" w:type="dxa"/>
            <w:vAlign w:val="bottom"/>
            <w:gridSpan w:val="2"/>
          </w:tcPr>
          <w:p>
            <w:pPr>
              <w:ind w:left="260"/>
              <w:spacing w:after="0"/>
              <w:rPr>
                <w:sz w:val="20"/>
                <w:szCs w:val="20"/>
                <w:color w:val="auto"/>
              </w:rPr>
            </w:pPr>
            <w:r>
              <w:rPr>
                <w:rFonts w:ascii="Arial" w:cs="Arial" w:eastAsia="Arial" w:hAnsi="Arial"/>
                <w:sz w:val="18"/>
                <w:szCs w:val="18"/>
                <w:color w:val="auto"/>
              </w:rPr>
              <w:t>% of the</w:t>
            </w:r>
          </w:p>
        </w:tc>
      </w:tr>
      <w:tr>
        <w:trPr>
          <w:trHeight w:val="216"/>
        </w:trPr>
        <w:tc>
          <w:tcPr>
            <w:tcW w:w="184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w w:val="96"/>
              </w:rPr>
              <w:t>economic interest in Tradeweb (or</w:t>
            </w:r>
          </w:p>
        </w:tc>
        <w:tc>
          <w:tcPr>
            <w:tcW w:w="6120" w:type="dxa"/>
            <w:vAlign w:val="bottom"/>
            <w:gridSpan w:val="5"/>
          </w:tcPr>
          <w:p>
            <w:pPr>
              <w:ind w:left="240"/>
              <w:spacing w:after="0"/>
              <w:rPr>
                <w:sz w:val="20"/>
                <w:szCs w:val="20"/>
                <w:color w:val="auto"/>
              </w:rPr>
            </w:pPr>
            <w:r>
              <w:rPr>
                <w:rFonts w:ascii="Arial" w:cs="Arial" w:eastAsia="Arial" w:hAnsi="Arial"/>
                <w:sz w:val="18"/>
                <w:szCs w:val="18"/>
                <w:color w:val="auto"/>
              </w:rPr>
              <w:t>%, if the underwriters exercise in full their option to purchase</w:t>
            </w:r>
          </w:p>
        </w:tc>
      </w:tr>
      <w:tr>
        <w:trPr>
          <w:trHeight w:val="216"/>
        </w:trPr>
        <w:tc>
          <w:tcPr>
            <w:tcW w:w="1840" w:type="dxa"/>
            <w:vAlign w:val="bottom"/>
          </w:tcPr>
          <w:p>
            <w:pPr>
              <w:spacing w:after="0"/>
              <w:rPr>
                <w:sz w:val="18"/>
                <w:szCs w:val="18"/>
                <w:color w:val="auto"/>
              </w:rPr>
            </w:pPr>
          </w:p>
        </w:tc>
        <w:tc>
          <w:tcPr>
            <w:tcW w:w="8900" w:type="dxa"/>
            <w:vAlign w:val="bottom"/>
            <w:gridSpan w:val="6"/>
          </w:tcPr>
          <w:p>
            <w:pPr>
              <w:ind w:left="140"/>
              <w:spacing w:after="0"/>
              <w:rPr>
                <w:sz w:val="20"/>
                <w:szCs w:val="20"/>
                <w:color w:val="auto"/>
              </w:rPr>
            </w:pPr>
            <w:r>
              <w:rPr>
                <w:rFonts w:ascii="Arial" w:cs="Arial" w:eastAsia="Arial" w:hAnsi="Arial"/>
                <w:sz w:val="18"/>
                <w:szCs w:val="18"/>
                <w:color w:val="auto"/>
              </w:rPr>
              <w:t>additional shares of Class A common stock) and (ii) through Tradeweb’s ownership of LLC Interests,</w:t>
            </w:r>
          </w:p>
        </w:tc>
      </w:tr>
      <w:tr>
        <w:trPr>
          <w:trHeight w:val="216"/>
        </w:trPr>
        <w:tc>
          <w:tcPr>
            <w:tcW w:w="1840" w:type="dxa"/>
            <w:vAlign w:val="bottom"/>
          </w:tcPr>
          <w:p>
            <w:pPr>
              <w:spacing w:after="0"/>
              <w:rPr>
                <w:sz w:val="18"/>
                <w:szCs w:val="18"/>
                <w:color w:val="auto"/>
              </w:rPr>
            </w:pPr>
          </w:p>
        </w:tc>
        <w:tc>
          <w:tcPr>
            <w:tcW w:w="8900" w:type="dxa"/>
            <w:vAlign w:val="bottom"/>
            <w:gridSpan w:val="6"/>
          </w:tcPr>
          <w:p>
            <w:pPr>
              <w:ind w:left="140"/>
              <w:spacing w:after="0"/>
              <w:rPr>
                <w:sz w:val="20"/>
                <w:szCs w:val="20"/>
                <w:color w:val="auto"/>
              </w:rPr>
            </w:pPr>
            <w:r>
              <w:rPr>
                <w:rFonts w:ascii="Arial" w:cs="Arial" w:eastAsia="Arial" w:hAnsi="Arial"/>
                <w:sz w:val="18"/>
                <w:szCs w:val="18"/>
                <w:color w:val="auto"/>
              </w:rPr>
              <w:t>indirectly will hold (applying the percentage in the preceding clause (i)(y) to Tradeweb’s percentage</w:t>
            </w:r>
          </w:p>
        </w:tc>
      </w:tr>
      <w:tr>
        <w:trPr>
          <w:trHeight w:val="216"/>
        </w:trPr>
        <w:tc>
          <w:tcPr>
            <w:tcW w:w="184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economic interest in TWM LLC)</w:t>
            </w:r>
          </w:p>
        </w:tc>
        <w:tc>
          <w:tcPr>
            <w:tcW w:w="3480" w:type="dxa"/>
            <w:vAlign w:val="bottom"/>
            <w:gridSpan w:val="3"/>
          </w:tcPr>
          <w:p>
            <w:pPr>
              <w:ind w:left="160"/>
              <w:spacing w:after="0"/>
              <w:rPr>
                <w:sz w:val="20"/>
                <w:szCs w:val="20"/>
                <w:color w:val="auto"/>
              </w:rPr>
            </w:pPr>
            <w:r>
              <w:rPr>
                <w:rFonts w:ascii="Arial" w:cs="Arial" w:eastAsia="Arial" w:hAnsi="Arial"/>
                <w:sz w:val="18"/>
                <w:szCs w:val="18"/>
                <w:color w:val="auto"/>
                <w:w w:val="95"/>
              </w:rPr>
              <w:t>% of the economic interest in TWM LLC (or</w:t>
            </w:r>
          </w:p>
        </w:tc>
        <w:tc>
          <w:tcPr>
            <w:tcW w:w="2640" w:type="dxa"/>
            <w:vAlign w:val="bottom"/>
            <w:gridSpan w:val="2"/>
          </w:tcPr>
          <w:p>
            <w:pPr>
              <w:ind w:left="320"/>
              <w:spacing w:after="0"/>
              <w:rPr>
                <w:sz w:val="20"/>
                <w:szCs w:val="20"/>
                <w:color w:val="auto"/>
              </w:rPr>
            </w:pPr>
            <w:r>
              <w:rPr>
                <w:rFonts w:ascii="Arial" w:cs="Arial" w:eastAsia="Arial" w:hAnsi="Arial"/>
                <w:sz w:val="18"/>
                <w:szCs w:val="18"/>
                <w:color w:val="auto"/>
              </w:rPr>
              <w:t>%, if the</w:t>
            </w:r>
          </w:p>
        </w:tc>
      </w:tr>
      <w:tr>
        <w:trPr>
          <w:trHeight w:val="230"/>
        </w:trPr>
        <w:tc>
          <w:tcPr>
            <w:tcW w:w="1840" w:type="dxa"/>
            <w:vAlign w:val="bottom"/>
          </w:tcPr>
          <w:p>
            <w:pPr>
              <w:spacing w:after="0"/>
              <w:rPr>
                <w:sz w:val="20"/>
                <w:szCs w:val="20"/>
                <w:color w:val="auto"/>
              </w:rPr>
            </w:pPr>
          </w:p>
        </w:tc>
        <w:tc>
          <w:tcPr>
            <w:tcW w:w="8900" w:type="dxa"/>
            <w:vAlign w:val="bottom"/>
            <w:gridSpan w:val="6"/>
          </w:tcPr>
          <w:p>
            <w:pPr>
              <w:ind w:left="140"/>
              <w:spacing w:after="0"/>
              <w:rPr>
                <w:sz w:val="20"/>
                <w:szCs w:val="20"/>
                <w:color w:val="auto"/>
              </w:rPr>
            </w:pPr>
            <w:r>
              <w:rPr>
                <w:rFonts w:ascii="Arial" w:cs="Arial" w:eastAsia="Arial" w:hAnsi="Arial"/>
                <w:sz w:val="18"/>
                <w:szCs w:val="18"/>
                <w:color w:val="auto"/>
              </w:rPr>
              <w:t>underwriters exercise in full their option to purchase additional shares of Class A common stock);</w:t>
            </w:r>
          </w:p>
        </w:tc>
      </w:tr>
      <w:tr>
        <w:trPr>
          <w:trHeight w:val="377"/>
        </w:trPr>
        <w:tc>
          <w:tcPr>
            <w:tcW w:w="1840" w:type="dxa"/>
            <w:vAlign w:val="bottom"/>
          </w:tcPr>
          <w:p>
            <w:pPr>
              <w:ind w:left="1620"/>
              <w:spacing w:after="0"/>
              <w:rPr>
                <w:sz w:val="20"/>
                <w:szCs w:val="20"/>
                <w:color w:val="auto"/>
              </w:rPr>
            </w:pPr>
            <w:r>
              <w:rPr>
                <w:rFonts w:ascii="Arial" w:cs="Arial" w:eastAsia="Arial" w:hAnsi="Arial"/>
                <w:sz w:val="18"/>
                <w:szCs w:val="18"/>
                <w:color w:val="auto"/>
              </w:rPr>
              <w:t>•</w:t>
            </w:r>
          </w:p>
        </w:tc>
        <w:tc>
          <w:tcPr>
            <w:tcW w:w="6940" w:type="dxa"/>
            <w:vAlign w:val="bottom"/>
            <w:gridSpan w:val="5"/>
          </w:tcPr>
          <w:p>
            <w:pPr>
              <w:ind w:left="140"/>
              <w:spacing w:after="0"/>
              <w:rPr>
                <w:sz w:val="20"/>
                <w:szCs w:val="20"/>
                <w:color w:val="auto"/>
              </w:rPr>
            </w:pPr>
            <w:r>
              <w:rPr>
                <w:rFonts w:ascii="Arial" w:cs="Arial" w:eastAsia="Arial" w:hAnsi="Arial"/>
                <w:sz w:val="18"/>
                <w:szCs w:val="18"/>
                <w:color w:val="auto"/>
                <w:w w:val="98"/>
              </w:rPr>
              <w:t>the Refinitiv Direct Owner (i) will own shares of Class B common stock representing (x)</w:t>
            </w:r>
          </w:p>
        </w:tc>
        <w:tc>
          <w:tcPr>
            <w:tcW w:w="1960" w:type="dxa"/>
            <w:vAlign w:val="bottom"/>
          </w:tcPr>
          <w:p>
            <w:pPr>
              <w:ind w:left="20"/>
              <w:spacing w:after="0"/>
              <w:rPr>
                <w:sz w:val="20"/>
                <w:szCs w:val="20"/>
                <w:color w:val="auto"/>
              </w:rPr>
            </w:pPr>
            <w:r>
              <w:rPr>
                <w:rFonts w:ascii="Arial" w:cs="Arial" w:eastAsia="Arial" w:hAnsi="Arial"/>
                <w:sz w:val="18"/>
                <w:szCs w:val="18"/>
                <w:color w:val="auto"/>
              </w:rPr>
              <w:t>% of the</w:t>
            </w:r>
          </w:p>
        </w:tc>
      </w:tr>
      <w:tr>
        <w:trPr>
          <w:trHeight w:val="216"/>
        </w:trPr>
        <w:tc>
          <w:tcPr>
            <w:tcW w:w="1840" w:type="dxa"/>
            <w:vAlign w:val="bottom"/>
          </w:tcPr>
          <w:p>
            <w:pPr>
              <w:spacing w:after="0"/>
              <w:rPr>
                <w:sz w:val="18"/>
                <w:szCs w:val="18"/>
                <w:color w:val="auto"/>
              </w:rPr>
            </w:pPr>
          </w:p>
        </w:tc>
        <w:tc>
          <w:tcPr>
            <w:tcW w:w="5040" w:type="dxa"/>
            <w:vAlign w:val="bottom"/>
            <w:gridSpan w:val="3"/>
          </w:tcPr>
          <w:p>
            <w:pPr>
              <w:ind w:left="140"/>
              <w:spacing w:after="0"/>
              <w:rPr>
                <w:sz w:val="20"/>
                <w:szCs w:val="20"/>
                <w:color w:val="auto"/>
              </w:rPr>
            </w:pPr>
            <w:r>
              <w:rPr>
                <w:rFonts w:ascii="Arial" w:cs="Arial" w:eastAsia="Arial" w:hAnsi="Arial"/>
                <w:sz w:val="18"/>
                <w:szCs w:val="18"/>
                <w:color w:val="auto"/>
                <w:w w:val="98"/>
              </w:rPr>
              <w:t>combined voting power of all of Tradeweb’s common stock (or</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 if the underwriters exercise in</w:t>
            </w:r>
          </w:p>
        </w:tc>
      </w:tr>
      <w:tr>
        <w:trPr>
          <w:trHeight w:val="216"/>
        </w:trPr>
        <w:tc>
          <w:tcPr>
            <w:tcW w:w="1840" w:type="dxa"/>
            <w:vAlign w:val="bottom"/>
          </w:tcPr>
          <w:p>
            <w:pPr>
              <w:spacing w:after="0"/>
              <w:rPr>
                <w:sz w:val="18"/>
                <w:szCs w:val="18"/>
                <w:color w:val="auto"/>
              </w:rPr>
            </w:pPr>
          </w:p>
        </w:tc>
        <w:tc>
          <w:tcPr>
            <w:tcW w:w="6260" w:type="dxa"/>
            <w:vAlign w:val="bottom"/>
            <w:gridSpan w:val="4"/>
          </w:tcPr>
          <w:p>
            <w:pPr>
              <w:ind w:left="140"/>
              <w:spacing w:after="0"/>
              <w:rPr>
                <w:sz w:val="20"/>
                <w:szCs w:val="20"/>
                <w:color w:val="auto"/>
              </w:rPr>
            </w:pPr>
            <w:r>
              <w:rPr>
                <w:rFonts w:ascii="Arial" w:cs="Arial" w:eastAsia="Arial" w:hAnsi="Arial"/>
                <w:sz w:val="18"/>
                <w:szCs w:val="18"/>
                <w:color w:val="auto"/>
                <w:w w:val="96"/>
              </w:rPr>
              <w:t>full their option to purchase additional shares of Class A common stock) and (y)</w:t>
            </w:r>
          </w:p>
        </w:tc>
        <w:tc>
          <w:tcPr>
            <w:tcW w:w="680" w:type="dxa"/>
            <w:vAlign w:val="bottom"/>
          </w:tcPr>
          <w:p>
            <w:pPr>
              <w:ind w:left="60"/>
              <w:spacing w:after="0"/>
              <w:rPr>
                <w:sz w:val="20"/>
                <w:szCs w:val="20"/>
                <w:color w:val="auto"/>
              </w:rPr>
            </w:pPr>
            <w:r>
              <w:rPr>
                <w:rFonts w:ascii="Arial" w:cs="Arial" w:eastAsia="Arial" w:hAnsi="Arial"/>
                <w:sz w:val="18"/>
                <w:szCs w:val="18"/>
                <w:color w:val="auto"/>
                <w:w w:val="90"/>
              </w:rPr>
              <w:t>% of the</w:t>
            </w:r>
          </w:p>
        </w:tc>
        <w:tc>
          <w:tcPr>
            <w:tcW w:w="196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6260" w:type="dxa"/>
            <w:vAlign w:val="bottom"/>
            <w:gridSpan w:val="4"/>
          </w:tcPr>
          <w:p>
            <w:pPr>
              <w:ind w:left="140"/>
              <w:spacing w:after="0"/>
              <w:rPr>
                <w:sz w:val="20"/>
                <w:szCs w:val="20"/>
                <w:color w:val="auto"/>
              </w:rPr>
            </w:pPr>
            <w:r>
              <w:rPr>
                <w:rFonts w:ascii="Arial" w:cs="Arial" w:eastAsia="Arial" w:hAnsi="Arial"/>
                <w:sz w:val="18"/>
                <w:szCs w:val="18"/>
                <w:color w:val="auto"/>
                <w:w w:val="99"/>
              </w:rPr>
              <w:t>economic interest in Tradeweb and (ii) through Tradeweb’s ownership of LLC</w:t>
            </w:r>
          </w:p>
        </w:tc>
        <w:tc>
          <w:tcPr>
            <w:tcW w:w="6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500"/>
        </w:trPr>
        <w:tc>
          <w:tcPr>
            <w:tcW w:w="1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85"/>
        </w:trPr>
        <w:tc>
          <w:tcPr>
            <w:tcW w:w="18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77" w:name="page78"/>
    <w:bookmarkEnd w:id="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Interests, indirectly will hold (applying the percentage in the preceding clause (i)(y) to</w:t>
      </w:r>
    </w:p>
    <w:p>
      <w:pPr>
        <w:spacing w:after="0" w:line="23" w:lineRule="exact"/>
        <w:rPr>
          <w:sz w:val="20"/>
          <w:szCs w:val="20"/>
          <w:color w:val="auto"/>
        </w:rPr>
      </w:pPr>
    </w:p>
    <w:p>
      <w:pPr>
        <w:ind w:left="1980"/>
        <w:spacing w:after="0"/>
        <w:tabs>
          <w:tab w:leader="none" w:pos="6460" w:val="left"/>
        </w:tabs>
        <w:rPr>
          <w:sz w:val="20"/>
          <w:szCs w:val="20"/>
          <w:color w:val="auto"/>
        </w:rPr>
      </w:pPr>
      <w:r>
        <w:rPr>
          <w:rFonts w:ascii="Arial" w:cs="Arial" w:eastAsia="Arial" w:hAnsi="Arial"/>
          <w:sz w:val="18"/>
          <w:szCs w:val="18"/>
          <w:color w:val="auto"/>
        </w:rPr>
        <w:t>Tradeweb’s percentage economic interest in TWM LLC)</w:t>
      </w:r>
      <w:r>
        <w:rPr>
          <w:sz w:val="20"/>
          <w:szCs w:val="20"/>
          <w:color w:val="auto"/>
        </w:rPr>
        <w:tab/>
      </w:r>
      <w:r>
        <w:rPr>
          <w:rFonts w:ascii="Arial" w:cs="Arial" w:eastAsia="Arial" w:hAnsi="Arial"/>
          <w:sz w:val="16"/>
          <w:szCs w:val="16"/>
          <w:color w:val="auto"/>
        </w:rPr>
        <w:t>% of the economic interest in TWM LLC</w:t>
      </w:r>
    </w:p>
    <w:p>
      <w:pPr>
        <w:spacing w:after="0" w:line="9"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7"/>
          <w:szCs w:val="17"/>
          <w:color w:val="auto"/>
        </w:rPr>
        <w:t>(or</w:t>
      </w:r>
      <w:r>
        <w:rPr>
          <w:sz w:val="20"/>
          <w:szCs w:val="20"/>
          <w:color w:val="auto"/>
        </w:rPr>
        <w:tab/>
      </w:r>
      <w:r>
        <w:rPr>
          <w:rFonts w:ascii="Arial" w:cs="Arial" w:eastAsia="Arial" w:hAnsi="Arial"/>
          <w:sz w:val="17"/>
          <w:szCs w:val="17"/>
          <w:color w:val="auto"/>
        </w:rPr>
        <w:t>%, if the underwriters exercise in full their option to purchase additional shares of Class A</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0219"/>
          </w:cols>
          <w:pgMar w:left="240" w:top="131" w:right="1440" w:bottom="1440" w:gutter="0" w:footer="0" w:header="0"/>
        </w:sectPr>
      </w:pP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879"/>
        <w:spacing w:after="0" w:line="259" w:lineRule="auto"/>
        <w:rPr>
          <w:sz w:val="20"/>
          <w:szCs w:val="20"/>
          <w:color w:val="auto"/>
        </w:rPr>
      </w:pPr>
      <w:r>
        <w:rPr>
          <w:rFonts w:ascii="Arial" w:cs="Arial" w:eastAsia="Arial" w:hAnsi="Arial"/>
          <w:sz w:val="18"/>
          <w:szCs w:val="18"/>
          <w:color w:val="auto"/>
        </w:rPr>
        <w:t>the Refinitiv LLC Owner will own (i) LLC Interests representing % of the economic interest in TWM LLC and (ii) through their ownership of shares of Class D common stock, % of the combined voting power of all of Tradeweb’s common stock (or %, if the underwriters exercise in full their option to purchase additional shares of Class A common stock);</w:t>
      </w:r>
    </w:p>
    <w:p>
      <w:pPr>
        <w:spacing w:after="0" w:line="38" w:lineRule="exact"/>
        <w:rPr>
          <w:sz w:val="20"/>
          <w:szCs w:val="20"/>
          <w:color w:val="auto"/>
        </w:rPr>
      </w:pPr>
    </w:p>
    <w:p>
      <w:pPr>
        <w:sectPr>
          <w:pgSz w:w="11900" w:h="16838" w:orient="portrait"/>
          <w:cols w:equalWidth="0" w:num="2">
            <w:col w:w="1700" w:space="280"/>
            <w:col w:w="8239"/>
          </w:cols>
          <w:pgMar w:left="240" w:top="131"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779"/>
        <w:spacing w:after="0" w:line="276" w:lineRule="auto"/>
        <w:rPr>
          <w:sz w:val="20"/>
          <w:szCs w:val="20"/>
          <w:color w:val="auto"/>
        </w:rPr>
      </w:pPr>
      <w:r>
        <w:rPr>
          <w:rFonts w:ascii="Arial" w:cs="Arial" w:eastAsia="Arial" w:hAnsi="Arial"/>
          <w:sz w:val="17"/>
          <w:szCs w:val="17"/>
          <w:color w:val="auto"/>
        </w:rPr>
        <w:t>the Other LLC Owners will own (i) LLC Interests representing % of the economic interest in TWM LLC (or %, if the underwriters exercise in full their option to purchase additional shares of Class A common stock) and (ii) through their ownership of shares of Class D common stock, % of the combined voting power of all of Tradeweb’s common stock (or %, if the underwriters exercise in full their option to purchase additional shares of Class A common stock);</w:t>
      </w:r>
    </w:p>
    <w:p>
      <w:pPr>
        <w:spacing w:after="0" w:line="24" w:lineRule="exact"/>
        <w:rPr>
          <w:sz w:val="20"/>
          <w:szCs w:val="20"/>
          <w:color w:val="auto"/>
        </w:rPr>
      </w:pPr>
    </w:p>
    <w:p>
      <w:pPr>
        <w:sectPr>
          <w:pgSz w:w="11900" w:h="16838" w:orient="portrait"/>
          <w:cols w:equalWidth="0" w:num="2">
            <w:col w:w="1700" w:space="280"/>
            <w:col w:w="8239"/>
          </w:cols>
          <w:pgMar w:left="240" w:top="131" w:right="1440" w:bottom="1440" w:gutter="0" w:footer="0" w:header="0"/>
          <w:type w:val="continuous"/>
        </w:sectPr>
      </w:pPr>
    </w:p>
    <w:p>
      <w:pPr>
        <w:ind w:left="1980" w:right="899" w:hanging="352"/>
        <w:spacing w:after="0" w:line="254"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following this offering, each LLC Interest held by the Continuing LLC Owners will be redeemable, at the election of such members, for newly issued shares of Class A common stock or Class B common stock on a one-for-one basis (and such holders’ shares of Class C common stock or Class D common stock, as the case may be, will be cancelled on a one-for-one basis upon any such issuance). The Continuing LLC Owners may also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43" w:lineRule="exact"/>
        <w:rPr>
          <w:rFonts w:ascii="Arial" w:cs="Arial" w:eastAsia="Arial" w:hAnsi="Arial"/>
          <w:sz w:val="18"/>
          <w:szCs w:val="18"/>
          <w:color w:val="auto"/>
        </w:rPr>
      </w:pPr>
    </w:p>
    <w:p>
      <w:pPr>
        <w:ind w:left="1980" w:right="759" w:hanging="352"/>
        <w:spacing w:after="0" w:line="254"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 See “Certain Relationships and Related Party Transactions — Related Party Transactions Entered Into in Connection With This Offering — TWM LLC Agreement;”</w:t>
      </w:r>
    </w:p>
    <w:p>
      <w:pPr>
        <w:spacing w:after="0" w:line="43" w:lineRule="exact"/>
        <w:rPr>
          <w:rFonts w:ascii="Arial" w:cs="Arial" w:eastAsia="Arial" w:hAnsi="Arial"/>
          <w:sz w:val="18"/>
          <w:szCs w:val="18"/>
          <w:color w:val="auto"/>
        </w:rPr>
      </w:pPr>
    </w:p>
    <w:p>
      <w:pPr>
        <w:ind w:left="1980" w:right="759" w:hanging="352"/>
        <w:spacing w:after="0" w:line="259"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and</w:t>
      </w:r>
    </w:p>
    <w:p>
      <w:pPr>
        <w:spacing w:after="0" w:line="38" w:lineRule="exact"/>
        <w:rPr>
          <w:rFonts w:ascii="Arial" w:cs="Arial" w:eastAsia="Arial" w:hAnsi="Arial"/>
          <w:sz w:val="18"/>
          <w:szCs w:val="18"/>
          <w:color w:val="auto"/>
        </w:rPr>
      </w:pPr>
    </w:p>
    <w:p>
      <w:pPr>
        <w:ind w:left="1980" w:right="819" w:hanging="352"/>
        <w:spacing w:after="0" w:line="270" w:lineRule="auto"/>
        <w:tabs>
          <w:tab w:leader="none" w:pos="1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or (ii) once the Refinitiv Owners and their affiliates together no longer beneficially own a number of shares of our common stock and LLC Interests that together entitle them to at least 10% of TWM LLC’s economic interests.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w:t>
      </w:r>
    </w:p>
    <w:p>
      <w:pPr>
        <w:spacing w:after="0" w:line="70" w:lineRule="exact"/>
        <w:rPr>
          <w:sz w:val="20"/>
          <w:szCs w:val="20"/>
          <w:color w:val="auto"/>
        </w:rPr>
      </w:pPr>
    </w:p>
    <w:p>
      <w:pPr>
        <w:ind w:left="1260" w:right="799" w:firstLine="360"/>
        <w:spacing w:after="0" w:line="289" w:lineRule="auto"/>
        <w:rPr>
          <w:sz w:val="20"/>
          <w:szCs w:val="20"/>
          <w:color w:val="auto"/>
        </w:rPr>
      </w:pPr>
      <w:r>
        <w:rPr>
          <w:rFonts w:ascii="Arial" w:cs="Arial" w:eastAsia="Arial" w:hAnsi="Arial"/>
          <w:sz w:val="16"/>
          <w:szCs w:val="16"/>
          <w:color w:val="auto"/>
        </w:rPr>
        <w:t>Immediately following this offering, Tradeweb will be a holding company whose principal asset will be the LLC Interests it acquires from certain of the Other LLC Owners using the net procceds from this offering and the LLC Interests it receives as a result of the Refinitiv Contribution.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TWM LLC in our consolidated financial statements and will report a non-controlling interest related to the LLC Interests held by the Continuing LLC Owners on our consolidated financial statements. Tradeweb will have a board of directors and executive officers, but will have no employees. The functions of all of our employees are expected to reside at TWM LLC and its subsidiaries.</w:t>
      </w: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following diagram shows our simplified organizational structure after giving effect to the Reorganization Transactions, including this offering and the application of the net proceeds therefrom as described in “Use of Proceeds,”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119380</wp:posOffset>
            </wp:positionV>
            <wp:extent cx="4802505" cy="5608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02505" cy="560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20" w:hanging="352"/>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economic interests in Tradeweb Markets Inc. and not Tradeweb Markets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1039" w:firstLine="360"/>
        <w:spacing w:after="0" w:line="274" w:lineRule="auto"/>
        <w:rPr>
          <w:sz w:val="20"/>
          <w:szCs w:val="20"/>
          <w:color w:val="auto"/>
        </w:rPr>
      </w:pPr>
      <w:r>
        <w:rPr>
          <w:rFonts w:ascii="Arial" w:cs="Arial" w:eastAsia="Arial" w:hAnsi="Arial"/>
          <w:sz w:val="17"/>
          <w:szCs w:val="17"/>
          <w:color w:val="auto"/>
        </w:rPr>
        <w:t>We estimate that the net proceeds to us from our sale of shares of Class A common stock in this offering will be approximately $ million, based on the assumed initial public offering price of $ per</w:t>
      </w:r>
    </w:p>
    <w:p>
      <w:pPr>
        <w:jc w:val="both"/>
        <w:ind w:left="1260" w:right="859"/>
        <w:spacing w:after="0" w:line="187" w:lineRule="auto"/>
        <w:rPr>
          <w:sz w:val="20"/>
          <w:szCs w:val="20"/>
          <w:color w:val="auto"/>
        </w:rPr>
      </w:pPr>
      <w:r>
        <w:rPr>
          <w:rFonts w:ascii="Arial" w:cs="Arial" w:eastAsia="Arial" w:hAnsi="Arial"/>
          <w:sz w:val="16"/>
          <w:szCs w:val="16"/>
          <w:color w:val="auto"/>
        </w:rPr>
        <w:t>share, which is the midpoint of the price range set forth on the cover page of this prospectus, and after deducting underwriting discounts and commissions, but before deducting estimated offering expenses payable by us. If the underwriters exercise in full their option to purchase additional shares of Class A common stock, we expect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60"/>
        <w:spacing w:after="0"/>
        <w:tabs>
          <w:tab w:leader="none" w:pos="3400" w:val="left"/>
        </w:tabs>
        <w:rPr>
          <w:sz w:val="20"/>
          <w:szCs w:val="20"/>
          <w:color w:val="auto"/>
        </w:rPr>
      </w:pPr>
      <w:r>
        <w:rPr>
          <w:rFonts w:ascii="Arial" w:cs="Arial" w:eastAsia="Arial" w:hAnsi="Arial"/>
          <w:sz w:val="18"/>
          <w:szCs w:val="18"/>
          <w:color w:val="auto"/>
        </w:rPr>
        <w:t>receive approximately $</w:t>
      </w:r>
      <w:r>
        <w:rPr>
          <w:sz w:val="20"/>
          <w:szCs w:val="20"/>
          <w:color w:val="auto"/>
        </w:rPr>
        <w:tab/>
      </w:r>
      <w:r>
        <w:rPr>
          <w:rFonts w:ascii="Arial" w:cs="Arial" w:eastAsia="Arial" w:hAnsi="Arial"/>
          <w:sz w:val="16"/>
          <w:szCs w:val="16"/>
          <w:color w:val="auto"/>
        </w:rPr>
        <w:t>million of net proceeds.</w:t>
      </w:r>
    </w:p>
    <w:p>
      <w:pPr>
        <w:sectPr>
          <w:pgSz w:w="11900" w:h="16838" w:orient="portrait"/>
          <w:cols w:equalWidth="0" w:num="1">
            <w:col w:w="10219"/>
          </w:cols>
          <w:pgMar w:left="240" w:top="132" w:right="1440" w:bottom="1440" w:gutter="0" w:footer="0" w:header="0"/>
        </w:sectPr>
      </w:pPr>
    </w:p>
    <w:p>
      <w:pPr>
        <w:spacing w:after="0" w:line="117" w:lineRule="exact"/>
        <w:rPr>
          <w:sz w:val="20"/>
          <w:szCs w:val="20"/>
          <w:color w:val="auto"/>
        </w:rPr>
      </w:pPr>
    </w:p>
    <w:p>
      <w:pPr>
        <w:ind w:left="1260" w:firstLine="360"/>
        <w:spacing w:after="0" w:line="342" w:lineRule="auto"/>
        <w:rPr>
          <w:sz w:val="20"/>
          <w:szCs w:val="20"/>
          <w:color w:val="auto"/>
        </w:rPr>
      </w:pPr>
      <w:r>
        <w:rPr>
          <w:rFonts w:ascii="Arial" w:cs="Arial" w:eastAsia="Arial" w:hAnsi="Arial"/>
          <w:sz w:val="16"/>
          <w:szCs w:val="16"/>
          <w:color w:val="auto"/>
        </w:rPr>
        <w:t>We estimate that the offering expenses will be approximately $ will be paid for or otherwise borne by TWM LLC using cash on hand.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million. All of such offering expenses</w:t>
      </w:r>
    </w:p>
    <w:p>
      <w:pPr>
        <w:spacing w:after="0" w:line="356" w:lineRule="exact"/>
        <w:rPr>
          <w:sz w:val="20"/>
          <w:szCs w:val="20"/>
          <w:color w:val="auto"/>
        </w:rPr>
      </w:pPr>
    </w:p>
    <w:p>
      <w:pPr>
        <w:sectPr>
          <w:pgSz w:w="11900" w:h="16838" w:orient="portrait"/>
          <w:cols w:equalWidth="0" w:num="2">
            <w:col w:w="6320" w:space="240"/>
            <w:col w:w="3659"/>
          </w:cols>
          <w:pgMar w:left="240" w:top="132" w:right="1440" w:bottom="1440" w:gutter="0" w:footer="0" w:header="0"/>
          <w:type w:val="continuous"/>
        </w:sectPr>
      </w:pPr>
    </w:p>
    <w:p>
      <w:pPr>
        <w:ind w:left="1260" w:right="819" w:firstLine="360"/>
        <w:spacing w:after="0" w:line="274" w:lineRule="auto"/>
        <w:rPr>
          <w:sz w:val="20"/>
          <w:szCs w:val="20"/>
          <w:color w:val="auto"/>
        </w:rPr>
      </w:pPr>
      <w:r>
        <w:rPr>
          <w:rFonts w:ascii="Arial" w:cs="Arial" w:eastAsia="Arial" w:hAnsi="Arial"/>
          <w:sz w:val="17"/>
          <w:szCs w:val="17"/>
          <w:color w:val="auto"/>
        </w:rPr>
        <w:t>We intend to use the net proceeds to us from this offering to purchase issued and outstanding LLC Interests (or LLC Interests, if the underwriters exercise in full their option to purchase additional shares of</w:t>
      </w:r>
    </w:p>
    <w:p>
      <w:pPr>
        <w:sectPr>
          <w:pgSz w:w="11900" w:h="16838" w:orient="portrait"/>
          <w:cols w:equalWidth="0" w:num="1">
            <w:col w:w="10219"/>
          </w:cols>
          <w:pgMar w:left="240" w:top="132" w:right="1440" w:bottom="1440" w:gutter="0" w:footer="0" w:header="0"/>
          <w:type w:val="continuous"/>
        </w:sectPr>
      </w:pPr>
    </w:p>
    <w:p>
      <w:pPr>
        <w:ind w:left="1260" w:right="759"/>
        <w:spacing w:after="0" w:line="268" w:lineRule="auto"/>
        <w:rPr>
          <w:sz w:val="20"/>
          <w:szCs w:val="20"/>
          <w:color w:val="auto"/>
        </w:rPr>
      </w:pPr>
      <w:r>
        <w:rPr>
          <w:rFonts w:ascii="Arial" w:cs="Arial" w:eastAsia="Arial" w:hAnsi="Arial"/>
          <w:sz w:val="17"/>
          <w:szCs w:val="17"/>
          <w:color w:val="auto"/>
        </w:rPr>
        <w:t>Class A common stock) from certain of the Other LLC Owners (and cancel the corresponding shares of Class D common stock), at a purchase price per interest equal to the initial public offering price per share of Class A common stock, less the underwriting discounts and commissions payable thereon. See “Certain Relationships and Related Party Transactions — Transactions With Certain Original LLC Owners.” As a result of the purchases of LLC Interests (together with the cancellation of the corresponding shares of Class D common stock) described above, the number of outstanding shares of Class D common stock will be reduced. Because we will hold the LLC Interests that we purchase (and thereby increase our ownership position in TWM LLC), the number of outstanding LLC Interests will remain the same.</w:t>
      </w:r>
    </w:p>
    <w:p>
      <w:pPr>
        <w:spacing w:after="0" w:line="76"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price range set forth on the cover page of this prospectus, would increase (decrease) the net proceeds to us</w:t>
      </w:r>
    </w:p>
    <w:p>
      <w:pPr>
        <w:ind w:left="1260" w:right="779"/>
        <w:spacing w:after="0" w:line="281" w:lineRule="auto"/>
        <w:rPr>
          <w:sz w:val="20"/>
          <w:szCs w:val="20"/>
          <w:color w:val="auto"/>
        </w:rPr>
      </w:pPr>
      <w:r>
        <w:rPr>
          <w:rFonts w:ascii="Arial" w:cs="Arial" w:eastAsia="Arial" w:hAnsi="Arial"/>
          <w:sz w:val="16"/>
          <w:szCs w:val="16"/>
          <w:color w:val="auto"/>
        </w:rPr>
        <w:t>from this offering by approximately $ million, assuming the number of shares offered by us, as set forth on the cover page of this prospectus, remains the same, and after deducting underwriting discounts and commissions payable by us, but before deducting estimated offering expenses payable by us. Each increase (decrease) of 1.0 million shares in the number of shares sold by us in this offering, as set forth on the cover page of this</w:t>
      </w:r>
    </w:p>
    <w:p>
      <w:pPr>
        <w:spacing w:after="0" w:line="3" w:lineRule="exact"/>
        <w:rPr>
          <w:sz w:val="20"/>
          <w:szCs w:val="20"/>
          <w:color w:val="auto"/>
        </w:rPr>
      </w:pPr>
    </w:p>
    <w:p>
      <w:pPr>
        <w:ind w:left="1260" w:right="759"/>
        <w:spacing w:after="0" w:line="265" w:lineRule="auto"/>
        <w:rPr>
          <w:sz w:val="20"/>
          <w:szCs w:val="20"/>
          <w:color w:val="auto"/>
        </w:rPr>
      </w:pPr>
      <w:r>
        <w:rPr>
          <w:rFonts w:ascii="Arial" w:cs="Arial" w:eastAsia="Arial" w:hAnsi="Arial"/>
          <w:sz w:val="17"/>
          <w:szCs w:val="17"/>
          <w:color w:val="auto"/>
        </w:rPr>
        <w:t>prospectus, would increase (decrease) the net proceeds to us from this offering by approximately $ million, assuming the assumed initial public offering price of $ per share, the midpoint of the price range set forth on</w:t>
      </w:r>
    </w:p>
    <w:p>
      <w:pPr>
        <w:jc w:val="both"/>
        <w:ind w:left="1260" w:right="779"/>
        <w:spacing w:after="0" w:line="254" w:lineRule="auto"/>
        <w:rPr>
          <w:sz w:val="20"/>
          <w:szCs w:val="20"/>
          <w:color w:val="auto"/>
        </w:rPr>
      </w:pPr>
      <w:r>
        <w:rPr>
          <w:rFonts w:ascii="Arial" w:cs="Arial" w:eastAsia="Arial" w:hAnsi="Arial"/>
          <w:sz w:val="18"/>
          <w:szCs w:val="18"/>
          <w:color w:val="auto"/>
        </w:rPr>
        <w:t>the cover page of this prospectus, remains the same, and after deducting underwriting discounts and commissions payable by us, but before deducting estimated offering expenses payable by us. The information discussed above is illustrative only and will adjust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jc w:val="center"/>
        <w:ind w:right="-720"/>
        <w:spacing w:after="0"/>
        <w:rPr>
          <w:sz w:val="20"/>
          <w:szCs w:val="20"/>
          <w:color w:val="auto"/>
        </w:rPr>
      </w:pPr>
      <w:r>
        <w:rPr>
          <w:rFonts w:ascii="Arial" w:cs="Arial" w:eastAsia="Arial" w:hAnsi="Arial"/>
          <w:sz w:val="17"/>
          <w:szCs w:val="17"/>
          <w:color w:val="auto"/>
        </w:rPr>
        <w:t>Following the completion of this offering and subject to legally available funds, we intend to pay quarterly</w:t>
      </w:r>
    </w:p>
    <w:p>
      <w:pPr>
        <w:spacing w:after="0" w:line="35" w:lineRule="exact"/>
        <w:rPr>
          <w:sz w:val="20"/>
          <w:szCs w:val="20"/>
          <w:color w:val="auto"/>
        </w:rPr>
      </w:pPr>
    </w:p>
    <w:p>
      <w:pPr>
        <w:ind w:left="1260" w:right="979"/>
        <w:spacing w:after="0" w:line="265" w:lineRule="auto"/>
        <w:rPr>
          <w:sz w:val="20"/>
          <w:szCs w:val="20"/>
          <w:color w:val="auto"/>
        </w:rPr>
      </w:pPr>
      <w:r>
        <w:rPr>
          <w:rFonts w:ascii="Arial" w:cs="Arial" w:eastAsia="Arial" w:hAnsi="Arial"/>
          <w:sz w:val="17"/>
          <w:szCs w:val="17"/>
          <w:color w:val="auto"/>
        </w:rPr>
        <w:t>cash dividends on our Class A common stock and Class B common stock initially equal to $ per share, commencing with the quarter of . The declaration, amount and payment of any dividends will be at</w:t>
      </w:r>
    </w:p>
    <w:p>
      <w:pPr>
        <w:jc w:val="both"/>
        <w:ind w:left="1260" w:right="1039"/>
        <w:spacing w:after="0" w:line="277" w:lineRule="auto"/>
        <w:rPr>
          <w:sz w:val="20"/>
          <w:szCs w:val="20"/>
          <w:color w:val="auto"/>
        </w:rPr>
      </w:pPr>
      <w:r>
        <w:rPr>
          <w:rFonts w:ascii="Arial" w:cs="Arial" w:eastAsia="Arial" w:hAnsi="Arial"/>
          <w:sz w:val="17"/>
          <w:szCs w:val="17"/>
          <w:color w:val="auto"/>
        </w:rPr>
        <w:t>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w:t>
      </w:r>
    </w:p>
    <w:p>
      <w:pPr>
        <w:spacing w:after="0" w:line="6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See “The Reorganization Transactions.”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New Revolving Credit Facility or any future credit agreement or any future debt or preferred equity securities of Tradeweb or its subsidiaries.</w:t>
      </w:r>
    </w:p>
    <w:p>
      <w:pPr>
        <w:spacing w:after="0" w:line="64" w:lineRule="exact"/>
        <w:rPr>
          <w:sz w:val="20"/>
          <w:szCs w:val="20"/>
          <w:color w:val="auto"/>
        </w:rPr>
      </w:pPr>
    </w:p>
    <w:p>
      <w:pPr>
        <w:ind w:left="1260" w:right="1059" w:firstLine="360"/>
        <w:spacing w:after="0" w:line="291"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after giving effect to required tax distributions to be paid by TWM LLC; however,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59"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See “Risk Factors — Risks Relating to the Company and Our Organizational Structure — Our principal asset after the completion of this offering will be our interest in TWM LLC, and, accordingly, we will depend on distributions from TWM LLC to pay our taxes and expenses, including payments under the Tax Receivable Agreement” and “Risk Factors — Risks Relating to This Offering and Ownership of our Class A Common Stock</w:t>
      </w:r>
    </w:p>
    <w:p>
      <w:pPr>
        <w:spacing w:after="0" w:line="2" w:lineRule="exact"/>
        <w:rPr>
          <w:sz w:val="20"/>
          <w:szCs w:val="20"/>
          <w:color w:val="auto"/>
        </w:rPr>
      </w:pPr>
    </w:p>
    <w:p>
      <w:pPr>
        <w:ind w:left="1260" w:right="879"/>
        <w:spacing w:after="0" w:line="261" w:lineRule="auto"/>
        <w:rPr>
          <w:sz w:val="20"/>
          <w:szCs w:val="20"/>
          <w:color w:val="auto"/>
        </w:rPr>
      </w:pPr>
      <w:r>
        <w:rPr>
          <w:rFonts w:ascii="Arial" w:cs="Arial" w:eastAsia="Arial" w:hAnsi="Arial"/>
          <w:sz w:val="18"/>
          <w:szCs w:val="18"/>
          <w:color w:val="auto"/>
        </w:rPr>
        <w:t>— We intend to pay regular dividends on our Class A common stock and Class B common stock, but our ability to do so may be limited.”</w:t>
      </w:r>
    </w:p>
    <w:p>
      <w:pPr>
        <w:spacing w:after="0" w:line="76" w:lineRule="exact"/>
        <w:rPr>
          <w:sz w:val="20"/>
          <w:szCs w:val="20"/>
          <w:color w:val="auto"/>
        </w:rPr>
      </w:pPr>
    </w:p>
    <w:p>
      <w:pPr>
        <w:jc w:val="both"/>
        <w:ind w:left="1260" w:right="799" w:firstLine="360"/>
        <w:spacing w:after="0" w:line="342" w:lineRule="auto"/>
        <w:rPr>
          <w:sz w:val="20"/>
          <w:szCs w:val="20"/>
          <w:color w:val="auto"/>
        </w:rPr>
      </w:pPr>
      <w:r>
        <w:rPr>
          <w:rFonts w:ascii="Arial" w:cs="Arial" w:eastAsia="Arial" w:hAnsi="Arial"/>
          <w:sz w:val="16"/>
          <w:szCs w:val="16"/>
          <w:color w:val="auto"/>
        </w:rPr>
        <w:t>Prior to the consummation of this offering, we expect TWM LLC to make a cash distribution to the Original LLC Owners in an aggregate amount of $100 million. We refer to this distribution as the “Special Distribution.”</w:t>
      </w:r>
    </w:p>
    <w:p>
      <w:pPr>
        <w:spacing w:after="0" w:line="16"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In February, June, September and December 2018, Tradeweb Markets LLC made cash distributions to its equityholders in aggregate amounts of $25.0 million, $55.0 million, $59.4 million and $36.0 million, respectively.</w:t>
      </w:r>
    </w:p>
    <w:p>
      <w:pPr>
        <w:spacing w:after="0" w:line="73" w:lineRule="exact"/>
        <w:rPr>
          <w:sz w:val="20"/>
          <w:szCs w:val="20"/>
          <w:color w:val="auto"/>
        </w:rPr>
      </w:pPr>
    </w:p>
    <w:p>
      <w:pPr>
        <w:ind w:left="1260" w:right="1419" w:firstLine="360"/>
        <w:spacing w:after="0" w:line="264" w:lineRule="auto"/>
        <w:rPr>
          <w:sz w:val="20"/>
          <w:szCs w:val="20"/>
          <w:color w:val="auto"/>
        </w:rPr>
      </w:pPr>
      <w:r>
        <w:rPr>
          <w:rFonts w:ascii="Arial" w:cs="Arial" w:eastAsia="Arial" w:hAnsi="Arial"/>
          <w:sz w:val="18"/>
          <w:szCs w:val="18"/>
          <w:color w:val="auto"/>
        </w:rPr>
        <w:t>In March, June, August and November 2017, Tradeweb Markets LLC made cash distributions to its equityholders in aggregate amounts of $20.0 million, $50.0 million, $45.0 million and $37.0 million, respectively.</w:t>
      </w:r>
    </w:p>
    <w:p>
      <w:pPr>
        <w:spacing w:after="0" w:line="73" w:lineRule="exact"/>
        <w:rPr>
          <w:sz w:val="20"/>
          <w:szCs w:val="20"/>
          <w:color w:val="auto"/>
        </w:rPr>
      </w:pPr>
    </w:p>
    <w:p>
      <w:pPr>
        <w:ind w:left="1260" w:right="1319" w:firstLine="360"/>
        <w:spacing w:after="0" w:line="264" w:lineRule="auto"/>
        <w:rPr>
          <w:sz w:val="20"/>
          <w:szCs w:val="20"/>
          <w:color w:val="auto"/>
        </w:rPr>
      </w:pPr>
      <w:r>
        <w:rPr>
          <w:rFonts w:ascii="Arial" w:cs="Arial" w:eastAsia="Arial" w:hAnsi="Arial"/>
          <w:sz w:val="18"/>
          <w:szCs w:val="18"/>
          <w:color w:val="auto"/>
        </w:rPr>
        <w:t>In February, May, August and November 2016, Tradeweb Markets LLC made cash distribution to its equityholders in aggregate amounts of $20.0 million, $45.0 million, $35.0 million and $30.0 million, respectively.</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1420" w:firstLine="360"/>
        <w:spacing w:after="0" w:line="277" w:lineRule="auto"/>
        <w:rPr>
          <w:sz w:val="20"/>
          <w:szCs w:val="20"/>
          <w:color w:val="auto"/>
        </w:rPr>
      </w:pPr>
      <w:r>
        <w:rPr>
          <w:rFonts w:ascii="Arial" w:cs="Arial" w:eastAsia="Arial" w:hAnsi="Arial"/>
          <w:sz w:val="18"/>
          <w:szCs w:val="18"/>
          <w:color w:val="auto"/>
        </w:rPr>
        <w:t>The following table sets forth the cash and cash equivalents and the total capitalization as of December 31, 2018:</w:t>
      </w:r>
    </w:p>
    <w:p>
      <w:pPr>
        <w:spacing w:after="0" w:line="143" w:lineRule="exact"/>
        <w:rPr>
          <w:sz w:val="20"/>
          <w:szCs w:val="20"/>
          <w:color w:val="auto"/>
        </w:rPr>
      </w:pPr>
    </w:p>
    <w:p>
      <w:pPr>
        <w:ind w:left="1980" w:hanging="352"/>
        <w:spacing w:after="0"/>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Tradeweb Markets LLC and its subsidiaries on an actual basis;</w:t>
      </w:r>
    </w:p>
    <w:p>
      <w:pPr>
        <w:spacing w:after="0" w:line="184" w:lineRule="exact"/>
        <w:rPr>
          <w:rFonts w:ascii="Arial" w:cs="Arial" w:eastAsia="Arial" w:hAnsi="Arial"/>
          <w:sz w:val="18"/>
          <w:szCs w:val="18"/>
          <w:color w:val="auto"/>
        </w:rPr>
      </w:pPr>
    </w:p>
    <w:p>
      <w:pPr>
        <w:ind w:left="1980" w:right="1880" w:hanging="352"/>
        <w:spacing w:after="0" w:line="277"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Tradeweb Markets LLC and its subsidiaries on a pro forma basis to give effect to the Special Distribution; and</w:t>
      </w:r>
    </w:p>
    <w:p>
      <w:pPr>
        <w:spacing w:after="0" w:line="129" w:lineRule="exact"/>
        <w:rPr>
          <w:rFonts w:ascii="Arial" w:cs="Arial" w:eastAsia="Arial" w:hAnsi="Arial"/>
          <w:sz w:val="18"/>
          <w:szCs w:val="18"/>
          <w:color w:val="auto"/>
        </w:rPr>
      </w:pPr>
    </w:p>
    <w:p>
      <w:pPr>
        <w:jc w:val="both"/>
        <w:ind w:left="1980" w:right="1380" w:hanging="352"/>
        <w:spacing w:after="0" w:line="291" w:lineRule="auto"/>
        <w:tabs>
          <w:tab w:leader="none" w:pos="1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of Tradeweb Markets Inc. and its subsidiaries on a pro forma basis to give effect to the Reorganization Transactions, including our issuance and sale of shares of Class A common stock in this offering at an</w:t>
      </w:r>
    </w:p>
    <w:p>
      <w:pPr>
        <w:ind w:left="1980" w:right="1280"/>
        <w:spacing w:after="0" w:line="254" w:lineRule="auto"/>
        <w:rPr>
          <w:rFonts w:ascii="Arial" w:cs="Arial" w:eastAsia="Arial" w:hAnsi="Arial"/>
          <w:sz w:val="16"/>
          <w:szCs w:val="16"/>
          <w:color w:val="auto"/>
        </w:rPr>
      </w:pPr>
      <w:r>
        <w:rPr>
          <w:rFonts w:ascii="Arial" w:cs="Arial" w:eastAsia="Arial" w:hAnsi="Arial"/>
          <w:sz w:val="18"/>
          <w:szCs w:val="18"/>
          <w:color w:val="auto"/>
        </w:rPr>
        <w:t>assumed initial public offering price of $ per share, the midpoint of the price range set forth on the cover page of this prospectus, after (i) deducting the estimated underwriting discounts and commissions and estimated offering expenses payable by us and (ii) the application of the proceeds from this offering, each as described under “Use of Proceeds.”</w:t>
      </w:r>
    </w:p>
    <w:p>
      <w:pPr>
        <w:spacing w:after="0" w:line="82" w:lineRule="exact"/>
        <w:rPr>
          <w:sz w:val="20"/>
          <w:szCs w:val="20"/>
          <w:color w:val="auto"/>
        </w:rPr>
      </w:pPr>
    </w:p>
    <w:p>
      <w:pPr>
        <w:ind w:left="1260" w:right="1300" w:firstLine="360"/>
        <w:spacing w:after="0" w:line="276" w:lineRule="auto"/>
        <w:rPr>
          <w:sz w:val="20"/>
          <w:szCs w:val="20"/>
          <w:color w:val="auto"/>
        </w:rPr>
      </w:pPr>
      <w:r>
        <w:rPr>
          <w:rFonts w:ascii="Arial" w:cs="Arial" w:eastAsia="Arial" w:hAnsi="Arial"/>
          <w:sz w:val="17"/>
          <w:szCs w:val="17"/>
          <w:color w:val="auto"/>
        </w:rPr>
        <w:t>For more information, please see “The Reorganization Transactions,” “Use of Proceeds,” “Dividend Policy” and “Unaudited Pro Forma Consolidated Financial Information.” You should read this information in conjunction with our consolidated financial statements and related notes thereto included elsewhere in this prospectus and the “Management’s Discussion and Analysis of Financial Condition and Results of Operations” section and other financial information contained in this prospectus.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jc w:val="right"/>
              <w:spacing w:after="0"/>
              <w:rPr>
                <w:sz w:val="20"/>
                <w:szCs w:val="20"/>
                <w:color w:val="auto"/>
              </w:rPr>
            </w:pPr>
            <w:r>
              <w:rPr>
                <w:rFonts w:ascii="Arial" w:cs="Arial" w:eastAsia="Arial" w:hAnsi="Arial"/>
                <w:sz w:val="14"/>
                <w:szCs w:val="14"/>
                <w:b w:val="1"/>
                <w:bCs w:val="1"/>
                <w:color w:val="auto"/>
              </w:rPr>
              <w:t>As of December 31, 2018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Historical</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1960" w:type="dxa"/>
            <w:vAlign w:val="bottom"/>
            <w:gridSpan w:val="5"/>
          </w:tcPr>
          <w:p>
            <w:pPr>
              <w:jc w:val="center"/>
              <w:ind w:right="12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Tradeweb</w:t>
            </w: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Tradeweb</w:t>
            </w:r>
          </w:p>
        </w:tc>
        <w:tc>
          <w:tcPr>
            <w:tcW w:w="1960" w:type="dxa"/>
            <w:vAlign w:val="bottom"/>
            <w:gridSpan w:val="5"/>
          </w:tcPr>
          <w:p>
            <w:pPr>
              <w:jc w:val="center"/>
              <w:ind w:right="1280"/>
              <w:spacing w:after="0"/>
              <w:rPr>
                <w:sz w:val="20"/>
                <w:szCs w:val="20"/>
                <w:color w:val="auto"/>
              </w:rPr>
            </w:pPr>
            <w:r>
              <w:rPr>
                <w:rFonts w:ascii="Arial" w:cs="Arial" w:eastAsia="Arial" w:hAnsi="Arial"/>
                <w:sz w:val="14"/>
                <w:szCs w:val="14"/>
                <w:b w:val="1"/>
                <w:bCs w:val="1"/>
                <w:color w:val="auto"/>
                <w:w w:val="91"/>
              </w:rPr>
              <w:t>Tradeweb</w:t>
            </w: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3"/>
                <w:szCs w:val="13"/>
                <w:color w:val="auto"/>
              </w:rPr>
            </w:pPr>
          </w:p>
        </w:tc>
        <w:tc>
          <w:tcPr>
            <w:tcW w:w="9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8"/>
              </w:rPr>
              <w:t>Markets</w:t>
            </w:r>
          </w:p>
        </w:tc>
        <w:tc>
          <w:tcPr>
            <w:tcW w:w="1960" w:type="dxa"/>
            <w:vAlign w:val="bottom"/>
            <w:gridSpan w:val="5"/>
          </w:tcPr>
          <w:p>
            <w:pPr>
              <w:jc w:val="center"/>
              <w:ind w:right="1280"/>
              <w:spacing w:after="0" w:line="158" w:lineRule="exact"/>
              <w:rPr>
                <w:sz w:val="20"/>
                <w:szCs w:val="20"/>
                <w:color w:val="auto"/>
              </w:rPr>
            </w:pPr>
            <w:r>
              <w:rPr>
                <w:rFonts w:ascii="Arial" w:cs="Arial" w:eastAsia="Arial" w:hAnsi="Arial"/>
                <w:sz w:val="14"/>
                <w:szCs w:val="14"/>
                <w:b w:val="1"/>
                <w:bCs w:val="1"/>
                <w:color w:val="auto"/>
                <w:w w:val="98"/>
              </w:rPr>
              <w:t>Markets</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LLC</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60"/>
              <w:spacing w:after="0" w:line="230" w:lineRule="exact"/>
              <w:rPr>
                <w:sz w:val="20"/>
                <w:szCs w:val="20"/>
                <w:color w:val="auto"/>
              </w:rPr>
            </w:pPr>
            <w:r>
              <w:rPr>
                <w:rFonts w:ascii="Arial" w:cs="Arial" w:eastAsia="Arial" w:hAnsi="Arial"/>
                <w:sz w:val="14"/>
                <w:szCs w:val="14"/>
                <w:b w:val="1"/>
                <w:bCs w:val="1"/>
                <w:color w:val="auto"/>
                <w:w w:val="94"/>
              </w:rPr>
              <w:t>LLC</w:t>
            </w:r>
            <w:r>
              <w:rPr>
                <w:rFonts w:ascii="Arial" w:cs="Arial" w:eastAsia="Arial" w:hAnsi="Arial"/>
                <w:sz w:val="21"/>
                <w:szCs w:val="21"/>
                <w:b w:val="1"/>
                <w:bCs w:val="1"/>
                <w:color w:val="auto"/>
                <w:w w:val="94"/>
                <w:vertAlign w:val="superscript"/>
              </w:rPr>
              <w:t>(1)</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center"/>
              <w:ind w:right="100"/>
              <w:spacing w:after="0" w:line="230" w:lineRule="exact"/>
              <w:rPr>
                <w:sz w:val="20"/>
                <w:szCs w:val="20"/>
                <w:color w:val="auto"/>
              </w:rPr>
            </w:pPr>
            <w:r>
              <w:rPr>
                <w:rFonts w:ascii="Arial" w:cs="Arial" w:eastAsia="Arial" w:hAnsi="Arial"/>
                <w:sz w:val="14"/>
                <w:szCs w:val="14"/>
                <w:b w:val="1"/>
                <w:bCs w:val="1"/>
                <w:color w:val="auto"/>
                <w:w w:val="87"/>
              </w:rPr>
              <w:t>Inc.</w:t>
            </w:r>
            <w:r>
              <w:rPr>
                <w:rFonts w:ascii="Arial" w:cs="Arial" w:eastAsia="Arial" w:hAnsi="Arial"/>
                <w:sz w:val="21"/>
                <w:szCs w:val="21"/>
                <w:b w:val="1"/>
                <w:bCs w:val="1"/>
                <w:color w:val="auto"/>
                <w:w w:val="87"/>
                <w:vertAlign w:val="superscript"/>
              </w:rPr>
              <w:t>(2)</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gridSpan w:val="11"/>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4"/>
                <w:szCs w:val="2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410,104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310,104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New Revolving Credit Facility</w:t>
            </w:r>
            <w:r>
              <w:rPr>
                <w:rFonts w:ascii="Arial" w:cs="Arial" w:eastAsia="Arial" w:hAnsi="Arial"/>
                <w:sz w:val="27"/>
                <w:szCs w:val="27"/>
                <w:color w:val="auto"/>
                <w:vertAlign w:val="superscript"/>
              </w:rPr>
              <w:t>(3)</w:t>
            </w:r>
          </w:p>
        </w:tc>
        <w:tc>
          <w:tcPr>
            <w:tcW w:w="1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260" w:type="dxa"/>
            <w:vAlign w:val="bottom"/>
          </w:tcPr>
          <w:p>
            <w:pPr>
              <w:spacing w:after="0"/>
              <w:rPr>
                <w:sz w:val="24"/>
                <w:szCs w:val="24"/>
                <w:color w:val="auto"/>
              </w:rPr>
            </w:pPr>
          </w:p>
        </w:tc>
        <w:tc>
          <w:tcPr>
            <w:tcW w:w="378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6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capital/stockholders’ equity:</w:t>
            </w:r>
          </w:p>
        </w:tc>
        <w:tc>
          <w:tcPr>
            <w:tcW w:w="1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1620" w:type="dxa"/>
            <w:vAlign w:val="bottom"/>
          </w:tcPr>
          <w:p>
            <w:pPr>
              <w:ind w:left="180"/>
              <w:spacing w:after="0"/>
              <w:rPr>
                <w:sz w:val="20"/>
                <w:szCs w:val="20"/>
                <w:color w:val="auto"/>
              </w:rPr>
            </w:pPr>
            <w:r>
              <w:rPr>
                <w:rFonts w:ascii="Arial" w:cs="Arial" w:eastAsia="Arial" w:hAnsi="Arial"/>
                <w:sz w:val="18"/>
                <w:szCs w:val="18"/>
                <w:color w:val="auto"/>
              </w:rPr>
              <w:t>Members’ capital</w:t>
            </w:r>
          </w:p>
        </w:tc>
        <w:tc>
          <w:tcPr>
            <w:tcW w:w="2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4,573,200</w:t>
            </w:r>
          </w:p>
        </w:tc>
        <w:tc>
          <w:tcPr>
            <w:tcW w:w="10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4,473,200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5040" w:type="dxa"/>
            <w:vAlign w:val="bottom"/>
            <w:gridSpan w:val="3"/>
          </w:tcPr>
          <w:p>
            <w:pPr>
              <w:ind w:left="180"/>
              <w:spacing w:after="0"/>
              <w:rPr>
                <w:sz w:val="20"/>
                <w:szCs w:val="20"/>
                <w:color w:val="auto"/>
              </w:rPr>
            </w:pPr>
            <w:r>
              <w:rPr>
                <w:rFonts w:ascii="Arial" w:cs="Arial" w:eastAsia="Arial" w:hAnsi="Arial"/>
                <w:sz w:val="18"/>
                <w:szCs w:val="18"/>
                <w:color w:val="auto"/>
                <w:w w:val="99"/>
              </w:rPr>
              <w:t>Class A common stock, par value $0.01 per share; no shares</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80" w:type="dxa"/>
            <w:vAlign w:val="bottom"/>
            <w:gridSpan w:val="2"/>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260" w:type="dxa"/>
            <w:vAlign w:val="bottom"/>
          </w:tcPr>
          <w:p>
            <w:pPr>
              <w:ind w:left="28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rPr>
              <w:t>authorized,</w:t>
            </w: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pro forma</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Class B common stock, par value $0.01 per share; no shares</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w:t>
            </w:r>
          </w:p>
        </w:tc>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and outstanding, pro forma</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5040" w:type="dxa"/>
            <w:vAlign w:val="bottom"/>
            <w:gridSpan w:val="3"/>
          </w:tcPr>
          <w:p>
            <w:pPr>
              <w:ind w:left="180"/>
              <w:spacing w:after="0"/>
              <w:rPr>
                <w:sz w:val="20"/>
                <w:szCs w:val="20"/>
                <w:color w:val="auto"/>
              </w:rPr>
            </w:pPr>
            <w:r>
              <w:rPr>
                <w:rFonts w:ascii="Arial" w:cs="Arial" w:eastAsia="Arial" w:hAnsi="Arial"/>
                <w:sz w:val="18"/>
                <w:szCs w:val="18"/>
                <w:color w:val="auto"/>
                <w:w w:val="99"/>
              </w:rPr>
              <w:t>Class C common stock, par value $0.01 per share; no shares</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80" w:type="dxa"/>
            <w:vAlign w:val="bottom"/>
            <w:gridSpan w:val="2"/>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260" w:type="dxa"/>
            <w:vAlign w:val="bottom"/>
          </w:tcPr>
          <w:p>
            <w:pPr>
              <w:ind w:left="28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040" w:type="dxa"/>
            <w:vAlign w:val="bottom"/>
            <w:gridSpan w:val="3"/>
          </w:tcPr>
          <w:p>
            <w:pPr>
              <w:ind w:left="360"/>
              <w:spacing w:after="0"/>
              <w:rPr>
                <w:sz w:val="20"/>
                <w:szCs w:val="20"/>
                <w:color w:val="auto"/>
              </w:rPr>
            </w:pPr>
            <w:r>
              <w:rPr>
                <w:rFonts w:ascii="Arial" w:cs="Arial" w:eastAsia="Arial" w:hAnsi="Arial"/>
                <w:sz w:val="18"/>
                <w:szCs w:val="18"/>
                <w:color w:val="auto"/>
              </w:rPr>
              <w:t>authorized, no shares issued and outstanding, pro forma</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Class D common stock, par value $0.01 per share; no shares</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w:t>
            </w:r>
          </w:p>
        </w:tc>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and outstanding, pro forma</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7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5"/>
              </w:rPr>
              <w:t>Total stockholders’ equity attributable to Tradeweb Markets Inc.</w:t>
            </w: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7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7"/>
                <w:szCs w:val="27"/>
                <w:color w:val="auto"/>
                <w:vertAlign w:val="superscript"/>
              </w:rPr>
              <w:t>(4)</w:t>
            </w: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Total members’ capital/stockholders’ equity</w:t>
            </w:r>
          </w:p>
        </w:tc>
        <w:tc>
          <w:tcPr>
            <w:tcW w:w="1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4,572,334</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4,472,334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6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Total capitalization</w:t>
            </w:r>
          </w:p>
        </w:tc>
        <w:tc>
          <w:tcPr>
            <w:tcW w:w="2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4,572,334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4,472,334</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vMerge w:val="restart"/>
          </w:tcPr>
          <w:p>
            <w:pPr>
              <w:ind w:left="24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-4441825</wp:posOffset>
            </wp:positionV>
            <wp:extent cx="1714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-4441825</wp:posOffset>
            </wp:positionV>
            <wp:extent cx="1714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82" w:name="page83"/>
    <w:bookmarkEnd w:id="8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520065</wp:posOffset>
            </wp:positionV>
            <wp:extent cx="12350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20" w:right="839" w:hanging="352"/>
        <w:spacing w:after="0" w:line="264"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 forma data in this column gives effect to the payment of the $100.0 million distribution expected to be paid to the Original LLC Owners prior to the consummation of this offering as if such distribution was declared and paid on December 31, 2018.</w:t>
      </w:r>
    </w:p>
    <w:p>
      <w:pPr>
        <w:spacing w:after="0" w:line="141" w:lineRule="exact"/>
        <w:rPr>
          <w:sz w:val="20"/>
          <w:szCs w:val="20"/>
          <w:color w:val="auto"/>
        </w:rPr>
      </w:pPr>
    </w:p>
    <w:p>
      <w:pPr>
        <w:ind w:left="1260"/>
        <w:spacing w:after="0"/>
        <w:tabs>
          <w:tab w:leader="none" w:pos="1600" w:val="left"/>
          <w:tab w:leader="none" w:pos="7700" w:val="left"/>
        </w:tabs>
        <w:rPr>
          <w:sz w:val="20"/>
          <w:szCs w:val="20"/>
          <w:color w:val="auto"/>
        </w:rPr>
      </w:pPr>
      <w:r>
        <w:rPr>
          <w:rFonts w:ascii="Arial" w:cs="Arial" w:eastAsia="Arial" w:hAnsi="Arial"/>
          <w:sz w:val="18"/>
          <w:szCs w:val="18"/>
          <w:color w:val="auto"/>
        </w:rPr>
        <w:t>(2)</w:t>
        <w:tab/>
        <w:t>Each $1.00 increase (decrease) in the assumed initial public offering price of $</w:t>
      </w:r>
      <w:r>
        <w:rPr>
          <w:sz w:val="20"/>
          <w:szCs w:val="20"/>
          <w:color w:val="auto"/>
        </w:rPr>
        <w:tab/>
      </w:r>
      <w:r>
        <w:rPr>
          <w:rFonts w:ascii="Arial" w:cs="Arial" w:eastAsia="Arial" w:hAnsi="Arial"/>
          <w:sz w:val="16"/>
          <w:szCs w:val="16"/>
          <w:color w:val="auto"/>
        </w:rPr>
        <w:t>per share, the midpoint</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of Class A common stock, the price range set forth on the cover page of this prospectus, would increase</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(decrease) each of additional paid-in-capital, total stockholders’ equity and total capitalization on a</w:t>
      </w:r>
    </w:p>
    <w:p>
      <w:pPr>
        <w:spacing w:after="0" w:line="9" w:lineRule="exact"/>
        <w:rPr>
          <w:sz w:val="20"/>
          <w:szCs w:val="20"/>
          <w:color w:val="auto"/>
        </w:rPr>
      </w:pPr>
    </w:p>
    <w:p>
      <w:pPr>
        <w:ind w:left="1620"/>
        <w:spacing w:after="0"/>
        <w:tabs>
          <w:tab w:leader="none" w:pos="4540" w:val="left"/>
        </w:tabs>
        <w:rPr>
          <w:sz w:val="20"/>
          <w:szCs w:val="20"/>
          <w:color w:val="auto"/>
        </w:rPr>
      </w:pPr>
      <w:r>
        <w:rPr>
          <w:rFonts w:ascii="Arial" w:cs="Arial" w:eastAsia="Arial" w:hAnsi="Arial"/>
          <w:sz w:val="18"/>
          <w:szCs w:val="18"/>
          <w:color w:val="auto"/>
        </w:rPr>
        <w:t>pro forma basis by approximately $</w:t>
      </w:r>
      <w:r>
        <w:rPr>
          <w:sz w:val="20"/>
          <w:szCs w:val="20"/>
          <w:color w:val="auto"/>
        </w:rPr>
        <w:tab/>
      </w:r>
      <w:r>
        <w:rPr>
          <w:rFonts w:ascii="Arial" w:cs="Arial" w:eastAsia="Arial" w:hAnsi="Arial"/>
          <w:sz w:val="16"/>
          <w:szCs w:val="16"/>
          <w:color w:val="auto"/>
        </w:rPr>
        <w:t>, assuming the number of shares of common stock offered by us, as</w:t>
      </w:r>
    </w:p>
    <w:p>
      <w:pPr>
        <w:spacing w:after="0" w:line="9" w:lineRule="exact"/>
        <w:rPr>
          <w:sz w:val="20"/>
          <w:szCs w:val="20"/>
          <w:color w:val="auto"/>
        </w:rPr>
      </w:pPr>
    </w:p>
    <w:p>
      <w:pPr>
        <w:jc w:val="both"/>
        <w:ind w:left="1620" w:right="819"/>
        <w:spacing w:after="0" w:line="281" w:lineRule="auto"/>
        <w:rPr>
          <w:sz w:val="20"/>
          <w:szCs w:val="20"/>
          <w:color w:val="auto"/>
        </w:rPr>
      </w:pPr>
      <w:r>
        <w:rPr>
          <w:rFonts w:ascii="Arial" w:cs="Arial" w:eastAsia="Arial" w:hAnsi="Arial"/>
          <w:sz w:val="16"/>
          <w:szCs w:val="16"/>
          <w:color w:val="auto"/>
        </w:rPr>
        <w:t>set forth on the cover page of this prospectus, remains the same, and after deducting underwriting discounts and commissions payable by us, but before deducting estimated offering expenses. Each increase (decrease) of 1.0 million shares in the number of shares of common stock sold in this offering by us, as set forth on the cover page of this prospectus, would increase (decrease) each of Class A common stock, additional paid-in-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20" w:right="839"/>
        <w:spacing w:after="0" w:line="259" w:lineRule="auto"/>
        <w:rPr>
          <w:sz w:val="20"/>
          <w:szCs w:val="20"/>
          <w:color w:val="auto"/>
        </w:rPr>
      </w:pPr>
      <w:r>
        <w:rPr>
          <w:rFonts w:ascii="Arial" w:cs="Arial" w:eastAsia="Arial" w:hAnsi="Arial"/>
          <w:sz w:val="18"/>
          <w:szCs w:val="18"/>
          <w:color w:val="auto"/>
        </w:rPr>
        <w:t>capital, total stockholders’ equity and total capitalization on a pro forma basis by approximately $ , assuming an initial public offering price of $ per share, the midpoint of the price range set forth on the cover page of this prospectus, remains the same, and after deducting underwriting discounts and commissions payable by us, but before deducting estimated offering expenses.</w:t>
      </w:r>
    </w:p>
    <w:p>
      <w:pPr>
        <w:spacing w:after="0" w:line="146" w:lineRule="exact"/>
        <w:rPr>
          <w:sz w:val="20"/>
          <w:szCs w:val="20"/>
          <w:color w:val="auto"/>
        </w:rPr>
      </w:pPr>
    </w:p>
    <w:p>
      <w:pPr>
        <w:ind w:left="1620" w:hanging="352"/>
        <w:spacing w:after="0"/>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New Revolving Credit Facility is expected to be undrawn at the completion of this offering with</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of available capacity.</w:t>
      </w:r>
    </w:p>
    <w:p>
      <w:pPr>
        <w:spacing w:after="0" w:line="184" w:lineRule="exact"/>
        <w:rPr>
          <w:sz w:val="20"/>
          <w:szCs w:val="20"/>
          <w:color w:val="auto"/>
        </w:rPr>
      </w:pPr>
    </w:p>
    <w:p>
      <w:pPr>
        <w:ind w:left="1620" w:right="759" w:hanging="359"/>
        <w:spacing w:after="0" w:line="259" w:lineRule="auto"/>
        <w:tabs>
          <w:tab w:leader="none" w:pos="1600" w:val="left"/>
        </w:tabs>
        <w:rPr>
          <w:sz w:val="20"/>
          <w:szCs w:val="20"/>
          <w:color w:val="auto"/>
        </w:rPr>
      </w:pPr>
      <w:r>
        <w:rPr>
          <w:rFonts w:ascii="Arial" w:cs="Arial" w:eastAsia="Arial" w:hAnsi="Arial"/>
          <w:sz w:val="18"/>
          <w:szCs w:val="18"/>
          <w:color w:val="auto"/>
        </w:rPr>
        <w:t>(4)</w:t>
        <w:tab/>
        <w:t>On a pro forma basis, includes the LLC Interests not owned by us, which represents % (or %, if the underwriters exercise in full their option to purchase additional shares of Class A common stock) of TWM LLC’s outstanding common equity. The Refinitiv LLC Owner and the Other LLC Owners will hold the non-controlling interests in TWM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The Continuing LLC Owners will maintain their LLC Interests in TWM LLC after the Reorganization Transactions. Because the Continuing LLC Owners do not own any Class A common stock or Class B common stock or have any right to receive distributions from Tradeweb, we have presented dilution in pro forma net tangible book value per share assuming that all of the holders of LLC Interests (other than Tradeweb) had their LLC Interests redeemed for newly issued shares of Class A common stock or Class B common stock on a one-for-one basis (rather than for cash) and the cancellation for no consideration of all of their shares of Class D common stock (which are not entitled to receive distributions or dividends, whether cash or stock, from Tradeweb) in order to more meaningfully present the dilutive impact on the investors in this offering. We refer to the assumed redemption of all LLC Interests as described in the previous sentence as the “Assumed Redemption.”</w:t>
      </w:r>
    </w:p>
    <w:p>
      <w:pPr>
        <w:spacing w:after="0" w:line="87" w:lineRule="exact"/>
        <w:rPr>
          <w:sz w:val="20"/>
          <w:szCs w:val="20"/>
          <w:color w:val="auto"/>
        </w:rPr>
      </w:pPr>
    </w:p>
    <w:p>
      <w:pPr>
        <w:jc w:val="both"/>
        <w:ind w:left="1260" w:right="1099" w:firstLine="360"/>
        <w:spacing w:after="0" w:line="286" w:lineRule="auto"/>
        <w:rPr>
          <w:sz w:val="20"/>
          <w:szCs w:val="20"/>
          <w:color w:val="auto"/>
        </w:rPr>
      </w:pPr>
      <w:r>
        <w:rPr>
          <w:rFonts w:ascii="Arial" w:cs="Arial" w:eastAsia="Arial" w:hAnsi="Arial"/>
          <w:sz w:val="17"/>
          <w:szCs w:val="17"/>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57"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Pro forma net tangible book value per share is determined at any date by dividing our pro forma net tangible book value, which is total tangible assets less total liabilities, by the number of shares of common stock outstanding, after giving effect to the Reorganization Transactions, including this offering, and the Assumed Redemption. Our pro forma net tangible book value as of December 31, 2018 after this offering, would have been</w:t>
      </w:r>
    </w:p>
    <w:p>
      <w:pPr>
        <w:spacing w:after="0" w:line="2" w:lineRule="exact"/>
        <w:rPr>
          <w:sz w:val="20"/>
          <w:szCs w:val="20"/>
          <w:color w:val="auto"/>
        </w:rPr>
      </w:pPr>
    </w:p>
    <w:p>
      <w:pPr>
        <w:ind w:left="1260"/>
        <w:spacing w:after="0"/>
        <w:tabs>
          <w:tab w:leader="none" w:pos="2820" w:val="left"/>
          <w:tab w:leader="none" w:pos="41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per share. This amount represents an immediate increase in pro forma net</w:t>
      </w:r>
    </w:p>
    <w:p>
      <w:pPr>
        <w:spacing w:after="0" w:line="9" w:lineRule="exact"/>
        <w:rPr>
          <w:sz w:val="20"/>
          <w:szCs w:val="20"/>
          <w:color w:val="auto"/>
        </w:rPr>
      </w:pPr>
    </w:p>
    <w:p>
      <w:pPr>
        <w:ind w:left="1260"/>
        <w:spacing w:after="0"/>
        <w:tabs>
          <w:tab w:leader="none" w:pos="3440" w:val="left"/>
        </w:tabs>
        <w:rPr>
          <w:sz w:val="20"/>
          <w:szCs w:val="20"/>
          <w:color w:val="auto"/>
        </w:rPr>
      </w:pPr>
      <w:r>
        <w:rPr>
          <w:rFonts w:ascii="Arial" w:cs="Arial" w:eastAsia="Arial" w:hAnsi="Arial"/>
          <w:sz w:val="18"/>
          <w:szCs w:val="18"/>
          <w:color w:val="auto"/>
        </w:rPr>
        <w:t>tangible book value of $</w:t>
      </w:r>
      <w:r>
        <w:rPr>
          <w:sz w:val="20"/>
          <w:szCs w:val="20"/>
          <w:color w:val="auto"/>
        </w:rPr>
        <w:tab/>
      </w:r>
      <w:r>
        <w:rPr>
          <w:rFonts w:ascii="Arial" w:cs="Arial" w:eastAsia="Arial" w:hAnsi="Arial"/>
          <w:sz w:val="16"/>
          <w:szCs w:val="16"/>
          <w:color w:val="auto"/>
        </w:rPr>
        <w:t>per share to our existing stockholders and an immediate dilution in pro forma net</w:t>
      </w:r>
    </w:p>
    <w:p>
      <w:pPr>
        <w:spacing w:after="0" w:line="9" w:lineRule="exact"/>
        <w:rPr>
          <w:sz w:val="20"/>
          <w:szCs w:val="20"/>
          <w:color w:val="auto"/>
        </w:rPr>
      </w:pPr>
    </w:p>
    <w:p>
      <w:pPr>
        <w:ind w:left="1260" w:right="859"/>
        <w:spacing w:after="0" w:line="277" w:lineRule="auto"/>
        <w:rPr>
          <w:sz w:val="20"/>
          <w:szCs w:val="20"/>
          <w:color w:val="auto"/>
        </w:rPr>
      </w:pPr>
      <w:r>
        <w:rPr>
          <w:rFonts w:ascii="Arial" w:cs="Arial" w:eastAsia="Arial" w:hAnsi="Arial"/>
          <w:sz w:val="17"/>
          <w:szCs w:val="17"/>
          <w:color w:val="auto"/>
        </w:rPr>
        <w:t>tangible book value of approximately $ per share to new investors purchasing shares of Class A common stock in this offering. We determine dilution by subtracting the pro forma net tangible book value per share after this offering from the amount of cash that a new investor paid for a share of Class A common stock.</w:t>
      </w:r>
    </w:p>
    <w:p>
      <w:pPr>
        <w:spacing w:after="0" w:line="65"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Assumed initial public offering price per share</w:t>
            </w:r>
          </w:p>
        </w:tc>
        <w:tc>
          <w:tcPr>
            <w:tcW w:w="11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7060" w:type="dxa"/>
            <w:vAlign w:val="bottom"/>
            <w:gridSpan w:val="2"/>
          </w:tcPr>
          <w:p>
            <w:pPr>
              <w:ind w:left="180"/>
              <w:spacing w:after="0" w:line="284" w:lineRule="exact"/>
              <w:rPr>
                <w:sz w:val="20"/>
                <w:szCs w:val="20"/>
                <w:color w:val="auto"/>
              </w:rPr>
            </w:pPr>
            <w:r>
              <w:rPr>
                <w:rFonts w:ascii="Arial" w:cs="Arial" w:eastAsia="Arial" w:hAnsi="Arial"/>
                <w:sz w:val="18"/>
                <w:szCs w:val="18"/>
                <w:color w:val="auto"/>
                <w:w w:val="93"/>
              </w:rPr>
              <w:t>Pro forma net tangible book value per share as of December 31, 2018 before this offering</w:t>
            </w:r>
            <w:r>
              <w:rPr>
                <w:rFonts w:ascii="Arial" w:cs="Arial" w:eastAsia="Arial" w:hAnsi="Arial"/>
                <w:sz w:val="27"/>
                <w:szCs w:val="27"/>
                <w:color w:val="auto"/>
                <w:w w:val="93"/>
                <w:vertAlign w:val="superscript"/>
              </w:rPr>
              <w:t>(1)</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investors in this offering</w:t>
            </w:r>
          </w:p>
        </w:tc>
        <w:tc>
          <w:tcPr>
            <w:tcW w:w="48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Pro forma net tangible book value per share after this offering</w:t>
            </w:r>
          </w:p>
        </w:tc>
        <w:tc>
          <w:tcPr>
            <w:tcW w:w="4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5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-385445</wp:posOffset>
            </wp:positionV>
            <wp:extent cx="49485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182" w:lineRule="exact"/>
        <w:rPr>
          <w:sz w:val="20"/>
          <w:szCs w:val="20"/>
          <w:color w:val="auto"/>
        </w:rPr>
      </w:pPr>
    </w:p>
    <w:p>
      <w:pPr>
        <w:ind w:left="1620" w:right="1319" w:hanging="352"/>
        <w:spacing w:after="0" w:line="277"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December 31, 2018 before this offering is set forth below:</w:t>
      </w:r>
    </w:p>
    <w:p>
      <w:pPr>
        <w:spacing w:after="0" w:line="81"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23495</wp:posOffset>
            </wp:positionV>
            <wp:extent cx="429641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96410" cy="154305"/>
                    </a:xfrm>
                    <a:prstGeom prst="rect">
                      <a:avLst/>
                    </a:prstGeom>
                    <a:noFill/>
                  </pic:spPr>
                </pic:pic>
              </a:graphicData>
            </a:graphic>
          </wp:anchor>
        </w:drawing>
      </w:r>
    </w:p>
    <w:p>
      <w:pPr>
        <w:spacing w:after="0" w:line="4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Numerator</w:t>
      </w:r>
    </w:p>
    <w:p>
      <w:pPr>
        <w:spacing w:after="0" w:line="36" w:lineRule="exact"/>
        <w:rPr>
          <w:sz w:val="20"/>
          <w:szCs w:val="20"/>
          <w:color w:val="auto"/>
        </w:rPr>
      </w:pPr>
    </w:p>
    <w:tbl>
      <w:tblPr>
        <w:tblLayout w:type="fixed"/>
        <w:tblInd w:w="19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Book value of tangible assets</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r>
      <w:tr>
        <w:trPr>
          <w:trHeight w:val="290"/>
        </w:trPr>
        <w:tc>
          <w:tcPr>
            <w:tcW w:w="20" w:type="dxa"/>
            <w:vAlign w:val="bottom"/>
          </w:tcPr>
          <w:p>
            <w:pPr>
              <w:spacing w:after="0"/>
              <w:rPr>
                <w:sz w:val="24"/>
                <w:szCs w:val="24"/>
                <w:color w:val="auto"/>
              </w:rPr>
            </w:pPr>
          </w:p>
        </w:tc>
        <w:tc>
          <w:tcPr>
            <w:tcW w:w="6080" w:type="dxa"/>
            <w:vAlign w:val="bottom"/>
            <w:gridSpan w:val="2"/>
          </w:tcPr>
          <w:p>
            <w:pPr>
              <w:ind w:left="340"/>
              <w:spacing w:after="0" w:line="250" w:lineRule="exact"/>
              <w:rPr>
                <w:sz w:val="20"/>
                <w:szCs w:val="20"/>
                <w:color w:val="auto"/>
              </w:rPr>
            </w:pPr>
            <w:r>
              <w:rPr>
                <w:rFonts w:ascii="Arial" w:cs="Arial" w:eastAsia="Arial" w:hAnsi="Arial"/>
                <w:sz w:val="18"/>
                <w:szCs w:val="18"/>
                <w:color w:val="auto"/>
              </w:rPr>
              <w:t>Pro forma net tangible book value</w:t>
            </w:r>
            <w:r>
              <w:rPr>
                <w:rFonts w:ascii="Arial" w:cs="Arial" w:eastAsia="Arial" w:hAnsi="Arial"/>
                <w:sz w:val="27"/>
                <w:szCs w:val="27"/>
                <w:color w:val="auto"/>
                <w:vertAlign w:val="superscript"/>
              </w:rPr>
              <w:t>(a)</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183"/>
        </w:trPr>
        <w:tc>
          <w:tcPr>
            <w:tcW w:w="20" w:type="dxa"/>
            <w:vAlign w:val="bottom"/>
          </w:tcPr>
          <w:p>
            <w:pPr>
              <w:spacing w:after="0"/>
              <w:rPr>
                <w:sz w:val="15"/>
                <w:szCs w:val="15"/>
                <w:color w:val="auto"/>
              </w:rPr>
            </w:pPr>
          </w:p>
        </w:tc>
        <w:tc>
          <w:tcPr>
            <w:tcW w:w="608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Shares of common stock to be outstanding after this offering</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Assumed Redemption</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60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tangible book value per share</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4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202" w:lineRule="exact"/>
        <w:rPr>
          <w:sz w:val="20"/>
          <w:szCs w:val="20"/>
          <w:color w:val="auto"/>
        </w:rPr>
      </w:pPr>
    </w:p>
    <w:p>
      <w:pPr>
        <w:ind w:left="2340" w:right="1299" w:hanging="351"/>
        <w:spacing w:after="0" w:line="277" w:lineRule="auto"/>
        <w:tabs>
          <w:tab w:leader="none" w:pos="2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Gives pro forma effect to the Reorganization Transactions (other than this offering) and the Assumed Redemption.</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6"/>
          <w:szCs w:val="16"/>
          <w:color w:val="auto"/>
        </w:rPr>
        <w:t>Each $1.00 increase (decrease) in the assumed initial offering price of $ per share, the midpoint of the price range set forth on the cover page of this prospectus, would affect our pro forma net tangible book value</w:t>
      </w:r>
    </w:p>
    <w:p>
      <w:pPr>
        <w:ind w:left="1260" w:right="759"/>
        <w:spacing w:after="0" w:line="265" w:lineRule="auto"/>
        <w:rPr>
          <w:sz w:val="20"/>
          <w:szCs w:val="20"/>
          <w:color w:val="auto"/>
        </w:rPr>
      </w:pPr>
      <w:r>
        <w:rPr>
          <w:rFonts w:ascii="Arial" w:cs="Arial" w:eastAsia="Arial" w:hAnsi="Arial"/>
          <w:sz w:val="17"/>
          <w:szCs w:val="17"/>
          <w:color w:val="auto"/>
        </w:rPr>
        <w:t>after this offering by approximately $ million, the pro forma net tangible book value per share after this offering by $ per share, and the dilution per share to new investors by $ per share, assuming the number</w:t>
      </w:r>
    </w:p>
    <w:p>
      <w:pPr>
        <w:ind w:left="1260" w:right="979"/>
        <w:spacing w:after="0" w:line="281" w:lineRule="auto"/>
        <w:rPr>
          <w:sz w:val="20"/>
          <w:szCs w:val="20"/>
          <w:color w:val="auto"/>
        </w:rPr>
      </w:pPr>
      <w:r>
        <w:rPr>
          <w:rFonts w:ascii="Arial" w:cs="Arial" w:eastAsia="Arial" w:hAnsi="Arial"/>
          <w:sz w:val="16"/>
          <w:szCs w:val="16"/>
          <w:color w:val="auto"/>
        </w:rPr>
        <w:t>of shares offered by us, as set forth on the cover page of this prospectus, remains the same, and after deducting underwriting discounts and commissions payable by us. Each increase (decrease) of 1.0 million shares in the number of shares sold by us in this offering, as set forth on the cover page of this prospectus, would affect our</w:t>
      </w:r>
    </w:p>
    <w:p>
      <w:pPr>
        <w:spacing w:after="0" w:line="2" w:lineRule="exact"/>
        <w:rPr>
          <w:sz w:val="20"/>
          <w:szCs w:val="20"/>
          <w:color w:val="auto"/>
        </w:rPr>
      </w:pPr>
    </w:p>
    <w:p>
      <w:pPr>
        <w:ind w:left="1260"/>
        <w:spacing w:after="0"/>
        <w:tabs>
          <w:tab w:leader="none" w:pos="6840" w:val="left"/>
        </w:tabs>
        <w:rPr>
          <w:sz w:val="20"/>
          <w:szCs w:val="20"/>
          <w:color w:val="auto"/>
        </w:rPr>
      </w:pPr>
      <w:r>
        <w:rPr>
          <w:rFonts w:ascii="Arial" w:cs="Arial" w:eastAsia="Arial" w:hAnsi="Arial"/>
          <w:sz w:val="18"/>
          <w:szCs w:val="18"/>
          <w:color w:val="auto"/>
        </w:rPr>
        <w:t>pro forma net tangible book value after this offering by approximately $</w:t>
      </w:r>
      <w:r>
        <w:rPr>
          <w:sz w:val="20"/>
          <w:szCs w:val="20"/>
          <w:color w:val="auto"/>
        </w:rPr>
        <w:tab/>
      </w:r>
      <w:r>
        <w:rPr>
          <w:rFonts w:ascii="Arial" w:cs="Arial" w:eastAsia="Arial" w:hAnsi="Arial"/>
          <w:sz w:val="16"/>
          <w:szCs w:val="16"/>
          <w:color w:val="auto"/>
        </w:rPr>
        <w:t>million, the pro forma net tangible</w:t>
      </w:r>
    </w:p>
    <w:p>
      <w:pPr>
        <w:spacing w:after="0" w:line="9" w:lineRule="exact"/>
        <w:rPr>
          <w:sz w:val="20"/>
          <w:szCs w:val="20"/>
          <w:color w:val="auto"/>
        </w:rPr>
      </w:pPr>
    </w:p>
    <w:p>
      <w:pPr>
        <w:ind w:left="1260"/>
        <w:spacing w:after="0"/>
        <w:tabs>
          <w:tab w:leader="none" w:pos="4800" w:val="left"/>
        </w:tabs>
        <w:rPr>
          <w:sz w:val="20"/>
          <w:szCs w:val="20"/>
          <w:color w:val="auto"/>
        </w:rPr>
      </w:pPr>
      <w:r>
        <w:rPr>
          <w:rFonts w:ascii="Arial" w:cs="Arial" w:eastAsia="Arial" w:hAnsi="Arial"/>
          <w:sz w:val="18"/>
          <w:szCs w:val="18"/>
          <w:color w:val="auto"/>
        </w:rPr>
        <w:t>book value per share after this offering by $</w:t>
      </w:r>
      <w:r>
        <w:rPr>
          <w:sz w:val="20"/>
          <w:szCs w:val="20"/>
          <w:color w:val="auto"/>
        </w:rPr>
        <w:tab/>
      </w:r>
      <w:r>
        <w:rPr>
          <w:rFonts w:ascii="Arial" w:cs="Arial" w:eastAsia="Arial" w:hAnsi="Arial"/>
          <w:sz w:val="16"/>
          <w:szCs w:val="16"/>
          <w:color w:val="auto"/>
        </w:rPr>
        <w:t>per share, and the dilution per share to new investors by $</w:t>
      </w:r>
    </w:p>
    <w:p>
      <w:pPr>
        <w:spacing w:after="0" w:line="9" w:lineRule="exact"/>
        <w:rPr>
          <w:sz w:val="20"/>
          <w:szCs w:val="20"/>
          <w:color w:val="auto"/>
        </w:rPr>
      </w:pPr>
    </w:p>
    <w:p>
      <w:pPr>
        <w:ind w:left="1260"/>
        <w:spacing w:after="0"/>
        <w:tabs>
          <w:tab w:leader="none" w:pos="6360" w:val="left"/>
        </w:tabs>
        <w:rPr>
          <w:sz w:val="20"/>
          <w:szCs w:val="20"/>
          <w:color w:val="auto"/>
        </w:rPr>
      </w:pPr>
      <w:r>
        <w:rPr>
          <w:rFonts w:ascii="Arial" w:cs="Arial" w:eastAsia="Arial" w:hAnsi="Arial"/>
          <w:sz w:val="18"/>
          <w:szCs w:val="18"/>
          <w:color w:val="auto"/>
        </w:rPr>
        <w:t>per share, assuming the assumed initial public offering price of $</w:t>
      </w:r>
      <w:r>
        <w:rPr>
          <w:sz w:val="20"/>
          <w:szCs w:val="20"/>
          <w:color w:val="auto"/>
        </w:rPr>
        <w:tab/>
      </w:r>
      <w:r>
        <w:rPr>
          <w:rFonts w:ascii="Arial" w:cs="Arial" w:eastAsia="Arial" w:hAnsi="Arial"/>
          <w:sz w:val="16"/>
          <w:szCs w:val="16"/>
          <w:color w:val="auto"/>
        </w:rPr>
        <w:t>per share, the midpoint of the price range</w:t>
      </w:r>
    </w:p>
    <w:p>
      <w:pPr>
        <w:spacing w:after="0" w:line="9"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color w:val="auto"/>
        </w:rPr>
        <w:t>set forth on the cover page of this prospectus, remains the same, and after deducting underwriting discounts and commissions payable by us.</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If the underwriters exercise in full their option to purchase additional shares of Class A common stock, the</w:t>
      </w:r>
    </w:p>
    <w:p>
      <w:pPr>
        <w:spacing w:after="0" w:line="46" w:lineRule="exact"/>
        <w:rPr>
          <w:sz w:val="20"/>
          <w:szCs w:val="20"/>
          <w:color w:val="auto"/>
        </w:rPr>
      </w:pPr>
    </w:p>
    <w:p>
      <w:pPr>
        <w:ind w:left="1260" w:right="779"/>
        <w:spacing w:after="0" w:line="265" w:lineRule="auto"/>
        <w:rPr>
          <w:sz w:val="20"/>
          <w:szCs w:val="20"/>
          <w:color w:val="auto"/>
        </w:rPr>
      </w:pPr>
      <w:r>
        <w:rPr>
          <w:rFonts w:ascii="Arial" w:cs="Arial" w:eastAsia="Arial" w:hAnsi="Arial"/>
          <w:sz w:val="17"/>
          <w:szCs w:val="17"/>
          <w:color w:val="auto"/>
        </w:rPr>
        <w:t>pro forma net tangible book value after the offering would be $ per share, the increase in pro forma net tangible book value per share to existing stockholders would be $ and the dilution per share to new investors would be $ per share, in each case assuming an initial public offering price of $ per share, which is the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midpoint of the price range listed on the cover page of this prospectus.</w:t>
      </w:r>
    </w:p>
    <w:p>
      <w:pPr>
        <w:spacing w:after="0" w:line="103" w:lineRule="exact"/>
        <w:rPr>
          <w:sz w:val="20"/>
          <w:szCs w:val="20"/>
          <w:color w:val="auto"/>
        </w:rPr>
      </w:pPr>
    </w:p>
    <w:p>
      <w:pPr>
        <w:ind w:left="1260" w:right="1579" w:firstLine="360"/>
        <w:spacing w:after="0" w:line="308" w:lineRule="auto"/>
        <w:rPr>
          <w:sz w:val="20"/>
          <w:szCs w:val="20"/>
          <w:color w:val="auto"/>
        </w:rPr>
      </w:pPr>
      <w:r>
        <w:rPr>
          <w:rFonts w:ascii="Arial" w:cs="Arial" w:eastAsia="Arial" w:hAnsi="Arial"/>
          <w:sz w:val="17"/>
          <w:szCs w:val="17"/>
          <w:color w:val="auto"/>
        </w:rPr>
        <w:t>The following table summarizes, as of December 31, 2018, after giving effect to this offering, the differences between the Original LLC Owners and new investors in this offering with regard to:</w:t>
      </w:r>
    </w:p>
    <w:p>
      <w:pPr>
        <w:spacing w:after="0" w:line="120" w:lineRule="exact"/>
        <w:rPr>
          <w:sz w:val="20"/>
          <w:szCs w:val="20"/>
          <w:color w:val="auto"/>
        </w:rPr>
      </w:pPr>
    </w:p>
    <w:p>
      <w:pPr>
        <w:ind w:left="1980" w:right="859" w:hanging="352"/>
        <w:spacing w:after="0" w:line="342" w:lineRule="auto"/>
        <w:tabs>
          <w:tab w:leader="none" w:pos="1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number of shares of Class A common stock purchased from us by investors in this offering and the number of shares issued to the Original LLC Owners after giving effect to the Assumed Redemption;</w:t>
      </w:r>
    </w:p>
    <w:p>
      <w:pPr>
        <w:spacing w:after="0" w:line="83" w:lineRule="exact"/>
        <w:rPr>
          <w:rFonts w:ascii="Arial" w:cs="Arial" w:eastAsia="Arial" w:hAnsi="Arial"/>
          <w:sz w:val="16"/>
          <w:szCs w:val="16"/>
          <w:color w:val="auto"/>
        </w:rPr>
      </w:pPr>
    </w:p>
    <w:p>
      <w:pPr>
        <w:ind w:left="1980" w:right="999" w:hanging="352"/>
        <w:spacing w:after="0" w:line="308" w:lineRule="auto"/>
        <w:tabs>
          <w:tab w:leader="none" w:pos="1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total consideration paid to us in cash by investors purchasing shares of Class A common stock in this offering and by the Original LLC Owners including historical cash contributions; and</w:t>
      </w:r>
    </w:p>
    <w:p>
      <w:pPr>
        <w:spacing w:after="0" w:line="106" w:lineRule="exact"/>
        <w:rPr>
          <w:rFonts w:ascii="Arial" w:cs="Arial" w:eastAsia="Arial" w:hAnsi="Arial"/>
          <w:sz w:val="17"/>
          <w:szCs w:val="17"/>
          <w:color w:val="auto"/>
        </w:rPr>
      </w:pPr>
    </w:p>
    <w:p>
      <w:pPr>
        <w:ind w:left="1980" w:hanging="352"/>
        <w:spacing w:after="0"/>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average price per share that such Original LLC Owners and new investors paid.</w:t>
      </w:r>
    </w:p>
    <w:p>
      <w:pPr>
        <w:spacing w:after="0" w:line="149"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9"/>
              </w:rPr>
              <w:t>Average Price</w:t>
            </w:r>
          </w:p>
        </w:tc>
      </w:tr>
      <w:tr>
        <w:trPr>
          <w:trHeight w:val="186"/>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1"/>
              </w:rPr>
              <w:t>Shares Purchased</w:t>
            </w:r>
          </w:p>
        </w:tc>
        <w:tc>
          <w:tcPr>
            <w:tcW w:w="13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Consideration</w:t>
            </w:r>
          </w:p>
        </w:tc>
        <w:tc>
          <w:tcPr>
            <w:tcW w:w="900" w:type="dxa"/>
            <w:vAlign w:val="bottom"/>
          </w:tcPr>
          <w:p>
            <w:pPr>
              <w:jc w:val="right"/>
              <w:ind w:right="79"/>
              <w:spacing w:after="0"/>
              <w:rPr>
                <w:sz w:val="20"/>
                <w:szCs w:val="20"/>
                <w:color w:val="auto"/>
              </w:rPr>
            </w:pPr>
            <w:r>
              <w:rPr>
                <w:rFonts w:ascii="Arial" w:cs="Arial" w:eastAsia="Arial" w:hAnsi="Arial"/>
                <w:sz w:val="14"/>
                <w:szCs w:val="14"/>
                <w:b w:val="1"/>
                <w:bCs w:val="1"/>
                <w:color w:val="auto"/>
              </w:rPr>
              <w:t>Per Share</w:t>
            </w:r>
          </w:p>
        </w:tc>
      </w:tr>
      <w:tr>
        <w:trPr>
          <w:trHeight w:val="26"/>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Number</w:t>
            </w: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3"/>
              </w:rPr>
              <w:t>Amount</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w:t>
            </w:r>
          </w:p>
        </w:tc>
        <w:tc>
          <w:tcPr>
            <w:tcW w:w="90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Original LLC Owners</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r>
      <w:tr>
        <w:trPr>
          <w:trHeight w:val="263"/>
        </w:trPr>
        <w:tc>
          <w:tcPr>
            <w:tcW w:w="356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90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-196850</wp:posOffset>
            </wp:positionV>
            <wp:extent cx="42710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7101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-539750</wp:posOffset>
            </wp:positionV>
            <wp:extent cx="6858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-539750</wp:posOffset>
            </wp:positionV>
            <wp:extent cx="137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-539750</wp:posOffset>
            </wp:positionV>
            <wp:extent cx="137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-539750</wp:posOffset>
            </wp:positionV>
            <wp:extent cx="23837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22" w:lineRule="exact"/>
        <w:rPr>
          <w:sz w:val="20"/>
          <w:szCs w:val="20"/>
          <w:color w:val="auto"/>
        </w:rPr>
      </w:pPr>
    </w:p>
    <w:p>
      <w:pPr>
        <w:ind w:left="1260" w:right="779" w:firstLine="360"/>
        <w:spacing w:after="0" w:line="288" w:lineRule="auto"/>
        <w:rPr>
          <w:sz w:val="20"/>
          <w:szCs w:val="20"/>
          <w:color w:val="auto"/>
        </w:rPr>
      </w:pPr>
      <w:r>
        <w:rPr>
          <w:rFonts w:ascii="Arial" w:cs="Arial" w:eastAsia="Arial" w:hAnsi="Arial"/>
          <w:sz w:val="16"/>
          <w:szCs w:val="16"/>
          <w:color w:val="auto"/>
        </w:rPr>
        <w:t>Each $1.00 increase (decrease) in the assumed initial offering price of $ per share, the midpoint of the price range set forth on the cover page of this prospectus, would increase (decrease) total consideration paid by new investors, total consideration paid by all stockholders and average price per share paid by all stockholders by</w:t>
      </w:r>
    </w:p>
    <w:p>
      <w:pPr>
        <w:ind w:left="1260" w:right="899"/>
        <w:spacing w:after="0" w:line="281" w:lineRule="auto"/>
        <w:rPr>
          <w:sz w:val="20"/>
          <w:szCs w:val="20"/>
          <w:color w:val="auto"/>
        </w:rPr>
      </w:pPr>
      <w:r>
        <w:rPr>
          <w:rFonts w:ascii="Arial" w:cs="Arial" w:eastAsia="Arial" w:hAnsi="Arial"/>
          <w:sz w:val="16"/>
          <w:szCs w:val="16"/>
          <w:color w:val="auto"/>
        </w:rPr>
        <w:t>$ , $ and $ per share, respectively, assuming the number of shares offered by us, as set forth on the cover page of this prospectus, remains the same, and after deducting underwriting discounts and commissions payable by us. Each increase (decrease) of 1.0 million shares in the number of shares sold in this offering, as set forth on the cover page of this prospectus, would increase (decrease) total consideration paid by new investors,</w:t>
      </w:r>
    </w:p>
    <w:p>
      <w:pPr>
        <w:spacing w:after="0" w:line="3" w:lineRule="exact"/>
        <w:rPr>
          <w:sz w:val="20"/>
          <w:szCs w:val="20"/>
          <w:color w:val="auto"/>
        </w:rPr>
      </w:pPr>
    </w:p>
    <w:p>
      <w:pPr>
        <w:ind w:left="1260"/>
        <w:spacing w:after="0"/>
        <w:tabs>
          <w:tab w:leader="none" w:pos="8840" w:val="left"/>
        </w:tabs>
        <w:rPr>
          <w:sz w:val="20"/>
          <w:szCs w:val="20"/>
          <w:color w:val="auto"/>
        </w:rPr>
      </w:pPr>
      <w:r>
        <w:rPr>
          <w:rFonts w:ascii="Arial" w:cs="Arial" w:eastAsia="Arial" w:hAnsi="Arial"/>
          <w:sz w:val="17"/>
          <w:szCs w:val="17"/>
          <w:color w:val="auto"/>
        </w:rPr>
        <w:t>total consideration paid by all stockholders and average price per share paid by all stockholders by $</w:t>
      </w:r>
      <w:r>
        <w:rPr>
          <w:sz w:val="20"/>
          <w:szCs w:val="20"/>
          <w:color w:val="auto"/>
        </w:rPr>
        <w:tab/>
      </w:r>
      <w:r>
        <w:rPr>
          <w:rFonts w:ascii="Arial" w:cs="Arial" w:eastAsia="Arial" w:hAnsi="Arial"/>
          <w:sz w:val="14"/>
          <w:szCs w:val="14"/>
          <w:color w:val="auto"/>
        </w:rPr>
        <w:t>,</w:t>
      </w:r>
    </w:p>
    <w:p>
      <w:pPr>
        <w:spacing w:after="0" w:line="21" w:lineRule="exact"/>
        <w:rPr>
          <w:sz w:val="20"/>
          <w:szCs w:val="20"/>
          <w:color w:val="auto"/>
        </w:rPr>
      </w:pPr>
    </w:p>
    <w:p>
      <w:pPr>
        <w:ind w:left="1260"/>
        <w:spacing w:after="0"/>
        <w:tabs>
          <w:tab w:leader="none" w:pos="1700" w:val="left"/>
          <w:tab w:leader="none" w:pos="2460" w:val="left"/>
          <w:tab w:leader="none" w:pos="8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 respectively, assuming the assumed initial public offering price of $</w:t>
      </w:r>
      <w:r>
        <w:rPr>
          <w:sz w:val="20"/>
          <w:szCs w:val="20"/>
          <w:color w:val="auto"/>
        </w:rPr>
        <w:tab/>
      </w:r>
      <w:r>
        <w:rPr>
          <w:rFonts w:ascii="Arial" w:cs="Arial" w:eastAsia="Arial" w:hAnsi="Arial"/>
          <w:sz w:val="15"/>
          <w:szCs w:val="15"/>
          <w:color w:val="auto"/>
        </w:rPr>
        <w:t>per share,</w:t>
      </w:r>
    </w:p>
    <w:p>
      <w:pPr>
        <w:spacing w:after="0" w:line="9" w:lineRule="exact"/>
        <w:rPr>
          <w:sz w:val="20"/>
          <w:szCs w:val="20"/>
          <w:color w:val="auto"/>
        </w:rPr>
      </w:pPr>
    </w:p>
    <w:p>
      <w:pPr>
        <w:ind w:left="1260" w:right="1379"/>
        <w:spacing w:after="0" w:line="261" w:lineRule="auto"/>
        <w:rPr>
          <w:sz w:val="20"/>
          <w:szCs w:val="20"/>
          <w:color w:val="auto"/>
        </w:rPr>
      </w:pPr>
      <w:r>
        <w:rPr>
          <w:rFonts w:ascii="Arial" w:cs="Arial" w:eastAsia="Arial" w:hAnsi="Arial"/>
          <w:sz w:val="18"/>
          <w:szCs w:val="18"/>
          <w:color w:val="auto"/>
        </w:rPr>
        <w:t>the midpoint of the price range set forth on the cover page of this prospectus, remains the same, and after deducting underwriting discounts and commissions payable by us.</w:t>
      </w:r>
    </w:p>
    <w:p>
      <w:pPr>
        <w:spacing w:after="0" w:line="76"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If the underwriters exercise in full their option to purchase additional shares of Class A common stock, there will be further dilution to investors in this offering.</w:t>
      </w:r>
    </w:p>
    <w:p>
      <w:pPr>
        <w:spacing w:after="0" w:line="62"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color w:val="auto"/>
        </w:rPr>
        <w:t>Except as otherwise indicated, the discussion and the tables above assume no exercise of the underwriters’ option to purchase additional shares of Class A common stock. In addition, the discussion and tables above exclude shares of Class C common stock and Class D common stock, because holders of the Class C common stock and Class D common stock are not entitled to distributions or dividends,</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whether cash or stock, from Tradeweb. The number of shares of our common stock to be outstanding after this</w:t>
      </w:r>
    </w:p>
    <w:p>
      <w:pPr>
        <w:spacing w:after="0" w:line="46" w:lineRule="exact"/>
        <w:rPr>
          <w:sz w:val="20"/>
          <w:szCs w:val="20"/>
          <w:color w:val="auto"/>
        </w:rPr>
      </w:pPr>
    </w:p>
    <w:p>
      <w:pPr>
        <w:ind w:left="1260" w:right="939"/>
        <w:spacing w:after="0" w:line="261" w:lineRule="auto"/>
        <w:rPr>
          <w:sz w:val="20"/>
          <w:szCs w:val="20"/>
          <w:color w:val="auto"/>
        </w:rPr>
      </w:pPr>
      <w:r>
        <w:rPr>
          <w:rFonts w:ascii="Arial" w:cs="Arial" w:eastAsia="Arial" w:hAnsi="Arial"/>
          <w:sz w:val="18"/>
          <w:szCs w:val="18"/>
          <w:color w:val="auto"/>
        </w:rPr>
        <w:t>offering is based on the membership interests of TWM LLC outstanding as of , 2019, after giving effect to the Reorganization Transactions and the Assumed Redemption, and excludes:</w:t>
      </w:r>
    </w:p>
    <w:p>
      <w:pPr>
        <w:spacing w:after="0" w:line="157" w:lineRule="exact"/>
        <w:rPr>
          <w:sz w:val="20"/>
          <w:szCs w:val="20"/>
          <w:color w:val="auto"/>
        </w:rPr>
      </w:pPr>
    </w:p>
    <w:p>
      <w:pPr>
        <w:ind w:left="2400" w:hanging="772"/>
        <w:spacing w:after="0"/>
        <w:tabs>
          <w:tab w:leader="none" w:pos="24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shares of Class A common stock issuable upon the exercise of outstanding options (of which will</w:t>
      </w:r>
    </w:p>
    <w:p>
      <w:pPr>
        <w:spacing w:after="0" w:line="46" w:lineRule="exact"/>
        <w:rPr>
          <w:sz w:val="20"/>
          <w:szCs w:val="20"/>
          <w:color w:val="auto"/>
        </w:rPr>
      </w:pPr>
    </w:p>
    <w:p>
      <w:pPr>
        <w:ind w:left="1980"/>
        <w:spacing w:after="0"/>
        <w:tabs>
          <w:tab w:leader="none" w:pos="7120" w:val="left"/>
        </w:tabs>
        <w:rPr>
          <w:sz w:val="20"/>
          <w:szCs w:val="20"/>
          <w:color w:val="auto"/>
        </w:rPr>
      </w:pPr>
      <w:r>
        <w:rPr>
          <w:rFonts w:ascii="Arial" w:cs="Arial" w:eastAsia="Arial" w:hAnsi="Arial"/>
          <w:sz w:val="18"/>
          <w:szCs w:val="18"/>
          <w:color w:val="auto"/>
        </w:rPr>
        <w:t>vest in connection with this offering) under our Option Plan as of</w:t>
      </w:r>
      <w:r>
        <w:rPr>
          <w:sz w:val="20"/>
          <w:szCs w:val="20"/>
          <w:color w:val="auto"/>
        </w:rPr>
        <w:tab/>
      </w:r>
      <w:r>
        <w:rPr>
          <w:rFonts w:ascii="Arial" w:cs="Arial" w:eastAsia="Arial" w:hAnsi="Arial"/>
          <w:sz w:val="16"/>
          <w:szCs w:val="16"/>
          <w:color w:val="auto"/>
        </w:rPr>
        <w:t>, 2019 at an exercise price of</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per share, which options may be exercised on a cashless or net settlement basis;</w:t>
      </w:r>
    </w:p>
    <w:p>
      <w:pPr>
        <w:spacing w:after="0" w:line="170" w:lineRule="exact"/>
        <w:rPr>
          <w:sz w:val="20"/>
          <w:szCs w:val="20"/>
          <w:color w:val="auto"/>
        </w:rPr>
      </w:pPr>
    </w:p>
    <w:p>
      <w:pPr>
        <w:ind w:left="1980" w:right="759" w:hanging="352"/>
        <w:spacing w:after="0" w:line="277" w:lineRule="auto"/>
        <w:tabs>
          <w:tab w:leader="none" w:pos="23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Class A common stock underlying performance based restricted share units issued under our PRSU Plan;</w:t>
      </w:r>
    </w:p>
    <w:p>
      <w:pPr>
        <w:spacing w:after="0" w:line="129" w:lineRule="exact"/>
        <w:rPr>
          <w:rFonts w:ascii="Arial" w:cs="Arial" w:eastAsia="Arial" w:hAnsi="Arial"/>
          <w:sz w:val="18"/>
          <w:szCs w:val="18"/>
          <w:color w:val="auto"/>
        </w:rPr>
      </w:pPr>
    </w:p>
    <w:p>
      <w:pPr>
        <w:ind w:left="1980" w:right="799" w:hanging="352"/>
        <w:spacing w:after="0" w:line="277" w:lineRule="auto"/>
        <w:tabs>
          <w:tab w:leader="none" w:pos="23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Option Plan and our 2019 Omnibus Equity Incentive Plan;</w:t>
      </w:r>
    </w:p>
    <w:p>
      <w:pPr>
        <w:sectPr>
          <w:pgSz w:w="11900" w:h="16838" w:orient="portrait"/>
          <w:cols w:equalWidth="0" w:num="1">
            <w:col w:w="10219"/>
          </w:cols>
          <w:pgMar w:left="240" w:top="131" w:right="1440" w:bottom="1440" w:gutter="0" w:footer="0" w:header="0"/>
        </w:sectPr>
      </w:pP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ind w:right="1059"/>
        <w:spacing w:after="0" w:line="264" w:lineRule="auto"/>
        <w:rPr>
          <w:sz w:val="20"/>
          <w:szCs w:val="20"/>
          <w:color w:val="auto"/>
        </w:rPr>
      </w:pPr>
      <w:r>
        <w:rPr>
          <w:rFonts w:ascii="Arial" w:cs="Arial" w:eastAsia="Arial" w:hAnsi="Arial"/>
          <w:sz w:val="18"/>
          <w:szCs w:val="18"/>
          <w:color w:val="auto"/>
        </w:rPr>
        <w:t>with respect to the Refinitiv Direct Owner, shares of Class A common stock reserved as of the closing date of this offering for future issuance upon (i) exchange of Class B common stock by the Refinitiv Direct Owner or (ii) conversion of the Class B common stock; and</w:t>
      </w:r>
    </w:p>
    <w:p>
      <w:pPr>
        <w:spacing w:after="0" w:line="141" w:lineRule="exact"/>
        <w:rPr>
          <w:sz w:val="20"/>
          <w:szCs w:val="20"/>
          <w:color w:val="auto"/>
        </w:rPr>
      </w:pPr>
    </w:p>
    <w:p>
      <w:pPr>
        <w:sectPr>
          <w:pgSz w:w="11900" w:h="16838" w:orient="portrait"/>
          <w:cols w:equalWidth="0" w:num="2">
            <w:col w:w="1700" w:space="280"/>
            <w:col w:w="8239"/>
          </w:cols>
          <w:pgMar w:left="240" w:top="131"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779"/>
        <w:spacing w:after="0" w:line="276" w:lineRule="auto"/>
        <w:rPr>
          <w:sz w:val="20"/>
          <w:szCs w:val="20"/>
          <w:color w:val="auto"/>
        </w:rPr>
      </w:pPr>
      <w:r>
        <w:rPr>
          <w:rFonts w:ascii="Arial" w:cs="Arial" w:eastAsia="Arial" w:hAnsi="Arial"/>
          <w:sz w:val="17"/>
          <w:szCs w:val="17"/>
          <w:color w:val="auto"/>
        </w:rPr>
        <w:t>with respect to the Continuing LLC Owners, (i) shares of Class A common stock and shares of Class B common stock reserved as of the closing date of this offering for future issuance upon the redemption or exchange of LLC Interests by the Continuing LLC Owners and (ii) shares of Class C common stock reserved for future issuance upon (x) exchange of Class D common stock by the Continuing LLC Owners or (y) conversion of the Class D common stock.</w:t>
      </w:r>
    </w:p>
    <w:p>
      <w:pPr>
        <w:spacing w:after="0" w:line="64" w:lineRule="exact"/>
        <w:rPr>
          <w:sz w:val="20"/>
          <w:szCs w:val="20"/>
          <w:color w:val="auto"/>
        </w:rPr>
      </w:pPr>
    </w:p>
    <w:p>
      <w:pPr>
        <w:sectPr>
          <w:pgSz w:w="11900" w:h="16838" w:orient="portrait"/>
          <w:cols w:equalWidth="0" w:num="2">
            <w:col w:w="1700" w:space="280"/>
            <w:col w:w="8239"/>
          </w:cols>
          <w:pgMar w:left="240" w:top="131" w:right="1440" w:bottom="1440" w:gutter="0" w:footer="0" w:header="0"/>
          <w:type w:val="continuous"/>
        </w:sectPr>
      </w:pPr>
    </w:p>
    <w:p>
      <w:pPr>
        <w:jc w:val="both"/>
        <w:ind w:left="1260" w:right="919" w:firstLine="360"/>
        <w:spacing w:after="0" w:line="277" w:lineRule="auto"/>
        <w:rPr>
          <w:sz w:val="20"/>
          <w:szCs w:val="20"/>
          <w:color w:val="auto"/>
        </w:rPr>
      </w:pPr>
      <w:r>
        <w:rPr>
          <w:rFonts w:ascii="Arial" w:cs="Arial" w:eastAsia="Arial" w:hAnsi="Arial"/>
          <w:sz w:val="18"/>
          <w:szCs w:val="18"/>
          <w:color w:val="auto"/>
        </w:rPr>
        <w:t>To the extent any options are granted and exercised, or any restricted stock units are granted and settled, in the future, there may be additional economic dilution to new investors.</w:t>
      </w:r>
    </w:p>
    <w:p>
      <w:pPr>
        <w:spacing w:after="0" w:line="62" w:lineRule="exact"/>
        <w:rPr>
          <w:sz w:val="20"/>
          <w:szCs w:val="20"/>
          <w:color w:val="auto"/>
        </w:rPr>
      </w:pPr>
    </w:p>
    <w:p>
      <w:pPr>
        <w:jc w:val="both"/>
        <w:ind w:left="1260" w:right="939" w:firstLine="360"/>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AND OTHER DATA</w:t>
      </w:r>
    </w:p>
    <w:p>
      <w:pPr>
        <w:spacing w:after="0" w:line="108" w:lineRule="exact"/>
        <w:rPr>
          <w:sz w:val="20"/>
          <w:szCs w:val="20"/>
          <w:color w:val="auto"/>
        </w:rPr>
      </w:pPr>
    </w:p>
    <w:p>
      <w:pPr>
        <w:ind w:left="1260" w:right="1300" w:firstLine="360"/>
        <w:spacing w:after="0" w:line="290" w:lineRule="auto"/>
        <w:rPr>
          <w:sz w:val="20"/>
          <w:szCs w:val="20"/>
          <w:color w:val="auto"/>
        </w:rPr>
      </w:pPr>
      <w:r>
        <w:rPr>
          <w:rFonts w:ascii="Arial" w:cs="Arial" w:eastAsia="Arial" w:hAnsi="Arial"/>
          <w:sz w:val="16"/>
          <w:szCs w:val="16"/>
          <w:color w:val="auto"/>
        </w:rPr>
        <w:t>The following table presents the selected historical consolidated financial data for Tradeweb Markets LLC and its subsidiaries. Tradeweb Markets LLC is the predecessor of the issuer, Tradeweb Markets Inc., for financial reporting purposes. The selected consolidated statement of operations data for the 2018 Successor Period, the 2018 Predecessor Period and each of the years in the two-year period ended December 31, 2017 and the selected consolidated statement of financial condition data as of December 31, 2018 and 2017 are derived from the consolidated financial statements of Tradeweb Markets LLC and its subsidiaries included elsewhere in this prospectus. The summary consolidated statement of financial condition as of December 31, 2016 is derived from the consolidated financial statements of Tradeweb Markets LLC not included in this prospectus.</w:t>
      </w:r>
    </w:p>
    <w:p>
      <w:pPr>
        <w:spacing w:after="0" w:line="58" w:lineRule="exact"/>
        <w:rPr>
          <w:sz w:val="20"/>
          <w:szCs w:val="20"/>
          <w:color w:val="auto"/>
        </w:rPr>
      </w:pPr>
    </w:p>
    <w:p>
      <w:pPr>
        <w:ind w:left="1260" w:right="1260" w:firstLine="360"/>
        <w:spacing w:after="0" w:line="270" w:lineRule="auto"/>
        <w:rPr>
          <w:sz w:val="20"/>
          <w:szCs w:val="20"/>
          <w:color w:val="auto"/>
        </w:rPr>
      </w:pPr>
      <w:r>
        <w:rPr>
          <w:rFonts w:ascii="Arial" w:cs="Arial" w:eastAsia="Arial" w:hAnsi="Arial"/>
          <w:sz w:val="17"/>
          <w:szCs w:val="17"/>
          <w:color w:val="auto"/>
        </w:rPr>
        <w:t>As discussed elsewhere in this prospectus,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and “Management’s Discussion and Analysis of Financial Condition and Results of Operations — Effects of Pushdown Accounting on our Financial Statements.”</w:t>
      </w:r>
    </w:p>
    <w:p>
      <w:pPr>
        <w:spacing w:after="0" w:line="70" w:lineRule="exact"/>
        <w:rPr>
          <w:sz w:val="20"/>
          <w:szCs w:val="20"/>
          <w:color w:val="auto"/>
        </w:rPr>
      </w:pPr>
    </w:p>
    <w:p>
      <w:pPr>
        <w:ind w:left="1260" w:right="1500" w:firstLine="360"/>
        <w:spacing w:after="0" w:line="302" w:lineRule="auto"/>
        <w:rPr>
          <w:sz w:val="20"/>
          <w:szCs w:val="20"/>
          <w:color w:val="auto"/>
        </w:rPr>
      </w:pPr>
      <w:r>
        <w:rPr>
          <w:rFonts w:ascii="Arial" w:cs="Arial" w:eastAsia="Arial" w:hAnsi="Arial"/>
          <w:sz w:val="16"/>
          <w:szCs w:val="16"/>
          <w:color w:val="auto"/>
        </w:rPr>
        <w:t>The results of operations for the periods presented below are not necessarily indicative of the results to be expected for any future period. The information set forth below should be read together with “Basis of Presentation” and “Management’s Discussion and Analysis of Financial Condition and Results of Operations” and the consolidated financial statements and related notes thereto included elsewhere in this prospectus.</w:t>
      </w:r>
    </w:p>
    <w:p>
      <w:pPr>
        <w:spacing w:after="0" w:line="46" w:lineRule="exact"/>
        <w:rPr>
          <w:sz w:val="20"/>
          <w:szCs w:val="20"/>
          <w:color w:val="auto"/>
        </w:rPr>
      </w:pPr>
    </w:p>
    <w:p>
      <w:pPr>
        <w:ind w:left="1260" w:right="1720" w:firstLine="360"/>
        <w:spacing w:after="0" w:line="264" w:lineRule="auto"/>
        <w:rPr>
          <w:sz w:val="20"/>
          <w:szCs w:val="20"/>
          <w:color w:val="auto"/>
        </w:rPr>
      </w:pPr>
      <w:r>
        <w:rPr>
          <w:rFonts w:ascii="Arial" w:cs="Arial" w:eastAsia="Arial" w:hAnsi="Arial"/>
          <w:sz w:val="18"/>
          <w:szCs w:val="18"/>
          <w:color w:val="auto"/>
        </w:rPr>
        <w:t>The selected historical financial data of Tradeweb Markets Inc. have not been presented as Tradeweb Markets Inc. is a newly incorporated entity, has had no business transactions or activities to date and had no assets or liabilities during the periods presented in this section.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12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52"/>
        </w:trPr>
        <w:tc>
          <w:tcPr>
            <w:tcW w:w="12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5"/>
              </w:rPr>
              <w:t>October 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January 1,</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Pr>
          <w:p>
            <w:pPr>
              <w:spacing w:after="0"/>
              <w:rPr>
                <w:sz w:val="13"/>
                <w:szCs w:val="13"/>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3"/>
          </w:tcPr>
          <w:p>
            <w:pPr>
              <w:jc w:val="center"/>
              <w:ind w:left="34"/>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6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6"/>
                <w:szCs w:val="16"/>
                <w:color w:val="auto"/>
              </w:rPr>
            </w:pPr>
          </w:p>
        </w:tc>
        <w:tc>
          <w:tcPr>
            <w:tcW w:w="86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6"/>
                <w:szCs w:val="16"/>
                <w:color w:val="auto"/>
              </w:rPr>
            </w:pPr>
          </w:p>
        </w:tc>
        <w:tc>
          <w:tcPr>
            <w:tcW w:w="88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gridSpan w:val="13"/>
          </w:tcPr>
          <w:p>
            <w:pPr>
              <w:jc w:val="right"/>
              <w:ind w:right="6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60" w:type="dxa"/>
            <w:vAlign w:val="bottom"/>
          </w:tcPr>
          <w:p>
            <w:pPr>
              <w:spacing w:after="0"/>
              <w:rPr>
                <w:sz w:val="16"/>
                <w:szCs w:val="16"/>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$ 97,130</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$273,751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$267,020</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$230,171</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line="242"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(1)</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46,519</w:t>
            </w: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143,981</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194,534</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191,983</w:t>
            </w:r>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32,840</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79,830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96,745</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91,663</w:t>
            </w:r>
          </w:p>
        </w:tc>
        <w:tc>
          <w:tcPr>
            <w:tcW w:w="126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gridSpan w:val="2"/>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2,148</w:t>
            </w:r>
          </w:p>
        </w:tc>
        <w:tc>
          <w:tcPr>
            <w:tcW w:w="120" w:type="dxa"/>
            <w:vAlign w:val="bottom"/>
            <w:tcBorders>
              <w:right w:val="single" w:sz="8" w:color="auto"/>
            </w:tcBorders>
          </w:tcPr>
          <w:p>
            <w:pPr>
              <w:spacing w:after="0"/>
              <w:rPr>
                <w:sz w:val="22"/>
                <w:szCs w:val="22"/>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8,209</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4,669</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4,587</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revenue</w:t>
            </w:r>
          </w:p>
        </w:tc>
        <w:tc>
          <w:tcPr>
            <w:tcW w:w="300" w:type="dxa"/>
            <w:vAlign w:val="bottom"/>
            <w:gridSpan w:val="2"/>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178,637</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505,771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562,968</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518,404</w:t>
            </w:r>
          </w:p>
        </w:tc>
        <w:tc>
          <w:tcPr>
            <w:tcW w:w="126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line="257"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7"/>
                <w:szCs w:val="27"/>
                <w:color w:val="auto"/>
                <w:vertAlign w:val="superscript"/>
              </w:rPr>
              <w:t>(2)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(26,830)</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(58,520)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(26,224)</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w:t>
            </w:r>
          </w:p>
        </w:tc>
        <w:tc>
          <w:tcPr>
            <w:tcW w:w="300" w:type="dxa"/>
            <w:vAlign w:val="bottom"/>
            <w:gridSpan w:val="2"/>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178,637</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478,941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504,448</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492,180</w:t>
            </w:r>
          </w:p>
        </w:tc>
        <w:tc>
          <w:tcPr>
            <w:tcW w:w="1260" w:type="dxa"/>
            <w:vAlign w:val="bottom"/>
          </w:tcPr>
          <w:p>
            <w:pPr>
              <w:spacing w:after="0"/>
              <w:rPr>
                <w:sz w:val="21"/>
                <w:szCs w:val="21"/>
                <w:color w:val="auto"/>
              </w:rPr>
            </w:pPr>
          </w:p>
        </w:tc>
      </w:tr>
      <w:tr>
        <w:trPr>
          <w:trHeight w:val="223"/>
        </w:trPr>
        <w:tc>
          <w:tcPr>
            <w:tcW w:w="1260" w:type="dxa"/>
            <w:vAlign w:val="bottom"/>
          </w:tcPr>
          <w:p>
            <w:pPr>
              <w:spacing w:after="0"/>
              <w:rPr>
                <w:sz w:val="19"/>
                <w:szCs w:val="19"/>
                <w:color w:val="auto"/>
              </w:rPr>
            </w:pPr>
          </w:p>
        </w:tc>
        <w:tc>
          <w:tcPr>
            <w:tcW w:w="3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80,436</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209,053</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248,963</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228,584</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33,020</w:t>
            </w: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48,808</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68,615</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80,859</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11,837</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23,056</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33,973</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27,392</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9,907</w:t>
            </w: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26,598</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30,013</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28,239</w:t>
            </w:r>
          </w:p>
        </w:tc>
        <w:tc>
          <w:tcPr>
            <w:tcW w:w="1260" w:type="dxa"/>
            <w:vAlign w:val="bottom"/>
          </w:tcPr>
          <w:p>
            <w:pPr>
              <w:spacing w:after="0"/>
              <w:rPr>
                <w:sz w:val="21"/>
                <w:szCs w:val="21"/>
                <w:color w:val="auto"/>
              </w:rPr>
            </w:pPr>
          </w:p>
        </w:tc>
      </w:tr>
      <w:tr>
        <w:trPr>
          <w:trHeight w:val="263"/>
        </w:trPr>
        <w:tc>
          <w:tcPr>
            <w:tcW w:w="1260" w:type="dxa"/>
            <w:vAlign w:val="bottom"/>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8,194</w:t>
            </w:r>
          </w:p>
        </w:tc>
        <w:tc>
          <w:tcPr>
            <w:tcW w:w="120" w:type="dxa"/>
            <w:vAlign w:val="bottom"/>
            <w:tcBorders>
              <w:right w:val="single" w:sz="8" w:color="auto"/>
            </w:tcBorders>
            <w:shd w:val="clear" w:color="auto" w:fill="CCEEFF"/>
          </w:tcPr>
          <w:p>
            <w:pPr>
              <w:spacing w:after="0"/>
              <w:rPr>
                <w:sz w:val="22"/>
                <w:szCs w:val="22"/>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20,360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19,351</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18,158</w:t>
            </w:r>
          </w:p>
        </w:tc>
        <w:tc>
          <w:tcPr>
            <w:tcW w:w="1260" w:type="dxa"/>
            <w:vAlign w:val="bottom"/>
          </w:tcPr>
          <w:p>
            <w:pPr>
              <w:spacing w:after="0"/>
              <w:rPr>
                <w:sz w:val="22"/>
                <w:szCs w:val="22"/>
                <w:color w:val="auto"/>
              </w:rPr>
            </w:pPr>
          </w:p>
        </w:tc>
      </w:tr>
      <w:tr>
        <w:trPr>
          <w:trHeight w:val="480"/>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-1671955</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-1671955</wp:posOffset>
            </wp:positionV>
            <wp:extent cx="2400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-1671955</wp:posOffset>
            </wp:positionV>
            <wp:extent cx="2489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-1671955</wp:posOffset>
            </wp:positionV>
            <wp:extent cx="33616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-1988820</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-1988820</wp:posOffset>
            </wp:positionV>
            <wp:extent cx="2400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-1988820</wp:posOffset>
            </wp:positionV>
            <wp:extent cx="2489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-1988820</wp:posOffset>
            </wp:positionV>
            <wp:extent cx="33616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-3018155</wp:posOffset>
            </wp:positionV>
            <wp:extent cx="137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-3018155</wp:posOffset>
            </wp:positionV>
            <wp:extent cx="137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-3018155</wp:posOffset>
            </wp:positionV>
            <wp:extent cx="1289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87" w:name="page88"/>
    <w:bookmarkEnd w:id="8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66"/>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5"/>
              </w:rPr>
              <w:t>October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January 1,</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left="96"/>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175"/>
        </w:trPr>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20" w:type="dxa"/>
            <w:vAlign w:val="bottom"/>
            <w:gridSpan w:val="12"/>
          </w:tcPr>
          <w:p>
            <w:pPr>
              <w:jc w:val="right"/>
              <w:ind w:right="620"/>
              <w:spacing w:after="0"/>
              <w:rPr>
                <w:sz w:val="20"/>
                <w:szCs w:val="20"/>
                <w:color w:val="auto"/>
              </w:rPr>
            </w:pPr>
            <w:r>
              <w:rPr>
                <w:rFonts w:ascii="Arial" w:cs="Arial" w:eastAsia="Arial" w:hAnsi="Arial"/>
                <w:sz w:val="14"/>
                <w:szCs w:val="14"/>
                <w:b w:val="1"/>
                <w:bCs w:val="1"/>
                <w:color w:val="auto"/>
              </w:rPr>
              <w:t>(in thousands, except share and per share data)</w:t>
            </w: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300" w:type="dxa"/>
            <w:vAlign w:val="bottom"/>
            <w:gridSpan w:val="2"/>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10,732</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14,441</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15,817</w:t>
            </w: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Total expenses</w:t>
            </w:r>
          </w:p>
        </w:tc>
        <w:tc>
          <w:tcPr>
            <w:tcW w:w="300" w:type="dxa"/>
            <w:vAlign w:val="bottom"/>
            <w:gridSpan w:val="2"/>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146,702</w:t>
            </w: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338,607</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415,356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399,049</w:t>
            </w: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gridSpan w:val="2"/>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8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200" w:type="dxa"/>
            <w:vAlign w:val="bottom"/>
            <w:gridSpan w:val="2"/>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140,334</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89,092</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93,131</w:t>
            </w: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00" w:type="dxa"/>
            <w:vAlign w:val="bottom"/>
            <w:gridSpan w:val="2"/>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1,726</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1,140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223"/>
        </w:trPr>
        <w:tc>
          <w:tcPr>
            <w:tcW w:w="3900" w:type="dxa"/>
            <w:vAlign w:val="bottom"/>
          </w:tcPr>
          <w:p>
            <w:pPr>
              <w:ind w:left="180"/>
              <w:spacing w:after="0"/>
              <w:rPr>
                <w:sz w:val="20"/>
                <w:szCs w:val="20"/>
                <w:color w:val="auto"/>
              </w:rPr>
            </w:pPr>
            <w:r>
              <w:rPr>
                <w:rFonts w:ascii="Arial" w:cs="Arial" w:eastAsia="Arial" w:hAnsi="Arial"/>
                <w:sz w:val="18"/>
                <w:szCs w:val="18"/>
                <w:color w:val="auto"/>
              </w:rPr>
              <w:t>Income before taxes</w:t>
            </w:r>
          </w:p>
        </w:tc>
        <w:tc>
          <w:tcPr>
            <w:tcW w:w="30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32,722</w:t>
            </w: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00" w:type="dxa"/>
            <w:vAlign w:val="bottom"/>
            <w:gridSpan w:val="2"/>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142,060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89,777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92,436</w:t>
            </w: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gridSpan w:val="2"/>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(3,415)</w:t>
            </w:r>
          </w:p>
        </w:tc>
        <w:tc>
          <w:tcPr>
            <w:tcW w:w="100" w:type="dxa"/>
            <w:vAlign w:val="bottom"/>
            <w:tcBorders>
              <w:right w:val="single" w:sz="8" w:color="auto"/>
            </w:tcBorders>
            <w:shd w:val="clear" w:color="auto" w:fill="CCEEFF"/>
          </w:tcPr>
          <w:p>
            <w:pPr>
              <w:spacing w:after="0"/>
              <w:rPr>
                <w:sz w:val="21"/>
                <w:szCs w:val="21"/>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(11,900)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(6,129)</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$ 29,307</w:t>
            </w: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130,160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$ 83,648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$ 93,161</w:t>
            </w: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3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-1028700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-1028700</wp:posOffset>
            </wp:positionV>
            <wp:extent cx="2400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-1028700</wp:posOffset>
            </wp:positionV>
            <wp:extent cx="2489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-1028700</wp:posOffset>
            </wp:positionV>
            <wp:extent cx="33445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-1465580</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-1465580</wp:posOffset>
            </wp:positionV>
            <wp:extent cx="137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-1465580</wp:posOffset>
            </wp:positionV>
            <wp:extent cx="1289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4"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auto"/>
        </w:rPr>
        <w:t>Pro Forma</w:t>
      </w:r>
    </w:p>
    <w:p>
      <w:pPr>
        <w:jc w:val="center"/>
        <w:ind w:left="540"/>
        <w:spacing w:after="0"/>
        <w:rPr>
          <w:sz w:val="20"/>
          <w:szCs w:val="20"/>
          <w:color w:val="auto"/>
        </w:rPr>
      </w:pPr>
      <w:r>
        <w:rPr>
          <w:rFonts w:ascii="Arial" w:cs="Arial" w:eastAsia="Arial" w:hAnsi="Arial"/>
          <w:sz w:val="14"/>
          <w:szCs w:val="14"/>
          <w:b w:val="1"/>
          <w:bCs w:val="1"/>
          <w:color w:val="auto"/>
        </w:rPr>
        <w:t>Tradeweb Markets Inc.</w:t>
      </w:r>
      <w:r>
        <w:rPr>
          <w:rFonts w:ascii="Arial" w:cs="Arial" w:eastAsia="Arial" w:hAnsi="Arial"/>
          <w:sz w:val="21"/>
          <w:szCs w:val="21"/>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1270</wp:posOffset>
            </wp:positionV>
            <wp:extent cx="9950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6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6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4"/>
        </w:trPr>
        <w:tc>
          <w:tcPr>
            <w:tcW w:w="1260" w:type="dxa"/>
            <w:vAlign w:val="bottom"/>
          </w:tcPr>
          <w:p>
            <w:pPr>
              <w:spacing w:after="0"/>
              <w:rPr>
                <w:sz w:val="22"/>
                <w:szCs w:val="22"/>
                <w:color w:val="auto"/>
              </w:rPr>
            </w:pPr>
          </w:p>
        </w:tc>
        <w:tc>
          <w:tcPr>
            <w:tcW w:w="3940" w:type="dxa"/>
            <w:vAlign w:val="bottom"/>
            <w:shd w:val="clear" w:color="auto" w:fill="CCEEFF"/>
          </w:tcPr>
          <w:p>
            <w:pPr>
              <w:spacing w:after="0" w:line="263" w:lineRule="exact"/>
              <w:rPr>
                <w:sz w:val="20"/>
                <w:szCs w:val="20"/>
                <w:color w:val="auto"/>
              </w:rPr>
            </w:pPr>
            <w:r>
              <w:rPr>
                <w:rFonts w:ascii="Arial" w:cs="Arial" w:eastAsia="Arial" w:hAnsi="Arial"/>
                <w:sz w:val="18"/>
                <w:szCs w:val="18"/>
                <w:b w:val="1"/>
                <w:bCs w:val="1"/>
                <w:color w:val="auto"/>
              </w:rPr>
              <w:t>Pro forma net income per share data</w:t>
            </w:r>
            <w:r>
              <w:rPr>
                <w:rFonts w:ascii="Arial" w:cs="Arial" w:eastAsia="Arial" w:hAnsi="Arial"/>
                <w:sz w:val="27"/>
                <w:szCs w:val="27"/>
                <w:b w:val="1"/>
                <w:bCs w:val="1"/>
                <w:color w:val="auto"/>
                <w:vertAlign w:val="superscript"/>
              </w:rPr>
              <w:t>(3)</w:t>
            </w:r>
            <w:r>
              <w:rPr>
                <w:rFonts w:ascii="Arial" w:cs="Arial" w:eastAsia="Arial" w:hAnsi="Arial"/>
                <w:sz w:val="18"/>
                <w:szCs w:val="18"/>
                <w:b w:val="1"/>
                <w:bCs w:val="1"/>
                <w:color w:val="auto"/>
              </w:rPr>
              <w:t>:</w:t>
            </w: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29"/>
        </w:trPr>
        <w:tc>
          <w:tcPr>
            <w:tcW w:w="12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 forma weighted average shares of Class A</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7"/>
        </w:trPr>
        <w:tc>
          <w:tcPr>
            <w:tcW w:w="1260" w:type="dxa"/>
            <w:vAlign w:val="bottom"/>
          </w:tcPr>
          <w:p>
            <w:pPr>
              <w:spacing w:after="0"/>
              <w:rPr>
                <w:sz w:val="20"/>
                <w:szCs w:val="20"/>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common stock outstanding</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63"/>
        </w:trPr>
        <w:tc>
          <w:tcPr>
            <w:tcW w:w="1260" w:type="dxa"/>
            <w:vAlign w:val="bottom"/>
          </w:tcPr>
          <w:p>
            <w:pPr>
              <w:spacing w:after="0"/>
              <w:rPr>
                <w:sz w:val="22"/>
                <w:szCs w:val="22"/>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29"/>
        </w:trPr>
        <w:tc>
          <w:tcPr>
            <w:tcW w:w="126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5"/>
              </w:rPr>
              <w:t>Pro forma net income available to Class A common</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4"/>
        </w:trPr>
        <w:tc>
          <w:tcPr>
            <w:tcW w:w="1260" w:type="dxa"/>
            <w:vAlign w:val="bottom"/>
          </w:tcPr>
          <w:p>
            <w:pPr>
              <w:spacing w:after="0"/>
              <w:rPr>
                <w:sz w:val="21"/>
                <w:szCs w:val="21"/>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per share</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Basic</w:t>
            </w:r>
          </w:p>
        </w:tc>
        <w:tc>
          <w:tcPr>
            <w:tcW w:w="12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05"/>
        </w:trPr>
        <w:tc>
          <w:tcPr>
            <w:tcW w:w="1260" w:type="dxa"/>
            <w:vAlign w:val="bottom"/>
          </w:tcPr>
          <w:p>
            <w:pPr>
              <w:spacing w:after="0"/>
              <w:rPr>
                <w:sz w:val="17"/>
                <w:szCs w:val="17"/>
                <w:color w:val="auto"/>
              </w:rPr>
            </w:pPr>
          </w:p>
        </w:tc>
        <w:tc>
          <w:tcPr>
            <w:tcW w:w="3940" w:type="dxa"/>
            <w:vAlign w:val="bottom"/>
          </w:tcPr>
          <w:p>
            <w:pPr>
              <w:spacing w:after="0" w:line="206" w:lineRule="exact"/>
              <w:rPr>
                <w:sz w:val="20"/>
                <w:szCs w:val="20"/>
                <w:color w:val="auto"/>
              </w:rPr>
            </w:pPr>
            <w:r>
              <w:rPr>
                <w:rFonts w:ascii="Arial" w:cs="Arial" w:eastAsia="Arial" w:hAnsi="Arial"/>
                <w:sz w:val="18"/>
                <w:szCs w:val="18"/>
                <w:color w:val="auto"/>
              </w:rPr>
              <w:t>Supplemental pro forma net income per share</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94"/>
        </w:trPr>
        <w:tc>
          <w:tcPr>
            <w:tcW w:w="1260" w:type="dxa"/>
            <w:vAlign w:val="bottom"/>
          </w:tcPr>
          <w:p>
            <w:pPr>
              <w:spacing w:after="0"/>
              <w:rPr>
                <w:sz w:val="24"/>
                <w:szCs w:val="24"/>
                <w:color w:val="auto"/>
              </w:rPr>
            </w:pPr>
          </w:p>
        </w:tc>
        <w:tc>
          <w:tcPr>
            <w:tcW w:w="3940" w:type="dxa"/>
            <w:vAlign w:val="bottom"/>
          </w:tcPr>
          <w:p>
            <w:pPr>
              <w:ind w:left="180"/>
              <w:spacing w:after="0" w:line="294" w:lineRule="exact"/>
              <w:rPr>
                <w:sz w:val="20"/>
                <w:szCs w:val="20"/>
                <w:color w:val="auto"/>
              </w:rPr>
            </w:pPr>
            <w:r>
              <w:rPr>
                <w:rFonts w:ascii="Arial" w:cs="Arial" w:eastAsia="Arial" w:hAnsi="Arial"/>
                <w:sz w:val="18"/>
                <w:szCs w:val="18"/>
                <w:color w:val="auto"/>
              </w:rPr>
              <w:t>data</w:t>
            </w:r>
            <w:r>
              <w:rPr>
                <w:rFonts w:ascii="Arial" w:cs="Arial" w:eastAsia="Arial" w:hAnsi="Arial"/>
                <w:sz w:val="27"/>
                <w:szCs w:val="27"/>
                <w:color w:val="auto"/>
                <w:vertAlign w:val="superscript"/>
              </w:rPr>
              <w:t>(4)</w:t>
            </w: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2"/>
        </w:trPr>
        <w:tc>
          <w:tcPr>
            <w:tcW w:w="1260" w:type="dxa"/>
            <w:vAlign w:val="bottom"/>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shares of Class A and Class B</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4"/>
        </w:trPr>
        <w:tc>
          <w:tcPr>
            <w:tcW w:w="1260" w:type="dxa"/>
            <w:vAlign w:val="bottom"/>
          </w:tcPr>
          <w:p>
            <w:pPr>
              <w:spacing w:after="0"/>
              <w:rPr>
                <w:sz w:val="21"/>
                <w:szCs w:val="21"/>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outstanding</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70"/>
        </w:trPr>
        <w:tc>
          <w:tcPr>
            <w:tcW w:w="1260" w:type="dxa"/>
            <w:vAlign w:val="bottom"/>
          </w:tcPr>
          <w:p>
            <w:pPr>
              <w:spacing w:after="0"/>
              <w:rPr>
                <w:sz w:val="23"/>
                <w:szCs w:val="23"/>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42"/>
        </w:trPr>
        <w:tc>
          <w:tcPr>
            <w:tcW w:w="126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 available to Class A and Class B</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37"/>
        </w:trPr>
        <w:tc>
          <w:tcPr>
            <w:tcW w:w="1260" w:type="dxa"/>
            <w:vAlign w:val="bottom"/>
          </w:tcPr>
          <w:p>
            <w:pPr>
              <w:spacing w:after="0"/>
              <w:rPr>
                <w:sz w:val="20"/>
                <w:szCs w:val="20"/>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common stock per share</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7"/>
        </w:trPr>
        <w:tc>
          <w:tcPr>
            <w:tcW w:w="1260" w:type="dxa"/>
            <w:vAlign w:val="bottom"/>
          </w:tcPr>
          <w:p>
            <w:pPr>
              <w:spacing w:after="0"/>
              <w:rPr>
                <w:sz w:val="24"/>
                <w:szCs w:val="24"/>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0"/>
        </w:trPr>
        <w:tc>
          <w:tcPr>
            <w:tcW w:w="1260" w:type="dxa"/>
            <w:vAlign w:val="bottom"/>
          </w:tcPr>
          <w:p>
            <w:pPr>
              <w:spacing w:after="0"/>
              <w:rPr>
                <w:sz w:val="23"/>
                <w:szCs w:val="23"/>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338"/>
        </w:trPr>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7"/>
              </w:rPr>
              <w:t>Tradeweb Markets LLC</w:t>
            </w:r>
          </w:p>
        </w:tc>
        <w:tc>
          <w:tcPr>
            <w:tcW w:w="2160" w:type="dxa"/>
            <w:vAlign w:val="bottom"/>
          </w:tcPr>
          <w:p>
            <w:pPr>
              <w:spacing w:after="0"/>
              <w:rPr>
                <w:sz w:val="24"/>
                <w:szCs w:val="24"/>
                <w:color w:val="auto"/>
              </w:rPr>
            </w:pPr>
          </w:p>
        </w:tc>
      </w:tr>
      <w:tr>
        <w:trPr>
          <w:trHeight w:val="142"/>
        </w:trPr>
        <w:tc>
          <w:tcPr>
            <w:tcW w:w="12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Borders>
              <w:right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right"/>
              <w:ind w:right="518"/>
              <w:spacing w:after="0" w:line="142" w:lineRule="exact"/>
              <w:rPr>
                <w:sz w:val="20"/>
                <w:szCs w:val="20"/>
                <w:color w:val="auto"/>
              </w:rPr>
            </w:pPr>
            <w:r>
              <w:rPr>
                <w:rFonts w:ascii="Arial" w:cs="Arial" w:eastAsia="Arial" w:hAnsi="Arial"/>
                <w:sz w:val="14"/>
                <w:szCs w:val="14"/>
                <w:b w:val="1"/>
                <w:bCs w:val="1"/>
                <w:color w:val="auto"/>
              </w:rPr>
              <w:t>Predecessor</w:t>
            </w:r>
          </w:p>
        </w:tc>
        <w:tc>
          <w:tcPr>
            <w:tcW w:w="2160" w:type="dxa"/>
            <w:vAlign w:val="bottom"/>
          </w:tcPr>
          <w:p>
            <w:pPr>
              <w:spacing w:after="0"/>
              <w:rPr>
                <w:sz w:val="12"/>
                <w:szCs w:val="12"/>
                <w:color w:val="auto"/>
              </w:rPr>
            </w:pPr>
          </w:p>
        </w:tc>
      </w:tr>
      <w:tr>
        <w:trPr>
          <w:trHeight w:val="146"/>
        </w:trPr>
        <w:tc>
          <w:tcPr>
            <w:tcW w:w="12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28"/>
              <w:spacing w:after="0" w:line="147" w:lineRule="exact"/>
              <w:rPr>
                <w:sz w:val="20"/>
                <w:szCs w:val="20"/>
                <w:color w:val="auto"/>
              </w:rPr>
            </w:pPr>
            <w:r>
              <w:rPr>
                <w:rFonts w:ascii="Arial" w:cs="Arial" w:eastAsia="Arial" w:hAnsi="Arial"/>
                <w:sz w:val="14"/>
                <w:szCs w:val="14"/>
                <w:b w:val="1"/>
                <w:bCs w:val="1"/>
                <w:color w:val="auto"/>
              </w:rPr>
              <w:t>As of</w:t>
            </w:r>
          </w:p>
        </w:tc>
        <w:tc>
          <w:tcPr>
            <w:tcW w:w="9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As of</w:t>
            </w:r>
          </w:p>
        </w:tc>
        <w:tc>
          <w:tcPr>
            <w:tcW w:w="2160" w:type="dxa"/>
            <w:vAlign w:val="bottom"/>
          </w:tcPr>
          <w:p>
            <w:pPr>
              <w:spacing w:after="0"/>
              <w:rPr>
                <w:sz w:val="12"/>
                <w:szCs w:val="12"/>
                <w:color w:val="auto"/>
              </w:rPr>
            </w:pPr>
          </w:p>
        </w:tc>
      </w:tr>
      <w:tr>
        <w:trPr>
          <w:trHeight w:val="162"/>
        </w:trPr>
        <w:tc>
          <w:tcPr>
            <w:tcW w:w="12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6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Pr>
          <w:p>
            <w:pPr>
              <w:jc w:val="center"/>
              <w:ind w:left="18"/>
              <w:spacing w:after="0"/>
              <w:rPr>
                <w:sz w:val="20"/>
                <w:szCs w:val="20"/>
                <w:color w:val="auto"/>
              </w:rPr>
            </w:pPr>
            <w:r>
              <w:rPr>
                <w:rFonts w:ascii="Arial" w:cs="Arial" w:eastAsia="Arial" w:hAnsi="Arial"/>
                <w:sz w:val="14"/>
                <w:szCs w:val="14"/>
                <w:b w:val="1"/>
                <w:bCs w:val="1"/>
                <w:color w:val="auto"/>
                <w:w w:val="90"/>
              </w:rPr>
              <w:t>December 31,</w:t>
            </w:r>
          </w:p>
        </w:tc>
        <w:tc>
          <w:tcPr>
            <w:tcW w:w="2160" w:type="dxa"/>
            <w:vAlign w:val="bottom"/>
          </w:tcPr>
          <w:p>
            <w:pPr>
              <w:spacing w:after="0"/>
              <w:rPr>
                <w:sz w:val="14"/>
                <w:szCs w:val="14"/>
                <w:color w:val="auto"/>
              </w:rPr>
            </w:pPr>
          </w:p>
        </w:tc>
      </w:tr>
      <w:tr>
        <w:trPr>
          <w:trHeight w:val="185"/>
        </w:trPr>
        <w:tc>
          <w:tcPr>
            <w:tcW w:w="12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60" w:type="dxa"/>
            <w:vAlign w:val="bottom"/>
            <w:gridSpan w:val="2"/>
          </w:tcPr>
          <w:p>
            <w:pPr>
              <w:jc w:val="center"/>
              <w:ind w:left="3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right w:val="single" w:sz="8" w:color="auto"/>
            </w:tcBorders>
          </w:tcPr>
          <w:p>
            <w:pPr>
              <w:spacing w:after="0"/>
              <w:rPr>
                <w:sz w:val="16"/>
                <w:szCs w:val="16"/>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2017</w:t>
            </w:r>
          </w:p>
        </w:tc>
        <w:tc>
          <w:tcPr>
            <w:tcW w:w="960" w:type="dxa"/>
            <w:vAlign w:val="bottom"/>
          </w:tcPr>
          <w:p>
            <w:pPr>
              <w:jc w:val="center"/>
              <w:ind w:left="18"/>
              <w:spacing w:after="0"/>
              <w:rPr>
                <w:sz w:val="20"/>
                <w:szCs w:val="20"/>
                <w:color w:val="auto"/>
              </w:rPr>
            </w:pPr>
            <w:r>
              <w:rPr>
                <w:rFonts w:ascii="Arial" w:cs="Arial" w:eastAsia="Arial" w:hAnsi="Arial"/>
                <w:sz w:val="14"/>
                <w:szCs w:val="14"/>
                <w:b w:val="1"/>
                <w:bCs w:val="1"/>
                <w:color w:val="auto"/>
                <w:w w:val="96"/>
              </w:rPr>
              <w:t>2016</w:t>
            </w:r>
          </w:p>
        </w:tc>
        <w:tc>
          <w:tcPr>
            <w:tcW w:w="2160" w:type="dxa"/>
            <w:vAlign w:val="bottom"/>
          </w:tcPr>
          <w:p>
            <w:pPr>
              <w:spacing w:after="0"/>
              <w:rPr>
                <w:sz w:val="16"/>
                <w:szCs w:val="16"/>
                <w:color w:val="auto"/>
              </w:rPr>
            </w:pPr>
          </w:p>
        </w:tc>
      </w:tr>
      <w:tr>
        <w:trPr>
          <w:trHeight w:val="142"/>
        </w:trPr>
        <w:tc>
          <w:tcPr>
            <w:tcW w:w="12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960" w:type="dxa"/>
            <w:vAlign w:val="bottom"/>
            <w:tcBorders>
              <w:top w:val="single" w:sz="8" w:color="auto"/>
            </w:tcBorders>
          </w:tcPr>
          <w:p>
            <w:pPr>
              <w:spacing w:after="0"/>
              <w:rPr>
                <w:sz w:val="12"/>
                <w:szCs w:val="12"/>
                <w:color w:val="auto"/>
              </w:rPr>
            </w:pPr>
          </w:p>
        </w:tc>
        <w:tc>
          <w:tcPr>
            <w:tcW w:w="2160" w:type="dxa"/>
            <w:vAlign w:val="bottom"/>
          </w:tcPr>
          <w:p>
            <w:pPr>
              <w:spacing w:after="0"/>
              <w:rPr>
                <w:sz w:val="12"/>
                <w:szCs w:val="12"/>
                <w:color w:val="auto"/>
              </w:rPr>
            </w:pPr>
          </w:p>
        </w:tc>
      </w:tr>
      <w:tr>
        <w:trPr>
          <w:trHeight w:val="216"/>
        </w:trPr>
        <w:tc>
          <w:tcPr>
            <w:tcW w:w="12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Condition Data:</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3940" w:type="dxa"/>
            <w:vAlign w:val="bottom"/>
          </w:tcPr>
          <w:p>
            <w:pPr>
              <w:spacing w:after="0" w:line="230"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6"/>
                <w:szCs w:val="26"/>
                <w:color w:val="auto"/>
                <w:vertAlign w:val="superscript"/>
              </w:rPr>
              <w:t>(5)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410,104</w:t>
            </w:r>
          </w:p>
        </w:tc>
        <w:tc>
          <w:tcPr>
            <w:tcW w:w="100" w:type="dxa"/>
            <w:vAlign w:val="bottom"/>
            <w:tcBorders>
              <w:right w:val="single" w:sz="8" w:color="auto"/>
            </w:tcBorders>
          </w:tcPr>
          <w:p>
            <w:pPr>
              <w:spacing w:after="0"/>
              <w:rPr>
                <w:sz w:val="19"/>
                <w:szCs w:val="19"/>
                <w:color w:val="auto"/>
              </w:rPr>
            </w:pPr>
          </w:p>
        </w:tc>
        <w:tc>
          <w:tcPr>
            <w:tcW w:w="1060" w:type="dxa"/>
            <w:vAlign w:val="bottom"/>
            <w:gridSpan w:val="3"/>
          </w:tcPr>
          <w:p>
            <w:pPr>
              <w:jc w:val="right"/>
              <w:ind w:right="48"/>
              <w:spacing w:after="0"/>
              <w:rPr>
                <w:sz w:val="20"/>
                <w:szCs w:val="20"/>
                <w:color w:val="auto"/>
              </w:rPr>
            </w:pPr>
            <w:r>
              <w:rPr>
                <w:rFonts w:ascii="Arial" w:cs="Arial" w:eastAsia="Arial" w:hAnsi="Arial"/>
                <w:sz w:val="18"/>
                <w:szCs w:val="18"/>
                <w:color w:val="auto"/>
              </w:rPr>
              <w:t>$  352,598</w:t>
            </w:r>
          </w:p>
        </w:tc>
        <w:tc>
          <w:tcPr>
            <w:tcW w:w="960" w:type="dxa"/>
            <w:vAlign w:val="bottom"/>
          </w:tcPr>
          <w:p>
            <w:pPr>
              <w:jc w:val="right"/>
              <w:spacing w:after="0"/>
              <w:rPr>
                <w:sz w:val="20"/>
                <w:szCs w:val="20"/>
                <w:color w:val="auto"/>
              </w:rPr>
            </w:pPr>
            <w:r>
              <w:rPr>
                <w:rFonts w:ascii="Arial" w:cs="Arial" w:eastAsia="Arial" w:hAnsi="Arial"/>
                <w:sz w:val="18"/>
                <w:szCs w:val="18"/>
                <w:color w:val="auto"/>
              </w:rPr>
              <w:t>$  324,074</w:t>
            </w:r>
          </w:p>
        </w:tc>
        <w:tc>
          <w:tcPr>
            <w:tcW w:w="216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4,997,139</w:t>
            </w:r>
          </w:p>
        </w:tc>
        <w:tc>
          <w:tcPr>
            <w:tcW w:w="100" w:type="dxa"/>
            <w:vAlign w:val="bottom"/>
            <w:tcBorders>
              <w:right w:val="single" w:sz="8" w:color="auto"/>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1,316,887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1,320,732</w:t>
            </w:r>
          </w:p>
        </w:tc>
        <w:tc>
          <w:tcPr>
            <w:tcW w:w="21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410,626</w:t>
            </w:r>
          </w:p>
        </w:tc>
        <w:tc>
          <w:tcPr>
            <w:tcW w:w="100" w:type="dxa"/>
            <w:vAlign w:val="bottom"/>
            <w:tcBorders>
              <w:right w:val="single" w:sz="8" w:color="auto"/>
            </w:tcBorders>
          </w:tcPr>
          <w:p>
            <w:pPr>
              <w:spacing w:after="0"/>
              <w:rPr>
                <w:sz w:val="18"/>
                <w:szCs w:val="18"/>
                <w:color w:val="auto"/>
              </w:rPr>
            </w:pPr>
          </w:p>
        </w:tc>
        <w:tc>
          <w:tcPr>
            <w:tcW w:w="1060" w:type="dxa"/>
            <w:vAlign w:val="bottom"/>
            <w:gridSpan w:val="3"/>
          </w:tcPr>
          <w:p>
            <w:pPr>
              <w:jc w:val="right"/>
              <w:ind w:right="48"/>
              <w:spacing w:after="0"/>
              <w:rPr>
                <w:sz w:val="20"/>
                <w:szCs w:val="20"/>
                <w:color w:val="auto"/>
              </w:rPr>
            </w:pPr>
            <w:r>
              <w:rPr>
                <w:rFonts w:ascii="Arial" w:cs="Arial" w:eastAsia="Arial" w:hAnsi="Arial"/>
                <w:sz w:val="18"/>
                <w:szCs w:val="18"/>
                <w:color w:val="auto"/>
              </w:rPr>
              <w:t>317,118</w:t>
            </w:r>
          </w:p>
        </w:tc>
        <w:tc>
          <w:tcPr>
            <w:tcW w:w="960" w:type="dxa"/>
            <w:vAlign w:val="bottom"/>
          </w:tcPr>
          <w:p>
            <w:pPr>
              <w:jc w:val="right"/>
              <w:spacing w:after="0"/>
              <w:rPr>
                <w:sz w:val="20"/>
                <w:szCs w:val="20"/>
                <w:color w:val="auto"/>
              </w:rPr>
            </w:pPr>
            <w:r>
              <w:rPr>
                <w:rFonts w:ascii="Arial" w:cs="Arial" w:eastAsia="Arial" w:hAnsi="Arial"/>
                <w:sz w:val="18"/>
                <w:szCs w:val="18"/>
                <w:color w:val="auto"/>
              </w:rPr>
              <w:t>283,319</w:t>
            </w:r>
          </w:p>
        </w:tc>
        <w:tc>
          <w:tcPr>
            <w:tcW w:w="2160" w:type="dxa"/>
            <w:vAlign w:val="bottom"/>
          </w:tcPr>
          <w:p>
            <w:pPr>
              <w:spacing w:after="0"/>
              <w:rPr>
                <w:sz w:val="18"/>
                <w:szCs w:val="18"/>
                <w:color w:val="auto"/>
              </w:rPr>
            </w:pPr>
          </w:p>
        </w:tc>
      </w:tr>
      <w:tr>
        <w:trPr>
          <w:trHeight w:val="250"/>
        </w:trPr>
        <w:tc>
          <w:tcPr>
            <w:tcW w:w="1260" w:type="dxa"/>
            <w:vAlign w:val="bottom"/>
          </w:tcPr>
          <w:p>
            <w:pPr>
              <w:spacing w:after="0"/>
              <w:rPr>
                <w:sz w:val="21"/>
                <w:szCs w:val="21"/>
                <w:color w:val="auto"/>
              </w:rPr>
            </w:pPr>
          </w:p>
        </w:tc>
        <w:tc>
          <w:tcPr>
            <w:tcW w:w="3940" w:type="dxa"/>
            <w:vAlign w:val="bottom"/>
            <w:shd w:val="clear" w:color="auto" w:fill="CCEEFF"/>
          </w:tcPr>
          <w:p>
            <w:pPr>
              <w:spacing w:after="0" w:line="230" w:lineRule="exact"/>
              <w:rPr>
                <w:sz w:val="20"/>
                <w:szCs w:val="20"/>
                <w:color w:val="auto"/>
              </w:rPr>
            </w:pPr>
            <w:r>
              <w:rPr>
                <w:rFonts w:ascii="Arial" w:cs="Arial" w:eastAsia="Arial" w:hAnsi="Arial"/>
                <w:sz w:val="17"/>
                <w:szCs w:val="17"/>
                <w:color w:val="auto"/>
              </w:rPr>
              <w:t>Total members’ capital</w:t>
            </w:r>
            <w:r>
              <w:rPr>
                <w:rFonts w:ascii="Arial" w:cs="Arial" w:eastAsia="Arial" w:hAnsi="Arial"/>
                <w:sz w:val="26"/>
                <w:szCs w:val="26"/>
                <w:color w:val="auto"/>
                <w:vertAlign w:val="superscript"/>
              </w:rPr>
              <w:t>(5)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4,572,334</w:t>
            </w:r>
          </w:p>
        </w:tc>
        <w:tc>
          <w:tcPr>
            <w:tcW w:w="100" w:type="dxa"/>
            <w:vAlign w:val="bottom"/>
            <w:tcBorders>
              <w:right w:val="single" w:sz="8" w:color="auto"/>
            </w:tcBorders>
            <w:shd w:val="clear" w:color="auto" w:fill="CCEEFF"/>
          </w:tcPr>
          <w:p>
            <w:pPr>
              <w:spacing w:after="0"/>
              <w:rPr>
                <w:sz w:val="21"/>
                <w:szCs w:val="21"/>
                <w:color w:val="auto"/>
              </w:rPr>
            </w:pPr>
          </w:p>
        </w:tc>
        <w:tc>
          <w:tcPr>
            <w:tcW w:w="10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986,468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1,024,759</w:t>
            </w:r>
          </w:p>
        </w:tc>
        <w:tc>
          <w:tcPr>
            <w:tcW w:w="2160" w:type="dxa"/>
            <w:vAlign w:val="bottom"/>
          </w:tcPr>
          <w:p>
            <w:pPr>
              <w:spacing w:after="0"/>
              <w:rPr>
                <w:sz w:val="21"/>
                <w:szCs w:val="21"/>
                <w:color w:val="auto"/>
              </w:rPr>
            </w:pPr>
          </w:p>
        </w:tc>
      </w:tr>
      <w:tr>
        <w:trPr>
          <w:trHeight w:val="493"/>
        </w:trPr>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0" w:type="dxa"/>
            <w:vAlign w:val="bottom"/>
          </w:tcPr>
          <w:p>
            <w:pPr>
              <w:jc w:val="right"/>
              <w:ind w:right="54"/>
              <w:spacing w:after="0"/>
              <w:rPr>
                <w:sz w:val="20"/>
                <w:szCs w:val="20"/>
                <w:color w:val="auto"/>
              </w:rPr>
            </w:pPr>
            <w:r>
              <w:rPr>
                <w:rFonts w:ascii="Arial" w:cs="Arial" w:eastAsia="Arial" w:hAnsi="Arial"/>
                <w:sz w:val="18"/>
                <w:szCs w:val="18"/>
                <w:color w:val="auto"/>
              </w:rPr>
              <w:t>77</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-5085080</wp:posOffset>
            </wp:positionV>
            <wp:extent cx="24955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-1388745</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-1388745</wp:posOffset>
            </wp:positionV>
            <wp:extent cx="1289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88" w:name="page89"/>
    <w:bookmarkEnd w:id="8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tcPr>
          <w:p>
            <w:pPr>
              <w:jc w:val="right"/>
              <w:ind w:right="418"/>
              <w:spacing w:after="0"/>
              <w:rPr>
                <w:sz w:val="20"/>
                <w:szCs w:val="20"/>
                <w:color w:val="auto"/>
              </w:rPr>
            </w:pPr>
            <w:r>
              <w:rPr>
                <w:rFonts w:ascii="Arial" w:cs="Arial" w:eastAsia="Arial" w:hAnsi="Arial"/>
                <w:sz w:val="14"/>
                <w:szCs w:val="14"/>
                <w:b w:val="1"/>
                <w:bCs w:val="1"/>
                <w:color w:val="auto"/>
              </w:rPr>
              <w:t>Tradeweb Markets LLC</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98"/>
        </w:trPr>
        <w:tc>
          <w:tcPr>
            <w:tcW w:w="3820" w:type="dxa"/>
            <w:vAlign w:val="bottom"/>
          </w:tcPr>
          <w:p>
            <w:pPr>
              <w:spacing w:after="0"/>
              <w:rPr>
                <w:sz w:val="17"/>
                <w:szCs w:val="17"/>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center"/>
              <w:ind w:right="198"/>
              <w:spacing w:after="0"/>
              <w:rPr>
                <w:sz w:val="20"/>
                <w:szCs w:val="20"/>
                <w:color w:val="auto"/>
              </w:rPr>
            </w:pPr>
            <w:r>
              <w:rPr>
                <w:rFonts w:ascii="Arial" w:cs="Arial" w:eastAsia="Arial" w:hAnsi="Arial"/>
                <w:sz w:val="14"/>
                <w:szCs w:val="14"/>
                <w:b w:val="1"/>
                <w:bCs w:val="1"/>
                <w:color w:val="auto"/>
                <w:w w:val="87"/>
              </w:rPr>
              <w:t>Predecessor</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6"/>
        </w:trPr>
        <w:tc>
          <w:tcPr>
            <w:tcW w:w="3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73"/>
        </w:trPr>
        <w:tc>
          <w:tcPr>
            <w:tcW w:w="3820" w:type="dxa"/>
            <w:vAlign w:val="bottom"/>
          </w:tcPr>
          <w:p>
            <w:pPr>
              <w:spacing w:after="0"/>
              <w:rPr>
                <w:sz w:val="15"/>
                <w:szCs w:val="15"/>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Pr>
          <w:p>
            <w:pPr>
              <w:spacing w:after="0"/>
              <w:rPr>
                <w:sz w:val="15"/>
                <w:szCs w:val="15"/>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2"/>
              </w:rPr>
              <w:t>January 1,</w:t>
            </w: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2"/>
        </w:trPr>
        <w:tc>
          <w:tcPr>
            <w:tcW w:w="382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1"/>
              </w:rPr>
              <w:t>2018 to</w:t>
            </w:r>
          </w:p>
        </w:tc>
        <w:tc>
          <w:tcPr>
            <w:tcW w:w="114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Year Ended</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82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1"/>
              </w:rPr>
              <w:t>September 30,</w:t>
            </w:r>
          </w:p>
        </w:tc>
        <w:tc>
          <w:tcPr>
            <w:tcW w:w="2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December 31,    December 31,</w:t>
            </w:r>
          </w:p>
        </w:tc>
      </w:tr>
      <w:tr>
        <w:trPr>
          <w:trHeight w:val="186"/>
        </w:trPr>
        <w:tc>
          <w:tcPr>
            <w:tcW w:w="38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right w:val="single" w:sz="8" w:color="auto"/>
            </w:tcBorders>
          </w:tcPr>
          <w:p>
            <w:pPr>
              <w:spacing w:after="0"/>
              <w:rPr>
                <w:sz w:val="16"/>
                <w:szCs w:val="16"/>
                <w:color w:val="auto"/>
              </w:rPr>
            </w:pPr>
          </w:p>
        </w:tc>
        <w:tc>
          <w:tcPr>
            <w:tcW w:w="122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Pr>
          <w:p>
            <w:pPr>
              <w:jc w:val="right"/>
              <w:ind w:right="21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4"/>
        </w:trPr>
        <w:tc>
          <w:tcPr>
            <w:tcW w:w="3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63"/>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88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70"/>
        </w:trPr>
        <w:tc>
          <w:tcPr>
            <w:tcW w:w="3820" w:type="dxa"/>
            <w:vAlign w:val="bottom"/>
          </w:tcPr>
          <w:p>
            <w:pPr>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7"/>
                <w:szCs w:val="27"/>
                <w:color w:val="auto"/>
                <w:vertAlign w:val="superscript"/>
              </w:rPr>
              <w:t>(6)</w:t>
            </w:r>
          </w:p>
        </w:tc>
        <w:tc>
          <w:tcPr>
            <w:tcW w:w="880" w:type="dxa"/>
            <w:vAlign w:val="bottom"/>
          </w:tcPr>
          <w:p>
            <w:pPr>
              <w:jc w:val="right"/>
              <w:ind w:right="60"/>
              <w:spacing w:after="0"/>
              <w:rPr>
                <w:sz w:val="20"/>
                <w:szCs w:val="20"/>
                <w:color w:val="auto"/>
              </w:rPr>
            </w:pPr>
            <w:r>
              <w:rPr>
                <w:rFonts w:ascii="Arial" w:cs="Arial" w:eastAsia="Arial" w:hAnsi="Arial"/>
                <w:sz w:val="18"/>
                <w:szCs w:val="18"/>
                <w:color w:val="auto"/>
              </w:rPr>
              <w:t>$ 96,310</w:t>
            </w:r>
          </w:p>
        </w:tc>
        <w:tc>
          <w:tcPr>
            <w:tcW w:w="100" w:type="dxa"/>
            <w:vAlign w:val="bottom"/>
            <w:tcBorders>
              <w:right w:val="single" w:sz="8" w:color="auto"/>
            </w:tcBorders>
          </w:tcPr>
          <w:p>
            <w:pPr>
              <w:spacing w:after="0"/>
              <w:rPr>
                <w:sz w:val="23"/>
                <w:szCs w:val="23"/>
                <w:color w:val="auto"/>
              </w:rPr>
            </w:pPr>
          </w:p>
        </w:tc>
        <w:tc>
          <w:tcPr>
            <w:tcW w:w="1220" w:type="dxa"/>
            <w:vAlign w:val="bottom"/>
            <w:gridSpan w:val="3"/>
          </w:tcPr>
          <w:p>
            <w:pPr>
              <w:jc w:val="right"/>
              <w:ind w:right="248"/>
              <w:spacing w:after="0"/>
              <w:rPr>
                <w:sz w:val="20"/>
                <w:szCs w:val="20"/>
                <w:color w:val="auto"/>
              </w:rPr>
            </w:pPr>
            <w:r>
              <w:rPr>
                <w:rFonts w:ascii="Arial" w:cs="Arial" w:eastAsia="Arial" w:hAnsi="Arial"/>
                <w:sz w:val="18"/>
                <w:szCs w:val="18"/>
                <w:color w:val="auto"/>
              </w:rPr>
              <w:t>$ 138,978</w:t>
            </w:r>
          </w:p>
        </w:tc>
        <w:tc>
          <w:tcPr>
            <w:tcW w:w="1140" w:type="dxa"/>
            <w:vAlign w:val="bottom"/>
          </w:tcPr>
          <w:p>
            <w:pPr>
              <w:jc w:val="right"/>
              <w:ind w:right="258"/>
              <w:spacing w:after="0"/>
              <w:rPr>
                <w:sz w:val="20"/>
                <w:szCs w:val="20"/>
                <w:color w:val="auto"/>
              </w:rPr>
            </w:pPr>
            <w:r>
              <w:rPr>
                <w:rFonts w:ascii="Arial" w:cs="Arial" w:eastAsia="Arial" w:hAnsi="Arial"/>
                <w:sz w:val="18"/>
                <w:szCs w:val="18"/>
                <w:color w:val="auto"/>
                <w:w w:val="97"/>
              </w:rPr>
              <w:t>$ 183,962</w:t>
            </w:r>
          </w:p>
        </w:tc>
        <w:tc>
          <w:tcPr>
            <w:tcW w:w="840" w:type="dxa"/>
            <w:vAlign w:val="bottom"/>
          </w:tcPr>
          <w:p>
            <w:pPr>
              <w:jc w:val="right"/>
              <w:ind w:right="17"/>
              <w:spacing w:after="0"/>
              <w:rPr>
                <w:sz w:val="20"/>
                <w:szCs w:val="20"/>
                <w:color w:val="auto"/>
              </w:rPr>
            </w:pPr>
            <w:r>
              <w:rPr>
                <w:rFonts w:ascii="Arial" w:cs="Arial" w:eastAsia="Arial" w:hAnsi="Arial"/>
                <w:sz w:val="18"/>
                <w:szCs w:val="18"/>
                <w:color w:val="auto"/>
                <w:w w:val="89"/>
              </w:rPr>
              <w:t>$ 136,496</w:t>
            </w:r>
          </w:p>
        </w:tc>
        <w:tc>
          <w:tcPr>
            <w:tcW w:w="220" w:type="dxa"/>
            <w:vAlign w:val="bottom"/>
          </w:tcPr>
          <w:p>
            <w:pPr>
              <w:spacing w:after="0"/>
              <w:rPr>
                <w:sz w:val="23"/>
                <w:szCs w:val="23"/>
                <w:color w:val="auto"/>
              </w:rPr>
            </w:pPr>
          </w:p>
        </w:tc>
      </w:tr>
      <w:tr>
        <w:trPr>
          <w:trHeight w:val="270"/>
        </w:trPr>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7"/>
                <w:szCs w:val="27"/>
                <w:color w:val="auto"/>
                <w:vertAlign w:val="superscript"/>
              </w:rPr>
              <w:t>(7)</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$ 65,218</w:t>
            </w:r>
          </w:p>
        </w:tc>
        <w:tc>
          <w:tcPr>
            <w:tcW w:w="100" w:type="dxa"/>
            <w:vAlign w:val="bottom"/>
            <w:tcBorders>
              <w:right w:val="single" w:sz="8" w:color="auto"/>
            </w:tcBorders>
            <w:shd w:val="clear" w:color="auto" w:fill="CCEEFF"/>
          </w:tcPr>
          <w:p>
            <w:pPr>
              <w:spacing w:after="0"/>
              <w:rPr>
                <w:sz w:val="23"/>
                <w:szCs w:val="23"/>
                <w:color w:val="auto"/>
              </w:rPr>
            </w:pPr>
          </w:p>
        </w:tc>
        <w:tc>
          <w:tcPr>
            <w:tcW w:w="12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$ 215,012</w:t>
            </w:r>
          </w:p>
        </w:tc>
        <w:tc>
          <w:tcPr>
            <w:tcW w:w="11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97"/>
              </w:rPr>
              <w:t>$ 215,863</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9"/>
              </w:rPr>
              <w:t>$ 202,086</w:t>
            </w:r>
          </w:p>
        </w:tc>
        <w:tc>
          <w:tcPr>
            <w:tcW w:w="220" w:type="dxa"/>
            <w:vAlign w:val="bottom"/>
            <w:shd w:val="clear" w:color="auto" w:fill="CCEEFF"/>
          </w:tcPr>
          <w:p>
            <w:pPr>
              <w:spacing w:after="0"/>
              <w:rPr>
                <w:sz w:val="23"/>
                <w:szCs w:val="23"/>
                <w:color w:val="auto"/>
              </w:rPr>
            </w:pPr>
          </w:p>
        </w:tc>
      </w:tr>
      <w:tr>
        <w:trPr>
          <w:trHeight w:val="270"/>
        </w:trPr>
        <w:tc>
          <w:tcPr>
            <w:tcW w:w="3820" w:type="dxa"/>
            <w:vAlign w:val="bottom"/>
          </w:tcPr>
          <w:p>
            <w:pPr>
              <w:spacing w:after="0" w:line="27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7"/>
                <w:szCs w:val="27"/>
                <w:color w:val="auto"/>
                <w:vertAlign w:val="superscript"/>
              </w:rPr>
              <w:t>(7)</w:t>
            </w: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36.5%</w:t>
            </w:r>
          </w:p>
        </w:tc>
        <w:tc>
          <w:tcPr>
            <w:tcW w:w="1220" w:type="dxa"/>
            <w:vAlign w:val="bottom"/>
            <w:gridSpan w:val="3"/>
          </w:tcPr>
          <w:p>
            <w:pPr>
              <w:jc w:val="right"/>
              <w:ind w:right="88"/>
              <w:spacing w:after="0"/>
              <w:rPr>
                <w:sz w:val="20"/>
                <w:szCs w:val="20"/>
                <w:color w:val="auto"/>
              </w:rPr>
            </w:pPr>
            <w:r>
              <w:rPr>
                <w:rFonts w:ascii="Arial" w:cs="Arial" w:eastAsia="Arial" w:hAnsi="Arial"/>
                <w:sz w:val="18"/>
                <w:szCs w:val="18"/>
                <w:color w:val="auto"/>
              </w:rPr>
              <w:t>42.5%</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38.3%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r>
      <w:tr>
        <w:trPr>
          <w:trHeight w:val="290"/>
        </w:trPr>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7"/>
                <w:szCs w:val="27"/>
                <w:color w:val="auto"/>
                <w:vertAlign w:val="superscript"/>
              </w:rPr>
              <w:t>(7)</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$ 51,983</w:t>
            </w:r>
          </w:p>
        </w:tc>
        <w:tc>
          <w:tcPr>
            <w:tcW w:w="100" w:type="dxa"/>
            <w:vAlign w:val="bottom"/>
            <w:tcBorders>
              <w:right w:val="single" w:sz="8" w:color="auto"/>
            </w:tcBorders>
            <w:shd w:val="clear" w:color="auto" w:fill="CCEEFF"/>
          </w:tcPr>
          <w:p>
            <w:pPr>
              <w:spacing w:after="0"/>
              <w:rPr>
                <w:sz w:val="24"/>
                <w:szCs w:val="24"/>
                <w:color w:val="auto"/>
              </w:rPr>
            </w:pPr>
          </w:p>
        </w:tc>
        <w:tc>
          <w:tcPr>
            <w:tcW w:w="12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$ 175,606</w:t>
            </w:r>
          </w:p>
        </w:tc>
        <w:tc>
          <w:tcPr>
            <w:tcW w:w="11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97"/>
              </w:rPr>
              <w:t>$ 173,040</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9"/>
              </w:rPr>
              <w:t>$ 162,382</w:t>
            </w:r>
          </w:p>
        </w:tc>
        <w:tc>
          <w:tcPr>
            <w:tcW w:w="220" w:type="dxa"/>
            <w:vAlign w:val="bottom"/>
            <w:shd w:val="clear" w:color="auto" w:fill="CCEEFF"/>
          </w:tcPr>
          <w:p>
            <w:pPr>
              <w:spacing w:after="0"/>
              <w:rPr>
                <w:sz w:val="24"/>
                <w:szCs w:val="24"/>
                <w:color w:val="auto"/>
              </w:rPr>
            </w:pPr>
          </w:p>
        </w:tc>
      </w:tr>
      <w:tr>
        <w:trPr>
          <w:trHeight w:val="346"/>
        </w:trPr>
        <w:tc>
          <w:tcPr>
            <w:tcW w:w="3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Tradeweb Markets LLC</w:t>
            </w:r>
          </w:p>
        </w:tc>
      </w:tr>
      <w:tr>
        <w:trPr>
          <w:trHeight w:val="26"/>
        </w:trPr>
        <w:tc>
          <w:tcPr>
            <w:tcW w:w="3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173"/>
        </w:trPr>
        <w:tc>
          <w:tcPr>
            <w:tcW w:w="3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1140" w:type="dxa"/>
            <w:vAlign w:val="bottom"/>
          </w:tcPr>
          <w:p>
            <w:pPr>
              <w:jc w:val="center"/>
              <w:ind w:left="178"/>
              <w:spacing w:after="0"/>
              <w:rPr>
                <w:sz w:val="20"/>
                <w:szCs w:val="20"/>
                <w:color w:val="auto"/>
              </w:rPr>
            </w:pPr>
            <w:r>
              <w:rPr>
                <w:rFonts w:ascii="Arial" w:cs="Arial" w:eastAsia="Arial" w:hAnsi="Arial"/>
                <w:sz w:val="14"/>
                <w:szCs w:val="14"/>
                <w:b w:val="1"/>
                <w:bCs w:val="1"/>
                <w:color w:val="auto"/>
                <w:w w:val="93"/>
              </w:rPr>
              <w:t>Year Ended</w:t>
            </w:r>
          </w:p>
        </w:tc>
        <w:tc>
          <w:tcPr>
            <w:tcW w:w="106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w w:val="98"/>
              </w:rPr>
              <w:t>December 31,   December 31,</w:t>
            </w:r>
          </w:p>
        </w:tc>
        <w:tc>
          <w:tcPr>
            <w:tcW w:w="106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140" w:type="dxa"/>
            <w:vAlign w:val="bottom"/>
          </w:tcPr>
          <w:p>
            <w:pPr>
              <w:jc w:val="center"/>
              <w:ind w:left="198"/>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Pr>
          <w:p>
            <w:pPr>
              <w:jc w:val="center"/>
              <w:ind w:left="357"/>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4"/>
        </w:trPr>
        <w:tc>
          <w:tcPr>
            <w:tcW w:w="3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center"/>
              <w:ind w:left="198"/>
              <w:spacing w:after="0"/>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8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57"/>
        </w:trPr>
        <w:tc>
          <w:tcPr>
            <w:tcW w:w="3820" w:type="dxa"/>
            <w:vAlign w:val="bottom"/>
          </w:tcPr>
          <w:p>
            <w:pPr>
              <w:spacing w:after="0"/>
              <w:rPr>
                <w:sz w:val="20"/>
                <w:szCs w:val="20"/>
                <w:color w:val="auto"/>
              </w:rPr>
            </w:pPr>
            <w:r>
              <w:rPr>
                <w:rFonts w:ascii="Arial" w:cs="Arial" w:eastAsia="Arial" w:hAnsi="Arial"/>
                <w:sz w:val="18"/>
                <w:szCs w:val="18"/>
                <w:color w:val="auto"/>
              </w:rPr>
              <w:t>Average Daily Volumes:</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Rates</w:t>
            </w:r>
          </w:p>
        </w:tc>
        <w:tc>
          <w:tcPr>
            <w:tcW w:w="88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$354,999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$254,103</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$219,475</w:t>
            </w: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Credit</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12,658</w:t>
            </w:r>
          </w:p>
        </w:tc>
        <w:tc>
          <w:tcPr>
            <w:tcW w:w="1140" w:type="dxa"/>
            <w:vAlign w:val="bottom"/>
          </w:tcPr>
          <w:p>
            <w:pPr>
              <w:jc w:val="right"/>
              <w:spacing w:after="0"/>
              <w:rPr>
                <w:sz w:val="20"/>
                <w:szCs w:val="20"/>
                <w:color w:val="auto"/>
              </w:rPr>
            </w:pPr>
            <w:r>
              <w:rPr>
                <w:rFonts w:ascii="Arial" w:cs="Arial" w:eastAsia="Arial" w:hAnsi="Arial"/>
                <w:sz w:val="18"/>
                <w:szCs w:val="18"/>
                <w:color w:val="auto"/>
              </w:rPr>
              <w:t>7,554</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5,954</w:t>
            </w:r>
          </w:p>
        </w:tc>
      </w:tr>
      <w:tr>
        <w:trPr>
          <w:trHeight w:val="27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Equities</w:t>
            </w:r>
          </w:p>
        </w:tc>
        <w:tc>
          <w:tcPr>
            <w:tcW w:w="88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4,523</w:t>
            </w: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Money markets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173,743</w:t>
            </w:r>
          </w:p>
        </w:tc>
        <w:tc>
          <w:tcPr>
            <w:tcW w:w="1140" w:type="dxa"/>
            <w:vAlign w:val="bottom"/>
          </w:tcPr>
          <w:p>
            <w:pPr>
              <w:jc w:val="right"/>
              <w:spacing w:after="0"/>
              <w:rPr>
                <w:sz w:val="20"/>
                <w:szCs w:val="20"/>
                <w:color w:val="auto"/>
              </w:rPr>
            </w:pPr>
            <w:r>
              <w:rPr>
                <w:rFonts w:ascii="Arial" w:cs="Arial" w:eastAsia="Arial" w:hAnsi="Arial"/>
                <w:sz w:val="18"/>
                <w:szCs w:val="18"/>
                <w:color w:val="auto"/>
              </w:rPr>
              <w:t>132,105</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94,324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-2769235</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-2769235</wp:posOffset>
            </wp:positionV>
            <wp:extent cx="137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-2769235</wp:posOffset>
            </wp:positionV>
            <wp:extent cx="1289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-1165860</wp:posOffset>
            </wp:positionV>
            <wp:extent cx="137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-1165860</wp:posOffset>
            </wp:positionV>
            <wp:extent cx="137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right="1280" w:hanging="352"/>
        <w:spacing w:after="0" w:line="264"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Subscription fees for the 2018 Successor Period, the 2018 Predecessor Period and the years ended December 31, 2017 and 2016 include $13.5 million, $36.9 million, $50.1 million and $50.6 million, respectively, of Refinitiv (formerly Thomson Reuters) market data fees.</w:t>
      </w:r>
    </w:p>
    <w:p>
      <w:pPr>
        <w:spacing w:after="0" w:line="140" w:lineRule="exact"/>
        <w:rPr>
          <w:rFonts w:ascii="Arial" w:cs="Arial" w:eastAsia="Arial" w:hAnsi="Arial"/>
          <w:sz w:val="18"/>
          <w:szCs w:val="18"/>
          <w:color w:val="auto"/>
        </w:rPr>
      </w:pPr>
    </w:p>
    <w:p>
      <w:pPr>
        <w:ind w:left="1620" w:right="1420" w:hanging="352"/>
        <w:spacing w:after="0" w:line="257"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revenues for the periods presented.</w:t>
      </w:r>
    </w:p>
    <w:p>
      <w:pPr>
        <w:spacing w:after="0" w:line="147" w:lineRule="exact"/>
        <w:rPr>
          <w:rFonts w:ascii="Arial" w:cs="Arial" w:eastAsia="Arial" w:hAnsi="Arial"/>
          <w:sz w:val="18"/>
          <w:szCs w:val="18"/>
          <w:color w:val="auto"/>
        </w:rPr>
      </w:pPr>
    </w:p>
    <w:p>
      <w:pPr>
        <w:ind w:left="1620" w:right="1620" w:hanging="352"/>
        <w:spacing w:after="0" w:line="312" w:lineRule="auto"/>
        <w:tabs>
          <w:tab w:leader="none" w:pos="1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106" w:lineRule="exact"/>
        <w:rPr>
          <w:rFonts w:ascii="Arial" w:cs="Arial" w:eastAsia="Arial" w:hAnsi="Arial"/>
          <w:sz w:val="16"/>
          <w:szCs w:val="16"/>
          <w:color w:val="auto"/>
        </w:rPr>
      </w:pPr>
    </w:p>
    <w:p>
      <w:pPr>
        <w:ind w:left="1620" w:right="1440" w:hanging="352"/>
        <w:spacing w:after="0" w:line="283" w:lineRule="auto"/>
        <w:tabs>
          <w:tab w:leader="none" w:pos="1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Distributions in the year preceding an initial public offering are deemed to be in contemplation of the offering with the intention of repayment out of offering proceeds to the extent that the distributions exceed earnings during such period. The supplemental pro forma information has been computed to give effect to the number of shares whose proceeds would be necessary to pay (i) the Special Distribution and (ii) the 2018 Distributions, but only to the extent the aggregate amount of these distributions exceed our earnings for the applicable preceding twelve-month period. The computations of the supplemental pro forma weighted average shares of Class A and Class B common stock outstanding and net income per share of Class A and Class B common stock are based on historical Tradeweb Markets LLC financial information, which as a limited liability company did not have any shares of Class A or Class B common stock</w:t>
      </w:r>
    </w:p>
    <w:p>
      <w:pPr>
        <w:spacing w:after="0" w:line="7" w:lineRule="exact"/>
        <w:rPr>
          <w:sz w:val="20"/>
          <w:szCs w:val="20"/>
          <w:color w:val="auto"/>
        </w:rPr>
      </w:pPr>
    </w:p>
    <w:p>
      <w:pPr>
        <w:ind w:left="1620" w:right="1540"/>
        <w:spacing w:after="0" w:line="281" w:lineRule="auto"/>
        <w:rPr>
          <w:sz w:val="20"/>
          <w:szCs w:val="20"/>
          <w:color w:val="auto"/>
        </w:rPr>
      </w:pPr>
      <w:r>
        <w:rPr>
          <w:rFonts w:ascii="Arial" w:cs="Arial" w:eastAsia="Arial" w:hAnsi="Arial"/>
          <w:sz w:val="16"/>
          <w:szCs w:val="16"/>
          <w:color w:val="auto"/>
        </w:rPr>
        <w:t>outstanding during the year ended December 31, 2018. The supplemental pro forma weighted average shares of Class A and Class B common stock outstanding during the year ended December 31, 2018 only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ind w:left="1620"/>
              <w:spacing w:after="0"/>
              <w:rPr>
                <w:sz w:val="20"/>
                <w:szCs w:val="20"/>
                <w:color w:val="auto"/>
              </w:rPr>
            </w:pPr>
            <w:r>
              <w:rPr>
                <w:rFonts w:ascii="Arial" w:cs="Arial" w:eastAsia="Arial" w:hAnsi="Arial"/>
                <w:sz w:val="18"/>
                <w:szCs w:val="18"/>
                <w:color w:val="auto"/>
              </w:rPr>
              <w:t>include</w:t>
            </w:r>
          </w:p>
        </w:tc>
        <w:tc>
          <w:tcPr>
            <w:tcW w:w="8260" w:type="dxa"/>
            <w:vAlign w:val="bottom"/>
          </w:tcPr>
          <w:p>
            <w:pPr>
              <w:jc w:val="right"/>
              <w:ind w:right="5550"/>
              <w:spacing w:after="0"/>
              <w:rPr>
                <w:sz w:val="20"/>
                <w:szCs w:val="20"/>
                <w:color w:val="auto"/>
              </w:rPr>
            </w:pPr>
            <w:r>
              <w:rPr>
                <w:rFonts w:ascii="Arial" w:cs="Arial" w:eastAsia="Arial" w:hAnsi="Arial"/>
                <w:sz w:val="18"/>
                <w:szCs w:val="18"/>
                <w:color w:val="auto"/>
              </w:rPr>
              <w:t>shares to pay such distributions.</w:t>
            </w:r>
          </w:p>
        </w:tc>
      </w:tr>
      <w:tr>
        <w:trPr>
          <w:trHeight w:val="485"/>
        </w:trPr>
        <w:tc>
          <w:tcPr>
            <w:tcW w:w="2480" w:type="dxa"/>
            <w:vAlign w:val="bottom"/>
          </w:tcPr>
          <w:p>
            <w:pPr>
              <w:spacing w:after="0"/>
              <w:rPr>
                <w:sz w:val="24"/>
                <w:szCs w:val="24"/>
                <w:color w:val="auto"/>
              </w:rPr>
            </w:pPr>
          </w:p>
        </w:tc>
        <w:tc>
          <w:tcPr>
            <w:tcW w:w="8260" w:type="dxa"/>
            <w:vAlign w:val="bottom"/>
          </w:tcPr>
          <w:p>
            <w:pPr>
              <w:jc w:val="right"/>
              <w:ind w:right="5190"/>
              <w:spacing w:after="0"/>
              <w:rPr>
                <w:sz w:val="20"/>
                <w:szCs w:val="20"/>
                <w:color w:val="auto"/>
              </w:rPr>
            </w:pPr>
            <w:r>
              <w:rPr>
                <w:rFonts w:ascii="Arial" w:cs="Arial" w:eastAsia="Arial" w:hAnsi="Arial"/>
                <w:sz w:val="18"/>
                <w:szCs w:val="18"/>
                <w:color w:val="auto"/>
              </w:rPr>
              <w:t>78</w:t>
            </w:r>
          </w:p>
        </w:tc>
      </w:tr>
      <w:tr>
        <w:trPr>
          <w:trHeight w:val="385"/>
        </w:trPr>
        <w:tc>
          <w:tcPr>
            <w:tcW w:w="2480" w:type="dxa"/>
            <w:vAlign w:val="bottom"/>
            <w:tcBorders>
              <w:bottom w:val="single" w:sz="8" w:color="9A9A9A"/>
            </w:tcBorders>
          </w:tcPr>
          <w:p>
            <w:pPr>
              <w:spacing w:after="0"/>
              <w:rPr>
                <w:sz w:val="24"/>
                <w:szCs w:val="24"/>
                <w:color w:val="auto"/>
              </w:rPr>
            </w:pPr>
          </w:p>
        </w:tc>
        <w:tc>
          <w:tcPr>
            <w:tcW w:w="8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89" w:name="page90"/>
    <w:bookmarkEnd w:id="8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620" w:right="899" w:hanging="352"/>
        <w:spacing w:after="0" w:line="264"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Cash and cash equivalents and total members’ capital do not reflect the $100.0 million special distribution expected to be paid to the Original LLC Owners prior to the consummation of this offering. See “Dividend Policy.”</w:t>
      </w:r>
    </w:p>
    <w:p>
      <w:pPr>
        <w:spacing w:after="0" w:line="32" w:lineRule="exact"/>
        <w:rPr>
          <w:rFonts w:ascii="Arial" w:cs="Arial" w:eastAsia="Arial" w:hAnsi="Arial"/>
          <w:sz w:val="18"/>
          <w:szCs w:val="18"/>
          <w:color w:val="auto"/>
        </w:rPr>
      </w:pPr>
    </w:p>
    <w:p>
      <w:pPr>
        <w:ind w:left="1620" w:right="1059" w:hanging="352"/>
        <w:spacing w:after="0" w:line="259"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20" w:right="839"/>
        <w:spacing w:after="0" w:line="259"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20" w:right="759"/>
        <w:spacing w:after="0" w:line="254" w:lineRule="auto"/>
        <w:rPr>
          <w:rFonts w:ascii="Arial" w:cs="Arial" w:eastAsia="Arial" w:hAnsi="Arial"/>
          <w:sz w:val="18"/>
          <w:szCs w:val="18"/>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4" w:lineRule="exact"/>
        <w:rPr>
          <w:rFonts w:ascii="Arial" w:cs="Arial" w:eastAsia="Arial" w:hAnsi="Arial"/>
          <w:sz w:val="18"/>
          <w:szCs w:val="18"/>
          <w:color w:val="auto"/>
        </w:rPr>
      </w:pPr>
    </w:p>
    <w:p>
      <w:pPr>
        <w:jc w:val="both"/>
        <w:ind w:left="1620" w:right="959"/>
        <w:spacing w:after="0" w:line="264" w:lineRule="auto"/>
        <w:rPr>
          <w:rFonts w:ascii="Arial" w:cs="Arial" w:eastAsia="Arial" w:hAnsi="Arial"/>
          <w:sz w:val="18"/>
          <w:szCs w:val="18"/>
          <w:color w:val="auto"/>
        </w:rPr>
      </w:pPr>
      <w:r>
        <w:rPr>
          <w:rFonts w:ascii="Arial" w:cs="Arial" w:eastAsia="Arial" w:hAnsi="Arial"/>
          <w:sz w:val="18"/>
          <w:szCs w:val="18"/>
          <w:color w:val="auto"/>
        </w:rPr>
        <w:t>The table set forth below presents a reconciliation of our cash flow from operating activities to Free Cash Flow for the 2018 Successor Period, the 2018 Predecessor Period and the years ended December 31, 2017 and 2016:</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Tradeweb Markets LLC</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Pr>
          <w:p>
            <w:pPr>
              <w:spacing w:after="0"/>
              <w:rPr>
                <w:sz w:val="15"/>
                <w:szCs w:val="15"/>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90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900" w:type="dxa"/>
            <w:vAlign w:val="bottom"/>
            <w:gridSpan w:val="2"/>
          </w:tcPr>
          <w:p>
            <w:pPr>
              <w:jc w:val="center"/>
              <w:ind w:left="13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112,556</w:t>
            </w:r>
          </w:p>
        </w:tc>
        <w:tc>
          <w:tcPr>
            <w:tcW w:w="8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$164,828</w:t>
            </w: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$ 224,580</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left="138"/>
              <w:spacing w:after="0"/>
              <w:rPr>
                <w:sz w:val="20"/>
                <w:szCs w:val="20"/>
                <w:color w:val="auto"/>
              </w:rPr>
            </w:pPr>
            <w:r>
              <w:rPr>
                <w:rFonts w:ascii="Arial" w:cs="Arial" w:eastAsia="Arial" w:hAnsi="Arial"/>
                <w:sz w:val="18"/>
                <w:szCs w:val="18"/>
                <w:color w:val="auto"/>
                <w:w w:val="84"/>
              </w:rPr>
              <w:t>$ 171,845</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Less: Capitalization of software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(7,156)</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(19,523)</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(27,157)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(25,351)</w:t>
            </w:r>
          </w:p>
        </w:tc>
        <w:tc>
          <w:tcPr>
            <w:tcW w:w="40" w:type="dxa"/>
            <w:vAlign w:val="bottom"/>
          </w:tcPr>
          <w:p>
            <w:pPr>
              <w:spacing w:after="0"/>
              <w:rPr>
                <w:sz w:val="20"/>
                <w:szCs w:val="20"/>
                <w:color w:val="auto"/>
              </w:rPr>
            </w:pPr>
          </w:p>
        </w:tc>
      </w:tr>
      <w:tr>
        <w:trPr>
          <w:trHeight w:val="23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8"/>
              </w:rPr>
              <w:t>Less: Purchases of furniture, equipment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7"/>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leasehold improvements</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(9,090)</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(6,327)</w:t>
            </w: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(13,461)</w:t>
            </w: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(9,998)</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50"/>
        </w:trPr>
        <w:tc>
          <w:tcPr>
            <w:tcW w:w="3160" w:type="dxa"/>
            <w:vAlign w:val="bottom"/>
          </w:tcPr>
          <w:p>
            <w:pPr>
              <w:spacing w:after="0"/>
              <w:rPr>
                <w:sz w:val="20"/>
                <w:szCs w:val="20"/>
                <w:color w:val="auto"/>
              </w:rPr>
            </w:pPr>
            <w:r>
              <w:rPr>
                <w:rFonts w:ascii="Arial" w:cs="Arial" w:eastAsia="Arial" w:hAnsi="Arial"/>
                <w:sz w:val="18"/>
                <w:szCs w:val="18"/>
                <w:color w:val="auto"/>
              </w:rPr>
              <w:t>Free Cash Flow</w:t>
            </w:r>
          </w:p>
        </w:tc>
        <w:tc>
          <w:tcPr>
            <w:tcW w:w="28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96,310</w:t>
            </w:r>
          </w:p>
        </w:tc>
        <w:tc>
          <w:tcPr>
            <w:tcW w:w="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138,978</w:t>
            </w: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$ 183,962</w:t>
            </w:r>
          </w:p>
        </w:tc>
        <w:tc>
          <w:tcPr>
            <w:tcW w:w="180" w:type="dxa"/>
            <w:vAlign w:val="bottom"/>
          </w:tcPr>
          <w:p>
            <w:pPr>
              <w:spacing w:after="0"/>
              <w:rPr>
                <w:sz w:val="21"/>
                <w:szCs w:val="21"/>
                <w:color w:val="auto"/>
              </w:rPr>
            </w:pPr>
          </w:p>
        </w:tc>
        <w:tc>
          <w:tcPr>
            <w:tcW w:w="900" w:type="dxa"/>
            <w:vAlign w:val="bottom"/>
            <w:gridSpan w:val="2"/>
          </w:tcPr>
          <w:p>
            <w:pPr>
              <w:jc w:val="center"/>
              <w:ind w:left="138"/>
              <w:spacing w:after="0"/>
              <w:rPr>
                <w:sz w:val="20"/>
                <w:szCs w:val="20"/>
                <w:color w:val="auto"/>
              </w:rPr>
            </w:pPr>
            <w:r>
              <w:rPr>
                <w:rFonts w:ascii="Arial" w:cs="Arial" w:eastAsia="Arial" w:hAnsi="Arial"/>
                <w:sz w:val="18"/>
                <w:szCs w:val="18"/>
                <w:color w:val="auto"/>
                <w:w w:val="84"/>
              </w:rPr>
              <w:t>$ 136,496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
        </w:trPr>
        <w:tc>
          <w:tcPr>
            <w:tcW w:w="3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-1148715</wp:posOffset>
            </wp:positionV>
            <wp:extent cx="137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-1148715</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-1148715</wp:posOffset>
            </wp:positionV>
            <wp:extent cx="1289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74" w:lineRule="exact"/>
        <w:rPr>
          <w:sz w:val="20"/>
          <w:szCs w:val="20"/>
          <w:color w:val="auto"/>
        </w:rPr>
      </w:pPr>
    </w:p>
    <w:p>
      <w:pPr>
        <w:ind w:left="1620" w:right="899" w:hanging="352"/>
        <w:spacing w:after="0" w:line="308" w:lineRule="auto"/>
        <w:tabs>
          <w:tab w:leader="none" w:pos="1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8" w:lineRule="exact"/>
        <w:rPr>
          <w:rFonts w:ascii="Arial" w:cs="Arial" w:eastAsia="Arial" w:hAnsi="Arial"/>
          <w:sz w:val="17"/>
          <w:szCs w:val="17"/>
          <w:color w:val="auto"/>
        </w:rPr>
      </w:pPr>
    </w:p>
    <w:p>
      <w:pPr>
        <w:ind w:left="1620" w:right="739"/>
        <w:spacing w:after="0" w:line="286" w:lineRule="auto"/>
        <w:rPr>
          <w:rFonts w:ascii="Arial" w:cs="Arial" w:eastAsia="Arial" w:hAnsi="Arial"/>
          <w:sz w:val="17"/>
          <w:szCs w:val="17"/>
          <w:color w:val="auto"/>
        </w:rPr>
      </w:pPr>
      <w:r>
        <w:rPr>
          <w:rFonts w:ascii="Arial" w:cs="Arial" w:eastAsia="Arial" w:hAnsi="Arial"/>
          <w:sz w:val="16"/>
          <w:szCs w:val="16"/>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ectPr>
          <w:pgSz w:w="11900" w:h="16838" w:orient="portrait"/>
          <w:cols w:equalWidth="0" w:num="1">
            <w:col w:w="10219"/>
          </w:cols>
          <w:pgMar w:left="240" w:top="131" w:right="1440" w:bottom="1440" w:gutter="0" w:footer="0" w:header="0"/>
        </w:sectPr>
      </w:pP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1280"/>
        <w:spacing w:after="0" w:line="257"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sz w:val="20"/>
          <w:szCs w:val="20"/>
          <w:color w:val="auto"/>
        </w:rPr>
      </w:pPr>
    </w:p>
    <w:p>
      <w:pPr>
        <w:ind w:left="1620" w:right="1700"/>
        <w:spacing w:after="0" w:line="277" w:lineRule="auto"/>
        <w:rPr>
          <w:sz w:val="20"/>
          <w:szCs w:val="20"/>
          <w:color w:val="auto"/>
        </w:rPr>
      </w:pPr>
      <w:r>
        <w:rPr>
          <w:rFonts w:ascii="Arial" w:cs="Arial" w:eastAsia="Arial" w:hAnsi="Arial"/>
          <w:sz w:val="18"/>
          <w:szCs w:val="18"/>
          <w:color w:val="auto"/>
        </w:rPr>
        <w:t>Adjusted EBITDA margin is defined as Adjusted EBITDA divided by gross revenue for the applicable period.</w:t>
      </w:r>
    </w:p>
    <w:p>
      <w:pPr>
        <w:spacing w:after="0" w:line="62" w:lineRule="exact"/>
        <w:rPr>
          <w:sz w:val="20"/>
          <w:szCs w:val="20"/>
          <w:color w:val="auto"/>
        </w:rPr>
      </w:pPr>
    </w:p>
    <w:p>
      <w:pPr>
        <w:ind w:left="1620" w:right="1360"/>
        <w:spacing w:after="0" w:line="286" w:lineRule="auto"/>
        <w:rPr>
          <w:sz w:val="20"/>
          <w:szCs w:val="20"/>
          <w:color w:val="auto"/>
        </w:rPr>
      </w:pPr>
      <w:r>
        <w:rPr>
          <w:rFonts w:ascii="Arial" w:cs="Arial" w:eastAsia="Arial" w:hAnsi="Arial"/>
          <w:sz w:val="16"/>
          <w:szCs w:val="16"/>
          <w:color w:val="auto"/>
        </w:rPr>
        <w:t>Adjusted Net Income is defined as net income before contingent consideration, acquisition and Refinitiv Transaction related depreciation and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7" w:lineRule="exact"/>
        <w:rPr>
          <w:sz w:val="20"/>
          <w:szCs w:val="20"/>
          <w:color w:val="auto"/>
        </w:rPr>
      </w:pPr>
    </w:p>
    <w:p>
      <w:pPr>
        <w:ind w:left="1620" w:right="1260"/>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set forth below presents a reconciliation of net income to Adjusted EBITDA for the 2018</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Successor Period, the 2018 Predecessor Period and the years ended December 31, 2017 and 2016: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Predecessor</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5"/>
              </w:rPr>
              <w:t>October 1,</w:t>
            </w:r>
          </w:p>
        </w:tc>
        <w:tc>
          <w:tcPr>
            <w:tcW w:w="1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January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5"/>
              </w:rPr>
              <w:t>2018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40" w:type="dxa"/>
            <w:vAlign w:val="bottom"/>
            <w:gridSpan w:val="2"/>
          </w:tcPr>
          <w:p>
            <w:pPr>
              <w:ind w:left="2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$ 29,307</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20" w:type="dxa"/>
            <w:vAlign w:val="bottom"/>
            <w:tcBorders>
              <w:right w:val="single" w:sz="8" w:color="CCEEFF"/>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162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1"/>
                <w:szCs w:val="21"/>
                <w:color w:val="auto"/>
              </w:rPr>
            </w:pPr>
          </w:p>
        </w:tc>
        <w:tc>
          <w:tcPr>
            <w:tcW w:w="86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26,830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58,520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(1,726)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right w:val="single" w:sz="8" w:color="CCEEFF"/>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162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33,020</w:t>
            </w:r>
          </w:p>
        </w:tc>
        <w:tc>
          <w:tcPr>
            <w:tcW w:w="1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48,808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68,615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80,859</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00" w:type="dxa"/>
            <w:vAlign w:val="bottom"/>
            <w:gridSpan w:val="2"/>
          </w:tcPr>
          <w:p>
            <w:pPr>
              <w:ind w:left="1620"/>
              <w:spacing w:after="0"/>
              <w:rPr>
                <w:sz w:val="20"/>
                <w:szCs w:val="20"/>
                <w:color w:val="auto"/>
              </w:rPr>
            </w:pPr>
            <w:r>
              <w:rPr>
                <w:rFonts w:ascii="Arial" w:cs="Arial" w:eastAsia="Arial" w:hAnsi="Arial"/>
                <w:sz w:val="18"/>
                <w:szCs w:val="18"/>
                <w:color w:val="auto"/>
              </w:rPr>
              <w:t>Unrealized foreign exchange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gains/losses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 w:type="dxa"/>
            <w:vAlign w:val="bottom"/>
            <w:gridSpan w:val="2"/>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$ 65,218</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215,012</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215,863</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202,086</w:t>
            </w:r>
          </w:p>
        </w:tc>
        <w:tc>
          <w:tcPr>
            <w:tcW w:w="120" w:type="dxa"/>
            <w:vAlign w:val="bottom"/>
            <w:tcBorders>
              <w:right w:val="single" w:sz="8" w:color="CCEEFF"/>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6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-814070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-814070</wp:posOffset>
            </wp:positionV>
            <wp:extent cx="2400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-814070</wp:posOffset>
            </wp:positionV>
            <wp:extent cx="2489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-814070</wp:posOffset>
            </wp:positionV>
            <wp:extent cx="28816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-2005965</wp:posOffset>
            </wp:positionV>
            <wp:extent cx="137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-2005965</wp:posOffset>
            </wp:positionV>
            <wp:extent cx="137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-2005965</wp:posOffset>
            </wp:positionV>
            <wp:extent cx="1289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91" w:name="page92"/>
    <w:bookmarkEnd w:id="9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table set forth below presents a reconciliation of net income to Adjusted Net Income for the 2018</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Successor Period, the 2018 Predecessor Period and the years ended December 31, 2017 and 2016:</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Predecessor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8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5"/>
              </w:rPr>
              <w:t>October 1,</w:t>
            </w:r>
          </w:p>
        </w:tc>
        <w:tc>
          <w:tcPr>
            <w:tcW w:w="100" w:type="dxa"/>
            <w:vAlign w:val="bottom"/>
          </w:tcPr>
          <w:p>
            <w:pPr>
              <w:spacing w:after="0"/>
              <w:rPr>
                <w:sz w:val="15"/>
                <w:szCs w:val="15"/>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January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4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7"/>
        </w:trPr>
        <w:tc>
          <w:tcPr>
            <w:tcW w:w="360" w:type="dxa"/>
            <w:vAlign w:val="bottom"/>
          </w:tcPr>
          <w:p>
            <w:pPr>
              <w:spacing w:after="0"/>
              <w:rPr>
                <w:sz w:val="22"/>
                <w:szCs w:val="22"/>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$ 29,307</w:t>
            </w:r>
          </w:p>
        </w:tc>
        <w:tc>
          <w:tcPr>
            <w:tcW w:w="1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1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7"/>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6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26,830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58,520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92"/>
        </w:trPr>
        <w:tc>
          <w:tcPr>
            <w:tcW w:w="360" w:type="dxa"/>
            <w:vAlign w:val="bottom"/>
          </w:tcPr>
          <w:p>
            <w:pPr>
              <w:spacing w:after="0"/>
              <w:rPr>
                <w:sz w:val="16"/>
                <w:szCs w:val="16"/>
                <w:color w:val="auto"/>
              </w:rPr>
            </w:pPr>
          </w:p>
        </w:tc>
        <w:tc>
          <w:tcPr>
            <w:tcW w:w="33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Acquisition and Refinitiv Transaction</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94"/>
        </w:trPr>
        <w:tc>
          <w:tcPr>
            <w:tcW w:w="360" w:type="dxa"/>
            <w:vAlign w:val="bottom"/>
          </w:tcPr>
          <w:p>
            <w:pPr>
              <w:spacing w:after="0"/>
              <w:rPr>
                <w:sz w:val="24"/>
                <w:szCs w:val="24"/>
                <w:color w:val="auto"/>
              </w:rPr>
            </w:pPr>
          </w:p>
        </w:tc>
        <w:tc>
          <w:tcPr>
            <w:tcW w:w="338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w w:val="99"/>
              </w:rPr>
              <w:t>related depreciation and amortization</w:t>
            </w:r>
            <w:r>
              <w:rPr>
                <w:rFonts w:ascii="Arial" w:cs="Arial" w:eastAsia="Arial" w:hAnsi="Arial"/>
                <w:sz w:val="27"/>
                <w:szCs w:val="27"/>
                <w:color w:val="auto"/>
                <w:w w:val="99"/>
                <w:vertAlign w:val="superscript"/>
              </w:rPr>
              <w:t>(a)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22,413</w:t>
            </w:r>
          </w:p>
        </w:tc>
        <w:tc>
          <w:tcPr>
            <w:tcW w:w="1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19,576</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31,236</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41,125</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29"/>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Unrealized foreign exchange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3380" w:type="dxa"/>
            <w:vAlign w:val="bottom"/>
            <w:gridSpan w:val="2"/>
          </w:tcPr>
          <w:p>
            <w:pPr>
              <w:ind w:left="180"/>
              <w:spacing w:after="0"/>
              <w:rPr>
                <w:sz w:val="20"/>
                <w:szCs w:val="20"/>
                <w:color w:val="auto"/>
              </w:rPr>
            </w:pPr>
            <w:r>
              <w:rPr>
                <w:rFonts w:ascii="Arial" w:cs="Arial" w:eastAsia="Arial" w:hAnsi="Arial"/>
                <w:sz w:val="18"/>
                <w:szCs w:val="18"/>
                <w:color w:val="auto"/>
              </w:rPr>
              <w:t>gains/losses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$ 51,983</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175,606</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173,040</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162,382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62"/>
        </w:trPr>
        <w:tc>
          <w:tcPr>
            <w:tcW w:w="3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89"/>
        </w:trPr>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-376555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-376555</wp:posOffset>
            </wp:positionV>
            <wp:extent cx="2400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-376555</wp:posOffset>
            </wp:positionV>
            <wp:extent cx="2489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-376555</wp:posOffset>
            </wp:positionV>
            <wp:extent cx="28816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-1448435</wp:posOffset>
            </wp:positionV>
            <wp:extent cx="137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-1448435</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-1448435</wp:posOffset>
            </wp:positionV>
            <wp:extent cx="1289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799" w:hanging="352"/>
        <w:spacing w:after="0" w:line="312" w:lineRule="auto"/>
        <w:tabs>
          <w:tab w:leader="none" w:pos="1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acquisition 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2" w:name="page93"/>
    <w:bookmarkEnd w:id="9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08"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The following unaudited pro forma consolidated statement of operations for the year ended December 31, 2018 gives effect to the Transactions, including this offering, as if the same had occurred on January 1, 2018. The unaudited pro forma consolidated statement of financial condition as of December 31, 2018 gives effect to the Transactions, including this offering, as if the same had occurred on December 31, 2018.</w:t>
      </w:r>
    </w:p>
    <w:p>
      <w:pPr>
        <w:spacing w:after="0" w:line="63"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We have derived the unaudited pro forma consolidated financial information as of and for the year ended December 31, 2018 from the consolidated financial statements of Tradeweb Markets LLC and its subsidiaries included elsewhere in this prospectus. The pro forma adjustments are based on available information and certain assumptions that management believes are reasonable under the circumstances. The assumptions underlying the pro forma adjustments are described in the accompanying notes, which should be read in conjunction with these unaudited pro forma combined financial statements. The pro forma financial information is qualified in its entirety by reference to, and should be read in conjunction with, “Basis of Presentation,” “Management’s Discussion and Analysis of Financial Condition and Results of Operations” and our consolidated financial statements and the related notes included elsewhere in this prospectus.</w:t>
      </w:r>
    </w:p>
    <w:p>
      <w:pPr>
        <w:spacing w:after="0" w:line="74"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The pro forma adjustments related to the Refinitiv Transaction, which we refer to as the “Refinitiv Adjustments,” are described in the notes to the unaudited pro forma consolidated financial information, and principally include the consummation of the Refinitiv Transaction and the application of pushdown accounting. As a result of the Refinitiv Transaction, we revalued our assets and liabilities based on their fair values as of the closing date of the Refinitiv Transaction in accordance with the acquisition method of accounting. The unaudited pro forma consolidated financial information presented, and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market for the asset or liability. In determining the fair value of the assets acquired and liabilities assumed, we considered the report of a third-party valuation expert. Our management is responsible for these internal and third-party valuations and appraisals and they are continuing to review the amounts and allocations to finalize these amounts. Although our review is substantially complete, we have one year from the closing date of the Refinitiv Transaction to finalize these amounts and are therefore continuing to review. Any final adjustments will change the allocation of purchase price, which could affect the fair value assigned to our assets and liabilities and could result in a change to the unaudited pro forma consolidated financial information, including a change to goodwill.</w:t>
      </w:r>
    </w:p>
    <w:p>
      <w:pPr>
        <w:spacing w:after="0" w:line="85" w:lineRule="exact"/>
        <w:rPr>
          <w:sz w:val="20"/>
          <w:szCs w:val="20"/>
          <w:color w:val="auto"/>
        </w:rPr>
      </w:pPr>
    </w:p>
    <w:p>
      <w:pPr>
        <w:ind w:left="1260" w:right="1359" w:firstLine="360"/>
        <w:spacing w:after="0" w:line="342" w:lineRule="auto"/>
        <w:rPr>
          <w:sz w:val="20"/>
          <w:szCs w:val="20"/>
          <w:color w:val="auto"/>
        </w:rPr>
      </w:pPr>
      <w:r>
        <w:rPr>
          <w:rFonts w:ascii="Arial" w:cs="Arial" w:eastAsia="Arial" w:hAnsi="Arial"/>
          <w:sz w:val="16"/>
          <w:szCs w:val="16"/>
          <w:color w:val="auto"/>
        </w:rPr>
        <w:t>The pro forma adjustments related to the Special Distribution, which we refer to as the “Distribution Adjustments,” are described in the notes to the unaudited pro forma consolidated financial information.</w:t>
      </w:r>
    </w:p>
    <w:p>
      <w:pPr>
        <w:spacing w:after="0" w:line="16"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The pro forma adjustments related to the Reorganization Transactions other than this offering, which we refer to as the “Reorganization Adjustments,” are described in the notes to the unaudited pro forma consolidated financial information, and principally include the following:</w:t>
      </w:r>
    </w:p>
    <w:p>
      <w:pPr>
        <w:spacing w:after="0" w:line="154" w:lineRule="exact"/>
        <w:rPr>
          <w:sz w:val="20"/>
          <w:szCs w:val="20"/>
          <w:color w:val="auto"/>
        </w:rPr>
      </w:pPr>
    </w:p>
    <w:p>
      <w:pPr>
        <w:ind w:left="1980" w:right="999" w:hanging="352"/>
        <w:spacing w:after="0" w:line="274" w:lineRule="auto"/>
        <w:tabs>
          <w:tab w:leader="none" w:pos="1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amendment and restatement of the TWM LLC Agreement to, among other things, (i) provide for LLC Interests that will be the single class of common membership interests in TWM LLC,</w:t>
      </w:r>
    </w:p>
    <w:p>
      <w:pPr>
        <w:ind w:left="1980" w:right="1079" w:firstLine="8"/>
        <w:spacing w:after="0" w:line="261" w:lineRule="auto"/>
        <w:tabs>
          <w:tab w:leader="none" w:pos="2245"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exchange all of the Original LLC Owners existing membership interests in TWM LLC for LLC Interests and (iii) appoint Tradeweb as the sole manager of TWM LLC;</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amendment and restatement of Tradeweb’s certificate of incorporation to, among other things,</w:t>
      </w:r>
    </w:p>
    <w:p>
      <w:pPr>
        <w:spacing w:after="0" w:line="34" w:lineRule="exact"/>
        <w:rPr>
          <w:rFonts w:ascii="Arial" w:cs="Arial" w:eastAsia="Arial" w:hAnsi="Arial"/>
          <w:sz w:val="17"/>
          <w:szCs w:val="17"/>
          <w:color w:val="auto"/>
        </w:rPr>
      </w:pPr>
    </w:p>
    <w:p>
      <w:pPr>
        <w:jc w:val="both"/>
        <w:ind w:left="1980" w:right="1099" w:firstLine="8"/>
        <w:spacing w:after="0" w:line="302" w:lineRule="auto"/>
        <w:tabs>
          <w:tab w:leader="none" w:pos="2195" w:val="left"/>
        </w:tabs>
        <w:numPr>
          <w:ilvl w:val="1"/>
          <w:numId w:val="65"/>
        </w:numPr>
        <w:rPr>
          <w:rFonts w:ascii="Arial" w:cs="Arial" w:eastAsia="Arial" w:hAnsi="Arial"/>
          <w:sz w:val="16"/>
          <w:szCs w:val="16"/>
          <w:color w:val="auto"/>
        </w:rPr>
      </w:pPr>
      <w:r>
        <w:rPr>
          <w:rFonts w:ascii="Arial" w:cs="Arial" w:eastAsia="Arial" w:hAnsi="Arial"/>
          <w:sz w:val="16"/>
          <w:szCs w:val="16"/>
          <w:color w:val="auto"/>
        </w:rPr>
        <w:t>provide for Class A common stock, Class B common stock, Class C common stock and Class D common stock and (ii) issue shares of Class D common stock to the Continuing LLC Owners, on a one-to-one basis with the number of LLC Interests they own, for nominal consideration;</w:t>
      </w:r>
    </w:p>
    <w:p>
      <w:pPr>
        <w:spacing w:after="0" w:line="61" w:lineRule="exact"/>
        <w:rPr>
          <w:sz w:val="20"/>
          <w:szCs w:val="20"/>
          <w:color w:val="auto"/>
        </w:rPr>
      </w:pPr>
    </w:p>
    <w:p>
      <w:pPr>
        <w:ind w:left="1980" w:right="1159" w:hanging="359"/>
        <w:spacing w:after="0" w:line="277" w:lineRule="auto"/>
        <w:tabs>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receipt of shares of Class B common stock by the Refinitiv Direct Owner and LLC Interests by Tradeweb as a result of the Refinitiv Contribution; and</w:t>
      </w:r>
    </w:p>
    <w:p>
      <w:pPr>
        <w:spacing w:after="0" w:line="23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80" w:hanging="352"/>
        <w:spacing w:after="0"/>
        <w:tabs>
          <w:tab w:leader="none" w:pos="1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provision for federal and state income taxes of Tradeweb as a taxable corporation at an effective rate</w:t>
      </w:r>
    </w:p>
    <w:p>
      <w:pPr>
        <w:spacing w:after="0" w:line="46" w:lineRule="exact"/>
        <w:rPr>
          <w:sz w:val="20"/>
          <w:szCs w:val="20"/>
          <w:color w:val="auto"/>
        </w:rPr>
      </w:pPr>
    </w:p>
    <w:p>
      <w:pPr>
        <w:ind w:left="1980"/>
        <w:spacing w:after="0"/>
        <w:tabs>
          <w:tab w:leader="none" w:pos="252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for the year ended December 31, 2018.</w:t>
      </w:r>
    </w:p>
    <w:p>
      <w:pPr>
        <w:spacing w:after="0" w:line="103"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The pro forma adjustments related to this offering, which we refer to as the “Offering Adjustments,” are described in the notes to the unaudited pro forma consolidated financial information, and principally include the following:</w:t>
      </w:r>
    </w:p>
    <w:p>
      <w:pPr>
        <w:spacing w:after="0" w:line="141" w:lineRule="exact"/>
        <w:rPr>
          <w:sz w:val="20"/>
          <w:szCs w:val="20"/>
          <w:color w:val="auto"/>
        </w:rPr>
      </w:pPr>
    </w:p>
    <w:p>
      <w:pPr>
        <w:ind w:left="1980" w:hanging="352"/>
        <w:spacing w:after="0"/>
        <w:tabs>
          <w:tab w:leader="none" w:pos="1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issuance of shares of our Class A common stock to the purchasers in this offering in exchange for</w:t>
      </w:r>
    </w:p>
    <w:p>
      <w:pPr>
        <w:spacing w:after="0" w:line="46" w:lineRule="exact"/>
        <w:rPr>
          <w:sz w:val="20"/>
          <w:szCs w:val="20"/>
          <w:color w:val="auto"/>
        </w:rPr>
      </w:pPr>
    </w:p>
    <w:p>
      <w:pPr>
        <w:ind w:left="1980" w:right="939"/>
        <w:spacing w:after="0" w:line="255" w:lineRule="auto"/>
        <w:rPr>
          <w:sz w:val="20"/>
          <w:szCs w:val="20"/>
          <w:color w:val="auto"/>
        </w:rPr>
      </w:pPr>
      <w:r>
        <w:rPr>
          <w:rFonts w:ascii="Arial" w:cs="Arial" w:eastAsia="Arial" w:hAnsi="Arial"/>
          <w:sz w:val="18"/>
          <w:szCs w:val="18"/>
          <w:color w:val="auto"/>
        </w:rPr>
        <w:t>net proceeds of approximately $ million, assuming that the shares are offered at $ per share (the midpoint of the price range set forth on the cover page of this prospectus), after deducting underwriting discounts and commissions but before deducting offering expenses;</w:t>
      </w:r>
    </w:p>
    <w:p>
      <w:pPr>
        <w:spacing w:after="0" w:line="150" w:lineRule="exact"/>
        <w:rPr>
          <w:sz w:val="20"/>
          <w:szCs w:val="20"/>
          <w:color w:val="auto"/>
        </w:rPr>
      </w:pPr>
    </w:p>
    <w:p>
      <w:pPr>
        <w:ind w:left="1980" w:right="1079" w:hanging="352"/>
        <w:spacing w:after="0" w:line="259" w:lineRule="auto"/>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application of all of the net proceeds from this offering to purchase issued and outstanding LLC Interests from certain of the Other LLC Owners at a purchase price per interest equal to the initial public offering price of Class A common stock, less the underwriting discounts and commissions payable thereon;</w:t>
      </w:r>
    </w:p>
    <w:p>
      <w:pPr>
        <w:spacing w:after="0" w:line="159" w:lineRule="exact"/>
        <w:rPr>
          <w:rFonts w:ascii="Arial" w:cs="Arial" w:eastAsia="Arial" w:hAnsi="Arial"/>
          <w:sz w:val="18"/>
          <w:szCs w:val="18"/>
          <w:color w:val="auto"/>
        </w:rPr>
      </w:pPr>
    </w:p>
    <w:p>
      <w:pPr>
        <w:ind w:left="1980" w:right="759" w:hanging="352"/>
        <w:spacing w:after="0" w:line="270" w:lineRule="auto"/>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effects of the Tax Receivable Agreement to be entered into with TWM LLC and the Continuing LLC Owners that will provide for the payment by Tradeweb to a Continuing LLC Owner of 50% of the amount of U.S. federal, state and local income or franchise tax savings, if any, that Tradeweb actually realizes (or in some circumstances is deemed to realize) as a result of (i) increases in the tax basis of TWM LLC’s assets resulting from (a) the purchase of LLC Interests from such Continuing LLC Owner using the net proceeds from this or any future offering or (b) redemptions or exchanges by such Continuing LLC Owner of LLC Interests for shares of our Class A common stock or Class B common stock or for cash, as applicable and (ii) certain other tax benefits related to our making payments under the Tax Receivable Agreement; and</w:t>
      </w:r>
    </w:p>
    <w:p>
      <w:pPr>
        <w:spacing w:after="0" w:line="141" w:lineRule="exact"/>
        <w:rPr>
          <w:rFonts w:ascii="Arial" w:cs="Arial" w:eastAsia="Arial" w:hAnsi="Arial"/>
          <w:sz w:val="17"/>
          <w:szCs w:val="17"/>
          <w:color w:val="auto"/>
        </w:rPr>
      </w:pPr>
    </w:p>
    <w:p>
      <w:pPr>
        <w:ind w:left="1980" w:hanging="352"/>
        <w:spacing w:after="0"/>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payment of fees and expenses related to this offering.</w:t>
      </w:r>
    </w:p>
    <w:p>
      <w:pPr>
        <w:spacing w:after="0" w:line="117" w:lineRule="exact"/>
        <w:rPr>
          <w:sz w:val="20"/>
          <w:szCs w:val="20"/>
          <w:color w:val="auto"/>
        </w:rPr>
      </w:pPr>
    </w:p>
    <w:p>
      <w:pPr>
        <w:ind w:left="1260" w:right="899" w:firstLine="360"/>
        <w:spacing w:after="0" w:line="342" w:lineRule="auto"/>
        <w:rPr>
          <w:sz w:val="20"/>
          <w:szCs w:val="20"/>
          <w:color w:val="auto"/>
        </w:rPr>
      </w:pPr>
      <w:r>
        <w:rPr>
          <w:rFonts w:ascii="Arial" w:cs="Arial" w:eastAsia="Arial" w:hAnsi="Arial"/>
          <w:sz w:val="16"/>
          <w:szCs w:val="16"/>
          <w:color w:val="auto"/>
        </w:rPr>
        <w:t>Except as otherwise indicated, the unaudited pro forma consolidated financial information presented assumes no exercise by the underwriters of their option to purchase additional shares of Class A common stock.</w:t>
      </w:r>
    </w:p>
    <w:p>
      <w:pPr>
        <w:spacing w:after="0" w:line="16" w:lineRule="exact"/>
        <w:rPr>
          <w:sz w:val="20"/>
          <w:szCs w:val="20"/>
          <w:color w:val="auto"/>
        </w:rPr>
      </w:pPr>
    </w:p>
    <w:p>
      <w:pPr>
        <w:ind w:left="1260" w:right="1499" w:firstLine="360"/>
        <w:spacing w:after="0" w:line="308" w:lineRule="auto"/>
        <w:rPr>
          <w:sz w:val="20"/>
          <w:szCs w:val="20"/>
          <w:color w:val="auto"/>
        </w:rPr>
      </w:pPr>
      <w:r>
        <w:rPr>
          <w:rFonts w:ascii="Arial" w:cs="Arial" w:eastAsia="Arial" w:hAnsi="Arial"/>
          <w:sz w:val="17"/>
          <w:szCs w:val="17"/>
          <w:color w:val="auto"/>
        </w:rPr>
        <w:t>We refer to the transactions related to the Refinitiv Adjustments, the Distribution Adjustments, the Reorganization Adjustments and the Offering Adjustments collectively as the “Transactions.”</w:t>
      </w:r>
    </w:p>
    <w:p>
      <w:pPr>
        <w:spacing w:after="0" w:line="38"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8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pro forma adjustments are based upon available information and methodologies that are factually supportable and directly related to the Transactions, including this offering. The unaudited pro forma consolidated financial information includes various estimates which are subject to material change and may not be indicative of what our operations or financial position would have been had the Transactions, including this offering, taken place on the dates indicated, or that may be expected to occur in the future. For further discussion of these matters, see “Basis of Presentation,” “Management’s Discussion and Analysis of Financial Condition and Results of Operations” and the historical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 Pro Forma Consolidated Statement of Financial Condition as of December 31, 2018</w:t>
      </w:r>
    </w:p>
    <w:p>
      <w:pPr>
        <w:spacing w:after="0" w:line="319"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1"/>
              </w:rPr>
              <w:t>Historical</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Tradeweb</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As Adjusted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Pro Forma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Markets</w:t>
            </w:r>
          </w:p>
        </w:tc>
        <w:tc>
          <w:tcPr>
            <w:tcW w:w="8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Distribution</w:t>
            </w:r>
          </w:p>
        </w:tc>
        <w:tc>
          <w:tcPr>
            <w:tcW w:w="640" w:type="dxa"/>
            <w:vAlign w:val="bottom"/>
          </w:tcPr>
          <w:p>
            <w:pPr>
              <w:spacing w:after="0" w:line="135" w:lineRule="exact"/>
              <w:rPr>
                <w:sz w:val="20"/>
                <w:szCs w:val="20"/>
                <w:color w:val="auto"/>
              </w:rPr>
            </w:pPr>
            <w:r>
              <w:rPr>
                <w:rFonts w:ascii="Arial" w:cs="Arial" w:eastAsia="Arial" w:hAnsi="Arial"/>
                <w:sz w:val="13"/>
                <w:szCs w:val="13"/>
                <w:b w:val="1"/>
                <w:bCs w:val="1"/>
                <w:color w:val="auto"/>
                <w:w w:val="95"/>
              </w:rPr>
              <w:t>Pro Forma</w:t>
            </w:r>
          </w:p>
        </w:tc>
        <w:tc>
          <w:tcPr>
            <w:tcW w:w="102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auto"/>
                <w:w w:val="95"/>
              </w:rPr>
              <w:t>Reorganization</w:t>
            </w:r>
          </w:p>
        </w:tc>
        <w:tc>
          <w:tcPr>
            <w:tcW w:w="6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Before this</w:t>
            </w: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90"/>
              </w:rPr>
              <w:t>Offering</w:t>
            </w:r>
          </w:p>
        </w:tc>
        <w:tc>
          <w:tcPr>
            <w:tcW w:w="6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Tradeweb</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LLC</w:t>
            </w: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TWM LLC</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Adjustments</w:t>
            </w: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0"/>
              </w:rPr>
              <w:t>Offering</w:t>
            </w: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9"/>
              </w:rPr>
              <w:t>Adjustments</w:t>
            </w: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3"/>
              </w:rPr>
              <w:t>Markets Inc.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w w:val="89"/>
              </w:rPr>
              <w:t>(in thousands)</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Cash and cash equivalents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410,104</w:t>
            </w:r>
          </w:p>
        </w:tc>
        <w:tc>
          <w:tcPr>
            <w:tcW w:w="1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(1)</w:t>
            </w:r>
          </w:p>
        </w:tc>
        <w:tc>
          <w:tcPr>
            <w:tcW w:w="6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714"/>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554"/>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c>
          <w:tcPr>
            <w:tcW w:w="720" w:type="dxa"/>
            <w:vAlign w:val="bottom"/>
            <w:gridSpan w:val="2"/>
          </w:tcPr>
          <w:p>
            <w:pPr>
              <w:jc w:val="right"/>
              <w:ind w:right="514"/>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Restricted cash</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Receivable from brokers and dealers and clearing organizations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174,591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Deposits with clearing organizations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11,427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87,192</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20" w:type="dxa"/>
            <w:vAlign w:val="bottom"/>
            <w:gridSpan w:val="3"/>
          </w:tcPr>
          <w:p>
            <w:pPr>
              <w:spacing w:after="0" w:line="157" w:lineRule="exact"/>
              <w:rPr>
                <w:sz w:val="20"/>
                <w:szCs w:val="20"/>
                <w:color w:val="auto"/>
              </w:rPr>
            </w:pPr>
            <w:r>
              <w:rPr>
                <w:rFonts w:ascii="Arial" w:cs="Arial" w:eastAsia="Arial" w:hAnsi="Arial"/>
                <w:sz w:val="14"/>
                <w:szCs w:val="14"/>
                <w:color w:val="auto"/>
              </w:rPr>
              <w:t>Furniture, equipment, purchased software and leasehold</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3"/>
          </w:tcPr>
          <w:p>
            <w:pPr>
              <w:ind w:left="160"/>
              <w:spacing w:after="0"/>
              <w:rPr>
                <w:sz w:val="20"/>
                <w:szCs w:val="20"/>
                <w:color w:val="auto"/>
              </w:rPr>
            </w:pPr>
            <w:r>
              <w:rPr>
                <w:rFonts w:ascii="Arial" w:cs="Arial" w:eastAsia="Arial" w:hAnsi="Arial"/>
                <w:sz w:val="14"/>
                <w:szCs w:val="14"/>
                <w:color w:val="auto"/>
              </w:rPr>
              <w:t>improvements, net</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Software development costs, net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170,582</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Intangible assets, net</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1,380,848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2,694,797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40" w:type="dxa"/>
            <w:vAlign w:val="bottom"/>
            <w:gridSpan w:val="4"/>
          </w:tcPr>
          <w:p>
            <w:pPr>
              <w:spacing w:after="0"/>
              <w:rPr>
                <w:sz w:val="20"/>
                <w:szCs w:val="20"/>
                <w:color w:val="auto"/>
              </w:rPr>
            </w:pPr>
            <w:r>
              <w:rPr>
                <w:rFonts w:ascii="Arial" w:cs="Arial" w:eastAsia="Arial" w:hAnsi="Arial"/>
                <w:sz w:val="14"/>
                <w:szCs w:val="14"/>
                <w:color w:val="auto"/>
              </w:rPr>
              <w:t>Receivable from affiliates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3"/>
            <w:vMerge w:val="restart"/>
          </w:tcPr>
          <w:p>
            <w:pPr>
              <w:ind w:left="860"/>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4"/>
            <w:vMerge w:val="restart"/>
          </w:tcPr>
          <w:p>
            <w:pPr>
              <w:jc w:val="right"/>
              <w:ind w:right="554"/>
              <w:spacing w:after="0"/>
              <w:rPr>
                <w:sz w:val="20"/>
                <w:szCs w:val="20"/>
                <w:color w:val="auto"/>
              </w:rPr>
            </w:pPr>
            <w:r>
              <w:rPr>
                <w:rFonts w:ascii="Arial" w:cs="Arial" w:eastAsia="Arial" w:hAnsi="Arial"/>
                <w:sz w:val="11"/>
                <w:szCs w:val="11"/>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25,027</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Total assets</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4,997,139</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color w:val="auto"/>
                <w:w w:val="76"/>
              </w:rPr>
              <w:t>$</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Liabilities and Members’ Capital/Stockholders’ Equity</w:t>
            </w: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4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Payable to brokers and dealers and clearing organizations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171,214</w:t>
            </w:r>
          </w:p>
        </w:tc>
        <w:tc>
          <w:tcPr>
            <w:tcW w:w="1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714"/>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554"/>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514"/>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Accrued compensation</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120,158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Deferred revenue</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27,883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2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Accounts payable, accrued expenses and other</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ind w:left="860"/>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liabilities</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Employee equity compensation payable</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24,187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Payable to affiliates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Deferred tax liability</w:t>
            </w: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19,627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410,626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040" w:type="dxa"/>
            <w:vAlign w:val="bottom"/>
            <w:gridSpan w:val="4"/>
          </w:tcPr>
          <w:p>
            <w:pPr>
              <w:spacing w:after="0"/>
              <w:rPr>
                <w:sz w:val="20"/>
                <w:szCs w:val="20"/>
                <w:color w:val="auto"/>
              </w:rPr>
            </w:pPr>
            <w:r>
              <w:rPr>
                <w:rFonts w:ascii="Arial" w:cs="Arial" w:eastAsia="Arial" w:hAnsi="Arial"/>
                <w:sz w:val="14"/>
                <w:szCs w:val="14"/>
                <w:b w:val="1"/>
                <w:bCs w:val="1"/>
                <w:color w:val="auto"/>
              </w:rPr>
              <w:t>Mezzanine Capital</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Class C Shares and Class P(C) Shares</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14,179</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1"/>
                <w:szCs w:val="11"/>
                <w:color w:val="auto"/>
              </w:rPr>
              <w:t>(3)</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040" w:type="dxa"/>
            <w:vAlign w:val="bottom"/>
            <w:gridSpan w:val="4"/>
          </w:tcPr>
          <w:p>
            <w:pPr>
              <w:spacing w:after="0"/>
              <w:rPr>
                <w:sz w:val="20"/>
                <w:szCs w:val="20"/>
                <w:color w:val="auto"/>
              </w:rPr>
            </w:pPr>
            <w:r>
              <w:rPr>
                <w:rFonts w:ascii="Arial" w:cs="Arial" w:eastAsia="Arial" w:hAnsi="Arial"/>
                <w:sz w:val="14"/>
                <w:szCs w:val="14"/>
                <w:b w:val="1"/>
                <w:bCs w:val="1"/>
                <w:color w:val="auto"/>
              </w:rPr>
              <w:t>Members’ Capital/Stockholders’ Equity</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Members’ capital</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4,573,200</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w:t>
            </w:r>
          </w:p>
        </w:tc>
        <w:tc>
          <w:tcPr>
            <w:tcW w:w="6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1"/>
                <w:szCs w:val="11"/>
                <w:color w:val="auto"/>
              </w:rPr>
              <w:t>(3)</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4"/>
            <w:vMerge w:val="restart"/>
          </w:tcPr>
          <w:p>
            <w:pPr>
              <w:spacing w:after="0"/>
              <w:rPr>
                <w:sz w:val="20"/>
                <w:szCs w:val="20"/>
                <w:color w:val="auto"/>
              </w:rPr>
            </w:pPr>
            <w:r>
              <w:rPr>
                <w:rFonts w:ascii="Arial" w:cs="Arial" w:eastAsia="Arial" w:hAnsi="Arial"/>
                <w:sz w:val="14"/>
                <w:szCs w:val="14"/>
                <w:color w:val="auto"/>
              </w:rPr>
              <w:t>Class A common stock</w:t>
            </w:r>
          </w:p>
        </w:tc>
        <w:tc>
          <w:tcPr>
            <w:tcW w:w="6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04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Class B common stock</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1"/>
                <w:szCs w:val="11"/>
                <w:color w:val="auto"/>
              </w:rPr>
              <w:t>(5)</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4"/>
            <w:vMerge w:val="restart"/>
          </w:tcPr>
          <w:p>
            <w:pPr>
              <w:spacing w:after="0"/>
              <w:rPr>
                <w:sz w:val="20"/>
                <w:szCs w:val="20"/>
                <w:color w:val="auto"/>
              </w:rPr>
            </w:pPr>
            <w:r>
              <w:rPr>
                <w:rFonts w:ascii="Arial" w:cs="Arial" w:eastAsia="Arial" w:hAnsi="Arial"/>
                <w:sz w:val="14"/>
                <w:szCs w:val="14"/>
                <w:color w:val="auto"/>
              </w:rPr>
              <w:t>Class C common stock</w:t>
            </w:r>
          </w:p>
        </w:tc>
        <w:tc>
          <w:tcPr>
            <w:tcW w:w="6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860"/>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04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Class D common stock</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1"/>
                <w:szCs w:val="11"/>
                <w:color w:val="auto"/>
              </w:rPr>
              <w:t>(4)</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w:t>
            </w: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4"/>
            <w:vMerge w:val="restart"/>
          </w:tcPr>
          <w:p>
            <w:pPr>
              <w:spacing w:after="0"/>
              <w:rPr>
                <w:sz w:val="20"/>
                <w:szCs w:val="20"/>
                <w:color w:val="auto"/>
              </w:rPr>
            </w:pPr>
            <w:r>
              <w:rPr>
                <w:rFonts w:ascii="Arial" w:cs="Arial" w:eastAsia="Arial" w:hAnsi="Arial"/>
                <w:sz w:val="14"/>
                <w:szCs w:val="14"/>
                <w:color w:val="auto"/>
              </w:rPr>
              <w:t>Additional paid in capital</w:t>
            </w:r>
          </w:p>
        </w:tc>
        <w:tc>
          <w:tcPr>
            <w:tcW w:w="6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5"/>
          </w:tcPr>
          <w:p>
            <w:pPr>
              <w:ind w:left="860"/>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04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color w:val="auto"/>
              </w:rPr>
              <w:t>Retained earnings</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w:t>
            </w:r>
          </w:p>
        </w:tc>
        <w:tc>
          <w:tcPr>
            <w:tcW w:w="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40" w:type="dxa"/>
            <w:vAlign w:val="bottom"/>
            <w:gridSpan w:val="4"/>
          </w:tcPr>
          <w:p>
            <w:pPr>
              <w:spacing w:after="0"/>
              <w:rPr>
                <w:sz w:val="20"/>
                <w:szCs w:val="20"/>
                <w:color w:val="auto"/>
              </w:rPr>
            </w:pPr>
            <w:r>
              <w:rPr>
                <w:rFonts w:ascii="Arial" w:cs="Arial" w:eastAsia="Arial" w:hAnsi="Arial"/>
                <w:sz w:val="14"/>
                <w:szCs w:val="14"/>
                <w:color w:val="auto"/>
              </w:rPr>
              <w:t>Accumulated other comprehensive loss</w:t>
            </w:r>
          </w:p>
        </w:tc>
        <w:tc>
          <w:tcPr>
            <w:tcW w:w="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(866)</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Total members’ capital/stockholders’ equity attributable to</w:t>
            </w:r>
          </w:p>
        </w:tc>
        <w:tc>
          <w:tcPr>
            <w:tcW w:w="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Tradeweb Markets Inc.</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4,572,334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tcPr>
          <w:p>
            <w:pPr>
              <w:ind w:left="160"/>
              <w:spacing w:after="0"/>
              <w:rPr>
                <w:sz w:val="20"/>
                <w:szCs w:val="20"/>
                <w:color w:val="auto"/>
              </w:rPr>
            </w:pPr>
            <w:r>
              <w:rPr>
                <w:rFonts w:ascii="Arial" w:cs="Arial" w:eastAsia="Arial" w:hAnsi="Arial"/>
                <w:sz w:val="14"/>
                <w:szCs w:val="14"/>
                <w:color w:val="auto"/>
              </w:rPr>
              <w:t>Non-controlling interest</w:t>
            </w:r>
          </w:p>
        </w:tc>
        <w:tc>
          <w:tcPr>
            <w:tcW w:w="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5"/>
          </w:tcPr>
          <w:p>
            <w:pPr>
              <w:ind w:left="860"/>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Total liabilities and members’ capital/stockholders’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4,997,139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714"/>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554"/>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514"/>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-3404235</wp:posOffset>
            </wp:positionV>
            <wp:extent cx="6182995" cy="29330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82995" cy="293306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-4810125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-4810125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-4810125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-4810125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-4810125</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-4810125</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See accompanying Notes to Unaudited Pro Forma Consolidated Statement of Financial Condition.</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2" w:right="1419" w:bottom="1440" w:gutter="0" w:footer="0" w:header="0"/>
        </w:sectPr>
      </w:pPr>
    </w:p>
    <w:bookmarkStart w:id="95" w:name="page96"/>
    <w:bookmarkEnd w:id="9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Unaudited Pro Forma Consolidated Statement of Financial Condition</w:t>
      </w:r>
    </w:p>
    <w:p>
      <w:pPr>
        <w:spacing w:after="0" w:line="135" w:lineRule="exact"/>
        <w:rPr>
          <w:sz w:val="20"/>
          <w:szCs w:val="20"/>
          <w:color w:val="auto"/>
        </w:rPr>
      </w:pPr>
    </w:p>
    <w:p>
      <w:pPr>
        <w:ind w:left="1620" w:right="779" w:hanging="352"/>
        <w:spacing w:after="0" w:line="264"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TWM LLC anticipates paying a cash distribution of $100.0 million to the Original LLC Owners prior to the consummation of this offering. The anticipated cash distribution to the Original LLC Owners, which is contingent on the pricing of this offering, is expected to be funded from cash on hand.</w:t>
      </w:r>
    </w:p>
    <w:p>
      <w:pPr>
        <w:spacing w:after="0" w:line="127" w:lineRule="exact"/>
        <w:rPr>
          <w:rFonts w:ascii="Arial" w:cs="Arial" w:eastAsia="Arial" w:hAnsi="Arial"/>
          <w:sz w:val="18"/>
          <w:szCs w:val="18"/>
          <w:color w:val="auto"/>
        </w:rPr>
      </w:pPr>
    </w:p>
    <w:p>
      <w:pPr>
        <w:ind w:left="1620" w:right="839" w:hanging="352"/>
        <w:spacing w:after="0" w:line="342" w:lineRule="auto"/>
        <w:tabs>
          <w:tab w:leader="none" w:pos="1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Reflects the effects of the Tax Receivable Agreement on our unaudited pro forma consolidated statement of financial condition as a result of our purchase of LLC Interests from certain of the Other LLC Owners.</w:t>
      </w:r>
    </w:p>
    <w:p>
      <w:pPr>
        <w:spacing w:after="0" w:line="15" w:lineRule="exact"/>
        <w:rPr>
          <w:rFonts w:ascii="Arial" w:cs="Arial" w:eastAsia="Arial" w:hAnsi="Arial"/>
          <w:sz w:val="16"/>
          <w:szCs w:val="16"/>
          <w:color w:val="auto"/>
        </w:rPr>
      </w:pPr>
    </w:p>
    <w:p>
      <w:pPr>
        <w:ind w:left="1620" w:right="819"/>
        <w:spacing w:after="0" w:line="286" w:lineRule="auto"/>
        <w:rPr>
          <w:rFonts w:ascii="Arial" w:cs="Arial" w:eastAsia="Arial" w:hAnsi="Arial"/>
          <w:sz w:val="16"/>
          <w:szCs w:val="16"/>
          <w:color w:val="auto"/>
        </w:rPr>
      </w:pPr>
      <w:r>
        <w:rPr>
          <w:rFonts w:ascii="Arial" w:cs="Arial" w:eastAsia="Arial" w:hAnsi="Arial"/>
          <w:sz w:val="16"/>
          <w:szCs w:val="16"/>
          <w:color w:val="auto"/>
        </w:rPr>
        <w:t>Tradeweb Markets Inc. is subject to U.S. federal and state income taxes and will file income tax returns for U.S. federal and certain state jurisdictions. We expect to obtain an increase in our share of the tax basis of the assets of TWM LLC when LLC Interests are redeemed or exchanged by the Continuing LLC Owners (including exchanges of LLC Interests for the net proceeds of this offering) and in connection with certain other qualifying transactions. This increase in tax basis may have the effect of reducing the amounts that we would otherwise pay in the future to various tax authorities. We will enter into the Tax Receivable Agreement with TWM LLC and the Continuing LLC Owners. Pursuant to the Tax Receivable Agreement, we will be required to make cash payments to the Continuing LLC Owners equal to 50% of the amount of U.S. federal, state and local income or franchise tax savings, if any, that we actually realize (or in some circumstances are deemed to realize) as a result of certain future tax benefits to which we may become entitled. We expect to benefit from the remaining 50% of tax benefits, if any, that we may actually realize. See “Certain Relationships and Related Party Transactions — Related Party Transactions Entered Into in Connection With This Transaction — Tax Receivable Agreement.”</w:t>
      </w:r>
    </w:p>
    <w:p>
      <w:pPr>
        <w:spacing w:after="0" w:line="67" w:lineRule="exact"/>
        <w:rPr>
          <w:sz w:val="20"/>
          <w:szCs w:val="20"/>
          <w:color w:val="auto"/>
        </w:rPr>
      </w:pPr>
    </w:p>
    <w:p>
      <w:pPr>
        <w:ind w:left="1620" w:right="879"/>
        <w:spacing w:after="0" w:line="289" w:lineRule="auto"/>
        <w:rPr>
          <w:sz w:val="20"/>
          <w:szCs w:val="20"/>
          <w:color w:val="auto"/>
        </w:rPr>
      </w:pPr>
      <w:r>
        <w:rPr>
          <w:rFonts w:ascii="Arial" w:cs="Arial" w:eastAsia="Arial" w:hAnsi="Arial"/>
          <w:sz w:val="16"/>
          <w:szCs w:val="16"/>
          <w:color w:val="auto"/>
        </w:rPr>
        <w:t>The tax benefit expected to be realized in connection with this offering of $ million of amortizable tax basis will be amortized primarily over 15 years pursuant to Section 197 of the Internal Revenue Code, and other applicable depreciation rules. The tax basis has been recognized as a deferred tax asset in other assets in our unaudited pro forma consolidated statement of financial condition. The associated obligation to pay 50% of the tax savings (or $ million) as the tax reduction is realized by us has been recognized as a liability in accounts payable, accrued expenses and other liabilities in our unaudited pro forma condensed consolidated statement of financial condition. Cash and cash equivalents in the unaudited pro forma consolidated statement of financial condition have not been adjusted to reflect the impact of any potential future Tax Receivable Agreement payments or any remaining benefits that may be realized by us.</w:t>
      </w:r>
    </w:p>
    <w:p>
      <w:pPr>
        <w:spacing w:after="0" w:line="59" w:lineRule="exact"/>
        <w:rPr>
          <w:sz w:val="20"/>
          <w:szCs w:val="20"/>
          <w:color w:val="auto"/>
        </w:rPr>
      </w:pPr>
    </w:p>
    <w:p>
      <w:pPr>
        <w:ind w:left="1620" w:right="759"/>
        <w:spacing w:after="0" w:line="286" w:lineRule="auto"/>
        <w:rPr>
          <w:sz w:val="20"/>
          <w:szCs w:val="20"/>
          <w:color w:val="auto"/>
        </w:rPr>
      </w:pPr>
      <w:r>
        <w:rPr>
          <w:rFonts w:ascii="Arial" w:cs="Arial" w:eastAsia="Arial" w:hAnsi="Arial"/>
          <w:sz w:val="16"/>
          <w:szCs w:val="16"/>
          <w:color w:val="auto"/>
        </w:rPr>
        <w:t>The deferred tax asset adjustment and the associated liability adjustment related to the Tax Receivable Agreement assume: (1) only exchanges associated with this offering and the use of proceeds therefrom, (2) a share price based on an assumed initial public offering price of $ per share, which is the midpoint of the price range listed on the cover page of this prospectus, (3) a constant federal income tax rate of 21.0%,</w:t>
      </w:r>
    </w:p>
    <w:p>
      <w:pPr>
        <w:spacing w:after="0" w:line="2" w:lineRule="exact"/>
        <w:rPr>
          <w:sz w:val="20"/>
          <w:szCs w:val="20"/>
          <w:color w:val="auto"/>
        </w:rPr>
      </w:pPr>
    </w:p>
    <w:p>
      <w:pPr>
        <w:ind w:left="1620" w:right="1239" w:firstLine="8"/>
        <w:spacing w:after="0" w:line="261" w:lineRule="auto"/>
        <w:tabs>
          <w:tab w:leader="none" w:pos="18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material changes in tax law, (5) the ability to utilize tax attributes and (6) future Tax Receivable Agreement payments.</w:t>
      </w:r>
    </w:p>
    <w:p>
      <w:pPr>
        <w:spacing w:after="0" w:line="76" w:lineRule="exact"/>
        <w:rPr>
          <w:sz w:val="20"/>
          <w:szCs w:val="20"/>
          <w:color w:val="auto"/>
        </w:rPr>
      </w:pPr>
    </w:p>
    <w:p>
      <w:pPr>
        <w:ind w:left="1620" w:right="739"/>
        <w:spacing w:after="0" w:line="293" w:lineRule="auto"/>
        <w:rPr>
          <w:sz w:val="20"/>
          <w:szCs w:val="20"/>
          <w:color w:val="auto"/>
        </w:rPr>
      </w:pPr>
      <w:r>
        <w:rPr>
          <w:rFonts w:ascii="Arial" w:cs="Arial" w:eastAsia="Arial" w:hAnsi="Arial"/>
          <w:sz w:val="16"/>
          <w:szCs w:val="16"/>
          <w:color w:val="auto"/>
        </w:rPr>
        <w:t>We anticipate that we will account for the income tax effects resulting from future taxable exchanges of LLC Interests by Continuing LLC Owners for shares of our Class A common stock or Class B common stock or cash by recognizing an increase in our deferred tax assets, based on enacted tax rates at the date of each exchange.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spacing w:after="0" w:line="57" w:lineRule="exact"/>
        <w:rPr>
          <w:sz w:val="20"/>
          <w:szCs w:val="20"/>
          <w:color w:val="auto"/>
        </w:rPr>
      </w:pPr>
    </w:p>
    <w:p>
      <w:pPr>
        <w:ind w:left="1620" w:right="819"/>
        <w:spacing w:after="0" w:line="257" w:lineRule="auto"/>
        <w:rPr>
          <w:sz w:val="20"/>
          <w:szCs w:val="20"/>
          <w:color w:val="auto"/>
        </w:rPr>
      </w:pPr>
      <w:r>
        <w:rPr>
          <w:rFonts w:ascii="Arial" w:cs="Arial" w:eastAsia="Arial" w:hAnsi="Arial"/>
          <w:sz w:val="18"/>
          <w:szCs w:val="18"/>
          <w:color w:val="auto"/>
        </w:rPr>
        <w:t>The amounts to be recorded for both the deferred tax assets and the liability for our obligations under the Tax Receivable Agreement have been estimated. All of the effects of changes to both the deferred tax assets and our obligations under the Tax Receivable Agreement after the date of the purchase will be included in net income. Similarly, the effect of subsequent changes in the enacted tax rates will be included in net income.</w:t>
      </w:r>
    </w:p>
    <w:p>
      <w:pPr>
        <w:spacing w:after="0" w:line="35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20" w:hanging="352"/>
        <w:spacing w:after="0"/>
        <w:tabs>
          <w:tab w:leader="none" w:pos="1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expect to present our equity differently upon becoming a C corporation. To reflect the C corporation</w:t>
      </w:r>
    </w:p>
    <w:p>
      <w:pPr>
        <w:spacing w:after="0" w:line="34"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6"/>
          <w:szCs w:val="16"/>
          <w:color w:val="auto"/>
        </w:rPr>
        <w:t>structure of our equity, we will separately present the value of our common stock, additional paid-in capital</w:t>
      </w:r>
    </w:p>
    <w:p>
      <w:pPr>
        <w:spacing w:after="0" w:line="237" w:lineRule="exact"/>
        <w:rPr>
          <w:sz w:val="20"/>
          <w:szCs w:val="20"/>
          <w:color w:val="auto"/>
        </w:rPr>
      </w:pPr>
    </w:p>
    <w:p>
      <w:pPr>
        <w:ind w:left="1620" w:right="899"/>
        <w:spacing w:after="0" w:line="286" w:lineRule="auto"/>
        <w:rPr>
          <w:sz w:val="20"/>
          <w:szCs w:val="20"/>
          <w:color w:val="auto"/>
        </w:rPr>
      </w:pPr>
      <w:r>
        <w:rPr>
          <w:rFonts w:ascii="Arial" w:cs="Arial" w:eastAsia="Arial" w:hAnsi="Arial"/>
          <w:sz w:val="17"/>
          <w:szCs w:val="17"/>
          <w:color w:val="auto"/>
        </w:rPr>
        <w:t>and retained earnings. $ million of the reclassification of mezzanine capital and $ million of the reclassification of members’ capital have been allocated to non-controlling interest. The remaining portion of the reclassification of members’ capital has been allocated to additional paid-in capital.</w:t>
      </w:r>
    </w:p>
    <w:p>
      <w:pPr>
        <w:spacing w:after="0" w:line="111" w:lineRule="exact"/>
        <w:rPr>
          <w:sz w:val="20"/>
          <w:szCs w:val="20"/>
          <w:color w:val="auto"/>
        </w:rPr>
      </w:pPr>
    </w:p>
    <w:p>
      <w:pPr>
        <w:ind w:left="1260"/>
        <w:spacing w:after="0"/>
        <w:tabs>
          <w:tab w:leader="none" w:pos="1600" w:val="left"/>
          <w:tab w:leader="none" w:pos="3840" w:val="left"/>
        </w:tabs>
        <w:rPr>
          <w:sz w:val="20"/>
          <w:szCs w:val="20"/>
          <w:color w:val="auto"/>
        </w:rPr>
      </w:pPr>
      <w:r>
        <w:rPr>
          <w:rFonts w:ascii="Arial" w:cs="Arial" w:eastAsia="Arial" w:hAnsi="Arial"/>
          <w:sz w:val="18"/>
          <w:szCs w:val="18"/>
          <w:color w:val="auto"/>
        </w:rPr>
        <w:t>(4)</w:t>
        <w:tab/>
        <w:t>Reflects the issuance of</w:t>
      </w:r>
      <w:r>
        <w:rPr>
          <w:sz w:val="20"/>
          <w:szCs w:val="20"/>
          <w:color w:val="auto"/>
        </w:rPr>
        <w:tab/>
      </w:r>
      <w:r>
        <w:rPr>
          <w:rFonts w:ascii="Arial" w:cs="Arial" w:eastAsia="Arial" w:hAnsi="Arial"/>
          <w:sz w:val="16"/>
          <w:szCs w:val="16"/>
          <w:color w:val="auto"/>
        </w:rPr>
        <w:t>shares of Class D common stock to the Continuing LLC Owners on a one-to-</w:t>
      </w:r>
    </w:p>
    <w:p>
      <w:pPr>
        <w:spacing w:after="0" w:line="23" w:lineRule="exact"/>
        <w:rPr>
          <w:sz w:val="20"/>
          <w:szCs w:val="20"/>
          <w:color w:val="auto"/>
        </w:rPr>
      </w:pPr>
    </w:p>
    <w:p>
      <w:pPr>
        <w:ind w:left="1620" w:right="839"/>
        <w:spacing w:after="0" w:line="254" w:lineRule="auto"/>
        <w:rPr>
          <w:sz w:val="20"/>
          <w:szCs w:val="20"/>
          <w:color w:val="auto"/>
        </w:rPr>
      </w:pPr>
      <w:r>
        <w:rPr>
          <w:rFonts w:ascii="Arial" w:cs="Arial" w:eastAsia="Arial" w:hAnsi="Arial"/>
          <w:sz w:val="18"/>
          <w:szCs w:val="18"/>
          <w:color w:val="auto"/>
        </w:rPr>
        <w:t>one basis with the number of LLC Interests they own, for nominal consideration. Each share of Class D common stock will entitle its holder to ten votes on all matters presented to our stockholders generally. Holders of Class D common stock will not be entitled to receive any distributions from or participate in any dividends declared by our board of directors.</w:t>
      </w:r>
    </w:p>
    <w:p>
      <w:pPr>
        <w:spacing w:after="0" w:line="136" w:lineRule="exact"/>
        <w:rPr>
          <w:sz w:val="20"/>
          <w:szCs w:val="20"/>
          <w:color w:val="auto"/>
        </w:rPr>
      </w:pPr>
    </w:p>
    <w:p>
      <w:pPr>
        <w:ind w:left="1620" w:right="839" w:hanging="359"/>
        <w:spacing w:after="0" w:line="264" w:lineRule="auto"/>
        <w:tabs>
          <w:tab w:leader="none" w:pos="1600" w:val="left"/>
        </w:tabs>
        <w:rPr>
          <w:sz w:val="20"/>
          <w:szCs w:val="20"/>
          <w:color w:val="auto"/>
        </w:rPr>
      </w:pPr>
      <w:r>
        <w:rPr>
          <w:rFonts w:ascii="Arial" w:cs="Arial" w:eastAsia="Arial" w:hAnsi="Arial"/>
          <w:sz w:val="18"/>
          <w:szCs w:val="18"/>
          <w:color w:val="auto"/>
        </w:rPr>
        <w:t>(5)</w:t>
        <w:tab/>
        <w:t>Reflects the receipt of shares of Class B common stock by the Refinitiv Direct Owner and LLC Interests by Tradeweb as a result of the Refinitiv Contribution. Each share of Class B common stock will entitle its holder to ten votes on all matters presented to our stockholders generally.</w:t>
      </w:r>
    </w:p>
    <w:p>
      <w:pPr>
        <w:spacing w:after="0" w:line="127" w:lineRule="exact"/>
        <w:rPr>
          <w:sz w:val="20"/>
          <w:szCs w:val="20"/>
          <w:color w:val="auto"/>
        </w:rPr>
      </w:pPr>
    </w:p>
    <w:p>
      <w:pPr>
        <w:ind w:left="1620" w:right="759" w:hanging="352"/>
        <w:spacing w:after="0" w:line="277"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completion of the Reorganization Transactions and this offering, there will be no outstanding shares of Class C common stock.</w:t>
      </w:r>
    </w:p>
    <w:p>
      <w:pPr>
        <w:spacing w:after="0" w:line="116" w:lineRule="exact"/>
        <w:rPr>
          <w:rFonts w:ascii="Arial" w:cs="Arial" w:eastAsia="Arial" w:hAnsi="Arial"/>
          <w:sz w:val="18"/>
          <w:szCs w:val="18"/>
          <w:color w:val="auto"/>
        </w:rPr>
      </w:pPr>
    </w:p>
    <w:p>
      <w:pPr>
        <w:ind w:left="1620" w:right="799" w:hanging="352"/>
        <w:spacing w:after="0" w:line="273" w:lineRule="auto"/>
        <w:tabs>
          <w:tab w:leader="none" w:pos="16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Upon completion of the Reorganization Transactions, we will become the sole manager of TWM LLC.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the financial results of TWM LLC and will report a non-controlling interest related to the LLC Interests held by the Continuing LLC Owners on our unaudited pro forma consolidated statement of financial condition.</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Following the Reorganization Transactions and prior to the completion of this offering, we will hold</w:t>
      </w:r>
    </w:p>
    <w:p>
      <w:pPr>
        <w:spacing w:after="0" w:line="23" w:lineRule="exact"/>
        <w:rPr>
          <w:sz w:val="20"/>
          <w:szCs w:val="20"/>
          <w:color w:val="auto"/>
        </w:rPr>
      </w:pPr>
    </w:p>
    <w:p>
      <w:pPr>
        <w:ind w:left="1900" w:right="1199" w:hanging="269"/>
        <w:spacing w:after="0" w:line="261" w:lineRule="auto"/>
        <w:rPr>
          <w:sz w:val="20"/>
          <w:szCs w:val="20"/>
          <w:color w:val="auto"/>
        </w:rPr>
      </w:pPr>
      <w:r>
        <w:rPr>
          <w:rFonts w:ascii="Arial" w:cs="Arial" w:eastAsia="Arial" w:hAnsi="Arial"/>
          <w:sz w:val="18"/>
          <w:szCs w:val="18"/>
          <w:color w:val="auto"/>
        </w:rPr>
        <w:t>LLC Interests, and the Continuing LLC Owners will hold</w:t>
      </w:r>
      <w:r>
        <w:rPr>
          <w:sz w:val="20"/>
          <w:szCs w:val="20"/>
          <w:color w:val="auto"/>
        </w:rPr>
        <w:t xml:space="preserve"> </w:t>
      </w:r>
      <w:r>
        <w:rPr>
          <w:rFonts w:ascii="Arial" w:cs="Arial" w:eastAsia="Arial" w:hAnsi="Arial"/>
          <w:sz w:val="18"/>
          <w:szCs w:val="18"/>
          <w:color w:val="auto"/>
        </w:rPr>
        <w:t>LLC Interests, representing % and %, respectively, of the outstanding LLC Interests of TWM LLC.</w:t>
      </w:r>
    </w:p>
    <w:p>
      <w:pPr>
        <w:spacing w:after="0" w:line="76" w:lineRule="exact"/>
        <w:rPr>
          <w:sz w:val="20"/>
          <w:szCs w:val="20"/>
          <w:color w:val="auto"/>
        </w:rPr>
      </w:pPr>
    </w:p>
    <w:p>
      <w:pPr>
        <w:ind w:left="1620" w:right="879"/>
        <w:spacing w:after="0" w:line="291" w:lineRule="auto"/>
        <w:rPr>
          <w:sz w:val="20"/>
          <w:szCs w:val="20"/>
          <w:color w:val="auto"/>
        </w:rPr>
      </w:pPr>
      <w:r>
        <w:rPr>
          <w:rFonts w:ascii="Arial" w:cs="Arial" w:eastAsia="Arial" w:hAnsi="Arial"/>
          <w:sz w:val="16"/>
          <w:szCs w:val="16"/>
          <w:color w:val="auto"/>
        </w:rPr>
        <w:t>Following the Reorganization Transactions, this offering and the application of all of the net proceeds from this offering to purchase issued and outstanding LLC Interests (and cancel the corresponding shares of</w:t>
      </w:r>
    </w:p>
    <w:p>
      <w:pPr>
        <w:ind w:left="1620" w:right="939"/>
        <w:spacing w:after="0" w:line="255" w:lineRule="auto"/>
        <w:rPr>
          <w:sz w:val="20"/>
          <w:szCs w:val="20"/>
          <w:color w:val="auto"/>
        </w:rPr>
      </w:pPr>
      <w:r>
        <w:rPr>
          <w:rFonts w:ascii="Arial" w:cs="Arial" w:eastAsia="Arial" w:hAnsi="Arial"/>
          <w:sz w:val="18"/>
          <w:szCs w:val="18"/>
          <w:color w:val="auto"/>
        </w:rPr>
        <w:t>Class D common stock) from certain of the Other LLC Owners, we will hold LLC Interests, and the Continuing LLC Owners will hold LLC Interests, representing % and %, respectively, of the outstanding LLC Interests of TWM LLC.</w:t>
      </w:r>
    </w:p>
    <w:p>
      <w:pPr>
        <w:spacing w:after="0" w:line="82" w:lineRule="exact"/>
        <w:rPr>
          <w:sz w:val="20"/>
          <w:szCs w:val="20"/>
          <w:color w:val="auto"/>
        </w:rPr>
      </w:pPr>
    </w:p>
    <w:p>
      <w:pPr>
        <w:ind w:left="1620" w:right="799"/>
        <w:spacing w:after="0" w:line="272" w:lineRule="auto"/>
        <w:rPr>
          <w:sz w:val="20"/>
          <w:szCs w:val="20"/>
          <w:color w:val="auto"/>
        </w:rPr>
      </w:pPr>
      <w:r>
        <w:rPr>
          <w:rFonts w:ascii="Arial" w:cs="Arial" w:eastAsia="Arial" w:hAnsi="Arial"/>
          <w:sz w:val="17"/>
          <w:szCs w:val="17"/>
          <w:color w:val="auto"/>
        </w:rPr>
        <w:t>Following the completion of this offering, the LLC Interests held by the Continuing LLC Owners, representing the non-controlling interest, will be redeemable at the election of the members, for shares of Class A common stock or Class B common stock, as the case may be, on a one-for-one basis or, at our option, a cash payment in accordance with the terms of the TWM LLC Agreement. See “Certain Relationships and Related Party Transactions — Certain Transactions Entered Into in Connection With This Offering—TWM LLC Agreement” for additional information regarding redemption rights of holders of LLC Interests and exchange rights of holders of Class D common stock.</w:t>
      </w:r>
    </w:p>
    <w:p>
      <w:pPr>
        <w:spacing w:after="0" w:line="12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The following sets forth the estimated sources and uses of funds in connection with this offering, assuming</w:t>
      </w:r>
    </w:p>
    <w:p>
      <w:pPr>
        <w:spacing w:after="0" w:line="23" w:lineRule="exact"/>
        <w:rPr>
          <w:sz w:val="20"/>
          <w:szCs w:val="20"/>
          <w:color w:val="auto"/>
        </w:rPr>
      </w:pPr>
    </w:p>
    <w:p>
      <w:pPr>
        <w:ind w:left="1620" w:right="1119"/>
        <w:spacing w:after="0" w:line="261" w:lineRule="auto"/>
        <w:rPr>
          <w:sz w:val="20"/>
          <w:szCs w:val="20"/>
          <w:color w:val="auto"/>
        </w:rPr>
      </w:pPr>
      <w:r>
        <w:rPr>
          <w:rFonts w:ascii="Arial" w:cs="Arial" w:eastAsia="Arial" w:hAnsi="Arial"/>
          <w:sz w:val="18"/>
          <w:szCs w:val="18"/>
          <w:color w:val="auto"/>
        </w:rPr>
        <w:t>the issuance of shares of Class A common stock at a price of $ per share (the midpoint of the price range set forth on the cover page of this prospectus):</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Sources</w:t>
      </w:r>
      <w:r>
        <w:rPr>
          <w:rFonts w:ascii="Arial" w:cs="Arial" w:eastAsia="Arial" w:hAnsi="Arial"/>
          <w:sz w:val="18"/>
          <w:szCs w:val="18"/>
          <w:color w:val="auto"/>
        </w:rPr>
        <w:t>:</w:t>
      </w:r>
    </w:p>
    <w:p>
      <w:pPr>
        <w:spacing w:after="0" w:line="185" w:lineRule="exact"/>
        <w:rPr>
          <w:sz w:val="20"/>
          <w:szCs w:val="20"/>
          <w:color w:val="auto"/>
        </w:rPr>
      </w:pPr>
    </w:p>
    <w:p>
      <w:pPr>
        <w:ind w:left="2340" w:hanging="351"/>
        <w:spacing w:after="0"/>
        <w:tabs>
          <w:tab w:leader="none" w:pos="2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million of gross cash proceeds to us from the offering of Class A common stock; and</w:t>
      </w:r>
    </w:p>
    <w:p>
      <w:pPr>
        <w:spacing w:after="0" w:line="184" w:lineRule="exact"/>
        <w:rPr>
          <w:rFonts w:ascii="Arial" w:cs="Arial" w:eastAsia="Arial" w:hAnsi="Arial"/>
          <w:sz w:val="18"/>
          <w:szCs w:val="18"/>
          <w:color w:val="auto"/>
        </w:rPr>
      </w:pPr>
    </w:p>
    <w:p>
      <w:pPr>
        <w:ind w:left="2340" w:hanging="351"/>
        <w:spacing w:after="0"/>
        <w:tabs>
          <w:tab w:leader="none" w:pos="2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million of cash.</w:t>
      </w:r>
    </w:p>
    <w:p>
      <w:pPr>
        <w:spacing w:after="0" w:line="38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Uses:</w:t>
      </w:r>
    </w:p>
    <w:p>
      <w:pPr>
        <w:spacing w:after="0" w:line="198" w:lineRule="exact"/>
        <w:rPr>
          <w:sz w:val="20"/>
          <w:szCs w:val="20"/>
          <w:color w:val="auto"/>
        </w:rPr>
      </w:pPr>
    </w:p>
    <w:p>
      <w:pPr>
        <w:ind w:left="2340" w:hanging="351"/>
        <w:spacing w:after="0"/>
        <w:tabs>
          <w:tab w:leader="none" w:pos="2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use $    million to pay underwriting discounts and commissions;</w:t>
      </w:r>
    </w:p>
    <w:p>
      <w:pPr>
        <w:spacing w:after="0" w:line="184" w:lineRule="exact"/>
        <w:rPr>
          <w:rFonts w:ascii="Arial" w:cs="Arial" w:eastAsia="Arial" w:hAnsi="Arial"/>
          <w:sz w:val="18"/>
          <w:szCs w:val="18"/>
          <w:color w:val="auto"/>
        </w:rPr>
      </w:pPr>
    </w:p>
    <w:p>
      <w:pPr>
        <w:ind w:left="2340" w:right="939" w:hanging="351"/>
        <w:spacing w:after="0" w:line="279" w:lineRule="auto"/>
        <w:tabs>
          <w:tab w:leader="none" w:pos="2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will use $ million to purchase issued and outstanding LLC Interests (and cancel the corresponding shares of Class D common stock) from certain of the Other LLC Owners, at a purchase price per interest equal to the initial public offering price per share of Class A common stock, less the underwriting discounts and commissions payable thereon; and</w:t>
      </w:r>
    </w:p>
    <w:p>
      <w:pPr>
        <w:spacing w:after="0" w:line="130" w:lineRule="exact"/>
        <w:rPr>
          <w:rFonts w:ascii="Arial" w:cs="Arial" w:eastAsia="Arial" w:hAnsi="Arial"/>
          <w:sz w:val="17"/>
          <w:szCs w:val="17"/>
          <w:color w:val="auto"/>
        </w:rPr>
      </w:pPr>
    </w:p>
    <w:p>
      <w:pPr>
        <w:ind w:left="2340" w:right="939" w:hanging="351"/>
        <w:spacing w:after="0" w:line="291" w:lineRule="auto"/>
        <w:tabs>
          <w:tab w:leader="none" w:pos="2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will cause TWM LLC to use $ of cash on hand to pay a portion of estimated offering expenses. We are deferring certain costs in our historical financial statements directly associated</w:t>
      </w:r>
    </w:p>
    <w:p>
      <w:pPr>
        <w:jc w:val="both"/>
        <w:ind w:left="2340" w:right="799"/>
        <w:spacing w:after="0" w:line="255" w:lineRule="auto"/>
        <w:rPr>
          <w:sz w:val="20"/>
          <w:szCs w:val="20"/>
          <w:color w:val="auto"/>
        </w:rPr>
      </w:pPr>
      <w:r>
        <w:rPr>
          <w:rFonts w:ascii="Arial" w:cs="Arial" w:eastAsia="Arial" w:hAnsi="Arial"/>
          <w:sz w:val="18"/>
          <w:szCs w:val="18"/>
          <w:color w:val="auto"/>
        </w:rPr>
        <w:t>with this offering, including certain legal, accounting and other related expenses, which have been recorded in other assets on our unaudited pro forma consolidated statement of financial condition. The total amount of estimated offering expenses is $ million.</w:t>
      </w:r>
    </w:p>
    <w:p>
      <w:pPr>
        <w:spacing w:after="0" w:line="13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Reflects the effects on additional paid-in capital relating to the following (in thousands):</w:t>
      </w:r>
    </w:p>
    <w:p>
      <w:pPr>
        <w:spacing w:after="0" w:line="171" w:lineRule="exact"/>
        <w:rPr>
          <w:sz w:val="20"/>
          <w:szCs w:val="20"/>
          <w:color w:val="auto"/>
        </w:rPr>
      </w:pPr>
    </w:p>
    <w:p>
      <w:pPr>
        <w:ind w:left="1980"/>
        <w:spacing w:after="0"/>
        <w:tabs>
          <w:tab w:leader="none" w:pos="7420" w:val="left"/>
        </w:tabs>
        <w:rPr>
          <w:sz w:val="20"/>
          <w:szCs w:val="20"/>
          <w:color w:val="auto"/>
        </w:rPr>
      </w:pPr>
      <w:r>
        <w:rPr>
          <w:rFonts w:ascii="Arial" w:cs="Arial" w:eastAsia="Arial" w:hAnsi="Arial"/>
          <w:sz w:val="18"/>
          <w:szCs w:val="18"/>
          <w:color w:val="auto"/>
        </w:rPr>
        <w:t>Gross proceeds from offering of Class A common stock</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-130175</wp:posOffset>
            </wp:positionV>
            <wp:extent cx="429641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96410" cy="137160"/>
                    </a:xfrm>
                    <a:prstGeom prst="rect">
                      <a:avLst/>
                    </a:prstGeom>
                    <a:noFill/>
                  </pic:spPr>
                </pic:pic>
              </a:graphicData>
            </a:graphic>
          </wp:anchor>
        </w:drawing>
      </w:r>
    </w:p>
    <w:p>
      <w:pPr>
        <w:spacing w:after="0" w:line="4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Payment of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14605</wp:posOffset>
            </wp:positionV>
            <wp:extent cx="4296410" cy="3175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96410" cy="317500"/>
                    </a:xfrm>
                    <a:prstGeom prst="rect">
                      <a:avLst/>
                    </a:prstGeom>
                    <a:noFill/>
                  </pic:spPr>
                </pic:pic>
              </a:graphicData>
            </a:graphic>
          </wp:anchor>
        </w:drawing>
      </w:r>
    </w:p>
    <w:p>
      <w:pPr>
        <w:spacing w:after="0" w:line="4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Purchase of LLC Interests (and cancellation of shares of Class D</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common stock) from certain of the Other LLC Owners</w:t>
      </w:r>
    </w:p>
    <w:p>
      <w:pPr>
        <w:spacing w:after="0" w:line="6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Reclassification of costs incurred in this offering from other assets to</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additional paid-in capital (see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14605</wp:posOffset>
            </wp:positionV>
            <wp:extent cx="4296410" cy="3346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296410" cy="334645"/>
                    </a:xfrm>
                    <a:prstGeom prst="rect">
                      <a:avLst/>
                    </a:prstGeom>
                    <a:noFill/>
                  </pic:spPr>
                </pic:pic>
              </a:graphicData>
            </a:graphic>
          </wp:anchor>
        </w:drawing>
      </w:r>
    </w:p>
    <w:p>
      <w:pPr>
        <w:spacing w:after="0" w:line="4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Difference between the deferred tax asset recognized and the Tax</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Receivable Agreement liability (see note 2)</w:t>
      </w:r>
    </w:p>
    <w:p>
      <w:pPr>
        <w:spacing w:after="0" w:line="89" w:lineRule="exact"/>
        <w:rPr>
          <w:sz w:val="20"/>
          <w:szCs w:val="20"/>
          <w:color w:val="auto"/>
        </w:rPr>
      </w:pPr>
    </w:p>
    <w:p>
      <w:pPr>
        <w:ind w:left="1980"/>
        <w:spacing w:after="0"/>
        <w:tabs>
          <w:tab w:leader="none" w:pos="7420" w:val="left"/>
        </w:tabs>
        <w:rPr>
          <w:sz w:val="20"/>
          <w:szCs w:val="20"/>
          <w:color w:val="auto"/>
        </w:rPr>
      </w:pPr>
      <w:r>
        <w:rPr>
          <w:rFonts w:ascii="Arial" w:cs="Arial" w:eastAsia="Arial" w:hAnsi="Arial"/>
          <w:sz w:val="18"/>
          <w:szCs w:val="18"/>
          <w:color w:val="auto"/>
        </w:rPr>
        <w:t>Vesting of certain tranches of the Special Option Award (see note 10)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31750</wp:posOffset>
            </wp:positionV>
            <wp:extent cx="8578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48895</wp:posOffset>
            </wp:positionV>
            <wp:extent cx="8578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(10) This adjustment represents the compensation expense we expect to incur concurrently with the completion</w:t>
      </w:r>
    </w:p>
    <w:p>
      <w:pPr>
        <w:spacing w:after="0" w:line="46" w:lineRule="exact"/>
        <w:rPr>
          <w:sz w:val="20"/>
          <w:szCs w:val="20"/>
          <w:color w:val="auto"/>
        </w:rPr>
      </w:pPr>
    </w:p>
    <w:p>
      <w:pPr>
        <w:ind w:left="1620" w:right="799"/>
        <w:spacing w:after="0" w:line="286" w:lineRule="auto"/>
        <w:rPr>
          <w:sz w:val="20"/>
          <w:szCs w:val="20"/>
          <w:color w:val="auto"/>
        </w:rPr>
      </w:pPr>
      <w:r>
        <w:rPr>
          <w:rFonts w:ascii="Arial" w:cs="Arial" w:eastAsia="Arial" w:hAnsi="Arial"/>
          <w:sz w:val="16"/>
          <w:szCs w:val="16"/>
          <w:color w:val="auto"/>
        </w:rPr>
        <w:t>of this offering related to the Special Option Award, pursuant to which we granted options under the Option Plan with tranches vesting between January 1, 2019 and January 1, 2022. See “Management’s Discussion &amp; Analysis of Financial Condition and Results of Operations — Critical Accounting Policies and Estimates — Stock-Based Compensation” for additional information. Some of the tranches have accelerated vesting in the event of an initial public offering, including this offering, or change of control of TWM LLC. The options are only exercisable in the event of an initial public offering, a change of control or a partial sale of TWM LLC, and will become exercisable in connection with this offering, subject to any applicable vesting periods. As discussed in the notes to the unaudited pro forma consolidated statement of operations, additional compensation expense for the Special Option Award will be recorded in periods following this offering in accordance with the vesting provisions of the applicable underlying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 Pro Forma Consolidated Statement of Operation for the Year Ended December 31, 2018</w:t>
      </w:r>
    </w:p>
    <w:p>
      <w:pPr>
        <w:spacing w:after="0" w:line="333"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Historical Tradeweb</w:t>
      </w:r>
    </w:p>
    <w:p>
      <w:pPr>
        <w:ind w:left="4180"/>
        <w:spacing w:after="0" w:line="223" w:lineRule="auto"/>
        <w:rPr>
          <w:sz w:val="20"/>
          <w:szCs w:val="20"/>
          <w:color w:val="auto"/>
        </w:rPr>
      </w:pPr>
      <w:r>
        <w:rPr>
          <w:rFonts w:ascii="Arial" w:cs="Arial" w:eastAsia="Arial" w:hAnsi="Arial"/>
          <w:sz w:val="13"/>
          <w:szCs w:val="13"/>
          <w:b w:val="1"/>
          <w:bCs w:val="1"/>
          <w:color w:val="auto"/>
        </w:rPr>
        <w:t>Markets LLC</w:t>
      </w:r>
    </w:p>
    <w:tbl>
      <w:tblPr>
        <w:tblLayout w:type="fixed"/>
        <w:tblInd w:w="500" w:type="dxa"/>
        <w:tblCellMar>
          <w:top w:w="0" w:type="dxa"/>
          <w:left w:w="0" w:type="dxa"/>
          <w:bottom w:w="0" w:type="dxa"/>
          <w:right w:w="0" w:type="dxa"/>
        </w:tblCellMar>
      </w:tblPr>
      <w:tr>
        <w:trPr>
          <w:trHeight w:val="142"/>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right w:val="single" w:sz="8" w:color="auto"/>
            </w:tcBorders>
            <w:gridSpan w:val="3"/>
          </w:tcPr>
          <w:p>
            <w:pPr>
              <w:jc w:val="center"/>
              <w:ind w:right="140"/>
              <w:spacing w:after="0" w:line="143" w:lineRule="exact"/>
              <w:rPr>
                <w:sz w:val="20"/>
                <w:szCs w:val="20"/>
                <w:color w:val="auto"/>
              </w:rPr>
            </w:pPr>
            <w:r>
              <w:rPr>
                <w:rFonts w:ascii="Arial" w:cs="Arial" w:eastAsia="Arial" w:hAnsi="Arial"/>
                <w:sz w:val="13"/>
                <w:szCs w:val="13"/>
                <w:b w:val="1"/>
                <w:bCs w:val="1"/>
                <w:color w:val="auto"/>
                <w:w w:val="79"/>
              </w:rPr>
              <w:t>Successor</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20"/>
              <w:spacing w:after="0" w:line="143" w:lineRule="exact"/>
              <w:rPr>
                <w:sz w:val="20"/>
                <w:szCs w:val="20"/>
                <w:color w:val="auto"/>
              </w:rPr>
            </w:pPr>
            <w:r>
              <w:rPr>
                <w:rFonts w:ascii="Arial" w:cs="Arial" w:eastAsia="Arial" w:hAnsi="Arial"/>
                <w:sz w:val="13"/>
                <w:szCs w:val="13"/>
                <w:b w:val="1"/>
                <w:bCs w:val="1"/>
                <w:color w:val="auto"/>
                <w:w w:val="81"/>
              </w:rPr>
              <w:t>Predecessor</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right w:val="single" w:sz="8" w:color="auto"/>
            </w:tcBorders>
            <w:gridSpan w:val="4"/>
          </w:tcPr>
          <w:p>
            <w:pPr>
              <w:ind w:left="100"/>
              <w:spacing w:after="0" w:line="124" w:lineRule="exact"/>
              <w:rPr>
                <w:sz w:val="20"/>
                <w:szCs w:val="20"/>
                <w:color w:val="auto"/>
              </w:rPr>
            </w:pPr>
            <w:r>
              <w:rPr>
                <w:rFonts w:ascii="Arial" w:cs="Arial" w:eastAsia="Arial" w:hAnsi="Arial"/>
                <w:sz w:val="13"/>
                <w:szCs w:val="13"/>
                <w:b w:val="1"/>
                <w:bCs w:val="1"/>
                <w:color w:val="auto"/>
              </w:rPr>
              <w:t>October 1,</w:t>
            </w: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87"/>
              </w:rPr>
              <w:t>January 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2018 to</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2018 to</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As Adjusted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Pro Forma</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right w:val="single" w:sz="8" w:color="auto"/>
            </w:tcBorders>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20" w:type="dxa"/>
            <w:vAlign w:val="bottom"/>
          </w:tcPr>
          <w:p>
            <w:pPr>
              <w:spacing w:after="0"/>
              <w:rPr>
                <w:sz w:val="11"/>
                <w:szCs w:val="11"/>
                <w:color w:val="auto"/>
              </w:rPr>
            </w:pPr>
          </w:p>
        </w:tc>
        <w:tc>
          <w:tcPr>
            <w:tcW w:w="86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6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Refinitiv</w:t>
            </w:r>
          </w:p>
        </w:tc>
        <w:tc>
          <w:tcPr>
            <w:tcW w:w="640" w:type="dxa"/>
            <w:vAlign w:val="bottom"/>
          </w:tcPr>
          <w:p>
            <w:pPr>
              <w:spacing w:after="0" w:line="135" w:lineRule="exact"/>
              <w:rPr>
                <w:sz w:val="20"/>
                <w:szCs w:val="20"/>
                <w:color w:val="auto"/>
              </w:rPr>
            </w:pPr>
            <w:r>
              <w:rPr>
                <w:rFonts w:ascii="Arial" w:cs="Arial" w:eastAsia="Arial" w:hAnsi="Arial"/>
                <w:sz w:val="13"/>
                <w:szCs w:val="13"/>
                <w:b w:val="1"/>
                <w:bCs w:val="1"/>
                <w:color w:val="auto"/>
                <w:w w:val="95"/>
              </w:rPr>
              <w:t>Pro Forma</w:t>
            </w:r>
          </w:p>
        </w:tc>
        <w:tc>
          <w:tcPr>
            <w:tcW w:w="1040" w:type="dxa"/>
            <w:vAlign w:val="bottom"/>
            <w:gridSpan w:val="4"/>
          </w:tcPr>
          <w:p>
            <w:pPr>
              <w:jc w:val="right"/>
              <w:ind w:right="82"/>
              <w:spacing w:after="0" w:line="135" w:lineRule="exact"/>
              <w:rPr>
                <w:sz w:val="20"/>
                <w:szCs w:val="20"/>
                <w:color w:val="auto"/>
              </w:rPr>
            </w:pPr>
            <w:r>
              <w:rPr>
                <w:rFonts w:ascii="Arial" w:cs="Arial" w:eastAsia="Arial" w:hAnsi="Arial"/>
                <w:sz w:val="13"/>
                <w:szCs w:val="13"/>
                <w:b w:val="1"/>
                <w:bCs w:val="1"/>
                <w:color w:val="auto"/>
                <w:w w:val="95"/>
              </w:rPr>
              <w:t>Reorganization</w:t>
            </w:r>
          </w:p>
        </w:tc>
        <w:tc>
          <w:tcPr>
            <w:tcW w:w="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Before this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62"/>
              <w:spacing w:after="0" w:line="135" w:lineRule="exact"/>
              <w:rPr>
                <w:sz w:val="20"/>
                <w:szCs w:val="20"/>
                <w:color w:val="auto"/>
              </w:rPr>
            </w:pPr>
            <w:r>
              <w:rPr>
                <w:rFonts w:ascii="Arial" w:cs="Arial" w:eastAsia="Arial" w:hAnsi="Arial"/>
                <w:sz w:val="13"/>
                <w:szCs w:val="13"/>
                <w:b w:val="1"/>
                <w:bCs w:val="1"/>
                <w:color w:val="auto"/>
                <w:w w:val="86"/>
              </w:rPr>
              <w:t>Offering</w:t>
            </w:r>
          </w:p>
        </w:tc>
        <w:tc>
          <w:tcPr>
            <w:tcW w:w="4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Tradeweb</w:t>
            </w: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9"/>
              </w:rPr>
              <w:t>2018</w:t>
            </w:r>
          </w:p>
        </w:tc>
        <w:tc>
          <w:tcPr>
            <w:tcW w:w="140" w:type="dxa"/>
            <w:vAlign w:val="bottom"/>
            <w:tcBorders>
              <w:bottom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2018</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w w:val="88"/>
              </w:rPr>
              <w:t>Adjustments</w:t>
            </w:r>
          </w:p>
        </w:tc>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TWM LLC</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Adjustments</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w:t>
            </w:r>
          </w:p>
        </w:tc>
        <w:tc>
          <w:tcPr>
            <w:tcW w:w="86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3"/>
                <w:szCs w:val="13"/>
                <w:b w:val="1"/>
                <w:bCs w:val="1"/>
                <w:color w:val="auto"/>
                <w:w w:val="96"/>
              </w:rPr>
              <w:t>Adjustments</w:t>
            </w: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0"/>
              </w:rPr>
              <w:t>Markets Inc.</w:t>
            </w:r>
          </w:p>
        </w:tc>
        <w:tc>
          <w:tcPr>
            <w:tcW w:w="0" w:type="dxa"/>
            <w:vAlign w:val="bottom"/>
          </w:tcPr>
          <w:p>
            <w:pPr>
              <w:spacing w:after="0"/>
              <w:rPr>
                <w:sz w:val="1"/>
                <w:szCs w:val="1"/>
                <w:color w:val="auto"/>
              </w:rPr>
            </w:pPr>
          </w:p>
        </w:tc>
      </w:tr>
      <w:tr>
        <w:trPr>
          <w:trHeight w:val="129"/>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80" w:type="dxa"/>
            <w:vAlign w:val="bottom"/>
            <w:gridSpan w:val="9"/>
          </w:tcPr>
          <w:p>
            <w:pPr>
              <w:jc w:val="right"/>
              <w:ind w:right="613"/>
              <w:spacing w:after="0" w:line="129" w:lineRule="exact"/>
              <w:rPr>
                <w:sz w:val="20"/>
                <w:szCs w:val="20"/>
                <w:color w:val="auto"/>
              </w:rPr>
            </w:pPr>
            <w:r>
              <w:rPr>
                <w:rFonts w:ascii="Arial" w:cs="Arial" w:eastAsia="Arial" w:hAnsi="Arial"/>
                <w:sz w:val="13"/>
                <w:szCs w:val="13"/>
                <w:b w:val="1"/>
                <w:bCs w:val="1"/>
                <w:color w:val="auto"/>
              </w:rPr>
              <w:t>(in thousands, except per share data)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Transaction fees</w:t>
            </w:r>
          </w:p>
        </w:tc>
        <w:tc>
          <w:tcPr>
            <w:tcW w:w="26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97,130</w:t>
            </w:r>
          </w:p>
        </w:tc>
        <w:tc>
          <w:tcPr>
            <w:tcW w:w="140" w:type="dxa"/>
            <w:vAlign w:val="bottom"/>
            <w:tcBorders>
              <w:right w:val="single" w:sz="8" w:color="auto"/>
            </w:tcBorders>
          </w:tcPr>
          <w:p>
            <w:pPr>
              <w:spacing w:after="0"/>
              <w:rPr>
                <w:sz w:val="12"/>
                <w:szCs w:val="12"/>
                <w:color w:val="auto"/>
              </w:rPr>
            </w:pPr>
          </w:p>
        </w:tc>
        <w:tc>
          <w:tcPr>
            <w:tcW w:w="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273,751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533"/>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1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533"/>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Subscription fees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33,052</w:t>
            </w:r>
          </w:p>
        </w:tc>
        <w:tc>
          <w:tcPr>
            <w:tcW w:w="1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107,130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Commissions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32,840</w:t>
            </w: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79,830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1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96"/>
              </w:rPr>
              <w:t>Refinitiv market data fees (Thomson Reuters market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fees in the Predecessor period)</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13,467</w:t>
            </w:r>
          </w:p>
        </w:tc>
        <w:tc>
          <w:tcPr>
            <w:tcW w:w="14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140" w:type="dxa"/>
            <w:vAlign w:val="bottom"/>
            <w:tcBorders>
              <w:bottom w:val="single" w:sz="8" w:color="CCEEFF"/>
              <w:right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8,209</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Gross revenue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178,637</w:t>
            </w:r>
          </w:p>
        </w:tc>
        <w:tc>
          <w:tcPr>
            <w:tcW w:w="1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505,771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Contingent consideration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(26,830)</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Borders>
              <w:top w:val="single" w:sz="8" w:color="CCEEFF"/>
              <w:bottom w:val="single" w:sz="8" w:color="CCEEFF"/>
            </w:tcBorders>
            <w:shd w:val="clear" w:color="auto" w:fill="CCEEFF"/>
          </w:tcPr>
          <w:p>
            <w:pPr>
              <w:ind w:left="180"/>
              <w:spacing w:after="0" w:line="155" w:lineRule="exact"/>
              <w:rPr>
                <w:sz w:val="20"/>
                <w:szCs w:val="20"/>
                <w:color w:val="auto"/>
              </w:rPr>
            </w:pPr>
            <w:r>
              <w:rPr>
                <w:rFonts w:ascii="Arial" w:cs="Arial" w:eastAsia="Arial" w:hAnsi="Arial"/>
                <w:sz w:val="14"/>
                <w:szCs w:val="14"/>
                <w:color w:val="auto"/>
              </w:rPr>
              <w:t>Net revenue</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178,637</w:t>
            </w:r>
          </w:p>
        </w:tc>
        <w:tc>
          <w:tcPr>
            <w:tcW w:w="14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478,941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vMerge w:val="restart"/>
          </w:tcPr>
          <w:p>
            <w:pPr>
              <w:jc w:val="right"/>
              <w:ind w:right="2"/>
              <w:spacing w:after="0"/>
              <w:rPr>
                <w:sz w:val="20"/>
                <w:szCs w:val="20"/>
                <w:color w:val="auto"/>
              </w:rPr>
            </w:pPr>
            <w:r>
              <w:rPr>
                <w:rFonts w:ascii="Arial" w:cs="Arial" w:eastAsia="Arial" w:hAnsi="Arial"/>
                <w:sz w:val="11"/>
                <w:szCs w:val="11"/>
                <w:color w:val="auto"/>
              </w:rPr>
              <w:t>(4)</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160" w:type="dxa"/>
            <w:vAlign w:val="bottom"/>
            <w:vMerge w:val="restart"/>
          </w:tcPr>
          <w:p>
            <w:pPr>
              <w:spacing w:after="0"/>
              <w:rPr>
                <w:sz w:val="20"/>
                <w:szCs w:val="20"/>
                <w:color w:val="auto"/>
              </w:rPr>
            </w:pPr>
            <w:r>
              <w:rPr>
                <w:rFonts w:ascii="Arial" w:cs="Arial" w:eastAsia="Arial" w:hAnsi="Arial"/>
                <w:sz w:val="14"/>
                <w:szCs w:val="14"/>
                <w:color w:val="auto"/>
              </w:rPr>
              <w:t>Employee compensation and benefits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80,436</w:t>
            </w:r>
          </w:p>
        </w:tc>
        <w:tc>
          <w:tcPr>
            <w:tcW w:w="1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209,053</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3"/>
            <w:vMerge w:val="restart"/>
          </w:tcPr>
          <w:p>
            <w:pPr>
              <w:jc w:val="right"/>
              <w:ind w:right="80"/>
              <w:spacing w:after="0"/>
              <w:rPr>
                <w:sz w:val="20"/>
                <w:szCs w:val="20"/>
                <w:color w:val="auto"/>
              </w:rPr>
            </w:pPr>
            <w:r>
              <w:rPr>
                <w:rFonts w:ascii="Arial" w:cs="Arial" w:eastAsia="Arial" w:hAnsi="Arial"/>
                <w:sz w:val="11"/>
                <w:szCs w:val="11"/>
                <w:color w:val="auto"/>
              </w:rPr>
              <w:t>(1)</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33,020</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48,808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11,837</w:t>
            </w:r>
          </w:p>
        </w:tc>
        <w:tc>
          <w:tcPr>
            <w:tcW w:w="14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Technology and communications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9,907</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26,598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14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60" w:type="dxa"/>
            <w:vAlign w:val="bottom"/>
            <w:vMerge w:val="restart"/>
          </w:tcPr>
          <w:p>
            <w:pPr>
              <w:spacing w:after="0"/>
              <w:rPr>
                <w:sz w:val="20"/>
                <w:szCs w:val="20"/>
                <w:color w:val="auto"/>
              </w:rPr>
            </w:pPr>
            <w:r>
              <w:rPr>
                <w:rFonts w:ascii="Arial" w:cs="Arial" w:eastAsia="Arial" w:hAnsi="Arial"/>
                <w:sz w:val="14"/>
                <w:szCs w:val="14"/>
                <w:color w:val="auto"/>
              </w:rPr>
              <w:t>Occupancy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3,308</w:t>
            </w: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10,732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1"/>
                <w:szCs w:val="11"/>
                <w:color w:val="auto"/>
              </w:rPr>
              <w:t>(1)</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vMerge w:val="continue"/>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CCEEFF"/>
              <w:right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expenses</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146,702</w:t>
            </w:r>
          </w:p>
        </w:tc>
        <w:tc>
          <w:tcPr>
            <w:tcW w:w="140" w:type="dxa"/>
            <w:vAlign w:val="bottom"/>
            <w:tcBorders>
              <w:bottom w:val="single" w:sz="8" w:color="CCEEFF"/>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338,607</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Operating income</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31,935</w:t>
            </w:r>
          </w:p>
        </w:tc>
        <w:tc>
          <w:tcPr>
            <w:tcW w:w="140" w:type="dxa"/>
            <w:vAlign w:val="bottom"/>
            <w:tcBorders>
              <w:bottom w:val="single" w:sz="8" w:color="CCEEFF"/>
              <w:right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140,334</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787</w:t>
            </w:r>
          </w:p>
        </w:tc>
        <w:tc>
          <w:tcPr>
            <w:tcW w:w="1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1,726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before taxes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32,722</w:t>
            </w:r>
          </w:p>
        </w:tc>
        <w:tc>
          <w:tcPr>
            <w:tcW w:w="140" w:type="dxa"/>
            <w:vAlign w:val="bottom"/>
            <w:tcBorders>
              <w:bottom w:val="single" w:sz="8" w:color="CCEEFF"/>
              <w:right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142,060</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(3,415)</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(11,900)</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(2</w:t>
            </w:r>
          </w:p>
        </w:tc>
        <w:tc>
          <w:tcPr>
            <w:tcW w:w="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4"/>
                <w:szCs w:val="14"/>
                <w:color w:val="auto"/>
              </w:rPr>
              <w:t>Net income</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29,307</w:t>
            </w:r>
          </w:p>
        </w:tc>
        <w:tc>
          <w:tcPr>
            <w:tcW w:w="140" w:type="dxa"/>
            <w:vAlign w:val="bottom"/>
            <w:tcBorders>
              <w:top w:val="single" w:sz="8" w:color="CCEEFF"/>
              <w:bottom w:val="single" w:sz="8" w:color="CCEEFF"/>
              <w:right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130,160</w:t>
            </w:r>
          </w:p>
        </w:tc>
        <w:tc>
          <w:tcPr>
            <w:tcW w:w="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w w:val="76"/>
              </w:rPr>
              <w:t>$</w:t>
            </w:r>
          </w:p>
        </w:tc>
        <w:tc>
          <w:tcPr>
            <w:tcW w:w="6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53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11"/>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
              <w:spacing w:after="0"/>
              <w:rPr>
                <w:sz w:val="20"/>
                <w:szCs w:val="20"/>
                <w:color w:val="auto"/>
              </w:rPr>
            </w:pPr>
            <w:r>
              <w:rPr>
                <w:rFonts w:ascii="Arial" w:cs="Arial" w:eastAsia="Arial" w:hAnsi="Arial"/>
                <w:sz w:val="11"/>
                <w:szCs w:val="11"/>
                <w:color w:val="auto"/>
                <w:w w:val="74"/>
              </w:rPr>
              <w:t>(3)</w:t>
            </w:r>
          </w:p>
        </w:tc>
        <w:tc>
          <w:tcPr>
            <w:tcW w:w="720" w:type="dxa"/>
            <w:vAlign w:val="bottom"/>
            <w:gridSpan w:val="2"/>
            <w:shd w:val="clear" w:color="auto" w:fill="CCEEFF"/>
          </w:tcPr>
          <w:p>
            <w:pPr>
              <w:jc w:val="right"/>
              <w:ind w:right="533"/>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
              <w:spacing w:after="0"/>
              <w:rPr>
                <w:sz w:val="20"/>
                <w:szCs w:val="20"/>
                <w:color w:val="auto"/>
              </w:rPr>
            </w:pPr>
            <w:r>
              <w:rPr>
                <w:rFonts w:ascii="Arial" w:cs="Arial" w:eastAsia="Arial" w:hAnsi="Arial"/>
                <w:sz w:val="11"/>
                <w:szCs w:val="11"/>
                <w:color w:val="auto"/>
              </w:rPr>
              <w:t>(3)</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4"/>
                <w:szCs w:val="14"/>
                <w:color w:val="auto"/>
              </w:rPr>
              <w:t>Net income attributable to Tradeweb Markets Inc.</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right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 forma net income per share data</w:t>
            </w:r>
            <w:r>
              <w:rPr>
                <w:rFonts w:ascii="Arial" w:cs="Arial" w:eastAsia="Arial" w:hAnsi="Arial"/>
                <w:sz w:val="21"/>
                <w:szCs w:val="21"/>
                <w:b w:val="1"/>
                <w:bCs w:val="1"/>
                <w:color w:val="auto"/>
                <w:vertAlign w:val="superscript"/>
              </w:rPr>
              <w:t>(5)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Arial" w:cs="Arial" w:eastAsia="Arial" w:hAnsi="Arial"/>
                <w:sz w:val="14"/>
                <w:szCs w:val="14"/>
                <w:color w:val="auto"/>
              </w:rPr>
              <w:t>Weighted-average shares of Class A and Class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60" w:type="dxa"/>
            <w:vAlign w:val="bottom"/>
          </w:tcPr>
          <w:p>
            <w:pPr>
              <w:ind w:left="180"/>
              <w:spacing w:after="0"/>
              <w:rPr>
                <w:sz w:val="20"/>
                <w:szCs w:val="20"/>
                <w:color w:val="auto"/>
              </w:rPr>
            </w:pPr>
            <w:r>
              <w:rPr>
                <w:rFonts w:ascii="Arial" w:cs="Arial" w:eastAsia="Arial" w:hAnsi="Arial"/>
                <w:sz w:val="14"/>
                <w:szCs w:val="14"/>
                <w:color w:val="auto"/>
              </w:rPr>
              <w:t>common stock outstanding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Net income available to Class A and Class B</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per share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8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-2666365</wp:posOffset>
            </wp:positionV>
            <wp:extent cx="6182995" cy="946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82995" cy="9461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-1183005</wp:posOffset>
            </wp:positionV>
            <wp:extent cx="171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-1183005</wp:posOffset>
            </wp:positionV>
            <wp:extent cx="342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-1448435</wp:posOffset>
            </wp:positionV>
            <wp:extent cx="171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-1448435</wp:posOffset>
            </wp:positionV>
            <wp:extent cx="342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-1577340</wp:posOffset>
            </wp:positionV>
            <wp:extent cx="171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-1577340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-1577340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-1577340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-1577340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-1577340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-1577340</wp:posOffset>
            </wp:positionV>
            <wp:extent cx="946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-1577340</wp:posOffset>
            </wp:positionV>
            <wp:extent cx="25901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9016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-1800225</wp:posOffset>
            </wp:positionV>
            <wp:extent cx="171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-1800225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-1800225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-1800225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-1800225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-1800225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-1800225</wp:posOffset>
            </wp:positionV>
            <wp:extent cx="946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-1800225</wp:posOffset>
            </wp:positionV>
            <wp:extent cx="25901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9016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-1920240</wp:posOffset>
            </wp:positionV>
            <wp:extent cx="1714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-1920240</wp:posOffset>
            </wp:positionV>
            <wp:extent cx="342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-2040255</wp:posOffset>
            </wp:positionV>
            <wp:extent cx="1714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-2040255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-2040255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-2040255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-2040255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-2040255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-2040255</wp:posOffset>
            </wp:positionV>
            <wp:extent cx="9461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-2040255</wp:posOffset>
            </wp:positionV>
            <wp:extent cx="25901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9016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-2846705</wp:posOffset>
            </wp:positionV>
            <wp:extent cx="171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-2846705</wp:posOffset>
            </wp:positionV>
            <wp:extent cx="342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-2957830</wp:posOffset>
            </wp:positionV>
            <wp:extent cx="171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-2957830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-2957830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-2957830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-2957830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-2957830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-2957830</wp:posOffset>
            </wp:positionV>
            <wp:extent cx="946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-2957830</wp:posOffset>
            </wp:positionV>
            <wp:extent cx="259016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9016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-3163570</wp:posOffset>
            </wp:positionV>
            <wp:extent cx="171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-3163570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-3163570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-3163570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-3163570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-3163570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-3163570</wp:posOffset>
            </wp:positionV>
            <wp:extent cx="9461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-3163570</wp:posOffset>
            </wp:positionV>
            <wp:extent cx="259016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9016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-3952875</wp:posOffset>
            </wp:positionV>
            <wp:extent cx="603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-3952875</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-3952875</wp:posOffset>
            </wp:positionV>
            <wp:extent cx="6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-3952875</wp:posOffset>
            </wp:positionV>
            <wp:extent cx="60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-3952875</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-3952875</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-3952875</wp:posOffset>
            </wp:positionV>
            <wp:extent cx="431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See accompanying Notes to Unaudited Pro Forma Consolidated Statement of Operations.</w:t>
      </w:r>
    </w:p>
    <w:p>
      <w:pPr>
        <w:spacing w:after="0" w:line="9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99" w:name="page100"/>
    <w:bookmarkEnd w:id="9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Unaudited Pro Forma Consolidated Statement of Operations</w:t>
      </w:r>
    </w:p>
    <w:p>
      <w:pPr>
        <w:spacing w:after="0" w:line="108" w:lineRule="exact"/>
        <w:rPr>
          <w:sz w:val="20"/>
          <w:szCs w:val="20"/>
          <w:color w:val="auto"/>
        </w:rPr>
      </w:pPr>
    </w:p>
    <w:p>
      <w:pPr>
        <w:ind w:left="1620" w:right="819" w:hanging="352"/>
        <w:spacing w:after="0" w:line="284" w:lineRule="auto"/>
        <w:tabs>
          <w:tab w:leader="none" w:pos="1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a result of pushdown accounting, the depreciation and amortization of tangible and intangible assets will be different due to changes in the depreciable and amortizable value and the depreciation and amortization period of the depreciating and amortizing assets. In addition, a leasehold interests liability was established, which is recognized as a reduction of occupancy expense over the remaining term of the related leases. For the 2018 Successor Period and the 2018 Predecessor Period, depreciation and amortization of tangible and intangible assets of $33.0 million and $48.8 million, respectively, and occupancy expense of $3.3 million and $10.7 million, respectively, was expensed in our audited consolidated statement of operations. If the different depreciable and amortizable values and depreciation and amortization periods and the leasehold</w:t>
      </w:r>
    </w:p>
    <w:p>
      <w:pPr>
        <w:spacing w:after="0" w:line="1" w:lineRule="exact"/>
        <w:rPr>
          <w:sz w:val="20"/>
          <w:szCs w:val="20"/>
          <w:color w:val="auto"/>
        </w:rPr>
      </w:pPr>
    </w:p>
    <w:p>
      <w:pPr>
        <w:ind w:left="1620" w:right="779"/>
        <w:spacing w:after="0" w:line="281" w:lineRule="auto"/>
        <w:rPr>
          <w:sz w:val="20"/>
          <w:szCs w:val="20"/>
          <w:color w:val="auto"/>
        </w:rPr>
      </w:pPr>
      <w:r>
        <w:rPr>
          <w:rFonts w:ascii="Arial" w:cs="Arial" w:eastAsia="Arial" w:hAnsi="Arial"/>
          <w:sz w:val="16"/>
          <w:szCs w:val="16"/>
          <w:color w:val="auto"/>
        </w:rPr>
        <w:t>interests liability from pushdown accounting were applied to the 2018 Predecessor Period, depreciation and amortization costs of tangible and intangible assets and occupancy expense for the year ended December 31,</w:t>
      </w:r>
    </w:p>
    <w:p>
      <w:pPr>
        <w:spacing w:after="0" w:line="1" w:lineRule="exact"/>
        <w:rPr>
          <w:sz w:val="20"/>
          <w:szCs w:val="20"/>
          <w:color w:val="auto"/>
        </w:rPr>
      </w:pPr>
    </w:p>
    <w:p>
      <w:pPr>
        <w:ind w:left="1620"/>
        <w:spacing w:after="0"/>
        <w:tabs>
          <w:tab w:leader="none" w:pos="3820" w:val="left"/>
          <w:tab w:leader="none" w:pos="5220" w:val="left"/>
        </w:tabs>
        <w:rPr>
          <w:sz w:val="20"/>
          <w:szCs w:val="20"/>
          <w:color w:val="auto"/>
        </w:rPr>
      </w:pPr>
      <w:r>
        <w:rPr>
          <w:rFonts w:ascii="Arial" w:cs="Arial" w:eastAsia="Arial" w:hAnsi="Arial"/>
          <w:sz w:val="18"/>
          <w:szCs w:val="18"/>
          <w:color w:val="auto"/>
        </w:rPr>
        <w:t>2018 would have been $</w:t>
      </w:r>
      <w:r>
        <w:rPr>
          <w:sz w:val="20"/>
          <w:szCs w:val="20"/>
          <w:color w:val="auto"/>
        </w:rPr>
        <w:tab/>
      </w:r>
      <w:r>
        <w:rPr>
          <w:rFonts w:ascii="Arial" w:cs="Arial" w:eastAsia="Arial" w:hAnsi="Arial"/>
          <w:sz w:val="18"/>
          <w:szCs w:val="18"/>
          <w:color w:val="auto"/>
        </w:rPr>
        <w:t>million and $</w:t>
      </w:r>
      <w:r>
        <w:rPr>
          <w:sz w:val="20"/>
          <w:szCs w:val="20"/>
          <w:color w:val="auto"/>
        </w:rPr>
        <w:tab/>
      </w:r>
      <w:r>
        <w:rPr>
          <w:rFonts w:ascii="Arial" w:cs="Arial" w:eastAsia="Arial" w:hAnsi="Arial"/>
          <w:sz w:val="16"/>
          <w:szCs w:val="16"/>
          <w:color w:val="auto"/>
        </w:rPr>
        <w:t>million, respectively.</w:t>
      </w:r>
    </w:p>
    <w:p>
      <w:pPr>
        <w:spacing w:after="0" w:line="116" w:lineRule="exact"/>
        <w:rPr>
          <w:sz w:val="20"/>
          <w:szCs w:val="20"/>
          <w:color w:val="auto"/>
        </w:rPr>
      </w:pPr>
    </w:p>
    <w:p>
      <w:pPr>
        <w:ind w:left="1620" w:right="859" w:hanging="352"/>
        <w:spacing w:after="0" w:line="270" w:lineRule="auto"/>
        <w:tabs>
          <w:tab w:leader="none" w:pos="1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TWM LLC has been, and will continue to be, treated as a partnership for U.S. federal and state income tax purposes. As such, income generated by TWM LLC will flow through to its partners, including us, and is generally not subject to tax at the TWM LLC level. TWM LLC or some of its subsidiaries, are subject to unincorporated business taxes on income earned, or losses incurred, by conducting business in certain state and local jurisdictions and income taxes in foreign jurisdictions on certain of their operations. Additionally, some subsidiaries are treated as a C corporation for U.S. federal and state income tax purposes and are therefore subject to income taxes on their income earned or losses incurred. As a result, the unaudited pro forma consolidated statement of operations reflect adjustments to our income tax expense based on the following effective tax rate calculated as follows:</w:t>
      </w:r>
    </w:p>
    <w:p>
      <w:pPr>
        <w:spacing w:after="0" w:line="92"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0" w:type="dxa"/>
            <w:vAlign w:val="bottom"/>
            <w:gridSpan w:val="5"/>
          </w:tcPr>
          <w:p>
            <w:pPr>
              <w:jc w:val="center"/>
              <w:ind w:left="108"/>
              <w:spacing w:after="0"/>
              <w:rPr>
                <w:sz w:val="20"/>
                <w:szCs w:val="20"/>
                <w:color w:val="auto"/>
              </w:rPr>
            </w:pPr>
            <w:r>
              <w:rPr>
                <w:rFonts w:ascii="Arial" w:cs="Arial" w:eastAsia="Arial" w:hAnsi="Arial"/>
                <w:sz w:val="14"/>
                <w:szCs w:val="14"/>
                <w:b w:val="1"/>
                <w:bCs w:val="1"/>
                <w:color w:val="auto"/>
                <w:w w:val="92"/>
              </w:rPr>
              <w:t>Reorganization</w:t>
            </w:r>
          </w:p>
        </w:tc>
        <w:tc>
          <w:tcPr>
            <w:tcW w:w="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Offering</w:t>
            </w:r>
          </w:p>
        </w:tc>
      </w:tr>
      <w:tr>
        <w:trPr>
          <w:trHeight w:val="18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Adjustments</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Adjustments</w:t>
            </w: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Tradeweb ownership percentage</w:t>
            </w:r>
          </w:p>
        </w:tc>
        <w:tc>
          <w:tcPr>
            <w:tcW w:w="4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324"/>
        </w:trPr>
        <w:tc>
          <w:tcPr>
            <w:tcW w:w="4380" w:type="dxa"/>
            <w:vAlign w:val="bottom"/>
            <w:gridSpan w:val="2"/>
          </w:tcPr>
          <w:p>
            <w:pPr>
              <w:spacing w:after="0"/>
              <w:rPr>
                <w:sz w:val="20"/>
                <w:szCs w:val="20"/>
                <w:color w:val="auto"/>
              </w:rPr>
            </w:pPr>
            <w:r>
              <w:rPr>
                <w:rFonts w:ascii="Arial" w:cs="Arial" w:eastAsia="Arial" w:hAnsi="Arial"/>
                <w:sz w:val="18"/>
                <w:szCs w:val="18"/>
                <w:color w:val="auto"/>
              </w:rPr>
              <w:t>U.S federal income tax rate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rate attributable to non-controlling interest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State, local and foreign taxes, net of federal tax benefit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-179705</wp:posOffset>
            </wp:positionV>
            <wp:extent cx="429641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9641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-805180</wp:posOffset>
            </wp:positionV>
            <wp:extent cx="37903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9" w:lineRule="exact"/>
        <w:rPr>
          <w:sz w:val="20"/>
          <w:szCs w:val="20"/>
          <w:color w:val="auto"/>
        </w:rPr>
      </w:pPr>
    </w:p>
    <w:p>
      <w:pPr>
        <w:ind w:left="1620" w:right="919" w:hanging="352"/>
        <w:spacing w:after="0" w:line="288" w:lineRule="auto"/>
        <w:tabs>
          <w:tab w:leader="none" w:pos="1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completion of the Reorganization Transactions, we will become the sole manager of TWM LLC. As the sole manager of TWM LLC, we will operate and control all of the business and affairs of TWM LLC and, through TWM LLC and its subsidiaries, conduct our business. As a result of this control, and because</w:t>
      </w:r>
    </w:p>
    <w:p>
      <w:pPr>
        <w:ind w:left="1620" w:right="799"/>
        <w:spacing w:after="0" w:line="252" w:lineRule="auto"/>
        <w:rPr>
          <w:sz w:val="20"/>
          <w:szCs w:val="20"/>
          <w:color w:val="auto"/>
        </w:rPr>
      </w:pPr>
      <w:r>
        <w:rPr>
          <w:rFonts w:ascii="Arial" w:cs="Arial" w:eastAsia="Arial" w:hAnsi="Arial"/>
          <w:sz w:val="18"/>
          <w:szCs w:val="18"/>
          <w:color w:val="auto"/>
        </w:rPr>
        <w:t>we will have a substantial financial interest in TWM LLC, we will consolidate the financial results of TWM LLC and will report a non-controlling interest related to the LLC Interests held by the Continuing LLC Owners. Following the Reorganization Transactions and prior to the completion of this offering, we will own % of the economic interest of TWM LLC and the Continuing LLC Owners will own % economic ownership of TWM LLC, and as such, % of TWM LLC’s net income will be attributable to the non-controlling interests.</w:t>
      </w:r>
    </w:p>
    <w:p>
      <w:pPr>
        <w:spacing w:after="0" w:line="86" w:lineRule="exact"/>
        <w:rPr>
          <w:sz w:val="20"/>
          <w:szCs w:val="20"/>
          <w:color w:val="auto"/>
        </w:rPr>
      </w:pPr>
    </w:p>
    <w:p>
      <w:pPr>
        <w:ind w:left="1620" w:right="799"/>
        <w:spacing w:after="0" w:line="286" w:lineRule="auto"/>
        <w:rPr>
          <w:sz w:val="20"/>
          <w:szCs w:val="20"/>
          <w:color w:val="auto"/>
        </w:rPr>
      </w:pPr>
      <w:r>
        <w:rPr>
          <w:rFonts w:ascii="Arial" w:cs="Arial" w:eastAsia="Arial" w:hAnsi="Arial"/>
          <w:sz w:val="16"/>
          <w:szCs w:val="16"/>
          <w:color w:val="auto"/>
        </w:rPr>
        <w:t>Following the Reorganization Transactions, this offering and the application of all of the net proceeds from this offering to purchase issued and outstanding LLC Interests (and cancel the corresponding shares of Class D common stock) from certain of the Other LLC Owners, we will own % of the economic interest of TWM LLC and will report a non-controlling interest related to the LLC Interests held by the Continuing</w:t>
      </w:r>
    </w:p>
    <w:p>
      <w:pPr>
        <w:spacing w:after="0" w:line="2" w:lineRule="exact"/>
        <w:rPr>
          <w:sz w:val="20"/>
          <w:szCs w:val="20"/>
          <w:color w:val="auto"/>
        </w:rPr>
      </w:pPr>
    </w:p>
    <w:p>
      <w:pPr>
        <w:ind w:left="1620" w:right="979"/>
        <w:spacing w:after="0" w:line="261" w:lineRule="auto"/>
        <w:rPr>
          <w:sz w:val="20"/>
          <w:szCs w:val="20"/>
          <w:color w:val="auto"/>
        </w:rPr>
      </w:pPr>
      <w:r>
        <w:rPr>
          <w:rFonts w:ascii="Arial" w:cs="Arial" w:eastAsia="Arial" w:hAnsi="Arial"/>
          <w:sz w:val="18"/>
          <w:szCs w:val="18"/>
          <w:color w:val="auto"/>
        </w:rPr>
        <w:t>LLC Owners, representing % economic ownership of TWM LLC, and as such, % of TWM LLC’s net income will be attributable to the non-controlling interests.</w:t>
      </w:r>
    </w:p>
    <w:p>
      <w:pPr>
        <w:spacing w:after="0" w:line="89" w:lineRule="exact"/>
        <w:rPr>
          <w:sz w:val="20"/>
          <w:szCs w:val="20"/>
          <w:color w:val="auto"/>
        </w:rPr>
      </w:pPr>
    </w:p>
    <w:p>
      <w:pPr>
        <w:ind w:left="1620" w:right="979" w:hanging="359"/>
        <w:spacing w:after="0" w:line="286" w:lineRule="auto"/>
        <w:tabs>
          <w:tab w:leader="none" w:pos="1600" w:val="left"/>
        </w:tabs>
        <w:rPr>
          <w:sz w:val="20"/>
          <w:szCs w:val="20"/>
          <w:color w:val="auto"/>
        </w:rPr>
      </w:pPr>
      <w:r>
        <w:rPr>
          <w:rFonts w:ascii="Arial" w:cs="Arial" w:eastAsia="Arial" w:hAnsi="Arial"/>
          <w:sz w:val="16"/>
          <w:szCs w:val="16"/>
          <w:color w:val="auto"/>
        </w:rPr>
        <w:t>(4)</w:t>
        <w:tab/>
        <w:t>This adjustment represents the increase in compensation expense we expect to incur following the completion of this offering related to the Special Option Award, based on 2019 annualized expense after giving effect to the completion of this offering (excluding the expense incurred as an immediate result of this offering, which is reflected in the unaudited pro forma consolidated statement of financial condition).</w:t>
      </w:r>
    </w:p>
    <w:p>
      <w:pPr>
        <w:spacing w:after="0" w:line="2" w:lineRule="exact"/>
        <w:rPr>
          <w:sz w:val="20"/>
          <w:szCs w:val="20"/>
          <w:color w:val="auto"/>
        </w:rPr>
      </w:pPr>
    </w:p>
    <w:p>
      <w:pPr>
        <w:ind w:left="1620" w:right="1019"/>
        <w:spacing w:after="0" w:line="261" w:lineRule="auto"/>
        <w:rPr>
          <w:sz w:val="20"/>
          <w:szCs w:val="20"/>
          <w:color w:val="auto"/>
        </w:rPr>
      </w:pPr>
      <w:r>
        <w:rPr>
          <w:rFonts w:ascii="Arial" w:cs="Arial" w:eastAsia="Arial" w:hAnsi="Arial"/>
          <w:sz w:val="18"/>
          <w:szCs w:val="18"/>
          <w:color w:val="auto"/>
        </w:rPr>
        <w:t>We have granted options under the Option Plan with tranches vesting between January 1, 2019 and January 1, 2022. Some of the tranches have accelerated vesting in the event of an</w:t>
      </w:r>
    </w:p>
    <w:p>
      <w:pPr>
        <w:spacing w:after="0" w:line="35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1340"/>
        <w:spacing w:after="0" w:line="276" w:lineRule="auto"/>
        <w:rPr>
          <w:sz w:val="20"/>
          <w:szCs w:val="20"/>
          <w:color w:val="auto"/>
        </w:rPr>
      </w:pPr>
      <w:r>
        <w:rPr>
          <w:rFonts w:ascii="Arial" w:cs="Arial" w:eastAsia="Arial" w:hAnsi="Arial"/>
          <w:sz w:val="17"/>
          <w:szCs w:val="17"/>
          <w:color w:val="auto"/>
        </w:rPr>
        <w:t>initial public offering, including this offering, or change of control of TWM LLC. The options are only exercisable in the event of an initial public offering, a change of control or a partial sale of TWM LLC and will become exercisable in connection with this offering, subject to any applicable vesting periods. The annualized expense is based on the fair value calculation of the options using the Black-Scholes model. The assumptions applied to the model for the multiple tranches are as follows:</w:t>
      </w:r>
    </w:p>
    <w:p>
      <w:pPr>
        <w:spacing w:after="0" w:line="88"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25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Annualized volatility</w:t>
            </w:r>
          </w:p>
        </w:tc>
        <w:tc>
          <w:tcPr>
            <w:tcW w:w="25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Annual dividend yield</w:t>
            </w:r>
          </w:p>
        </w:tc>
        <w:tc>
          <w:tcPr>
            <w:tcW w:w="25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r>
      <w:tr>
        <w:trPr>
          <w:trHeight w:val="257"/>
        </w:trPr>
        <w:tc>
          <w:tcPr>
            <w:tcW w:w="3320" w:type="dxa"/>
            <w:vAlign w:val="bottom"/>
            <w:gridSpan w:val="2"/>
          </w:tcPr>
          <w:p>
            <w:pPr>
              <w:spacing w:after="0"/>
              <w:rPr>
                <w:sz w:val="20"/>
                <w:szCs w:val="20"/>
                <w:color w:val="auto"/>
              </w:rPr>
            </w:pPr>
            <w:r>
              <w:rPr>
                <w:rFonts w:ascii="Arial" w:cs="Arial" w:eastAsia="Arial" w:hAnsi="Arial"/>
                <w:sz w:val="18"/>
                <w:szCs w:val="18"/>
                <w:color w:val="auto"/>
              </w:rPr>
              <w:t>Term</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years –</w:t>
            </w:r>
          </w:p>
        </w:tc>
        <w:tc>
          <w:tcPr>
            <w:tcW w:w="940" w:type="dxa"/>
            <w:vAlign w:val="bottom"/>
          </w:tcPr>
          <w:p>
            <w:pPr>
              <w:ind w:left="240"/>
              <w:spacing w:after="0"/>
              <w:rPr>
                <w:sz w:val="20"/>
                <w:szCs w:val="20"/>
                <w:color w:val="auto"/>
              </w:rPr>
            </w:pPr>
            <w:r>
              <w:rPr>
                <w:rFonts w:ascii="Arial" w:cs="Arial" w:eastAsia="Arial" w:hAnsi="Arial"/>
                <w:sz w:val="18"/>
                <w:szCs w:val="18"/>
                <w:color w:val="auto"/>
              </w:rPr>
              <w:t>years</w:t>
            </w:r>
          </w:p>
        </w:tc>
      </w:tr>
    </w:tbl>
    <w:p>
      <w:pPr>
        <w:spacing w:after="0" w:line="229" w:lineRule="exact"/>
        <w:rPr>
          <w:sz w:val="20"/>
          <w:szCs w:val="20"/>
          <w:color w:val="auto"/>
        </w:rPr>
      </w:pPr>
    </w:p>
    <w:p>
      <w:pPr>
        <w:ind w:left="1620" w:right="1340" w:hanging="352"/>
        <w:spacing w:after="0" w:line="285" w:lineRule="auto"/>
        <w:tabs>
          <w:tab w:leader="none" w:pos="1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Pro forma basic net income per share is computed by dividing the net income available to Class A and Class B common stockholders by the weighted average shares of Class A and Class B common stock outstanding during the period. Pro forma diluted net income per share is computed by adjusting the net income available to Class A and Class B common stockholders and the weighted average shares of Class A and Class B common stock outstanding to give effect to potentially dilutive securities, including LLC Interests held by the Continuing LLC Owners and shares of Class A common stock underlying the Special Option Award and modified PRSU awards. On December 31, 2018, most of the outstanding awards granted under the PRSU Plan were modified so they would no longer be settled in cash but instead would be settled in interests of TWM LLC. Following the completion of this offering, the PRSU Plan will be sponsored by Tradeweb Markets Inc. Shares of Class D common stock are not entitled to receive any distributions or dividends and are therefore not included in the computation of pro forma basic or diluted net income per share. The weighted average share calculation assumes the LLC Interests were exchanged for shares of Class A or Class B common stock at the beginning of the period. This adjustment is made for purposes of calculating pro forma diluted net income per share only and does not necessarily reflect the amount of exchanges that may occur subsequent to this offering. The weighted average share calculation also assumes that the Special Option Award and modified PRSU awards were issued and outstanding at the beginning of the period. The following table sets forth a reconciliation of the numerators and denominators used to compute pro forma basic and diluted net income per share.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Pro Forma</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Tradeweb Markets Inc.</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3"/>
          </w:tcPr>
          <w:p>
            <w:pPr>
              <w:jc w:val="center"/>
              <w:ind w:right="60"/>
              <w:spacing w:after="0" w:line="160" w:lineRule="exact"/>
              <w:rPr>
                <w:sz w:val="20"/>
                <w:szCs w:val="20"/>
                <w:color w:val="auto"/>
              </w:rPr>
            </w:pPr>
            <w:r>
              <w:rPr>
                <w:rFonts w:ascii="Arial" w:cs="Arial" w:eastAsia="Arial" w:hAnsi="Arial"/>
                <w:sz w:val="14"/>
                <w:szCs w:val="14"/>
                <w:b w:val="1"/>
                <w:bCs w:val="1"/>
                <w:color w:val="auto"/>
                <w:w w:val="92"/>
              </w:rPr>
              <w:t>Year ended</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20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96"/>
              </w:rPr>
              <w:t>2018</w:t>
            </w:r>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 thousands, except per share amounts)</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Basic net income per share:</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6200" w:type="dxa"/>
            <w:vAlign w:val="bottom"/>
          </w:tcPr>
          <w:p>
            <w:pPr>
              <w:ind w:left="360"/>
              <w:spacing w:after="0" w:line="202" w:lineRule="exact"/>
              <w:rPr>
                <w:sz w:val="20"/>
                <w:szCs w:val="20"/>
                <w:color w:val="auto"/>
              </w:rPr>
            </w:pPr>
            <w:r>
              <w:rPr>
                <w:rFonts w:ascii="Arial" w:cs="Arial" w:eastAsia="Arial" w:hAnsi="Arial"/>
                <w:sz w:val="18"/>
                <w:szCs w:val="18"/>
                <w:color w:val="auto"/>
              </w:rPr>
              <w:t>Net income</w:t>
            </w:r>
          </w:p>
        </w:tc>
        <w:tc>
          <w:tcPr>
            <w:tcW w:w="1200" w:type="dxa"/>
            <w:vAlign w:val="bottom"/>
            <w:gridSpan w:val="3"/>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6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w w:val="91"/>
              </w:rPr>
              <w:t>Net income attributable to Class A and Class B common stockholders – basic</w:t>
            </w:r>
          </w:p>
        </w:tc>
        <w:tc>
          <w:tcPr>
            <w:tcW w:w="12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6200" w:type="dxa"/>
            <w:vAlign w:val="bottom"/>
          </w:tcPr>
          <w:p>
            <w:pPr>
              <w:ind w:left="360"/>
              <w:spacing w:after="0"/>
              <w:rPr>
                <w:sz w:val="20"/>
                <w:szCs w:val="20"/>
                <w:color w:val="auto"/>
              </w:rPr>
            </w:pPr>
            <w:r>
              <w:rPr>
                <w:rFonts w:ascii="Arial" w:cs="Arial" w:eastAsia="Arial" w:hAnsi="Arial"/>
                <w:sz w:val="18"/>
                <w:szCs w:val="18"/>
                <w:color w:val="auto"/>
              </w:rPr>
              <w:t>Shares of Class A common stock issued in this offering</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of Class B common stock held by the Refinitiv Direct</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Owner</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w w:val="89"/>
              </w:rPr>
              <w:t>Weighted average shares of Class A and Class B common stock outstanding –</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62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ind w:left="1620"/>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w w:val="97"/>
              </w:rPr>
              <w:t>Net income attributable to Class A and Class B common stockholders – basic</w:t>
            </w:r>
          </w:p>
        </w:tc>
        <w:tc>
          <w:tcPr>
            <w:tcW w:w="12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Reallocation of net income assuming conversion of LLC Interests to shares of</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Class A or Class B 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6200" w:type="dxa"/>
            <w:vAlign w:val="bottom"/>
          </w:tcPr>
          <w:p>
            <w:pPr>
              <w:ind w:left="360"/>
              <w:spacing w:after="0"/>
              <w:rPr>
                <w:sz w:val="20"/>
                <w:szCs w:val="20"/>
                <w:color w:val="auto"/>
              </w:rPr>
            </w:pPr>
            <w:r>
              <w:rPr>
                <w:rFonts w:ascii="Arial" w:cs="Arial" w:eastAsia="Arial" w:hAnsi="Arial"/>
                <w:sz w:val="18"/>
                <w:szCs w:val="18"/>
                <w:color w:val="auto"/>
                <w:w w:val="92"/>
              </w:rPr>
              <w:t>Net income attributable to Class A and Class B common stockholders – diluted</w:t>
            </w:r>
          </w:p>
        </w:tc>
        <w:tc>
          <w:tcPr>
            <w:tcW w:w="12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5"/>
        </w:trPr>
        <w:tc>
          <w:tcPr>
            <w:tcW w:w="7820" w:type="dxa"/>
            <w:vAlign w:val="bottom"/>
            <w:gridSpan w:val="2"/>
          </w:tcPr>
          <w:p>
            <w:pPr>
              <w:jc w:val="right"/>
              <w:ind w:right="227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-1800225</wp:posOffset>
            </wp:positionV>
            <wp:extent cx="49828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-3498215</wp:posOffset>
            </wp:positionV>
            <wp:extent cx="40646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101" w:name="page102"/>
    <w:bookmarkEnd w:id="10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Pro Forma</w:t>
            </w:r>
          </w:p>
        </w:tc>
      </w:tr>
      <w:tr>
        <w:trPr>
          <w:trHeight w:val="185"/>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Tradeweb Markets Inc.</w:t>
            </w:r>
          </w:p>
        </w:tc>
      </w:tr>
      <w:tr>
        <w:trPr>
          <w:trHeight w:val="146"/>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2"/>
              </w:rPr>
              <w:t>Year ended</w:t>
            </w: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660" w:type="dxa"/>
            <w:vAlign w:val="bottom"/>
            <w:gridSpan w:val="4"/>
          </w:tcPr>
          <w:p>
            <w:pPr>
              <w:ind w:left="780"/>
              <w:spacing w:after="0"/>
              <w:rPr>
                <w:sz w:val="20"/>
                <w:szCs w:val="20"/>
                <w:color w:val="auto"/>
              </w:rPr>
            </w:pPr>
            <w:r>
              <w:rPr>
                <w:rFonts w:ascii="Arial" w:cs="Arial" w:eastAsia="Arial" w:hAnsi="Arial"/>
                <w:sz w:val="14"/>
                <w:szCs w:val="14"/>
                <w:b w:val="1"/>
                <w:bCs w:val="1"/>
                <w:color w:val="auto"/>
              </w:rPr>
              <w:t>2018</w:t>
            </w: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180" w:type="dxa"/>
            <w:vAlign w:val="bottom"/>
          </w:tcPr>
          <w:p>
            <w:pPr>
              <w:ind w:left="160"/>
              <w:spacing w:after="0" w:line="201" w:lineRule="exact"/>
              <w:rPr>
                <w:sz w:val="20"/>
                <w:szCs w:val="20"/>
                <w:color w:val="auto"/>
              </w:rPr>
            </w:pPr>
            <w:r>
              <w:rPr>
                <w:rFonts w:ascii="Arial" w:cs="Arial" w:eastAsia="Arial" w:hAnsi="Arial"/>
                <w:sz w:val="18"/>
                <w:szCs w:val="18"/>
                <w:color w:val="auto"/>
                <w:w w:val="95"/>
              </w:rPr>
              <w:t>Weighted average shares of Class A and Class B common stock outstanding –</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effect of dilutive securities:</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180" w:type="dxa"/>
            <w:vAlign w:val="bottom"/>
          </w:tcPr>
          <w:p>
            <w:pPr>
              <w:ind w:left="340"/>
              <w:spacing w:after="0" w:line="201" w:lineRule="exact"/>
              <w:rPr>
                <w:sz w:val="20"/>
                <w:szCs w:val="20"/>
                <w:color w:val="auto"/>
              </w:rPr>
            </w:pPr>
            <w:r>
              <w:rPr>
                <w:rFonts w:ascii="Arial" w:cs="Arial" w:eastAsia="Arial" w:hAnsi="Arial"/>
                <w:sz w:val="18"/>
                <w:szCs w:val="18"/>
                <w:color w:val="auto"/>
                <w:w w:val="92"/>
              </w:rPr>
              <w:t>Assumed conversion of LLC Interests to shares of Class A or Class B common</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520"/>
              <w:spacing w:after="0"/>
              <w:rPr>
                <w:sz w:val="20"/>
                <w:szCs w:val="20"/>
                <w:color w:val="auto"/>
              </w:rPr>
            </w:pPr>
            <w:r>
              <w:rPr>
                <w:rFonts w:ascii="Arial" w:cs="Arial" w:eastAsia="Arial" w:hAnsi="Arial"/>
                <w:sz w:val="18"/>
                <w:szCs w:val="18"/>
                <w:color w:val="auto"/>
              </w:rPr>
              <w:t>stock</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Special Option Award</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Modified PRSU awards</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18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w w:val="94"/>
              </w:rPr>
              <w:t>Weighted average shares of Class A and Class B common stock outstanding</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diluted</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-462280</wp:posOffset>
            </wp:positionV>
            <wp:extent cx="498284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-1543050</wp:posOffset>
            </wp:positionV>
            <wp:extent cx="40646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1"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sections titled “Basis of Presentation,” “Selected Historical Consolidated Financial and Other Data” and “Unaudited Pro Forma Consolidated Financial Information” and our consolidated financial statements and related notes and other information included elsewhere in this prospectus.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prospectus.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56" w:lineRule="exact"/>
        <w:rPr>
          <w:sz w:val="20"/>
          <w:szCs w:val="20"/>
          <w:color w:val="auto"/>
        </w:rPr>
      </w:pPr>
    </w:p>
    <w:p>
      <w:pPr>
        <w:ind w:left="1260" w:right="819" w:firstLine="360"/>
        <w:spacing w:after="0" w:line="302" w:lineRule="auto"/>
        <w:rPr>
          <w:sz w:val="20"/>
          <w:szCs w:val="20"/>
          <w:color w:val="auto"/>
        </w:rPr>
      </w:pPr>
      <w:r>
        <w:rPr>
          <w:rFonts w:ascii="Arial" w:cs="Arial" w:eastAsia="Arial" w:hAnsi="Arial"/>
          <w:sz w:val="16"/>
          <w:szCs w:val="16"/>
          <w:color w:val="auto"/>
        </w:rPr>
        <w:t>Our institutional client sector serves institutional investors in 37 markets across 24 currencies, and in 62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9"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90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51"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5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63" w:lineRule="exact"/>
        <w:rPr>
          <w:sz w:val="20"/>
          <w:szCs w:val="20"/>
          <w:color w:val="auto"/>
        </w:rPr>
      </w:pPr>
    </w:p>
    <w:p>
      <w:pPr>
        <w:ind w:left="1260" w:right="1199" w:firstLine="360"/>
        <w:spacing w:after="0" w:line="342" w:lineRule="auto"/>
        <w:rPr>
          <w:sz w:val="20"/>
          <w:szCs w:val="20"/>
          <w:color w:val="auto"/>
        </w:rPr>
      </w:pPr>
      <w:r>
        <w:rPr>
          <w:rFonts w:ascii="Arial" w:cs="Arial" w:eastAsia="Arial" w:hAnsi="Arial"/>
          <w:sz w:val="16"/>
          <w:szCs w:val="16"/>
          <w:color w:val="auto"/>
        </w:rPr>
        <w:t>Our business is impacted by the overall market activity and, in particular, trading volumes and market volatility. Lower volatility is correlated to lower liquidity, which may result in lower trading volume for our</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64" w:lineRule="auto"/>
        <w:rPr>
          <w:sz w:val="20"/>
          <w:szCs w:val="20"/>
          <w:color w:val="auto"/>
        </w:rPr>
      </w:pPr>
      <w:r>
        <w:rPr>
          <w:rFonts w:ascii="Arial" w:cs="Arial" w:eastAsia="Arial" w:hAnsi="Arial"/>
          <w:sz w:val="18"/>
          <w:szCs w:val="18"/>
          <w:color w:val="auto"/>
        </w:rPr>
        <w:t>clients and may negatively impact our operating performance. As a result, our business is sensitive to slow trading environments and the continuity of conservative monetary policies of central banks internationally, which tend to lessen volatility.</w:t>
      </w:r>
    </w:p>
    <w:p>
      <w:pPr>
        <w:spacing w:after="0" w:line="73"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offset market volatility risk.</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04"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6"/>
          <w:szCs w:val="16"/>
          <w:color w:val="auto"/>
        </w:rPr>
        <w:t>Our business is subject to extensive regulations in the United States and internationally, which may expose us to significant regulatory risk and cause additional legal costs to ensure compliance. See “Business — Regulation.”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presidential administration. The impact of any reform efforts on us and our operations remains uncertain. In addition, as a result of the referendum in favor of the United Kingdom’s withdrawal from the European Union (“Brexit”) in June 2016, which is currently scheduled to occur on March 29, 2019, we have incurred additional costs to address the potential effects of Brexit, including costs associated with establishing a new regulated subsidiary in the Netherlands.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increased trading volumes as a result of, and the introduction of our new APA service in connection with, the implementation of MiFID II in January 2018.</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0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“Business — Competition” for more detail on our competitors.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04"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Our business and its success are largely impacted by the introduction of increasingly complex technology, sophisticated systems,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increase demand for our platforms and solutions and the volume of transactions on our platforms, and thereby enhance our client relationships, by responding to new trading and information requirements by utilizing technological advances and emerging</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97" w:lineRule="auto"/>
        <w:rPr>
          <w:sz w:val="20"/>
          <w:szCs w:val="20"/>
          <w:color w:val="auto"/>
        </w:rPr>
      </w:pPr>
      <w:r>
        <w:rPr>
          <w:rFonts w:ascii="Arial" w:cs="Arial" w:eastAsia="Arial" w:hAnsi="Arial"/>
          <w:sz w:val="16"/>
          <w:szCs w:val="16"/>
          <w:color w:val="auto"/>
        </w:rPr>
        <w:t>industry standards and practices in an effective and efficient way. We plan to continue to focus on technology infrastructure initiatives and continually improve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During the 2018 Successor Period, the 2018 Predecessor Period and the year ended December 31, 2017, approximately 28.6%, 28.6% and 24.7%, respectively, of our gross revenue and 15.1%, 17.0% and 15.6%, respectively, of our operating expenses were denominated in currencies other than the U.S. dollar, almost entirely the Euro for gross revenue and the British pound sterling for operating expenses.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 Quantitative and Qualitative Disclosures About Market Risk — Foreign Currency and Derivative Risk.”</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Pushdown Accounting on our Financial Statements</w:t>
      </w:r>
    </w:p>
    <w:p>
      <w:pPr>
        <w:spacing w:after="0" w:line="108"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As a result of the Refinitiv Transaction and the application of pushdown accounting, our assets and liabilities were adjusted to their estimated fair market values as of October 1, 2018, the closing date of the Refinitiv Transaction. These adjusted valuations resulted in an increase in depreciation and amortization expense, due to the increased carrying value of our assets and the related increase in depreciation of tangible assets and amortization of our intangible assets, and a decrease in occupancy expense as a result of the recognition of a leasehold interest liability. Additionally, the excess of the portion of the total purchase price of the Refinitiv Transaction attributable to the purchase of our assets and liabilities over their estimated fair value as of the closing date of the Refinitiv Transaction was allocated to goodwill. Goodwill is subject to annual impairment testing. Amounts allocated to intangible assets with definite lives are subject to amortization over the estimated useful life of the asset. See “Note 3” to our consolidated financial statements included elsewhere in this prospectus and “— Critical Accounting Policies and Estimates — Pushdown Accounting.”</w:t>
      </w:r>
    </w:p>
    <w:p>
      <w:pPr>
        <w:spacing w:after="0" w:line="65"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Due to the change in the basis of accounting resulting from the application of pushdown accounting,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 are not necessarily comparable. As discussed above, the new basis of accounting primarily impacted the values of our long-lived and indefinite-lived intangible assets and resulted in increased depreciation and amortization expense and decreased occupancy expense. However, the change in basis resulting from the Refinitiv Transaction and the application of pushdown accounting did not impact revenues, employee compensation and benefits expense, general and administrative expense, technology and communications expense or professional fees, and, for these metrics, we believe combining the results for the Successor and Predecessor periods provides meaningful information. Accordingly, certain discussions below for revenues and certain expenses represent the combined results of the Successor and Predecessor periods for the full year ended December 31, 2018. Such combination was performed by mathematical addition and is not a presentation made in accordance with GAAP, although we believe it provides a meaningful method of comparison for these metrics. The combined data is being presented for informational purposes only. The combined results for these metrics for the full year ended December 31, 2018 (i) have not been prepared on a pro forma basis as if the Refinitiv Transaction occurred on the first day of the period, (ii) may not reflect the actual results we would have achieved absent the Refinitiv Transaction, (iii) may not be predictive of our future results of</w:t>
      </w:r>
    </w:p>
    <w:p>
      <w:pPr>
        <w:spacing w:after="0" w:line="25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312" w:lineRule="auto"/>
        <w:rPr>
          <w:sz w:val="20"/>
          <w:szCs w:val="20"/>
          <w:color w:val="auto"/>
        </w:rPr>
      </w:pPr>
      <w:r>
        <w:rPr>
          <w:rFonts w:ascii="Arial" w:cs="Arial" w:eastAsia="Arial" w:hAnsi="Arial"/>
          <w:sz w:val="16"/>
          <w:szCs w:val="16"/>
          <w:color w:val="auto"/>
        </w:rPr>
        <w:t>operations and (iv) should not be viewed as a substitute for the financial results of the Successor and Predecessor periods presented in accordance with GAAP. For all other metrics, to the extent that the change in basis had a material impact on our results, we have disclosed such impact under “— Results of Operations.”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Post-Offering Taxation and Public Company Expenses</w:t>
      </w:r>
    </w:p>
    <w:p>
      <w:pPr>
        <w:spacing w:after="0" w:line="10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After the consummation of this offering, we will become subject to U.S. federal, state and local income taxes with respect to our allocable share of any taxable income of Tradeweb Markets LLC and will be taxed at prevailing corporate tax rates. Our actual effective tax rate will be impacted by our ownership share of Tradeweb Markets LLC, which will increase over time as the Continuing LLC Owners exchange their LLC Interests for shares of Class A common stock or Class B common stock, as applicable. In addition to tax expenses, we also will incur expenses related to our operations. Furthermore, in connection with this offering, we will enter into the Tax Receivable Agreement pursuant to which we will make payments that we expect to be significant. We intend to cause Tradeweb Markets LLC to make distributions in an amount sufficient to allow us to pay our tax obligations and operating expenses, including payments under the Tax Receivable Agreement. See “Certain Relationships and Related Party Transactions — Related Party Transactions Entered Into in Connection With This Offering — TWM LLC Agreement.”</w:t>
      </w:r>
    </w:p>
    <w:p>
      <w:pPr>
        <w:spacing w:after="0" w:line="75"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Historically, Thomson Reuters and related entities provided certain services and activities to support our business, including human resources, finance, tax and accounting services, market data services, client services, technology services, sales and customer support services and real estate and facilities support. Following this offering, we expect Refinitiv will continue to provide market data services and insurance and, at least in the near term, office space and related services. We do not anticipate that we will incur any material increased expenses if we transition away from Refinitiv for these services in the future.</w:t>
      </w:r>
    </w:p>
    <w:p>
      <w:pPr>
        <w:spacing w:after="0" w:line="7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In addition, as a public company, we will be implementing additional procedures and processes for the purpose of addressing the standards and requirements applicable to public companies. In particular, we expect our accounting, legal and personnel-related expenses and directors’ and officers’ insurance costs to increase as we establish more comprehensive compliance and governance functions, establish, maintain and review internal controls over financial reporting in accordance with the Sarbanes-Oxley Act and prepare and distribute periodic reports in accordance with SEC rules. Our financial statements following this offering will reflect the impact of these expenses.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Our gross revenue is derived primarily from transaction fees, subscription fees, commissions and market data fees. For the 2018 Predecessor Period and the years ended December 31, 2017 and 2016, our gross revenue is offset by contingent consideration recognized as a contra-revenue adjustment related to the achievement of specific revenue earnout milestones, as further described below. This contingent consideration vested on, and has no additional impacts on our results of operations after, July 31, 2018. We believe that gross revenue is the key driver of our operating performance and therefore is the revenue measure we utilize to assess our business on a period by period basis.</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Transaction Fees</w:t>
      </w:r>
    </w:p>
    <w:p>
      <w:pPr>
        <w:spacing w:after="0" w:line="104" w:lineRule="exact"/>
        <w:rPr>
          <w:sz w:val="20"/>
          <w:szCs w:val="20"/>
          <w:color w:val="auto"/>
        </w:rPr>
      </w:pPr>
    </w:p>
    <w:p>
      <w:pPr>
        <w:ind w:left="1260" w:right="879" w:firstLine="360"/>
        <w:spacing w:after="0" w:line="288" w:lineRule="auto"/>
        <w:rPr>
          <w:sz w:val="20"/>
          <w:szCs w:val="20"/>
          <w:color w:val="auto"/>
        </w:rPr>
      </w:pPr>
      <w:r>
        <w:rPr>
          <w:rFonts w:ascii="Arial" w:cs="Arial" w:eastAsia="Arial" w:hAnsi="Arial"/>
          <w:sz w:val="16"/>
          <w:szCs w:val="16"/>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 Transaction volume is determined by using either a measure of the notional volume of the products traded or a count of the number of trades. We typically charge higher fees for products that are less actively traded.</w:t>
      </w:r>
    </w:p>
    <w:p>
      <w:pPr>
        <w:spacing w:after="0" w:line="23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Subscription Fees</w:t>
      </w:r>
    </w:p>
    <w:p>
      <w:pPr>
        <w:spacing w:after="0" w:line="90"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73"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customers based on customer conversion rates. Royalties may fluctuate from period to period depending on the numbers of customer conversions achieved by Refinitiv during the applicable royalty fee earning period, which is typically seven years from the date of the initial referral. See “Certain Relationships and Related Party Transactions — Transactions with Refinitiv/Thomson Reuters.”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Commissions</w:t>
      </w:r>
    </w:p>
    <w:p>
      <w:pPr>
        <w:spacing w:after="0" w:line="77"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Contingent Consideration</w:t>
      </w:r>
    </w:p>
    <w:p>
      <w:pPr>
        <w:spacing w:after="0" w:line="9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vested on July 31, 2018 upon the achievement of specific revenue earnout milestones related to the growth of specified credit products (the “Credit Initiative Earnout”). Prior to the July 31, 2018 vesting, we recognized contingent consideration with respect to the Credit Initiative Earnout as a contra-revenue adjustment, which partially offset gross revenue for the 2018 Predecessor Period and the years ended December 31, 2017 and 2016. See “— Critical Accounting Policies and Estimates — Contingent Consideration” for a discussion of the calculation of contingent consideration. The value of the contingent consideration of $156.2 million was finalized and contributed to members’ capital or employee equity compensation payable on July 31, 2018 and we therefore no longer recognize any contra-revenue adjustments from the Credit Initiative Earnout subsequent to that date.</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Employee Compensation and Benefits</w:t>
      </w:r>
    </w:p>
    <w:p>
      <w:pPr>
        <w:spacing w:after="0" w:line="77"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and stock-based compensation cost. Factors that influence employee compensation and benefits expense include revenue and earnings growth, hiring new employees, trading activity which generates broker commissions and, following this offering, the share price of our Class A common stock. As we grow our business, we expect to hire additional employees. As a result, we expect employee compensation and benefits expense to increase as we hire additional employees and as our revenues and earnings grow. As a result, employee compensation and benefits can vary from period to period.</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left="1260" w:right="1119" w:firstLine="360"/>
        <w:spacing w:after="0" w:line="342" w:lineRule="auto"/>
        <w:rPr>
          <w:sz w:val="20"/>
          <w:szCs w:val="20"/>
          <w:color w:val="auto"/>
        </w:rPr>
      </w:pPr>
      <w:r>
        <w:rPr>
          <w:rFonts w:ascii="Arial" w:cs="Arial" w:eastAsia="Arial" w:hAnsi="Arial"/>
          <w:sz w:val="16"/>
          <w:szCs w:val="16"/>
          <w:color w:val="auto"/>
        </w:rPr>
        <w:t>Depreciation and amortization expense consists of costs relating to the depreciation and amortization of other intangible assets, acquired and internally developed software, leasehold improvements furniture</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312" w:lineRule="auto"/>
        <w:rPr>
          <w:sz w:val="20"/>
          <w:szCs w:val="20"/>
          <w:color w:val="auto"/>
        </w:rPr>
      </w:pPr>
      <w:r>
        <w:rPr>
          <w:rFonts w:ascii="Arial" w:cs="Arial" w:eastAsia="Arial" w:hAnsi="Arial"/>
          <w:sz w:val="16"/>
          <w:szCs w:val="16"/>
          <w:color w:val="auto"/>
        </w:rPr>
        <w:t>and equipment. As discussed in “— Effect of Pushdown Accounting on our Financial Statements,” we applied pushdown accounting as a result of the Refinitiv Transaction and therefore depreciation and amortization expense in Successor reporting periods will differ from amounts reported in Predecessor periods.</w:t>
      </w:r>
    </w:p>
    <w:p>
      <w:pPr>
        <w:spacing w:after="0" w:line="13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Technology and Communications</w:t>
      </w:r>
    </w:p>
    <w:p>
      <w:pPr>
        <w:spacing w:after="0" w:line="104"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costs and data feeds provided by third-party service providers, including Refinitiv pursuant to a shared services agreement. Factors that influence technology and communications expense include the growth of our client base and product offerings.</w:t>
      </w:r>
    </w:p>
    <w:p>
      <w:pPr>
        <w:spacing w:after="0" w:line="14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Professional Fees</w:t>
      </w:r>
    </w:p>
    <w:p>
      <w:pPr>
        <w:spacing w:after="0" w:line="104"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Accounting, tax and legal fees are expected to grow as a result of the changes in our structure and operations that we will implement in connection with becoming a publicly traded company. Factors that influence technology and software consulting expense include the growth of our client base and product offerings.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Occupancy</w:t>
      </w:r>
    </w:p>
    <w:p>
      <w:pPr>
        <w:spacing w:after="0" w:line="104"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color w:val="auto"/>
        </w:rPr>
        <w:t>Occupancy expense consists of operating lease rent and related costs for office space leased in the United States and the United Kingdom. Fees incurred by us under a shared services agreement with Refinitiv for office space are also included in occupancy expense. We expect occupancy expense to increase as we expand the number of our employees and grow our operations. As discussed in “— Effect of Pushdown Accounting on our Financial Statements,” we applied pushdown accounting as a result of the Refinitiv Transaction and therefore occupancy expense in Successor reporting periods will differ from amounts reported in Predecessor periods.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04"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6"/>
          <w:szCs w:val="16"/>
          <w:color w:val="auto"/>
        </w:rPr>
        <w:t>Interest income consists of interest earned from our cash deposited with large commercial banks and money market funds. Interest expense consists of interest payable to Thomson Reuters under a convertible term note. Thomson Reuters converted all outstanding borrowings under this note to equity of the Company in May 2017.</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We are currently a multiple member limited liability company taxed as a partnership and accordingly we are not required to maintain an income tax provision on our earnings. Income taxes consist of unincorporated business taxes on income earned or losses incurred by conducting business in certain state and local jurisdictions. Income taxes also includes income taxes on income earned in foreign jurisdictions on certain of our operations as well as federal and state income taxes on income earned or losses incurred, both current and deferred, from subsidiaries that are taxed as corporations for U.S. tax purposes. After the consummation of this offering, we will become subject to U.S. federal, state and local income taxes with respect to our allocable share of any taxable income of Tradeweb Markets LLC and will be taxed at prevailing corporate tax rates.</w:t>
      </w:r>
    </w:p>
    <w:p>
      <w:pPr>
        <w:spacing w:after="0" w:line="2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1260" w:right="859"/>
        <w:spacing w:after="0" w:line="246" w:lineRule="auto"/>
        <w:rPr>
          <w:sz w:val="20"/>
          <w:szCs w:val="20"/>
          <w:color w:val="auto"/>
        </w:rPr>
      </w:pPr>
      <w:r>
        <w:rPr>
          <w:rFonts w:ascii="Arial" w:cs="Arial" w:eastAsia="Arial" w:hAnsi="Arial"/>
          <w:sz w:val="18"/>
          <w:szCs w:val="18"/>
          <w:b w:val="1"/>
          <w:bCs w:val="1"/>
          <w:i w:val="1"/>
          <w:iCs w:val="1"/>
          <w:color w:val="auto"/>
        </w:rPr>
        <w:t>October 1, 2018 to December 31, 2018 (Successor), January 1, 2018 to September 30, 2018 (Predecessor) and the Year Ended December 31, 2017 (Predecessor)</w:t>
      </w:r>
    </w:p>
    <w:p>
      <w:pPr>
        <w:spacing w:after="0" w:line="75"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following table sets forth a summary of our statements of income for the 2018 Successor Period, the 2018 Predecessor Period and the year ended December 31, 2017:</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gridSpan w:val="7"/>
            <w:vMerge w:val="restart"/>
          </w:tcPr>
          <w:p>
            <w:pPr>
              <w:ind w:left="5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9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178,637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$ 505,771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562,968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left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(26,830)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(58,520)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178,637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478,941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504,448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146,702</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338,607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415,356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31,935</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140,334</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89,092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Net interest income (expense)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1,726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685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32,722</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142,060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89,777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(3,415)</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(11,900)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$ 130,160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83,648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6907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-591185</wp:posOffset>
            </wp:positionV>
            <wp:extent cx="7747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-591185</wp:posOffset>
            </wp:positionV>
            <wp:extent cx="469074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-934085</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-934085</wp:posOffset>
            </wp:positionV>
            <wp:extent cx="46907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-1276985</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-1276985</wp:posOffset>
            </wp:positionV>
            <wp:extent cx="46907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-1740535</wp:posOffset>
            </wp:positionV>
            <wp:extent cx="137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-1740535</wp:posOffset>
            </wp:positionV>
            <wp:extent cx="12890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9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Gross revenue increased by $121.4 million or 21.6% to $684.4 million for the combined year ended December 31, 2018 from $563.0 million for the year ended December 31, 2017. This increase in gross revenue was mainly due to higher trading volumes resulting in a $103.9 million increase in transaction fees and a $15.9 million increase in commissions. Net revenue increased by $153.1 million or 30.4% to $657.6 million for the combined year ended December 31, 2018 from $504.4 million for the year ended December 31, 2017. Non-cash contingent consideration decreased by $31.7 million to $26.8 million for the combined year ended December 31, 2018 from $58.5 million for the year ended December 31, 2017 as a result of changes in projected and actual revenues related to the Credit Initiative Earnout during the periods.</w:t>
      </w:r>
    </w:p>
    <w:p>
      <w:pPr>
        <w:spacing w:after="0" w:line="71" w:lineRule="exact"/>
        <w:rPr>
          <w:sz w:val="20"/>
          <w:szCs w:val="20"/>
          <w:color w:val="auto"/>
        </w:rPr>
      </w:pPr>
    </w:p>
    <w:p>
      <w:pPr>
        <w:ind w:left="1260" w:right="919" w:firstLine="360"/>
        <w:spacing w:after="0" w:line="297" w:lineRule="auto"/>
        <w:rPr>
          <w:sz w:val="20"/>
          <w:szCs w:val="20"/>
          <w:color w:val="auto"/>
        </w:rPr>
      </w:pPr>
      <w:r>
        <w:rPr>
          <w:rFonts w:ascii="Arial" w:cs="Arial" w:eastAsia="Arial" w:hAnsi="Arial"/>
          <w:sz w:val="16"/>
          <w:szCs w:val="16"/>
          <w:color w:val="auto"/>
        </w:rPr>
        <w:t>Total expenses for the 2018 Successor Period and the 2018 Predecessor Period were $146.7 million and $338.6 million, respectively. Total expenses for the year ended December 31, 2017 were $415.4 million. Total expenses for the 2018 Successor Period and the 2018 Predecessor Period were impacted by higher employee compensation and benefits expense and higher professional fees. The 2018 Successor Period was also impacted by higher depreciation and amortization expense as a result of the application of pushdown accounting.</w:t>
      </w:r>
    </w:p>
    <w:p>
      <w:pPr>
        <w:spacing w:after="0" w:line="50"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Income before taxes for the 2018 Successor Period and the 2018 Predecessor Period was $32.7 million and $142.1 million, respectively. Income before taxes for the year ended December 31, 2017 was $89.8 million. Net income for the 2018 Successor Period and the 2018 Predecessor Period was $29.3 million and $130.2 million, respectively. Net income for the year ended December 31, 2017 was $83.6 million. Income before taxes and net income for the 2018 Successor Period and the 2018 Predecessor Period were positively impacted by higher revenues partially offset by higher compensation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left="1260" w:right="1119" w:firstLine="360"/>
        <w:spacing w:after="0" w:line="264" w:lineRule="auto"/>
        <w:rPr>
          <w:sz w:val="20"/>
          <w:szCs w:val="20"/>
          <w:color w:val="auto"/>
        </w:rPr>
      </w:pPr>
      <w:r>
        <w:rPr>
          <w:rFonts w:ascii="Arial" w:cs="Arial" w:eastAsia="Arial" w:hAnsi="Arial"/>
          <w:sz w:val="18"/>
          <w:szCs w:val="18"/>
          <w:color w:val="auto"/>
        </w:rPr>
        <w:t>Our revenues for the 2018 Successor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5"/>
          </w:tcPr>
          <w:p>
            <w:pPr>
              <w:jc w:val="center"/>
              <w:ind w:left="541"/>
              <w:spacing w:after="0"/>
              <w:rPr>
                <w:sz w:val="20"/>
                <w:szCs w:val="20"/>
                <w:color w:val="auto"/>
              </w:rPr>
            </w:pPr>
            <w:r>
              <w:rPr>
                <w:rFonts w:ascii="Arial" w:cs="Arial" w:eastAsia="Arial" w:hAnsi="Arial"/>
                <w:sz w:val="14"/>
                <w:szCs w:val="14"/>
                <w:b w:val="1"/>
                <w:bCs w:val="1"/>
                <w:color w:val="auto"/>
                <w:w w:val="89"/>
              </w:rPr>
              <w:t>2017</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180" w:type="dxa"/>
            <w:vAlign w:val="bottom"/>
          </w:tcPr>
          <w:p>
            <w:pPr>
              <w:spacing w:after="0"/>
              <w:rPr>
                <w:sz w:val="18"/>
                <w:szCs w:val="18"/>
                <w:color w:val="auto"/>
              </w:rPr>
            </w:pPr>
          </w:p>
        </w:tc>
        <w:tc>
          <w:tcPr>
            <w:tcW w:w="1360" w:type="dxa"/>
            <w:vAlign w:val="bottom"/>
            <w:tcBorders>
              <w:bottom w:val="single" w:sz="8" w:color="auto"/>
            </w:tcBorders>
            <w:gridSpan w:val="4"/>
          </w:tcPr>
          <w:p>
            <w:pPr>
              <w:ind w:left="260"/>
              <w:spacing w:after="0" w:line="216" w:lineRule="exact"/>
              <w:rPr>
                <w:sz w:val="20"/>
                <w:szCs w:val="20"/>
                <w:color w:val="auto"/>
              </w:rPr>
            </w:pPr>
            <w:r>
              <w:rPr>
                <w:rFonts w:ascii="Arial" w:cs="Arial" w:eastAsia="Arial" w:hAnsi="Arial"/>
                <w:sz w:val="14"/>
                <w:szCs w:val="14"/>
                <w:b w:val="1"/>
                <w:bCs w:val="1"/>
                <w:color w:val="auto"/>
              </w:rPr>
              <w:t>(Combined)</w:t>
            </w:r>
            <w:r>
              <w:rPr>
                <w:rFonts w:ascii="Arial" w:cs="Arial" w:eastAsia="Arial" w:hAnsi="Arial"/>
                <w:sz w:val="21"/>
                <w:szCs w:val="21"/>
                <w:b w:val="1"/>
                <w:bCs w:val="1"/>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9"/>
              </w:rPr>
              <w:t>(Predecessor)</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right w:val="single" w:sz="8" w:color="auto"/>
            </w:tcBorders>
            <w:gridSpan w:val="4"/>
          </w:tcPr>
          <w:p>
            <w:pPr>
              <w:jc w:val="center"/>
              <w:ind w:right="20"/>
              <w:spacing w:after="0" w:line="160" w:lineRule="exact"/>
              <w:rPr>
                <w:sz w:val="20"/>
                <w:szCs w:val="20"/>
                <w:color w:val="auto"/>
              </w:rPr>
            </w:pPr>
            <w:r>
              <w:rPr>
                <w:rFonts w:ascii="Arial" w:cs="Arial" w:eastAsia="Arial" w:hAnsi="Arial"/>
                <w:sz w:val="14"/>
                <w:szCs w:val="14"/>
                <w:b w:val="1"/>
                <w:bCs w:val="1"/>
                <w:color w:val="auto"/>
                <w:w w:val="92"/>
              </w:rPr>
              <w:t>October 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00"/>
              <w:spacing w:after="0" w:line="160" w:lineRule="exact"/>
              <w:rPr>
                <w:sz w:val="20"/>
                <w:szCs w:val="20"/>
                <w:color w:val="auto"/>
              </w:rPr>
            </w:pPr>
            <w:r>
              <w:rPr>
                <w:rFonts w:ascii="Arial" w:cs="Arial" w:eastAsia="Arial" w:hAnsi="Arial"/>
                <w:sz w:val="14"/>
                <w:szCs w:val="14"/>
                <w:b w:val="1"/>
                <w:bCs w:val="1"/>
                <w:color w:val="auto"/>
                <w:w w:val="95"/>
              </w:rPr>
              <w:t>January 1,</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2018 to</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 of Gross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 of Gross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Revenue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 Change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7"/>
          </w:tcPr>
          <w:p>
            <w:pPr>
              <w:ind w:left="28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Transaction fees</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97,130</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$ 273,751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6"/>
              </w:rPr>
              <w:t>$370,881</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54.2%</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$267,020</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47.4%</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$103,861</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38.9%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Subscription fees</w:t>
            </w:r>
            <w:r>
              <w:rPr>
                <w:rFonts w:ascii="Arial" w:cs="Arial" w:eastAsia="Arial" w:hAnsi="Arial"/>
                <w:sz w:val="25"/>
                <w:szCs w:val="25"/>
                <w:color w:val="auto"/>
                <w:vertAlign w:val="superscript"/>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46,519</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143,981</w:t>
            </w: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190,500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194,534</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Commissions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32,840</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79,830</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112,670</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16.5%</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96,745</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15,925</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2,148</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8,209</w:t>
            </w:r>
          </w:p>
        </w:tc>
        <w:tc>
          <w:tcPr>
            <w:tcW w:w="18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10,357</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4,669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5,688</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60" w:type="dxa"/>
            <w:vAlign w:val="bottom"/>
          </w:tcPr>
          <w:p>
            <w:pPr>
              <w:spacing w:after="0"/>
              <w:rPr>
                <w:sz w:val="20"/>
                <w:szCs w:val="20"/>
                <w:color w:val="auto"/>
              </w:rPr>
            </w:pPr>
            <w:r>
              <w:rPr>
                <w:rFonts w:ascii="Arial" w:cs="Arial" w:eastAsia="Arial" w:hAnsi="Arial"/>
                <w:sz w:val="16"/>
                <w:szCs w:val="16"/>
                <w:color w:val="auto"/>
              </w:rPr>
              <w:t>Gross revenue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178,637</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505,771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684,408</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100.0%</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562,968</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121,440</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(26,830)</w:t>
            </w:r>
          </w:p>
        </w:tc>
        <w:tc>
          <w:tcPr>
            <w:tcW w:w="18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(26,830)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(58,520)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31,690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860" w:type="dxa"/>
            <w:vAlign w:val="bottom"/>
          </w:tcPr>
          <w:p>
            <w:pPr>
              <w:spacing w:after="0"/>
              <w:rPr>
                <w:sz w:val="20"/>
                <w:szCs w:val="20"/>
                <w:color w:val="auto"/>
              </w:rPr>
            </w:pPr>
            <w:r>
              <w:rPr>
                <w:rFonts w:ascii="Arial" w:cs="Arial" w:eastAsia="Arial" w:hAnsi="Arial"/>
                <w:sz w:val="16"/>
                <w:szCs w:val="16"/>
                <w:color w:val="auto"/>
              </w:rPr>
              <w:t>Net revenue</w:t>
            </w:r>
          </w:p>
        </w:tc>
        <w:tc>
          <w:tcPr>
            <w:tcW w:w="160" w:type="dxa"/>
            <w:vAlign w:val="bottom"/>
            <w:gridSpan w:val="2"/>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178,637</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$ 478,941</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657,578</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504,448</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153,130</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30.4%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186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3"/>
                <w:szCs w:val="13"/>
                <w:color w:val="auto"/>
              </w:rPr>
              <w:t>Components of gross</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66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 growth:</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180"/>
              <w:spacing w:after="0"/>
              <w:rPr>
                <w:sz w:val="20"/>
                <w:szCs w:val="20"/>
                <w:color w:val="auto"/>
              </w:rPr>
            </w:pPr>
            <w:r>
              <w:rPr>
                <w:rFonts w:ascii="Arial" w:cs="Arial" w:eastAsia="Arial" w:hAnsi="Arial"/>
                <w:sz w:val="16"/>
                <w:szCs w:val="16"/>
                <w:color w:val="auto"/>
              </w:rPr>
              <w:t>Constant currency</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360"/>
              <w:spacing w:after="0" w:line="202" w:lineRule="exact"/>
              <w:rPr>
                <w:sz w:val="20"/>
                <w:szCs w:val="20"/>
                <w:color w:val="auto"/>
              </w:rPr>
            </w:pPr>
            <w:r>
              <w:rPr>
                <w:rFonts w:ascii="Arial" w:cs="Arial" w:eastAsia="Arial" w:hAnsi="Arial"/>
                <w:sz w:val="15"/>
                <w:szCs w:val="15"/>
                <w:color w:val="auto"/>
              </w:rPr>
              <w:t>growth</w:t>
            </w:r>
            <w:r>
              <w:rPr>
                <w:rFonts w:ascii="Arial" w:cs="Arial" w:eastAsia="Arial" w:hAnsi="Arial"/>
                <w:sz w:val="23"/>
                <w:szCs w:val="23"/>
                <w:color w:val="auto"/>
                <w:vertAlign w:val="superscript"/>
              </w:rPr>
              <w:t>(3)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19.7%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Foreign currency impact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60" w:type="dxa"/>
            <w:vAlign w:val="bottom"/>
          </w:tcPr>
          <w:p>
            <w:pPr>
              <w:ind w:left="180"/>
              <w:spacing w:after="0"/>
              <w:rPr>
                <w:sz w:val="20"/>
                <w:szCs w:val="20"/>
                <w:color w:val="auto"/>
              </w:rPr>
            </w:pPr>
            <w:r>
              <w:rPr>
                <w:rFonts w:ascii="Arial" w:cs="Arial" w:eastAsia="Arial" w:hAnsi="Arial"/>
                <w:sz w:val="16"/>
                <w:szCs w:val="16"/>
                <w:color w:val="auto"/>
              </w:rPr>
              <w:t>Total gross revenue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360"/>
              <w:spacing w:after="0"/>
              <w:rPr>
                <w:sz w:val="20"/>
                <w:szCs w:val="20"/>
                <w:color w:val="auto"/>
              </w:rPr>
            </w:pPr>
            <w:r>
              <w:rPr>
                <w:rFonts w:ascii="Arial" w:cs="Arial" w:eastAsia="Arial" w:hAnsi="Arial"/>
                <w:sz w:val="16"/>
                <w:szCs w:val="16"/>
                <w:color w:val="auto"/>
              </w:rPr>
              <w:t>growth</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-2096770</wp:posOffset>
            </wp:positionV>
            <wp:extent cx="514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-2096770</wp:posOffset>
            </wp:positionV>
            <wp:extent cx="51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-2096770</wp:posOffset>
            </wp:positionV>
            <wp:extent cx="514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-2096770</wp:posOffset>
            </wp:positionV>
            <wp:extent cx="342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-2096770</wp:posOffset>
            </wp:positionV>
            <wp:extent cx="342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-2096770</wp:posOffset>
            </wp:positionV>
            <wp:extent cx="431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-2791460</wp:posOffset>
            </wp:positionV>
            <wp:extent cx="24612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140970</wp:posOffset>
            </wp:positionV>
            <wp:extent cx="123507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620" w:right="819" w:hanging="352"/>
        <w:spacing w:after="0" w:line="297" w:lineRule="auto"/>
        <w:tabs>
          <w:tab w:leader="none" w:pos="1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31" w:lineRule="exact"/>
        <w:rPr>
          <w:rFonts w:ascii="Arial" w:cs="Arial" w:eastAsia="Arial" w:hAnsi="Arial"/>
          <w:sz w:val="16"/>
          <w:szCs w:val="16"/>
          <w:color w:val="auto"/>
        </w:rPr>
      </w:pPr>
    </w:p>
    <w:p>
      <w:pPr>
        <w:ind w:left="1620" w:right="839" w:hanging="352"/>
        <w:spacing w:after="0" w:line="264" w:lineRule="auto"/>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Subscription fees for the combined year ended December 31, 2018 and the year ended December 31, 2017 include $50.3 million and $50.1 million, respectively, of Refinitiv (formerly Thomson Reuters) market data fees.</w:t>
      </w:r>
    </w:p>
    <w:p>
      <w:pPr>
        <w:spacing w:after="0" w:line="140" w:lineRule="exact"/>
        <w:rPr>
          <w:rFonts w:ascii="Arial" w:cs="Arial" w:eastAsia="Arial" w:hAnsi="Arial"/>
          <w:sz w:val="18"/>
          <w:szCs w:val="18"/>
          <w:color w:val="auto"/>
        </w:rPr>
      </w:pPr>
    </w:p>
    <w:p>
      <w:pPr>
        <w:ind w:left="1620" w:right="939" w:hanging="352"/>
        <w:spacing w:after="0" w:line="312" w:lineRule="auto"/>
        <w:tabs>
          <w:tab w:leader="none" w:pos="1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Our revenues by fee type for the 2018 Sucessor Period, the 2018 Predecessor Period, the combined year ended December 31, 2018 and the year ended December 31, 2017, and the resulting dollar and percentage changes, were as follows:</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32"/>
        </w:trPr>
        <w:tc>
          <w:tcPr>
            <w:tcW w:w="1320" w:type="dxa"/>
            <w:vAlign w:val="bottom"/>
          </w:tcPr>
          <w:p>
            <w:pPr>
              <w:spacing w:after="0"/>
              <w:rPr>
                <w:sz w:val="2"/>
                <w:szCs w:val="2"/>
                <w:color w:val="auto"/>
              </w:rPr>
            </w:pPr>
          </w:p>
        </w:tc>
        <w:tc>
          <w:tcPr>
            <w:tcW w:w="10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1"/>
              </w:rPr>
              <w:t>Predecessor</w:t>
            </w:r>
          </w:p>
        </w:tc>
        <w:tc>
          <w:tcPr>
            <w:tcW w:w="16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0" w:type="dxa"/>
            <w:vAlign w:val="bottom"/>
            <w:gridSpan w:val="4"/>
            <w:vMerge w:val="restart"/>
          </w:tcPr>
          <w:p>
            <w:pPr>
              <w:jc w:val="right"/>
              <w:ind w:right="51"/>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320" w:type="dxa"/>
            <w:vAlign w:val="bottom"/>
          </w:tcPr>
          <w:p>
            <w:pPr>
              <w:spacing w:after="0"/>
              <w:rPr>
                <w:sz w:val="12"/>
                <w:szCs w:val="12"/>
                <w:color w:val="auto"/>
              </w:rPr>
            </w:pPr>
          </w:p>
        </w:tc>
        <w:tc>
          <w:tcPr>
            <w:tcW w:w="1040" w:type="dxa"/>
            <w:vAlign w:val="bottom"/>
            <w:tcBorders>
              <w:bottom w:val="single" w:sz="8" w:color="auto"/>
            </w:tcBorders>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October 1,</w:t>
            </w:r>
          </w:p>
        </w:tc>
        <w:tc>
          <w:tcPr>
            <w:tcW w:w="20" w:type="dxa"/>
            <w:vAlign w:val="bottom"/>
            <w:shd w:val="clear" w:color="auto" w:fill="000000"/>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January 1,</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60" w:type="dxa"/>
            <w:vAlign w:val="bottom"/>
            <w:gridSpan w:val="4"/>
          </w:tcPr>
          <w:p>
            <w:pPr>
              <w:jc w:val="center"/>
              <w:ind w:right="40"/>
              <w:spacing w:after="0" w:line="122" w:lineRule="exact"/>
              <w:rPr>
                <w:sz w:val="20"/>
                <w:szCs w:val="20"/>
                <w:color w:val="auto"/>
              </w:rPr>
            </w:pPr>
            <w:r>
              <w:rPr>
                <w:rFonts w:ascii="Arial" w:cs="Arial" w:eastAsia="Arial" w:hAnsi="Arial"/>
                <w:sz w:val="13"/>
                <w:szCs w:val="13"/>
                <w:b w:val="1"/>
                <w:bCs w:val="1"/>
                <w:color w:val="auto"/>
                <w:w w:val="84"/>
              </w:rPr>
              <w:t>2018 to</w:t>
            </w: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2018 to</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5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2017</w:t>
            </w: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60" w:type="dxa"/>
            <w:vAlign w:val="bottom"/>
            <w:gridSpan w:val="4"/>
          </w:tcPr>
          <w:p>
            <w:pPr>
              <w:jc w:val="center"/>
              <w:ind w:right="40"/>
              <w:spacing w:after="0" w:line="122" w:lineRule="exact"/>
              <w:rPr>
                <w:sz w:val="20"/>
                <w:szCs w:val="20"/>
                <w:color w:val="auto"/>
              </w:rPr>
            </w:pPr>
            <w:r>
              <w:rPr>
                <w:rFonts w:ascii="Arial" w:cs="Arial" w:eastAsia="Arial" w:hAnsi="Arial"/>
                <w:sz w:val="13"/>
                <w:szCs w:val="13"/>
                <w:b w:val="1"/>
                <w:bCs w:val="1"/>
                <w:color w:val="auto"/>
                <w:w w:val="87"/>
              </w:rPr>
              <w:t>December 31,</w:t>
            </w: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5"/>
              </w:rPr>
              <w:t>September 30,</w:t>
            </w:r>
          </w:p>
        </w:tc>
        <w:tc>
          <w:tcPr>
            <w:tcW w:w="70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2"/>
            <w:vMerge w:val="restart"/>
          </w:tcPr>
          <w:p>
            <w:pPr>
              <w:jc w:val="right"/>
              <w:ind w:right="250"/>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 Change</w:t>
            </w:r>
          </w:p>
        </w:tc>
        <w:tc>
          <w:tcPr>
            <w:tcW w:w="1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bottom w:val="single" w:sz="8" w:color="auto"/>
            </w:tcBorders>
            <w:gridSpan w:val="3"/>
          </w:tcPr>
          <w:p>
            <w:pPr>
              <w:jc w:val="right"/>
              <w:ind w:right="210"/>
              <w:spacing w:after="0" w:line="175" w:lineRule="exact"/>
              <w:rPr>
                <w:sz w:val="20"/>
                <w:szCs w:val="20"/>
                <w:color w:val="auto"/>
              </w:rPr>
            </w:pPr>
            <w:r>
              <w:rPr>
                <w:rFonts w:ascii="Arial" w:cs="Arial" w:eastAsia="Arial" w:hAnsi="Arial"/>
                <w:sz w:val="13"/>
                <w:szCs w:val="13"/>
                <w:b w:val="1"/>
                <w:bCs w:val="1"/>
                <w:color w:val="auto"/>
              </w:rPr>
              <w:t>(Combined)</w:t>
            </w:r>
            <w:r>
              <w:rPr>
                <w:rFonts w:ascii="Arial" w:cs="Arial" w:eastAsia="Arial" w:hAnsi="Arial"/>
                <w:sz w:val="19"/>
                <w:szCs w:val="19"/>
                <w:b w:val="1"/>
                <w:bCs w:val="1"/>
                <w:color w:val="auto"/>
                <w:vertAlign w:val="superscript"/>
              </w:rPr>
              <w:t>(1)</w:t>
            </w:r>
          </w:p>
        </w:tc>
        <w:tc>
          <w:tcPr>
            <w:tcW w:w="12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3"/>
                <w:szCs w:val="13"/>
                <w:b w:val="1"/>
                <w:bCs w:val="1"/>
                <w:color w:val="auto"/>
              </w:rPr>
              <w:t>(Predecessor)</w:t>
            </w:r>
          </w:p>
        </w:tc>
        <w:tc>
          <w:tcPr>
            <w:tcW w:w="11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6"/>
              </w:rPr>
              <w:t>Variable</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8"/>
              </w:rPr>
              <w:t>Fixed</w:t>
            </w:r>
          </w:p>
        </w:tc>
        <w:tc>
          <w:tcPr>
            <w:tcW w:w="2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4"/>
              </w:rPr>
              <w:t>Variable</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Fixed</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w w:val="94"/>
              </w:rPr>
              <w:t>Variable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4"/>
              </w:rPr>
              <w:t>Fixed</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4"/>
              </w:rPr>
              <w:t>Variable</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88"/>
              </w:rPr>
              <w:t>Fixed</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w w:val="90"/>
              </w:rPr>
              <w:t>Variable</w:t>
            </w: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Fixed</w:t>
            </w:r>
          </w:p>
        </w:tc>
        <w:tc>
          <w:tcPr>
            <w:tcW w:w="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86"/>
              </w:rPr>
              <w:t>Variable</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76"/>
              </w:rPr>
              <w:t>Fixed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jc w:val="right"/>
              <w:ind w:right="153"/>
              <w:spacing w:after="0"/>
              <w:rPr>
                <w:sz w:val="20"/>
                <w:szCs w:val="20"/>
                <w:color w:val="auto"/>
              </w:rPr>
            </w:pPr>
            <w:r>
              <w:rPr>
                <w:rFonts w:ascii="Arial" w:cs="Arial" w:eastAsia="Arial" w:hAnsi="Arial"/>
                <w:sz w:val="13"/>
                <w:szCs w:val="13"/>
                <w:b w:val="1"/>
                <w:bCs w:val="1"/>
                <w:color w:val="auto"/>
                <w:w w:val="98"/>
              </w:rPr>
              <w:t>(in thousands)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w w:val="85"/>
              </w:rPr>
              <w:t>(dollars in thousands)</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5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0" w:type="dxa"/>
            <w:vAlign w:val="bottom"/>
            <w:tcBorders>
              <w:left w:val="single" w:sz="8" w:color="CCEEFF"/>
            </w:tcBorders>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320" w:type="dxa"/>
            <w:vAlign w:val="bottom"/>
          </w:tcPr>
          <w:p>
            <w:pPr>
              <w:spacing w:after="0"/>
              <w:rPr>
                <w:sz w:val="20"/>
                <w:szCs w:val="20"/>
                <w:color w:val="auto"/>
              </w:rPr>
            </w:pPr>
            <w:r>
              <w:rPr>
                <w:rFonts w:ascii="Arial" w:cs="Arial" w:eastAsia="Arial" w:hAnsi="Arial"/>
                <w:sz w:val="14"/>
                <w:szCs w:val="14"/>
                <w:color w:val="auto"/>
              </w:rPr>
              <w:t>Transaction fees</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$73,800</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w w:val="94"/>
              </w:rPr>
              <w:t>$23,330</w:t>
            </w: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$208,049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65,702</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$281,849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89,032</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$210,198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56,822</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$71,651</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$32,210</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34.1%</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99"/>
        </w:trPr>
        <w:tc>
          <w:tcPr>
            <w:tcW w:w="1320" w:type="dxa"/>
            <w:vAlign w:val="bottom"/>
          </w:tcPr>
          <w:p>
            <w:pPr>
              <w:spacing w:after="0" w:line="199" w:lineRule="exact"/>
              <w:rPr>
                <w:sz w:val="20"/>
                <w:szCs w:val="20"/>
                <w:color w:val="auto"/>
              </w:rPr>
            </w:pPr>
            <w:r>
              <w:rPr>
                <w:rFonts w:ascii="Arial" w:cs="Arial" w:eastAsia="Arial" w:hAnsi="Arial"/>
                <w:sz w:val="14"/>
                <w:szCs w:val="14"/>
                <w:color w:val="auto"/>
              </w:rPr>
              <w:t>Subscription fees</w:t>
            </w:r>
            <w:r>
              <w:rPr>
                <w:rFonts w:ascii="Arial" w:cs="Arial" w:eastAsia="Arial" w:hAnsi="Arial"/>
                <w:sz w:val="21"/>
                <w:szCs w:val="21"/>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4"/>
                <w:szCs w:val="14"/>
                <w:color w:val="auto"/>
              </w:rPr>
              <w:t>425</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46,094</w:t>
            </w: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1,305</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142,676</w:t>
            </w:r>
          </w:p>
        </w:tc>
        <w:tc>
          <w:tcPr>
            <w:tcW w:w="620" w:type="dxa"/>
            <w:vAlign w:val="bottom"/>
          </w:tcPr>
          <w:p>
            <w:pPr>
              <w:jc w:val="right"/>
              <w:spacing w:after="0"/>
              <w:rPr>
                <w:sz w:val="20"/>
                <w:szCs w:val="20"/>
                <w:color w:val="auto"/>
              </w:rPr>
            </w:pPr>
            <w:r>
              <w:rPr>
                <w:rFonts w:ascii="Arial" w:cs="Arial" w:eastAsia="Arial" w:hAnsi="Arial"/>
                <w:sz w:val="14"/>
                <w:szCs w:val="14"/>
                <w:color w:val="auto"/>
              </w:rPr>
              <w:t>1,730</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188,770</w:t>
            </w:r>
          </w:p>
        </w:tc>
        <w:tc>
          <w:tcPr>
            <w:tcW w:w="620" w:type="dxa"/>
            <w:vAlign w:val="bottom"/>
          </w:tcPr>
          <w:p>
            <w:pPr>
              <w:jc w:val="right"/>
              <w:spacing w:after="0"/>
              <w:rPr>
                <w:sz w:val="20"/>
                <w:szCs w:val="20"/>
                <w:color w:val="auto"/>
              </w:rPr>
            </w:pPr>
            <w:r>
              <w:rPr>
                <w:rFonts w:ascii="Arial" w:cs="Arial" w:eastAsia="Arial" w:hAnsi="Arial"/>
                <w:sz w:val="14"/>
                <w:szCs w:val="14"/>
                <w:color w:val="auto"/>
              </w:rPr>
              <w:t>1,575</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192,959</w:t>
            </w:r>
          </w:p>
        </w:tc>
        <w:tc>
          <w:tcPr>
            <w:tcW w:w="560" w:type="dxa"/>
            <w:vAlign w:val="bottom"/>
          </w:tcPr>
          <w:p>
            <w:pPr>
              <w:jc w:val="right"/>
              <w:spacing w:after="0"/>
              <w:rPr>
                <w:sz w:val="20"/>
                <w:szCs w:val="20"/>
                <w:color w:val="auto"/>
              </w:rPr>
            </w:pPr>
            <w:r>
              <w:rPr>
                <w:rFonts w:ascii="Arial" w:cs="Arial" w:eastAsia="Arial" w:hAnsi="Arial"/>
                <w:sz w:val="14"/>
                <w:szCs w:val="14"/>
                <w:color w:val="auto"/>
              </w:rPr>
              <w:t>155</w:t>
            </w:r>
          </w:p>
        </w:tc>
        <w:tc>
          <w:tcPr>
            <w:tcW w:w="540" w:type="dxa"/>
            <w:vAlign w:val="bottom"/>
          </w:tcPr>
          <w:p>
            <w:pPr>
              <w:jc w:val="right"/>
              <w:spacing w:after="0"/>
              <w:rPr>
                <w:sz w:val="20"/>
                <w:szCs w:val="20"/>
                <w:color w:val="auto"/>
              </w:rPr>
            </w:pPr>
            <w:r>
              <w:rPr>
                <w:rFonts w:ascii="Arial" w:cs="Arial" w:eastAsia="Arial" w:hAnsi="Arial"/>
                <w:sz w:val="14"/>
                <w:szCs w:val="14"/>
                <w:color w:val="auto"/>
              </w:rPr>
              <w:t>(4,189)</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9.8%</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20"/>
                <w:szCs w:val="20"/>
                <w:color w:val="auto"/>
              </w:rPr>
            </w:pPr>
            <w:r>
              <w:rPr>
                <w:rFonts w:ascii="Arial" w:cs="Arial" w:eastAsia="Arial" w:hAnsi="Arial"/>
                <w:sz w:val="14"/>
                <w:szCs w:val="14"/>
                <w:color w:val="auto"/>
              </w:rPr>
              <w:t>Commissions</w:t>
            </w:r>
          </w:p>
        </w:tc>
        <w:tc>
          <w:tcPr>
            <w:tcW w:w="540" w:type="dxa"/>
            <w:vAlign w:val="bottom"/>
          </w:tcPr>
          <w:p>
            <w:pPr>
              <w:jc w:val="right"/>
              <w:spacing w:after="0"/>
              <w:rPr>
                <w:sz w:val="20"/>
                <w:szCs w:val="20"/>
                <w:color w:val="auto"/>
              </w:rPr>
            </w:pPr>
            <w:r>
              <w:rPr>
                <w:rFonts w:ascii="Arial" w:cs="Arial" w:eastAsia="Arial" w:hAnsi="Arial"/>
                <w:sz w:val="14"/>
                <w:szCs w:val="14"/>
                <w:color w:val="auto"/>
              </w:rPr>
              <w:t>22,608</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10,232</w:t>
            </w:r>
          </w:p>
        </w:tc>
        <w:tc>
          <w:tcPr>
            <w:tcW w:w="20" w:type="dxa"/>
            <w:vAlign w:val="bottom"/>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49,367</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30,463</w:t>
            </w:r>
          </w:p>
        </w:tc>
        <w:tc>
          <w:tcPr>
            <w:tcW w:w="620" w:type="dxa"/>
            <w:vAlign w:val="bottom"/>
          </w:tcPr>
          <w:p>
            <w:pPr>
              <w:jc w:val="right"/>
              <w:spacing w:after="0"/>
              <w:rPr>
                <w:sz w:val="20"/>
                <w:szCs w:val="20"/>
                <w:color w:val="auto"/>
              </w:rPr>
            </w:pPr>
            <w:r>
              <w:rPr>
                <w:rFonts w:ascii="Arial" w:cs="Arial" w:eastAsia="Arial" w:hAnsi="Arial"/>
                <w:sz w:val="14"/>
                <w:szCs w:val="14"/>
                <w:color w:val="auto"/>
              </w:rPr>
              <w:t>71,975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40,695</w:t>
            </w:r>
          </w:p>
        </w:tc>
        <w:tc>
          <w:tcPr>
            <w:tcW w:w="620" w:type="dxa"/>
            <w:vAlign w:val="bottom"/>
          </w:tcPr>
          <w:p>
            <w:pPr>
              <w:jc w:val="right"/>
              <w:spacing w:after="0"/>
              <w:rPr>
                <w:sz w:val="20"/>
                <w:szCs w:val="20"/>
                <w:color w:val="auto"/>
              </w:rPr>
            </w:pPr>
            <w:r>
              <w:rPr>
                <w:rFonts w:ascii="Arial" w:cs="Arial" w:eastAsia="Arial" w:hAnsi="Arial"/>
                <w:sz w:val="14"/>
                <w:szCs w:val="14"/>
                <w:color w:val="auto"/>
              </w:rPr>
              <w:t>57,118</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39,627</w:t>
            </w:r>
          </w:p>
        </w:tc>
        <w:tc>
          <w:tcPr>
            <w:tcW w:w="560" w:type="dxa"/>
            <w:vAlign w:val="bottom"/>
          </w:tcPr>
          <w:p>
            <w:pPr>
              <w:jc w:val="right"/>
              <w:spacing w:after="0"/>
              <w:rPr>
                <w:sz w:val="20"/>
                <w:szCs w:val="20"/>
                <w:color w:val="auto"/>
              </w:rPr>
            </w:pPr>
            <w:r>
              <w:rPr>
                <w:rFonts w:ascii="Arial" w:cs="Arial" w:eastAsia="Arial" w:hAnsi="Arial"/>
                <w:sz w:val="14"/>
                <w:szCs w:val="14"/>
                <w:color w:val="auto"/>
              </w:rPr>
              <w:t>14,857</w:t>
            </w:r>
          </w:p>
        </w:tc>
        <w:tc>
          <w:tcPr>
            <w:tcW w:w="540" w:type="dxa"/>
            <w:vAlign w:val="bottom"/>
          </w:tcPr>
          <w:p>
            <w:pPr>
              <w:jc w:val="right"/>
              <w:spacing w:after="0"/>
              <w:rPr>
                <w:sz w:val="20"/>
                <w:szCs w:val="20"/>
                <w:color w:val="auto"/>
              </w:rPr>
            </w:pPr>
            <w:r>
              <w:rPr>
                <w:rFonts w:ascii="Arial" w:cs="Arial" w:eastAsia="Arial" w:hAnsi="Arial"/>
                <w:sz w:val="14"/>
                <w:szCs w:val="14"/>
                <w:color w:val="auto"/>
              </w:rPr>
              <w:t>1,068</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26.0%</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7"/>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2,148</w:t>
            </w:r>
          </w:p>
        </w:tc>
        <w:tc>
          <w:tcPr>
            <w:tcW w:w="20" w:type="dxa"/>
            <w:vAlign w:val="bottom"/>
            <w:shd w:val="clear" w:color="auto" w:fill="000000"/>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8,169</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10,317</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5,684</w:t>
            </w:r>
          </w:p>
        </w:tc>
        <w:tc>
          <w:tcPr>
            <w:tcW w:w="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1"/>
              </w:rPr>
              <w:t>122.7%</w:t>
            </w:r>
          </w:p>
        </w:tc>
        <w:tc>
          <w:tcPr>
            <w:tcW w:w="1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4"/>
                <w:szCs w:val="14"/>
                <w:color w:val="auto"/>
              </w:rPr>
              <w:t>Gross revenue</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$96,833</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w w:val="94"/>
              </w:rPr>
              <w:t>$81,804</w:t>
            </w: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$258,761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247,010</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$355,594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328,814</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$268,927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294,041</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$86,667</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$34,773</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32.2%</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-711200</wp:posOffset>
            </wp:positionV>
            <wp:extent cx="5213985" cy="1200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13985" cy="120015"/>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-351155</wp:posOffset>
            </wp:positionV>
            <wp:extent cx="1714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-351155</wp:posOffset>
            </wp:positionV>
            <wp:extent cx="514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-1045845</wp:posOffset>
            </wp:positionV>
            <wp:extent cx="342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-1045845</wp:posOffset>
            </wp:positionV>
            <wp:extent cx="342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-1045845</wp:posOffset>
            </wp:positionV>
            <wp:extent cx="431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-1045845</wp:posOffset>
            </wp:positionV>
            <wp:extent cx="342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7" w:lineRule="auto"/>
        <w:tabs>
          <w:tab w:leader="none" w:pos="16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31" w:lineRule="exact"/>
        <w:rPr>
          <w:rFonts w:ascii="Arial" w:cs="Arial" w:eastAsia="Arial" w:hAnsi="Arial"/>
          <w:sz w:val="16"/>
          <w:szCs w:val="16"/>
          <w:color w:val="auto"/>
        </w:rPr>
      </w:pPr>
    </w:p>
    <w:p>
      <w:pPr>
        <w:ind w:left="1620" w:right="839" w:hanging="352"/>
        <w:spacing w:after="0" w:line="264" w:lineRule="auto"/>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Subscription fees for the combined year ended December 31, 2018 and the year ended December 31, 2017 include $50.3 million and $50.1 million, respectively, of Refinitiv (formerly Thomson Reuters) market data fees.</w:t>
      </w:r>
    </w:p>
    <w:p>
      <w:pPr>
        <w:spacing w:after="0" w:line="73"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u w:val="single" w:color="auto"/>
          <w:color w:val="auto"/>
        </w:rPr>
        <w:t>Transaction fees</w:t>
      </w:r>
      <w:r>
        <w:rPr>
          <w:rFonts w:ascii="Arial" w:cs="Arial" w:eastAsia="Arial" w:hAnsi="Arial"/>
          <w:sz w:val="18"/>
          <w:szCs w:val="18"/>
          <w:color w:val="auto"/>
        </w:rPr>
        <w:t>. Transaction fees increased by $103.9 million or 38.9% to $370.9 million for the combined year ended December 31, 2018 from $267.0 million for the year ended December 31, 2017 from increased Institutional transactional volumes for U.S. credit products, derivative products (led by Dollar swaps, European interest rate swaps and U.S. and European credit default indexes), U.S. and European ETF, European repurchase agreements and U.S. Treasury, as well as adjustments to contracts as a result of MiFID II pursuant to which annual subscription fees were replaced with monthly minimum transaction fees and the product launch of China bonds.</w:t>
      </w:r>
    </w:p>
    <w:p>
      <w:pPr>
        <w:spacing w:after="0" w:line="81"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u w:val="single" w:color="auto"/>
          <w:color w:val="auto"/>
        </w:rPr>
        <w:t>Subscription fees</w:t>
      </w:r>
      <w:r>
        <w:rPr>
          <w:rFonts w:ascii="Arial" w:cs="Arial" w:eastAsia="Arial" w:hAnsi="Arial"/>
          <w:sz w:val="17"/>
          <w:szCs w:val="17"/>
          <w:color w:val="auto"/>
        </w:rPr>
        <w:t>. Subscription fees decreased by $4.0 million or (2.1)% to $190.5 million for the combined year ended December 31, 2018 from $194.5 million for the year ended December 31, 2017 due primarily to a $10.9 million decline from MiFID II contract adjustments where certain annual subscription fees were replaced with monthly minimum transaction fees, partially offset by a $2.5 million increase in market data fees, a $1.4 million increase in Retail fees and a $3.4 million increase in Institutional fees.</w:t>
      </w:r>
    </w:p>
    <w:p>
      <w:pPr>
        <w:spacing w:after="0" w:line="64"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$15.9 million or 16.5% to $112.7 million for the combined year ended December 31, 2018 from $96.7 million for the year ended December 31, 2017 primarily due to higher trading volumes in our Wholesale client sector for U.S. credit products, repurchase agreements, U.S. ETF and U.S. Treasury. The revenue increase was partially offset by lower municipal bond, ARM and specified pool trading volumes.</w:t>
      </w:r>
    </w:p>
    <w:p>
      <w:pPr>
        <w:spacing w:after="0" w:line="80"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$5.7 million or 121.8% to $10.4 million for the combined year ended December 31, 2018 from $4.7 million for the year ended December 31, 2017 primarily as a result of revenue from our APA reporting service launched in January 2018 in response to MiFID II. Other fees also consisted of fees from a third party for certain licensing and development in Canada.</w:t>
      </w:r>
    </w:p>
    <w:p>
      <w:pPr>
        <w:spacing w:after="0" w:line="79"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u w:val="single" w:color="auto"/>
          <w:color w:val="auto"/>
        </w:rPr>
        <w:t>Contingent consideration</w:t>
      </w:r>
      <w:r>
        <w:rPr>
          <w:rFonts w:ascii="Arial" w:cs="Arial" w:eastAsia="Arial" w:hAnsi="Arial"/>
          <w:sz w:val="17"/>
          <w:szCs w:val="17"/>
          <w:color w:val="auto"/>
        </w:rPr>
        <w:t>. Contingent consideration decreased by $31.7 million or (54.2)% to $26.8 million for the combined year ended December 31, 2018 from $58.5 million for the year ended December 31, 2017. The decrease was a result of changes in projected and actual revenues related to the Credit Initiative Earnout during the periods and the vesting of the Credit Initiative Earnout at July 31, 2018.</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Our gross revenue by client sector for the 2018 Sucessor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7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8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left w:val="single" w:sz="8" w:color="auto"/>
            </w:tcBorders>
            <w:gridSpan w:val="3"/>
          </w:tcPr>
          <w:p>
            <w:pPr>
              <w:jc w:val="center"/>
              <w:ind w:left="13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center"/>
              <w:ind w:right="60"/>
              <w:spacing w:after="0" w:line="230" w:lineRule="exact"/>
              <w:rPr>
                <w:sz w:val="20"/>
                <w:szCs w:val="20"/>
                <w:color w:val="auto"/>
              </w:rPr>
            </w:pPr>
            <w:r>
              <w:rPr>
                <w:rFonts w:ascii="Arial" w:cs="Arial" w:eastAsia="Arial" w:hAnsi="Arial"/>
                <w:sz w:val="14"/>
                <w:szCs w:val="14"/>
                <w:b w:val="1"/>
                <w:bCs w:val="1"/>
                <w:color w:val="auto"/>
                <w:w w:val="90"/>
              </w:rPr>
              <w:t>(Combined)</w:t>
            </w:r>
            <w:r>
              <w:rPr>
                <w:rFonts w:ascii="Arial" w:cs="Arial" w:eastAsia="Arial" w:hAnsi="Arial"/>
                <w:sz w:val="21"/>
                <w:szCs w:val="21"/>
                <w:b w:val="1"/>
                <w:bCs w:val="1"/>
                <w:color w:val="auto"/>
                <w:w w:val="90"/>
                <w:vertAlign w:val="superscript"/>
              </w:rPr>
              <w:t>(1)</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$103,971</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$301,918</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$405,889</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$318,038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87,851</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38,153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99,028</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137,181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118,451</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18,730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57,766</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77,546</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70,857</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6,689</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Data</w:t>
            </w:r>
          </w:p>
        </w:tc>
        <w:tc>
          <w:tcPr>
            <w:tcW w:w="28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16,733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47,059</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63,792</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55,622</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 gross revenue</w:t>
            </w:r>
          </w:p>
        </w:tc>
        <w:tc>
          <w:tcPr>
            <w:tcW w:w="280" w:type="dxa"/>
            <w:vAlign w:val="bottom"/>
            <w:gridSpan w:val="2"/>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178,637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505,771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684,408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562,968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121,440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-1362710</wp:posOffset>
            </wp:positionV>
            <wp:extent cx="137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-1362710</wp:posOffset>
            </wp:positionV>
            <wp:extent cx="1289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-1362710</wp:posOffset>
            </wp:positionV>
            <wp:extent cx="12890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7" w:lineRule="auto"/>
        <w:tabs>
          <w:tab w:leader="none" w:pos="16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50"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Revenues from our Institutional client sector increased by $87.9 million or 27.6% to $405.9 million for the combined year ended December 31, 2018 from $318.0 million for the year ended December 31, 2017. The increase was derived primarily from increased Institutional transactional volumes for U.S. and European credit products, derivative products (led by European interest rate swaps, Dollar swaps and U.S. and European credit default indexes), U.S. and European ETF, European government bonds, U.S. Treasury, European repurchase agreements and the product launch of China bonds.</w:t>
      </w:r>
    </w:p>
    <w:p>
      <w:pPr>
        <w:spacing w:after="0" w:line="7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$18.7 million or 15.8% to $137.2 million for the combined year ended December 31, 2018 from $118.5 million for the year ended December 31, 2017. Revenue increased primarily due to higher trading volumes in U.S. credit products, repurchase agreements, U.S. ETF and U.S. Treasury. The revenue increase was partially offset by lower municipal bond, ARM and specified pool trading volumes.</w:t>
      </w:r>
    </w:p>
    <w:p>
      <w:pPr>
        <w:spacing w:after="0" w:line="80" w:lineRule="exact"/>
        <w:rPr>
          <w:sz w:val="20"/>
          <w:szCs w:val="20"/>
          <w:color w:val="auto"/>
        </w:rPr>
      </w:pPr>
    </w:p>
    <w:p>
      <w:pPr>
        <w:jc w:val="both"/>
        <w:ind w:left="1260" w:right="999" w:firstLine="360"/>
        <w:spacing w:after="0" w:line="264"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$6.7 million or 9.4% to $77.5 million for the combined year ended December 31, 2018 from $70.9 million for the year ended December 31, 2017 primarily due to strong middle markets trading volumes.</w:t>
      </w:r>
    </w:p>
    <w:p>
      <w:pPr>
        <w:spacing w:after="0" w:line="73" w:lineRule="exact"/>
        <w:rPr>
          <w:sz w:val="20"/>
          <w:szCs w:val="20"/>
          <w:color w:val="auto"/>
        </w:rPr>
      </w:pPr>
    </w:p>
    <w:p>
      <w:pPr>
        <w:ind w:left="1260" w:right="999" w:firstLine="360"/>
        <w:spacing w:after="0" w:line="276"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our Market Data client sector increased by $8.2 million or 14.7% to $63.8 million for the combined year ended December 31, 2018 from $55.6 million for the year ended December 31, 2017 as a result of revenue from our APA reporting service launched in January 2018 in response to MiFID II, increased Refinitiv (formerly Thomson Reuters) license fees due to an increase in the number of market data feeds provided to Refinitiv and increased Gilt closing price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939" w:firstLine="360"/>
        <w:spacing w:after="0" w:line="264" w:lineRule="auto"/>
        <w:rPr>
          <w:sz w:val="20"/>
          <w:szCs w:val="20"/>
          <w:color w:val="auto"/>
        </w:rPr>
      </w:pPr>
      <w:r>
        <w:rPr>
          <w:rFonts w:ascii="Arial" w:cs="Arial" w:eastAsia="Arial" w:hAnsi="Arial"/>
          <w:sz w:val="18"/>
          <w:szCs w:val="18"/>
          <w:color w:val="auto"/>
        </w:rPr>
        <w:t>Our gross revenue by asset class for the 2018 Sucessor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7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5"/>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8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left w:val="single" w:sz="8" w:color="auto"/>
            </w:tcBorders>
            <w:gridSpan w:val="3"/>
          </w:tcPr>
          <w:p>
            <w:pPr>
              <w:jc w:val="center"/>
              <w:ind w:left="1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center"/>
              <w:ind w:right="60"/>
              <w:spacing w:after="0" w:line="230" w:lineRule="exact"/>
              <w:rPr>
                <w:sz w:val="20"/>
                <w:szCs w:val="20"/>
                <w:color w:val="auto"/>
              </w:rPr>
            </w:pPr>
            <w:r>
              <w:rPr>
                <w:rFonts w:ascii="Arial" w:cs="Arial" w:eastAsia="Arial" w:hAnsi="Arial"/>
                <w:sz w:val="14"/>
                <w:szCs w:val="14"/>
                <w:b w:val="1"/>
                <w:bCs w:val="1"/>
                <w:color w:val="auto"/>
                <w:w w:val="90"/>
              </w:rPr>
              <w:t>(Combined)</w:t>
            </w:r>
            <w:r>
              <w:rPr>
                <w:rFonts w:ascii="Arial" w:cs="Arial" w:eastAsia="Arial" w:hAnsi="Arial"/>
                <w:sz w:val="21"/>
                <w:szCs w:val="21"/>
                <w:b w:val="1"/>
                <w:bCs w:val="1"/>
                <w:color w:val="auto"/>
                <w:w w:val="90"/>
                <w:vertAlign w:val="superscript"/>
              </w:rPr>
              <w:t>(1)</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Rates</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97,592</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$281,641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$379,233</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$324,302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54,931</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37,204</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102,452</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139,656</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105,336</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34,320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12,592</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28,347</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40,939</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23,681</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17,258</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72.9%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Markets</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9,493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25,248</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34,741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28,633</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6,108</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Market Data</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16,733</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47,059</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63,792</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55,622</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8,170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Fees</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21,024</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26,047</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25,394</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 gross revenue</w:t>
            </w:r>
          </w:p>
        </w:tc>
        <w:tc>
          <w:tcPr>
            <w:tcW w:w="28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178,637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505,771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684,408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562,968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121,440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-1689100</wp:posOffset>
            </wp:positionV>
            <wp:extent cx="1371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-1689100</wp:posOffset>
            </wp:positionV>
            <wp:extent cx="12890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-1689100</wp:posOffset>
            </wp:positionV>
            <wp:extent cx="12890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7" w:lineRule="auto"/>
        <w:tabs>
          <w:tab w:leader="none" w:pos="16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50" w:lineRule="exact"/>
        <w:rPr>
          <w:sz w:val="20"/>
          <w:szCs w:val="20"/>
          <w:color w:val="auto"/>
        </w:rPr>
      </w:pPr>
    </w:p>
    <w:p>
      <w:pPr>
        <w:jc w:val="both"/>
        <w:ind w:left="1260" w:right="879" w:firstLine="360"/>
        <w:spacing w:after="0" w:line="259"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$54.9 million or 16.9% to $379.2 million for the combined year ended December 31, 2018 from $324.3 million for the year ended December 31, 2017 primarily due to increased Institutional transactional volumes in European interest rate swaps, Dollar swaps, U.S Treasury and European governments.</w:t>
      </w:r>
    </w:p>
    <w:p>
      <w:pPr>
        <w:spacing w:after="0" w:line="79"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$34.3 million or 32.6% to $139.7 million for the combined year ended December 31, 2018 from $105.3 million for the year ended December 31, 2017 primarily due to increased Institutional and Wholesale transactional volumes for U.S. credit products, increased Institutional transaction volumes for U.S. and European credit default indexes, European credit products and the product launch of China bonds. The revenue increase was partially offset by lower Wholesale municipal bond volumes.</w:t>
      </w:r>
    </w:p>
    <w:p>
      <w:pPr>
        <w:spacing w:after="0" w:line="8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u w:val="single" w:color="auto"/>
          <w:color w:val="auto"/>
        </w:rPr>
        <w:t>Equities</w:t>
      </w:r>
      <w:r>
        <w:rPr>
          <w:rFonts w:ascii="Arial" w:cs="Arial" w:eastAsia="Arial" w:hAnsi="Arial"/>
          <w:sz w:val="17"/>
          <w:szCs w:val="17"/>
          <w:color w:val="auto"/>
        </w:rPr>
        <w:t>. Revenues from our Equities asset class increased by $17.3 million or 72.9% to $40.9 million for the combined year ended December 31, 2018 from $23.7 million for the year ended December 31, 2017 primarily due to increased Institutional transactional volumes for U.S. and European ETF.</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$6.1 million or 21.3%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$34.7 million for the combined year ended December 31, 2018 from $28.6 million for the year ended December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31, 2017 primarily due to increased Wholesale transactional volumes for repurchase agreements and higher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Institutional transactional volumes for European repurchase agreements.</w:t>
      </w:r>
    </w:p>
    <w:p>
      <w:pPr>
        <w:spacing w:after="0" w:line="103"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Market Data increased by $8.2 million or 14.7% to $63.8 million for the combined year ended December 31, 2018 from $55.6 million for the year ended December 31, 2017 as a result of revenue from our APA reporting service launched in January 2018 in response to MiFID II, increased Refinitiv (formerly Thomson Reuters) license fees due to an increase in the number of market data feeds provided to Refinitiv and increased Gilt closing price revenues.</w:t>
      </w:r>
    </w:p>
    <w:p>
      <w:pPr>
        <w:spacing w:after="0" w:line="80"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$0.7 million or 2.6% to $26.0 million for the combined year ended December 31, 2018 from $25.4 million for the year ended December 31, 2017 primarily due to increased Retail fees for software development and implementation.</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money markets and equities asset classes. The average daily volumes and total volumes on our trading platforms by asset class for the years ended December 31, 2018 and 2017 were as follows:</w:t>
      </w:r>
    </w:p>
    <w:p>
      <w:pPr>
        <w:spacing w:after="0" w:line="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40" w:type="dxa"/>
            <w:vAlign w:val="bottom"/>
            <w:gridSpan w:val="3"/>
          </w:tcPr>
          <w:p>
            <w:pPr>
              <w:ind w:left="500"/>
              <w:spacing w:after="0"/>
              <w:rPr>
                <w:sz w:val="20"/>
                <w:szCs w:val="20"/>
                <w:color w:val="auto"/>
              </w:rPr>
            </w:pPr>
            <w:r>
              <w:rPr>
                <w:rFonts w:ascii="Arial" w:cs="Arial" w:eastAsia="Arial" w:hAnsi="Arial"/>
                <w:sz w:val="14"/>
                <w:szCs w:val="14"/>
                <w:b w:val="1"/>
                <w:bCs w:val="1"/>
                <w:color w:val="auto"/>
                <w:w w:val="99"/>
              </w:rPr>
              <w:t>Year Ended December 31,</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jc w:val="right"/>
              <w:ind w:right="779"/>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jc w:val="right"/>
              <w:ind w:right="776"/>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rPr>
              <w:t>ADV</w:t>
            </w: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Volume</w:t>
            </w: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ADV</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Volume</w:t>
            </w: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4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$354,999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$88,870,842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$254,103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$63,671,445</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0"/>
                <w:szCs w:val="20"/>
                <w:color w:val="auto"/>
              </w:rPr>
            </w:pPr>
            <w:r>
              <w:rPr>
                <w:rFonts w:ascii="Arial" w:cs="Arial" w:eastAsia="Arial" w:hAnsi="Arial"/>
                <w:sz w:val="18"/>
                <w:szCs w:val="18"/>
                <w:color w:val="auto"/>
              </w:rPr>
              <w:t>Credit</w:t>
            </w:r>
          </w:p>
        </w:tc>
        <w:tc>
          <w:tcPr>
            <w:tcW w:w="820" w:type="dxa"/>
            <w:vAlign w:val="bottom"/>
          </w:tcPr>
          <w:p>
            <w:pPr>
              <w:jc w:val="right"/>
              <w:spacing w:after="0"/>
              <w:rPr>
                <w:sz w:val="20"/>
                <w:szCs w:val="20"/>
                <w:color w:val="auto"/>
              </w:rPr>
            </w:pPr>
            <w:r>
              <w:rPr>
                <w:rFonts w:ascii="Arial" w:cs="Arial" w:eastAsia="Arial" w:hAnsi="Arial"/>
                <w:sz w:val="18"/>
                <w:szCs w:val="18"/>
                <w:color w:val="auto"/>
              </w:rPr>
              <w:t>12,658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3,186,209</w:t>
            </w:r>
          </w:p>
        </w:tc>
        <w:tc>
          <w:tcPr>
            <w:tcW w:w="840" w:type="dxa"/>
            <w:vAlign w:val="bottom"/>
          </w:tcPr>
          <w:p>
            <w:pPr>
              <w:jc w:val="right"/>
              <w:spacing w:after="0"/>
              <w:rPr>
                <w:sz w:val="20"/>
                <w:szCs w:val="20"/>
                <w:color w:val="auto"/>
              </w:rPr>
            </w:pPr>
            <w:r>
              <w:rPr>
                <w:rFonts w:ascii="Arial" w:cs="Arial" w:eastAsia="Arial" w:hAnsi="Arial"/>
                <w:sz w:val="18"/>
                <w:szCs w:val="18"/>
                <w:color w:val="auto"/>
              </w:rPr>
              <w:t>7,554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1,864,700</w:t>
            </w:r>
          </w:p>
        </w:tc>
        <w:tc>
          <w:tcPr>
            <w:tcW w:w="1000" w:type="dxa"/>
            <w:vAlign w:val="bottom"/>
          </w:tcPr>
          <w:p>
            <w:pPr>
              <w:ind w:left="3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1,962,566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1,214,081</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Money Markets</w:t>
            </w:r>
          </w:p>
        </w:tc>
        <w:tc>
          <w:tcPr>
            <w:tcW w:w="820" w:type="dxa"/>
            <w:vAlign w:val="bottom"/>
          </w:tcPr>
          <w:p>
            <w:pPr>
              <w:jc w:val="right"/>
              <w:spacing w:after="0"/>
              <w:rPr>
                <w:sz w:val="20"/>
                <w:szCs w:val="20"/>
                <w:color w:val="auto"/>
              </w:rPr>
            </w:pPr>
            <w:r>
              <w:rPr>
                <w:rFonts w:ascii="Arial" w:cs="Arial" w:eastAsia="Arial" w:hAnsi="Arial"/>
                <w:sz w:val="18"/>
                <w:szCs w:val="18"/>
                <w:color w:val="auto"/>
              </w:rPr>
              <w:t>173,743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43,462,916</w:t>
            </w:r>
          </w:p>
        </w:tc>
        <w:tc>
          <w:tcPr>
            <w:tcW w:w="840" w:type="dxa"/>
            <w:vAlign w:val="bottom"/>
          </w:tcPr>
          <w:p>
            <w:pPr>
              <w:jc w:val="right"/>
              <w:spacing w:after="0"/>
              <w:rPr>
                <w:sz w:val="20"/>
                <w:szCs w:val="20"/>
                <w:color w:val="auto"/>
              </w:rPr>
            </w:pPr>
            <w:r>
              <w:rPr>
                <w:rFonts w:ascii="Arial" w:cs="Arial" w:eastAsia="Arial" w:hAnsi="Arial"/>
                <w:sz w:val="18"/>
                <w:szCs w:val="18"/>
                <w:color w:val="auto"/>
              </w:rPr>
              <w:t>132,105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33,060,749</w:t>
            </w:r>
          </w:p>
        </w:tc>
        <w:tc>
          <w:tcPr>
            <w:tcW w:w="1000" w:type="dxa"/>
            <w:vAlign w:val="bottom"/>
          </w:tcPr>
          <w:p>
            <w:pPr>
              <w:ind w:left="3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-814070</wp:posOffset>
            </wp:positionV>
            <wp:extent cx="137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-814070</wp:posOffset>
            </wp:positionV>
            <wp:extent cx="1371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-814070</wp:posOffset>
            </wp:positionV>
            <wp:extent cx="1371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We believe the increases in average daily volumes in the year ended December 31, 2018 can be attributed to various factors, including increased volatility, further electronification of trading activities, increase in market share, new products and new clients. In addition, we believe that certain trading volumes increased in the year ended December 31, 2018 as customers adapted to electronic trading in order to comply with obligations pursuant to MiFID II, which was implemented by regulatory bodies in Europe in January 2018.</w:t>
      </w:r>
    </w:p>
    <w:p>
      <w:pPr>
        <w:spacing w:after="0" w:line="50"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The average variable fees per million dollars of volume traded on our trading platforms by asset class for the years ended December 31, 2018 and 2017 are summarized below.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23.2% for the year ended December 31, 2018 while gross revenue for our Credit asset class increased 32.6% over the same period.</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5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5300" w:type="dxa"/>
            <w:vAlign w:val="bottom"/>
          </w:tcPr>
          <w:p>
            <w:pPr>
              <w:spacing w:after="0"/>
              <w:rPr>
                <w:sz w:val="17"/>
                <w:szCs w:val="17"/>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5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300" w:type="dxa"/>
            <w:vAlign w:val="bottom"/>
          </w:tcPr>
          <w:p>
            <w:pPr>
              <w:spacing w:after="0"/>
              <w:rPr>
                <w:sz w:val="20"/>
                <w:szCs w:val="20"/>
                <w:color w:val="auto"/>
              </w:rPr>
            </w:pPr>
            <w:r>
              <w:rPr>
                <w:rFonts w:ascii="Arial" w:cs="Arial" w:eastAsia="Arial" w:hAnsi="Arial"/>
                <w:sz w:val="18"/>
                <w:szCs w:val="18"/>
                <w:color w:val="auto"/>
              </w:rPr>
              <w:t>Rates</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$ 2.04</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$ 2.26</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(0.22)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Credit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37.42</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48.72</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(11.30)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(23.2)%</w:t>
            </w:r>
          </w:p>
        </w:tc>
      </w:tr>
      <w:tr>
        <w:trPr>
          <w:trHeight w:val="25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17.55</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2"/>
                <w:szCs w:val="22"/>
                <w:color w:val="auto"/>
              </w:rPr>
            </w:pP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Money Markets</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0.46</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-668020</wp:posOffset>
            </wp:positionV>
            <wp:extent cx="5213985" cy="1714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Our gross revenue by geography (based on client location) for the 2018 Sucessor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7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8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left w:val="single" w:sz="8" w:color="auto"/>
            </w:tcBorders>
            <w:gridSpan w:val="3"/>
          </w:tcPr>
          <w:p>
            <w:pPr>
              <w:jc w:val="center"/>
              <w:ind w:left="13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center"/>
              <w:ind w:right="60"/>
              <w:spacing w:after="0" w:line="230" w:lineRule="exact"/>
              <w:rPr>
                <w:sz w:val="20"/>
                <w:szCs w:val="20"/>
                <w:color w:val="auto"/>
              </w:rPr>
            </w:pPr>
            <w:r>
              <w:rPr>
                <w:rFonts w:ascii="Arial" w:cs="Arial" w:eastAsia="Arial" w:hAnsi="Arial"/>
                <w:sz w:val="14"/>
                <w:szCs w:val="14"/>
                <w:b w:val="1"/>
                <w:bCs w:val="1"/>
                <w:color w:val="auto"/>
                <w:w w:val="90"/>
              </w:rPr>
              <w:t>(Combined)</w:t>
            </w:r>
            <w:r>
              <w:rPr>
                <w:rFonts w:ascii="Arial" w:cs="Arial" w:eastAsia="Arial" w:hAnsi="Arial"/>
                <w:sz w:val="21"/>
                <w:szCs w:val="21"/>
                <w:b w:val="1"/>
                <w:bCs w:val="1"/>
                <w:color w:val="auto"/>
                <w:w w:val="90"/>
                <w:vertAlign w:val="superscript"/>
              </w:rPr>
              <w:t>(1)</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U.S.</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$115,907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$324,304</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$440,211</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$385,176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55,035</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8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62,730</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181,467</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244,197</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177,792</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66,405</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 gross revenue</w:t>
            </w:r>
          </w:p>
        </w:tc>
        <w:tc>
          <w:tcPr>
            <w:tcW w:w="280" w:type="dxa"/>
            <w:vAlign w:val="bottom"/>
            <w:gridSpan w:val="2"/>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178,637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505,771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684,408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562,968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121,440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-1036955</wp:posOffset>
            </wp:positionV>
            <wp:extent cx="1371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-1036955</wp:posOffset>
            </wp:positionV>
            <wp:extent cx="12890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-1036955</wp:posOffset>
            </wp:positionV>
            <wp:extent cx="12890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68" w:lineRule="exact"/>
        <w:rPr>
          <w:sz w:val="20"/>
          <w:szCs w:val="20"/>
          <w:color w:val="auto"/>
        </w:rPr>
      </w:pPr>
    </w:p>
    <w:p>
      <w:pPr>
        <w:ind w:left="1620" w:right="819" w:hanging="352"/>
        <w:spacing w:after="0" w:line="308" w:lineRule="auto"/>
        <w:tabs>
          <w:tab w:leader="none" w:pos="1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Represents the combined results of the Successor and Predecessor periods for the full year ended December 31, 2018. This combination was performed by mathematical addition and is not a</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979"/>
        <w:spacing w:after="0" w:line="259" w:lineRule="auto"/>
        <w:rPr>
          <w:sz w:val="20"/>
          <w:szCs w:val="20"/>
          <w:color w:val="auto"/>
        </w:rPr>
      </w:pPr>
      <w:r>
        <w:rPr>
          <w:rFonts w:ascii="Arial" w:cs="Arial" w:eastAsia="Arial" w:hAnsi="Arial"/>
          <w:sz w:val="18"/>
          <w:szCs w:val="18"/>
          <w:color w:val="auto"/>
        </w:rPr>
        <w:t>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79" w:lineRule="exact"/>
        <w:rPr>
          <w:sz w:val="20"/>
          <w:szCs w:val="20"/>
          <w:color w:val="auto"/>
        </w:rPr>
      </w:pPr>
    </w:p>
    <w:p>
      <w:pPr>
        <w:ind w:left="1260" w:right="919" w:firstLine="360"/>
        <w:spacing w:after="0" w:line="273"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$55.0 million or 14.3% to $440.2 million for the combined year ended December 31, 2018 from $385.2 million for the year ended December 31, 2017 primarily due to increased transactional volumes from our Institutional client sector for U.S. credit products, U.S. ETF and U.S. Treasury, higher trading volumes from our Wholesale client sector, which saw an increase in volumes for U.S. credit, U.S. Treasury and repurchase agreements and higher trading volumes for our Retail client sector, which saw an increase in middle markets trading volumes.</w:t>
      </w:r>
    </w:p>
    <w:p>
      <w:pPr>
        <w:spacing w:after="0" w:line="70" w:lineRule="exact"/>
        <w:rPr>
          <w:sz w:val="20"/>
          <w:szCs w:val="20"/>
          <w:color w:val="auto"/>
        </w:rPr>
      </w:pPr>
    </w:p>
    <w:p>
      <w:pPr>
        <w:ind w:left="1260" w:right="959" w:firstLine="360"/>
        <w:spacing w:after="0" w:line="297"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Revenues from International clients increased by $66.4 million or 37.3% to $244.2 million for the combined year ended December 31, 2018 from $177.8 million for the year ended December 31, 2017 primarily due to increased transactional volumes from our Institutional client sector for European interest rate swaps, European credit default indexes, European ETF, European governments and European credit products. Fluctuations in foreign currency rates increased our International gross revenue by $9.1 million.</w:t>
      </w:r>
    </w:p>
    <w:p>
      <w:pPr>
        <w:spacing w:after="0" w:line="14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Our expenses for the 2018 Successor Period, the 2018 Predecessor Period and the year ended December 31,</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were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gridSpan w:val="6"/>
            <w:vMerge w:val="restart"/>
          </w:tcPr>
          <w:p>
            <w:pPr>
              <w:ind w:left="5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9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90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80,436</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$ 209,053</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$ 248,963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33,020</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48,808</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68,615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23,056</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33,973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9,907</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26,598</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30,013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20,360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19,351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Occupancy</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3,308</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10,732</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14,441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146,702</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$ 338,607</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$ 415,356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69074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-1362710</wp:posOffset>
            </wp:positionV>
            <wp:extent cx="1371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-1362710</wp:posOffset>
            </wp:positionV>
            <wp:extent cx="12890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95"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Employee compensation and benefits expense for the 2018 Successor Period and the 2018 Predecessor Period was $80.4 million and $209.1 million, respectively. The changes in basis resulting from the Refinitiv Transaction and the application of pushdown accounting did not impact employee compensation and benefits expense. Employee compensation and benefits expense increased by $40.5 million or 16.3% to $289.5 million for the combined year ended December 31, 2018 from $249.0 million for the year ended December 31, 2017. The increase was due to a $14.1 million increase in salaries and benefits, due to an increase in employee headcount, and an increase in annual incentive compensation of $26.0 million, which is based on operating performance, primarily due to our financial results. Total employee headcount increased to 919 as of December 31, 2018 from 857 as of December 31, 2017.</w:t>
      </w:r>
    </w:p>
    <w:p>
      <w:pPr>
        <w:spacing w:after="0" w:line="59"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for the 2018 Successor Period and the 2018 Predecessor Period was $33.0 million and $48.8 million, respectively. Depreciation and amortization expense was $68.6 million for the year ended December 31, 2017. As a result of the Refinitiv Transaction and the application of pushdown accounting, we adjusted our assets and liabilities to their estimated fair market values as of October 1, 2018, which resulted in an increase in depreciation of tangible assets and amortization of our intangible assets. The impact of such adjustments increased depreciation and amortization expense during the 2018 Successor Period by $15.9 million.</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General and administrative expense for the 2018 Successor Period and the</w:t>
      </w:r>
    </w:p>
    <w:p>
      <w:pPr>
        <w:spacing w:after="0" w:line="46"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2018 Predecessor Period was $11.8 million and $23.1 million, respectively. The changes in basis resulting from the Refinitiv Transaction and the application of pushdown accounting did not impact general and administrative expense. General and administrative expense increased by $0.9 million or 2.7% to $34.9 million for the combined year ended December 31, 2018 from $34.0 million for the year ended December 31, 2017. The increase was primarily a result of $1.0 million in recruiting and expatriate expense, $0.9 million increase in marketing expense due to increased marketing efforts for key growth, client acquisition and regulatory initiatives, $0.5 million increase in value-added taxes and $0.8 million increase in other administrative fees, partially offset by a reduction in foreign exchange losses of $2.4 million.</w:t>
      </w:r>
    </w:p>
    <w:p>
      <w:pPr>
        <w:spacing w:after="0" w:line="76"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u w:val="single" w:color="auto"/>
          <w:color w:val="auto"/>
        </w:rPr>
        <w:t>Technology and Communications</w:t>
      </w:r>
      <w:r>
        <w:rPr>
          <w:rFonts w:ascii="Arial" w:cs="Arial" w:eastAsia="Arial" w:hAnsi="Arial"/>
          <w:sz w:val="17"/>
          <w:szCs w:val="17"/>
          <w:color w:val="auto"/>
        </w:rPr>
        <w:t>. Technology and communications expense for the 2018 Successor Period and the 2018 Predecessor Period was $9.9 million and $26.6 million, respectively. The changes in basis resulting from the Refinitiv Transaction and the application of pushdown accounting did not impact technology and communications expense. Technology and communications expense increased by $6.5 million or 21.6% to $36.5 million for the combined year ended December 31, 2018 from $30.0 million for the year ended December 31, 2017. The increase was primarily due to an increase in third-party software and technology maintenance and support as a result of certain cybersecurity and infrastructure initiatives and increased clearance fees as a result of higher trading volumes.</w:t>
      </w:r>
    </w:p>
    <w:p>
      <w:pPr>
        <w:spacing w:after="0" w:line="71" w:lineRule="exact"/>
        <w:rPr>
          <w:sz w:val="20"/>
          <w:szCs w:val="20"/>
          <w:color w:val="auto"/>
        </w:rPr>
      </w:pPr>
    </w:p>
    <w:p>
      <w:pPr>
        <w:ind w:left="1620"/>
        <w:spacing w:after="0"/>
        <w:rPr>
          <w:sz w:val="20"/>
          <w:szCs w:val="20"/>
          <w:color w:val="auto"/>
        </w:rPr>
      </w:pPr>
      <w:r>
        <w:rPr>
          <w:rFonts w:ascii="Arial" w:cs="Arial" w:eastAsia="Arial" w:hAnsi="Arial"/>
          <w:sz w:val="16"/>
          <w:szCs w:val="16"/>
          <w:u w:val="single" w:color="auto"/>
          <w:color w:val="auto"/>
        </w:rPr>
        <w:t>Professional Fees</w:t>
      </w:r>
      <w:r>
        <w:rPr>
          <w:rFonts w:ascii="Arial" w:cs="Arial" w:eastAsia="Arial" w:hAnsi="Arial"/>
          <w:sz w:val="16"/>
          <w:szCs w:val="16"/>
          <w:color w:val="auto"/>
        </w:rPr>
        <w:t>.  Professional fees for the 2018 Successor Period and the 2018 Predecessor Period was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$8.2 million and $20.4 million, respectively. The changes in basis resulting from the Refinitiv Transaction and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application of pushdown accounting did not impact professional fees. Professional fees increased by $9.2 million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or 47.6% to $28.6 million for the combined year ended December 31, 2018 from $19.4 million for the year ended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2017. The increase was primarily due to higher investment banking advisory, legal and audit fees,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including fees incurred in preparation for this offering.</w:t>
      </w:r>
    </w:p>
    <w:p>
      <w:pPr>
        <w:spacing w:after="0" w:line="10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for the 2018 Successor Period and the 2018 Predecessor Period was $3.3 million and $10.7 million, respectively. Occupancy expense for the year ended December 31, 2017 was $14.4 million. As a result of the Refinitiv Transaction and the application of pushdown accounting, at October 1, 2018, we established a leasehold interest liability, which resulted in a $0.1 million decrease in occupancy expense in the 2018 Successor Period.</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Net Interest Income (Expense)</w:t>
      </w:r>
    </w:p>
    <w:p>
      <w:pPr>
        <w:spacing w:after="0" w:line="104"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Net interest income for the 2018 Successor Period and the 2018 Predecessor Period was $0.8 million and $1.7 million, respectively. Net interest income for the year ended December 31, 2017 was $0.7 million. Net interest income for the 2018 Successor Period and the 2018 Predecessor Period was impacted by an increase in interest rates. Net interest income for the year ended December 31, 2017 was impacted by the conversion of our former convertible notes into equity in May 2017.</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Provision for income taxes for the 2018 Successor Period and the 2018 Predecessor Period was $3.4 million and $11.9 million, respectively. Provision for income taxes for the year ended December 31, 2017 was $6.1 million. Provision for income taxes for the 2018 Successor Period and the 2018 Predecessor Period was impacted by increased earnings which resulted in higher tax expense in certain jurisdictions. Provision for income taxes for the 2018 Predecessor Period was also impacted by a $3.3 million adjustment related to an uncertain tax position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a summary of our statements of income for the years ended December 31,</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and 2016, and the resulting dollar and percentage changes: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4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7"/>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3"/>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7"/>
          </w:tcPr>
          <w:p>
            <w:pPr>
              <w:jc w:val="center"/>
              <w:ind w:left="373"/>
              <w:spacing w:after="0"/>
              <w:rPr>
                <w:sz w:val="20"/>
                <w:szCs w:val="20"/>
                <w:color w:val="auto"/>
              </w:rPr>
            </w:pPr>
            <w:r>
              <w:rPr>
                <w:rFonts w:ascii="Arial" w:cs="Arial" w:eastAsia="Arial" w:hAnsi="Arial"/>
                <w:sz w:val="14"/>
                <w:szCs w:val="14"/>
                <w:b w:val="1"/>
                <w:bCs w:val="1"/>
                <w:color w:val="auto"/>
                <w:w w:val="91"/>
              </w:rPr>
              <w:t>(dollars in thousands)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70"/>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562,968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518,404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44,564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r>
      <w:tr>
        <w:trPr>
          <w:trHeight w:val="263"/>
        </w:trPr>
        <w:tc>
          <w:tcPr>
            <w:tcW w:w="484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(58,520)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(26,224)</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(32,296)</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123.2%</w:t>
            </w:r>
          </w:p>
        </w:tc>
      </w:tr>
      <w:tr>
        <w:trPr>
          <w:trHeight w:val="20"/>
        </w:trPr>
        <w:tc>
          <w:tcPr>
            <w:tcW w:w="48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504,448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492,180</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12,268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r>
      <w:tr>
        <w:trPr>
          <w:trHeight w:val="263"/>
        </w:trPr>
        <w:tc>
          <w:tcPr>
            <w:tcW w:w="484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415,356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399,049</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16,307</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89,092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93,131</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(4,039)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4840" w:type="dxa"/>
            <w:vAlign w:val="bottom"/>
          </w:tcPr>
          <w:p>
            <w:pPr>
              <w:spacing w:after="0"/>
              <w:rPr>
                <w:sz w:val="20"/>
                <w:szCs w:val="20"/>
                <w:color w:val="auto"/>
              </w:rPr>
            </w:pPr>
            <w:r>
              <w:rPr>
                <w:rFonts w:ascii="Arial" w:cs="Arial" w:eastAsia="Arial" w:hAnsi="Arial"/>
                <w:sz w:val="18"/>
                <w:szCs w:val="18"/>
                <w:color w:val="auto"/>
              </w:rPr>
              <w:t>Net interest income (expense)</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1,380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(198.6)%</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89,777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92,436</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(2,659)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48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6,854</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(945.4)%</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83,648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93,161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(9,513)</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1803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-539750</wp:posOffset>
            </wp:positionV>
            <wp:extent cx="5213985"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-882650</wp:posOffset>
            </wp:positionV>
            <wp:extent cx="5213985" cy="1714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-1225550</wp:posOffset>
            </wp:positionV>
            <wp:extent cx="603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-1225550</wp:posOffset>
            </wp:positionV>
            <wp:extent cx="18859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-1225550</wp:posOffset>
            </wp:positionV>
            <wp:extent cx="42367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23672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-1697355</wp:posOffset>
            </wp:positionV>
            <wp:extent cx="137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-1697355</wp:posOffset>
            </wp:positionV>
            <wp:extent cx="1371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3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Gross revenue increased by $44.6 million or 8.6% to $563.0 million for the year ended December 31, 2017 from $518.4 million for the year ended December 31, 2016. This increase in gross revenue was mainly due to higher trading volumes resulting in a $36.8 million increase in transaction fees and a $5.1 million increase in commissions. Net revenue increased by $12.3 million or 2.5% to $504.4 million for the year ended December 31, 2017 from $492.2 million for the year ended December 31, 2016. The $44.6 million increase in gross revenue was offset by a $32.3 million increase in non-cash contingent consideration as a result of higher projected revenues related to the Credit Initiative Earnout.</w:t>
      </w:r>
    </w:p>
    <w:p>
      <w:pPr>
        <w:spacing w:after="0" w:line="70" w:lineRule="exact"/>
        <w:rPr>
          <w:sz w:val="20"/>
          <w:szCs w:val="20"/>
          <w:color w:val="auto"/>
        </w:rPr>
      </w:pPr>
    </w:p>
    <w:p>
      <w:pPr>
        <w:jc w:val="both"/>
        <w:ind w:left="1260" w:right="859" w:firstLine="360"/>
        <w:spacing w:after="0" w:line="279" w:lineRule="auto"/>
        <w:rPr>
          <w:sz w:val="20"/>
          <w:szCs w:val="20"/>
          <w:color w:val="auto"/>
        </w:rPr>
      </w:pPr>
      <w:r>
        <w:rPr>
          <w:rFonts w:ascii="Arial" w:cs="Arial" w:eastAsia="Arial" w:hAnsi="Arial"/>
          <w:sz w:val="17"/>
          <w:szCs w:val="17"/>
          <w:color w:val="auto"/>
        </w:rPr>
        <w:t>Total expenses increased by $16.3 million or 4.1% to $415.4 million for the year ended December 31, 2017 from $399.0 million for the year ended December 31, 2016. This increase was primarily due to higher employee compensation and benefits expense of $20.4 million and higher general and administrative expense of $6.6 million offset by lower depreciation and amortization expense of $12.2 million.</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Income before taxes decreased by $2.7 million or (2.9)% to $89.8 million for the year ended December 31,</w:t>
      </w:r>
    </w:p>
    <w:p>
      <w:pPr>
        <w:spacing w:after="0" w:line="46" w:lineRule="exact"/>
        <w:rPr>
          <w:sz w:val="20"/>
          <w:szCs w:val="20"/>
          <w:color w:val="auto"/>
        </w:rPr>
      </w:pPr>
    </w:p>
    <w:p>
      <w:pPr>
        <w:ind w:left="1260" w:right="1339"/>
        <w:spacing w:after="0" w:line="302" w:lineRule="auto"/>
        <w:rPr>
          <w:sz w:val="20"/>
          <w:szCs w:val="20"/>
          <w:color w:val="auto"/>
        </w:rPr>
      </w:pPr>
      <w:r>
        <w:rPr>
          <w:rFonts w:ascii="Arial" w:cs="Arial" w:eastAsia="Arial" w:hAnsi="Arial"/>
          <w:sz w:val="16"/>
          <w:szCs w:val="16"/>
          <w:color w:val="auto"/>
        </w:rPr>
        <w:t>2017 from $92.4 million for the year ended December 31, 2016. Net income decreased by $9.5 million or (10.2)% to $83.6 million for the year ended December 31, 2017 from $93.2 million for the year ended December 31, 2016. These decreases were due to the increase in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left="1260" w:right="1159" w:firstLine="360"/>
        <w:spacing w:after="0" w:line="262" w:lineRule="auto"/>
        <w:rPr>
          <w:sz w:val="20"/>
          <w:szCs w:val="20"/>
          <w:color w:val="auto"/>
        </w:rPr>
      </w:pPr>
      <w:r>
        <w:rPr>
          <w:rFonts w:ascii="Arial" w:cs="Arial" w:eastAsia="Arial" w:hAnsi="Arial"/>
          <w:sz w:val="18"/>
          <w:szCs w:val="18"/>
          <w:color w:val="auto"/>
        </w:rPr>
        <w:t>Our revenues for the years ended December 31, 2017 and 2016, and the resulting dollar and percentage changes, were as follows:</w:t>
      </w:r>
    </w:p>
    <w:p>
      <w:pPr>
        <w:spacing w:after="0" w:line="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Year Ended December 31,</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7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 of Gross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 Gross</w:t>
            </w: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8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Revenue</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2"/>
              </w:rPr>
              <w:t>(dollars in thousands)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8"/>
                <w:szCs w:val="18"/>
                <w:color w:val="auto"/>
              </w:rPr>
              <w:t>Transaction fees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$267,020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$230,171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44.4%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$ 36,849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3180" w:type="dxa"/>
            <w:vAlign w:val="bottom"/>
            <w:gridSpan w:val="2"/>
          </w:tcPr>
          <w:p>
            <w:pPr>
              <w:spacing w:after="0" w:line="270"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194,534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191,983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37.0%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96,745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91,663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5,082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4,669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4,587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562,968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518,404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44,564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(58,520)</w:t>
            </w: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(26,224)</w:t>
            </w: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(32,296)</w:t>
            </w:r>
          </w:p>
        </w:tc>
        <w:tc>
          <w:tcPr>
            <w:tcW w:w="5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$504,448</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$492,180</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$ 12,268</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line="192" w:lineRule="exact"/>
              <w:rPr>
                <w:sz w:val="20"/>
                <w:szCs w:val="20"/>
                <w:color w:val="auto"/>
              </w:rPr>
            </w:pPr>
            <w:r>
              <w:rPr>
                <w:rFonts w:ascii="Arial" w:cs="Arial" w:eastAsia="Arial" w:hAnsi="Arial"/>
                <w:sz w:val="18"/>
                <w:szCs w:val="18"/>
                <w:color w:val="auto"/>
              </w:rPr>
              <w:t>Components of gross revenue growth:</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1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3180" w:type="dxa"/>
            <w:vAlign w:val="bottom"/>
            <w:gridSpan w:val="2"/>
          </w:tcPr>
          <w:p>
            <w:pPr>
              <w:ind w:left="180"/>
              <w:spacing w:after="0" w:line="294" w:lineRule="exact"/>
              <w:rPr>
                <w:sz w:val="20"/>
                <w:szCs w:val="20"/>
                <w:color w:val="auto"/>
              </w:rPr>
            </w:pPr>
            <w:r>
              <w:rPr>
                <w:rFonts w:ascii="Arial" w:cs="Arial" w:eastAsia="Arial" w:hAnsi="Arial"/>
                <w:sz w:val="18"/>
                <w:szCs w:val="18"/>
                <w:color w:val="auto"/>
              </w:rPr>
              <w:t>Constant currency growth</w:t>
            </w:r>
            <w:r>
              <w:rPr>
                <w:rFonts w:ascii="Arial" w:cs="Arial" w:eastAsia="Arial" w:hAnsi="Arial"/>
                <w:sz w:val="27"/>
                <w:szCs w:val="27"/>
                <w:color w:val="auto"/>
                <w:vertAlign w:val="superscript"/>
              </w:rPr>
              <w:t>(2)</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Foreign currency impact</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Total gross revenue growth</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-1714500</wp:posOffset>
            </wp:positionV>
            <wp:extent cx="5213985"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-1379855</wp:posOffset>
            </wp:positionV>
            <wp:extent cx="5213985"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-650875</wp:posOffset>
            </wp:positionV>
            <wp:extent cx="5213985" cy="3086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-170815</wp:posOffset>
            </wp:positionV>
            <wp:extent cx="5213985" cy="1714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-2194560</wp:posOffset>
            </wp:positionV>
            <wp:extent cx="1371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-2194560</wp:posOffset>
            </wp:positionV>
            <wp:extent cx="1371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-2194560</wp:posOffset>
            </wp:positionV>
            <wp:extent cx="137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-2194560</wp:posOffset>
            </wp:positionV>
            <wp:extent cx="12001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-2194560</wp:posOffset>
            </wp:positionV>
            <wp:extent cx="12001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right="799" w:hanging="352"/>
        <w:spacing w:after="0" w:line="277"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129" w:lineRule="exact"/>
        <w:rPr>
          <w:rFonts w:ascii="Arial" w:cs="Arial" w:eastAsia="Arial" w:hAnsi="Arial"/>
          <w:sz w:val="18"/>
          <w:szCs w:val="18"/>
          <w:color w:val="auto"/>
        </w:rPr>
      </w:pPr>
    </w:p>
    <w:p>
      <w:pPr>
        <w:ind w:left="1620" w:right="939" w:hanging="352"/>
        <w:spacing w:after="0" w:line="312" w:lineRule="auto"/>
        <w:tabs>
          <w:tab w:leader="none" w:pos="16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pacing w:after="0" w:line="39" w:lineRule="exact"/>
        <w:rPr>
          <w:sz w:val="20"/>
          <w:szCs w:val="20"/>
          <w:color w:val="auto"/>
        </w:rPr>
      </w:pPr>
    </w:p>
    <w:p>
      <w:pPr>
        <w:ind w:left="1260" w:right="1439" w:firstLine="360"/>
        <w:spacing w:after="0" w:line="277" w:lineRule="auto"/>
        <w:rPr>
          <w:sz w:val="20"/>
          <w:szCs w:val="20"/>
          <w:color w:val="auto"/>
        </w:rPr>
      </w:pPr>
      <w:r>
        <w:rPr>
          <w:rFonts w:ascii="Arial" w:cs="Arial" w:eastAsia="Arial" w:hAnsi="Arial"/>
          <w:sz w:val="18"/>
          <w:szCs w:val="18"/>
          <w:color w:val="auto"/>
        </w:rPr>
        <w:t>Our revenues by fee type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r>
      <w:tr>
        <w:trPr>
          <w:trHeight w:val="196"/>
        </w:trPr>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Fixed</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Fixed</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Variable</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Fixed</w:t>
            </w: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Variable</w:t>
            </w:r>
          </w:p>
        </w:tc>
        <w:tc>
          <w:tcPr>
            <w:tcW w:w="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Fixed</w:t>
            </w:r>
          </w:p>
        </w:tc>
      </w:tr>
      <w:tr>
        <w:trPr>
          <w:trHeight w:val="175"/>
        </w:trPr>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(dollars in thousands)</w:t>
            </w: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1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192"/>
        </w:trPr>
        <w:tc>
          <w:tcPr>
            <w:tcW w:w="1980" w:type="dxa"/>
            <w:vAlign w:val="bottom"/>
            <w:gridSpan w:val="2"/>
          </w:tcPr>
          <w:p>
            <w:pPr>
              <w:spacing w:after="0" w:line="192" w:lineRule="exact"/>
              <w:rPr>
                <w:sz w:val="20"/>
                <w:szCs w:val="20"/>
                <w:color w:val="auto"/>
              </w:rPr>
            </w:pPr>
            <w:r>
              <w:rPr>
                <w:rFonts w:ascii="Arial" w:cs="Arial" w:eastAsia="Arial" w:hAnsi="Arial"/>
                <w:sz w:val="18"/>
                <w:szCs w:val="18"/>
                <w:color w:val="auto"/>
              </w:rPr>
              <w:t>Transaction fees</w:t>
            </w:r>
          </w:p>
        </w:tc>
        <w:tc>
          <w:tcPr>
            <w:tcW w:w="900" w:type="dxa"/>
            <w:vAlign w:val="bottom"/>
            <w:gridSpan w:val="2"/>
          </w:tcPr>
          <w:p>
            <w:pPr>
              <w:jc w:val="right"/>
              <w:ind w:right="200"/>
              <w:spacing w:after="0" w:line="192" w:lineRule="exact"/>
              <w:rPr>
                <w:sz w:val="20"/>
                <w:szCs w:val="20"/>
                <w:color w:val="auto"/>
              </w:rPr>
            </w:pPr>
            <w:r>
              <w:rPr>
                <w:rFonts w:ascii="Arial" w:cs="Arial" w:eastAsia="Arial" w:hAnsi="Arial"/>
                <w:sz w:val="18"/>
                <w:szCs w:val="18"/>
                <w:color w:val="auto"/>
                <w:w w:val="90"/>
              </w:rPr>
              <w:t>$210,198</w:t>
            </w:r>
          </w:p>
        </w:tc>
        <w:tc>
          <w:tcPr>
            <w:tcW w:w="10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line="192" w:lineRule="exact"/>
              <w:rPr>
                <w:sz w:val="20"/>
                <w:szCs w:val="20"/>
                <w:color w:val="auto"/>
              </w:rPr>
            </w:pPr>
            <w:r>
              <w:rPr>
                <w:rFonts w:ascii="Arial" w:cs="Arial" w:eastAsia="Arial" w:hAnsi="Arial"/>
                <w:sz w:val="18"/>
                <w:szCs w:val="18"/>
                <w:color w:val="auto"/>
              </w:rPr>
              <w:t>56,822</w:t>
            </w:r>
          </w:p>
        </w:tc>
        <w:tc>
          <w:tcPr>
            <w:tcW w:w="880" w:type="dxa"/>
            <w:vAlign w:val="bottom"/>
            <w:gridSpan w:val="2"/>
          </w:tcPr>
          <w:p>
            <w:pPr>
              <w:jc w:val="right"/>
              <w:ind w:right="200"/>
              <w:spacing w:after="0" w:line="192" w:lineRule="exact"/>
              <w:rPr>
                <w:sz w:val="20"/>
                <w:szCs w:val="20"/>
                <w:color w:val="auto"/>
              </w:rPr>
            </w:pPr>
            <w:r>
              <w:rPr>
                <w:rFonts w:ascii="Arial" w:cs="Arial" w:eastAsia="Arial" w:hAnsi="Arial"/>
                <w:sz w:val="18"/>
                <w:szCs w:val="18"/>
                <w:color w:val="auto"/>
                <w:w w:val="87"/>
              </w:rPr>
              <w:t>$176,060</w:t>
            </w:r>
          </w:p>
        </w:tc>
        <w:tc>
          <w:tcPr>
            <w:tcW w:w="10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line="192" w:lineRule="exact"/>
              <w:rPr>
                <w:sz w:val="20"/>
                <w:szCs w:val="20"/>
                <w:color w:val="auto"/>
              </w:rPr>
            </w:pPr>
            <w:r>
              <w:rPr>
                <w:rFonts w:ascii="Arial" w:cs="Arial" w:eastAsia="Arial" w:hAnsi="Arial"/>
                <w:sz w:val="18"/>
                <w:szCs w:val="18"/>
                <w:color w:val="auto"/>
              </w:rPr>
              <w:t>54,111</w:t>
            </w:r>
          </w:p>
        </w:tc>
        <w:tc>
          <w:tcPr>
            <w:tcW w:w="820" w:type="dxa"/>
            <w:vAlign w:val="bottom"/>
            <w:gridSpan w:val="2"/>
          </w:tcPr>
          <w:p>
            <w:pPr>
              <w:jc w:val="right"/>
              <w:ind w:right="220"/>
              <w:spacing w:after="0" w:line="192" w:lineRule="exact"/>
              <w:rPr>
                <w:sz w:val="20"/>
                <w:szCs w:val="20"/>
                <w:color w:val="auto"/>
              </w:rPr>
            </w:pPr>
            <w:r>
              <w:rPr>
                <w:rFonts w:ascii="Arial" w:cs="Arial" w:eastAsia="Arial" w:hAnsi="Arial"/>
                <w:sz w:val="18"/>
                <w:szCs w:val="18"/>
                <w:color w:val="auto"/>
                <w:w w:val="89"/>
              </w:rPr>
              <w:t>$34,138</w:t>
            </w:r>
          </w:p>
        </w:tc>
        <w:tc>
          <w:tcPr>
            <w:tcW w:w="720" w:type="dxa"/>
            <w:vAlign w:val="bottom"/>
            <w:gridSpan w:val="2"/>
          </w:tcPr>
          <w:p>
            <w:pPr>
              <w:jc w:val="right"/>
              <w:ind w:right="220"/>
              <w:spacing w:after="0" w:line="192" w:lineRule="exact"/>
              <w:rPr>
                <w:sz w:val="20"/>
                <w:szCs w:val="20"/>
                <w:color w:val="auto"/>
              </w:rPr>
            </w:pPr>
            <w:r>
              <w:rPr>
                <w:rFonts w:ascii="Arial" w:cs="Arial" w:eastAsia="Arial" w:hAnsi="Arial"/>
                <w:sz w:val="18"/>
                <w:szCs w:val="18"/>
                <w:color w:val="auto"/>
                <w:w w:val="87"/>
              </w:rPr>
              <w:t>$2,711</w:t>
            </w:r>
          </w:p>
        </w:tc>
        <w:tc>
          <w:tcPr>
            <w:tcW w:w="660" w:type="dxa"/>
            <w:vAlign w:val="bottom"/>
            <w:gridSpan w:val="3"/>
          </w:tcPr>
          <w:p>
            <w:pPr>
              <w:jc w:val="right"/>
              <w:ind w:right="80"/>
              <w:spacing w:after="0" w:line="192" w:lineRule="exact"/>
              <w:rPr>
                <w:sz w:val="20"/>
                <w:szCs w:val="20"/>
                <w:color w:val="auto"/>
              </w:rPr>
            </w:pPr>
            <w:r>
              <w:rPr>
                <w:rFonts w:ascii="Arial" w:cs="Arial" w:eastAsia="Arial" w:hAnsi="Arial"/>
                <w:sz w:val="18"/>
                <w:szCs w:val="18"/>
                <w:color w:val="auto"/>
              </w:rPr>
              <w:t>19.4%</w:t>
            </w:r>
          </w:p>
        </w:tc>
        <w:tc>
          <w:tcPr>
            <w:tcW w:w="520" w:type="dxa"/>
            <w:vAlign w:val="bottom"/>
            <w:gridSpan w:val="4"/>
          </w:tcPr>
          <w:p>
            <w:pPr>
              <w:jc w:val="right"/>
              <w:spacing w:after="0" w:line="192" w:lineRule="exact"/>
              <w:rPr>
                <w:sz w:val="20"/>
                <w:szCs w:val="20"/>
                <w:color w:val="auto"/>
              </w:rPr>
            </w:pPr>
            <w:r>
              <w:rPr>
                <w:rFonts w:ascii="Arial" w:cs="Arial" w:eastAsia="Arial" w:hAnsi="Arial"/>
                <w:sz w:val="18"/>
                <w:szCs w:val="18"/>
                <w:color w:val="auto"/>
              </w:rPr>
              <w:t>5.0%</w:t>
            </w:r>
          </w:p>
        </w:tc>
      </w:tr>
      <w:tr>
        <w:trPr>
          <w:trHeight w:val="254"/>
        </w:trPr>
        <w:tc>
          <w:tcPr>
            <w:tcW w:w="1980" w:type="dxa"/>
            <w:vAlign w:val="bottom"/>
            <w:gridSpan w:val="2"/>
          </w:tcPr>
          <w:p>
            <w:pPr>
              <w:spacing w:after="0" w:line="254"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192,959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190,487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2,472</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5.3%</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57,118</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39,627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54,194</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37,469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2,924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2,158</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5.4%</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4,633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4,557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6</w:t>
            </w:r>
            <w:r>
              <w:rPr>
                <w:rFonts w:ascii="Arial" w:cs="Arial" w:eastAsia="Arial" w:hAnsi="Arial"/>
                <w:sz w:val="18"/>
                <w:szCs w:val="18"/>
                <w:color w:val="auto"/>
              </w:rPr>
              <w:t>%   1.</w:t>
            </w:r>
            <w:r>
              <w:rPr>
                <w:rFonts w:ascii="Arial" w:cs="Arial" w:eastAsia="Arial" w:hAnsi="Arial"/>
                <w:sz w:val="18"/>
                <w:szCs w:val="18"/>
                <w:u w:val="single" w:color="auto"/>
                <w:color w:val="auto"/>
              </w:rPr>
              <w:t>7</w:t>
            </w:r>
            <w:r>
              <w:rPr>
                <w:rFonts w:ascii="Arial" w:cs="Arial" w:eastAsia="Arial" w:hAnsi="Arial"/>
                <w:sz w:val="18"/>
                <w:szCs w:val="18"/>
                <w:color w:val="auto"/>
              </w:rPr>
              <w:t>%</w:t>
            </w:r>
          </w:p>
        </w:tc>
      </w:tr>
      <w:tr>
        <w:trPr>
          <w:trHeight w:val="20"/>
        </w:trPr>
        <w:tc>
          <w:tcPr>
            <w:tcW w:w="17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98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268,927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294,041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231,780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286,624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37,147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7,417</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w:t>
            </w:r>
            <w:r>
              <w:rPr>
                <w:rFonts w:ascii="Arial" w:cs="Arial" w:eastAsia="Arial" w:hAnsi="Arial"/>
                <w:sz w:val="18"/>
                <w:szCs w:val="18"/>
                <w:color w:val="auto"/>
              </w:rPr>
              <w:t>%</w:t>
            </w:r>
          </w:p>
        </w:tc>
      </w:tr>
      <w:tr>
        <w:trPr>
          <w:trHeight w:val="20"/>
        </w:trPr>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-805180</wp:posOffset>
            </wp:positionV>
            <wp:extent cx="5213985" cy="146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-522605</wp:posOffset>
            </wp:positionV>
            <wp:extent cx="5213985"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-1200150</wp:posOffset>
            </wp:positionV>
            <wp:extent cx="1371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-1200150</wp:posOffset>
            </wp:positionV>
            <wp:extent cx="1371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-1200150</wp:posOffset>
            </wp:positionV>
            <wp:extent cx="1371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-1200150</wp:posOffset>
            </wp:positionV>
            <wp:extent cx="1371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-1200150</wp:posOffset>
            </wp:positionV>
            <wp:extent cx="12001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-1200150</wp:posOffset>
            </wp:positionV>
            <wp:extent cx="12001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-1200150</wp:posOffset>
            </wp:positionV>
            <wp:extent cx="12001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82" w:lineRule="exact"/>
        <w:rPr>
          <w:sz w:val="20"/>
          <w:szCs w:val="20"/>
          <w:color w:val="auto"/>
        </w:rPr>
      </w:pPr>
    </w:p>
    <w:p>
      <w:pPr>
        <w:ind w:left="1620" w:right="799" w:hanging="352"/>
        <w:spacing w:after="0" w:line="27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62"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$36.8 million or 16.0% to $267.0 million for the year ended December 31, 2017 from $230.2 million for the year ended December 31, 2016. Approximately $31.9 million of the increase was derived primarily from increased Institutional transactional volumes for European credit products, derivative products (led by Dollar swaps, European interest rate swaps and Japanese Yen swaps), European governments, U.S. and European ETF and U.S. Treasury, as well as</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99"/>
        <w:spacing w:after="0" w:line="264" w:lineRule="auto"/>
        <w:rPr>
          <w:sz w:val="20"/>
          <w:szCs w:val="20"/>
          <w:color w:val="auto"/>
        </w:rPr>
      </w:pPr>
      <w:r>
        <w:rPr>
          <w:rFonts w:ascii="Arial" w:cs="Arial" w:eastAsia="Arial" w:hAnsi="Arial"/>
          <w:sz w:val="18"/>
          <w:szCs w:val="18"/>
          <w:color w:val="auto"/>
        </w:rPr>
        <w:t>adjustments to contracts in anticipation of MiFID II and the product launch of China bonds. The launch of a new U.S. credit product led to an increase in the number of clients and volumes for U.S. credit products over the prior year, which also contributed to the $31.9 million increase.</w:t>
      </w:r>
    </w:p>
    <w:p>
      <w:pPr>
        <w:spacing w:after="0" w:line="73"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u w:val="single" w:color="auto"/>
          <w:color w:val="auto"/>
        </w:rPr>
        <w:t>Subscription fees</w:t>
      </w:r>
      <w:r>
        <w:rPr>
          <w:rFonts w:ascii="Arial" w:cs="Arial" w:eastAsia="Arial" w:hAnsi="Arial"/>
          <w:sz w:val="17"/>
          <w:szCs w:val="17"/>
          <w:color w:val="auto"/>
        </w:rPr>
        <w:t>. Subscription fees increased by $2.6 million or 1.3% to $194.5 million for the year ended December 31, 2017 from $192.0 million for the year ended December 31, 2016 due primarily to an increase in Institutional dealer subscription fees on contract renewals for European products as certain clients extended the terms of their existing contracts in preparation for the implementation of MiFID II.</w:t>
      </w:r>
    </w:p>
    <w:p>
      <w:pPr>
        <w:spacing w:after="0" w:line="6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$5.1 million or 5.5% to $96.7 million for the year ended December 31, 2017 from $91.7 million for the year ended December 31, 2016 due primarily to $8.0 million from increased trading volumes for repurchase agreements and U.S. Treasury and increased Retail trading volume. The increase was partially offset by $2.9 million of lower revenues, in part due to fewer dealers participating in, and fee changes in, the TBA-MBS market.</w:t>
      </w:r>
    </w:p>
    <w:p>
      <w:pPr>
        <w:spacing w:after="0" w:line="80"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$0.1 million or 1.8% to $4.7 million for the year ended December 31, 2017 from $4.6 million for the year ended December 31, 2016. Other revenues primarily consisted of fees from a third party for certain licensing and development in Canada.</w:t>
      </w:r>
    </w:p>
    <w:p>
      <w:pPr>
        <w:spacing w:after="0" w:line="7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Contingent consideration increased by $32.3 million or 123.2% to $58.5 million for the year ended December 31, 2017 from $26.2 million for the year ended December 31, 2016. The increase was a result of higher projected revenues related to the Credit Initiative Earnout during the year ended December 31, 2017 compared to the year ended December 31, 2016.</w:t>
      </w:r>
    </w:p>
    <w:p>
      <w:pPr>
        <w:spacing w:after="0" w:line="79"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Our gross revenue by client sector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175"/>
        </w:trPr>
        <w:tc>
          <w:tcPr>
            <w:tcW w:w="4900" w:type="dxa"/>
            <w:vAlign w:val="bottom"/>
          </w:tcPr>
          <w:p>
            <w:pPr>
              <w:spacing w:after="0"/>
              <w:rPr>
                <w:sz w:val="15"/>
                <w:szCs w:val="15"/>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Institutional</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$318,038</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$285,801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$32,237</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118,451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109,945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Retail</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70,857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67,471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3,386</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Market Data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4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-1011555</wp:posOffset>
            </wp:positionV>
            <wp:extent cx="1371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-1011555</wp:posOffset>
            </wp:positionV>
            <wp:extent cx="13716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$32.2 million or 11.3%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$318.0 million for the year ended December 31, 2017 from $285.8 million for the year ended December 31, 2016</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primarily due to increased transactional volumes for U.S. and European credit products, derivative products (led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by Dollar swaps, European interest rate swaps and Japanese Yen swaps), European governments, U.S.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European ETF and U.S. Treasury, as well as the product launch of China bonds and due to an increase in dealer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subscription fees on contract renewals for European products as a result of MiFID II.</w:t>
      </w:r>
    </w:p>
    <w:p>
      <w:pPr>
        <w:spacing w:after="0" w:line="103"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$8.5 million or 7.7% to $118.5 million for the year ended December 31, 2017 from $109.9 million for the year ended December 31, 2016 primarily due to higher trading volumes in European credit products, repurchase agreements and U.S. Treasury. The revenue increase was partially offset by lower TBA-MBS fees due to fewer dealers participating in this market and fee changes.</w:t>
      </w:r>
    </w:p>
    <w:p>
      <w:pPr>
        <w:spacing w:after="0" w:line="80"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$3.4 million or 5.0% to $70.9 million for the year ended December 31, 2017 from $67.5 million for the year ended December 31, 2016 primarily due to strong Alternative Trading System (“ATS”) and middle markets trading volumes.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$0.4 million or 0.8% to</w:t>
      </w:r>
    </w:p>
    <w:p>
      <w:pPr>
        <w:spacing w:after="0" w:line="23" w:lineRule="exact"/>
        <w:rPr>
          <w:sz w:val="20"/>
          <w:szCs w:val="20"/>
          <w:color w:val="auto"/>
        </w:rPr>
      </w:pPr>
    </w:p>
    <w:p>
      <w:pPr>
        <w:ind w:left="1260" w:right="959"/>
        <w:spacing w:after="0" w:line="323" w:lineRule="auto"/>
        <w:rPr>
          <w:sz w:val="20"/>
          <w:szCs w:val="20"/>
          <w:color w:val="auto"/>
        </w:rPr>
      </w:pPr>
      <w:r>
        <w:rPr>
          <w:rFonts w:ascii="Arial" w:cs="Arial" w:eastAsia="Arial" w:hAnsi="Arial"/>
          <w:sz w:val="16"/>
          <w:szCs w:val="16"/>
          <w:color w:val="auto"/>
        </w:rPr>
        <w:t>$55.6 million for the year ended December 31, 2017 from $55.2 million for the year ended December 31, 2016 due to increased market data subscriptions, and as a result subscription fees increased, offset by lower</w:t>
      </w:r>
    </w:p>
    <w:p>
      <w:pPr>
        <w:spacing w:after="0" w:line="1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019"/>
        <w:spacing w:after="0" w:line="277" w:lineRule="auto"/>
        <w:rPr>
          <w:sz w:val="20"/>
          <w:szCs w:val="20"/>
          <w:color w:val="auto"/>
        </w:rPr>
      </w:pPr>
      <w:r>
        <w:rPr>
          <w:rFonts w:ascii="Arial" w:cs="Arial" w:eastAsia="Arial" w:hAnsi="Arial"/>
          <w:sz w:val="18"/>
          <w:szCs w:val="18"/>
          <w:color w:val="auto"/>
        </w:rPr>
        <w:t>Thomson Reuters royalty fees due to fewer customer conversions and the expiration of the royalty fee earning period for certain Eikon referrals from prior years.</w:t>
      </w:r>
    </w:p>
    <w:p>
      <w:pPr>
        <w:spacing w:after="0" w:line="62"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Our gross revenue by asset class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175"/>
        </w:trPr>
        <w:tc>
          <w:tcPr>
            <w:tcW w:w="4900" w:type="dxa"/>
            <w:vAlign w:val="bottom"/>
          </w:tcPr>
          <w:p>
            <w:pPr>
              <w:spacing w:after="0"/>
              <w:rPr>
                <w:sz w:val="15"/>
                <w:szCs w:val="15"/>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Rates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$324,302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$308,081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$16,221</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105,336</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88,630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Equities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23,681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18,626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5,055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27.1%</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28,633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24,532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4,101</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Market Data</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55,622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55,187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0"/>
        </w:trPr>
        <w:tc>
          <w:tcPr>
            <w:tcW w:w="4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-1397000</wp:posOffset>
            </wp:positionV>
            <wp:extent cx="1371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-1397000</wp:posOffset>
            </wp:positionV>
            <wp:extent cx="1371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3"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$16.2 million or 5.3% to $324.3 million for the year ended December 31, 2017 from $308.1 million for the year ended December 31, 2016 primarily due to increased Institutional and Wholesale transactional volumes for derivative products (led by Dollar swaps, European interest rate swaps and Japanese Yen swaps), European governments and U.S. Treasury. The revenue increase was partially offset by lower Wholesale TBA-MBS fees due to fewer dealers participating in this market and fee changes.</w:t>
      </w:r>
    </w:p>
    <w:p>
      <w:pPr>
        <w:spacing w:after="0" w:line="85"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$16.7 million or 18.8% to $105.3 million for the year ended December 31, 2017 from $88.6 million for the year ended December 31, 2016 primarily due to increased Institutional and Wholesale transactional volumes for U.S. and European credit products and the product launch of China bonds.</w:t>
      </w:r>
    </w:p>
    <w:p>
      <w:pPr>
        <w:spacing w:after="0" w:line="79" w:lineRule="exact"/>
        <w:rPr>
          <w:sz w:val="20"/>
          <w:szCs w:val="20"/>
          <w:color w:val="auto"/>
        </w:rPr>
      </w:pPr>
    </w:p>
    <w:p>
      <w:pPr>
        <w:jc w:val="both"/>
        <w:ind w:left="1260" w:right="979" w:firstLine="360"/>
        <w:spacing w:after="0" w:line="264"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$5.1 million or 27.1% to $23.7 million for the year ended December 31, 2017 from $18.6 million for the year ended December 31, 2016 primarily due to increased Institutional transactional volumes for U.S. and European ETF.</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$4.1 million or 16.7%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$28.6 million for the year ended December 31, 2017 from $24.5 million for the year ended December 31, 2016</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primarily due to increased Wholesale transactional volumes for repurchase agreements, increased Retail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transactional volumes for certificates of deposit and structured products and higher Institutional transactional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volumes for European repurchase agreements.</w:t>
      </w:r>
    </w:p>
    <w:p>
      <w:pPr>
        <w:spacing w:after="0" w:line="103"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Market Data increased by $0.4 million or 0.8% to $55.6 million for the year ended December 31, 2017 from $55.2 million for the year ended December 31, 2016 primarily as a result of an $0.8 million increase in European governments historical data feed subscriptions, partially offset by a $0.4 million decrease in royalty fees due to fewer customer conversions and the expiration of the royalty fee earning period for certain Eikon referrals from prior years.</w:t>
      </w:r>
    </w:p>
    <w:p>
      <w:pPr>
        <w:spacing w:after="0" w:line="64"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$2.0 million or 8.8% to $25.4 million for the year ended December 31, 2017 from $23.3 million for the year ended December 31, 2016 primarily due to increased Retail fixed transaction fees and increased fees from a third party for certain licensing and development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money markets and equities asset classes. The average daily volumes and total volumes on our trading platforms by asset class for the years ended December 31, 2017 and 2016 were as follows: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89"/>
              </w:rPr>
              <w:t>Year Ended December 31,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440" w:type="dxa"/>
            <w:vAlign w:val="bottom"/>
            <w:gridSpan w:val="3"/>
          </w:tcPr>
          <w:p>
            <w:pPr>
              <w:jc w:val="right"/>
              <w:ind w:right="50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420" w:type="dxa"/>
            <w:vAlign w:val="bottom"/>
            <w:gridSpan w:val="3"/>
          </w:tcPr>
          <w:p>
            <w:pPr>
              <w:jc w:val="right"/>
              <w:ind w:right="505"/>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ADV</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Volume</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ADV</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Volume</w:t>
            </w: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(dollars in millions)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Rates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$254,103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$63,671,445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$219,475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$54,990,403</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5"/>
                <w:szCs w:val="15"/>
                <w:color w:val="auto"/>
              </w:rPr>
              <w:t>Credit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7,554</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1,864,700</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5,954</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1,501,976</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Equities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1,214,081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4,523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1,144,189</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80" w:type="dxa"/>
            <w:vAlign w:val="bottom"/>
          </w:tcPr>
          <w:p>
            <w:pPr>
              <w:spacing w:after="0"/>
              <w:rPr>
                <w:sz w:val="20"/>
                <w:szCs w:val="20"/>
                <w:color w:val="auto"/>
              </w:rPr>
            </w:pPr>
            <w:r>
              <w:rPr>
                <w:rFonts w:ascii="Arial" w:cs="Arial" w:eastAsia="Arial" w:hAnsi="Arial"/>
                <w:sz w:val="15"/>
                <w:szCs w:val="15"/>
                <w:color w:val="auto"/>
              </w:rPr>
              <w:t>Money Markets</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132,105</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33,060,749</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94,324</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23,593,340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-757555</wp:posOffset>
            </wp:positionV>
            <wp:extent cx="342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-757555</wp:posOffset>
            </wp:positionV>
            <wp:extent cx="342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-757555</wp:posOffset>
            </wp:positionV>
            <wp:extent cx="342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-757555</wp:posOffset>
            </wp:positionV>
            <wp:extent cx="342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0"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We believe the increases in average daily volumes in the year ended December 31, 2017 can be attributed to various factors, including: further electronification of trading activities, increase in market share, new products and new clients. In addition, we believe that certain trading volumes increased in the year ended December 31, 2017 as customers began adapting to electronic trading in order to comply with their upcoming heightened obligations pursuant to MiFID II, which was implemented by regulatory bodies in Europe in January 2018.</w:t>
      </w:r>
    </w:p>
    <w:p>
      <w:pPr>
        <w:spacing w:after="0" w:line="50"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average variable fees per million dollars of volume traded on our trading platforms by asset class for the years ended December 31, 2017 and 2016 are summarized below. Average variable fees per million should be reviewed in conjunction with our trading volumes. Since variable fees are sometimes subject to fee plans with tiered pricing based on product mix and volume, average variable fees per million for a specific asset class may not correlate with volumes or revenue growth.</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5980" w:type="dxa"/>
            <w:vAlign w:val="bottom"/>
          </w:tcPr>
          <w:p>
            <w:pPr>
              <w:spacing w:after="0"/>
              <w:rPr>
                <w:sz w:val="15"/>
                <w:szCs w:val="15"/>
                <w:color w:val="auto"/>
              </w:rPr>
            </w:pPr>
          </w:p>
        </w:tc>
        <w:tc>
          <w:tcPr>
            <w:tcW w:w="226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28"/>
        </w:trPr>
        <w:tc>
          <w:tcPr>
            <w:tcW w:w="59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5980" w:type="dxa"/>
            <w:vAlign w:val="bottom"/>
          </w:tcPr>
          <w:p>
            <w:pPr>
              <w:spacing w:after="0"/>
              <w:rPr>
                <w:sz w:val="17"/>
                <w:szCs w:val="17"/>
                <w:color w:val="auto"/>
              </w:rPr>
            </w:pPr>
          </w:p>
        </w:tc>
        <w:tc>
          <w:tcPr>
            <w:tcW w:w="460" w:type="dxa"/>
            <w:vAlign w:val="bottom"/>
          </w:tcPr>
          <w:p>
            <w:pPr>
              <w:jc w:val="right"/>
              <w:ind w:right="2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7"/>
                <w:szCs w:val="17"/>
                <w:color w:val="auto"/>
              </w:rPr>
            </w:pPr>
          </w:p>
        </w:tc>
        <w:tc>
          <w:tcPr>
            <w:tcW w:w="460" w:type="dxa"/>
            <w:vAlign w:val="bottom"/>
          </w:tcPr>
          <w:p>
            <w:pPr>
              <w:jc w:val="right"/>
              <w:ind w:right="25"/>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7"/>
                <w:szCs w:val="17"/>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0"/>
              </w:rPr>
              <w:t>$ Change % Change</w:t>
            </w:r>
          </w:p>
        </w:tc>
      </w:tr>
      <w:tr>
        <w:trPr>
          <w:trHeight w:val="28"/>
        </w:trPr>
        <w:tc>
          <w:tcPr>
            <w:tcW w:w="5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Rates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$ 2.26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$ 2.38</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9"/>
                <w:szCs w:val="19"/>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5"/>
                <w:szCs w:val="15"/>
                <w:color w:val="auto"/>
              </w:rPr>
              <w:t>Credit</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48.72</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48.95</w:t>
            </w:r>
          </w:p>
        </w:tc>
        <w:tc>
          <w:tcPr>
            <w:tcW w:w="560" w:type="dxa"/>
            <w:vAlign w:val="bottom"/>
          </w:tcPr>
          <w:p>
            <w:pPr>
              <w:jc w:val="right"/>
              <w:spacing w:after="0"/>
              <w:rPr>
                <w:sz w:val="20"/>
                <w:szCs w:val="20"/>
                <w:color w:val="auto"/>
              </w:rPr>
            </w:pPr>
            <w:r>
              <w:rPr>
                <w:rFonts w:ascii="Arial" w:cs="Arial" w:eastAsia="Arial" w:hAnsi="Arial"/>
                <w:sz w:val="15"/>
                <w:szCs w:val="15"/>
                <w:color w:val="auto"/>
              </w:rPr>
              <w:t>(0.23)</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(0.5)%</w:t>
            </w: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Equities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15.77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12.83</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2.94</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20" w:type="dxa"/>
            <w:vAlign w:val="bottom"/>
          </w:tcPr>
          <w:p>
            <w:pPr>
              <w:spacing w:after="0"/>
              <w:rPr>
                <w:sz w:val="21"/>
                <w:szCs w:val="21"/>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5"/>
                <w:szCs w:val="15"/>
                <w:color w:val="auto"/>
              </w:rPr>
              <w:t>Money Markets</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0.46</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0.53</w:t>
            </w:r>
          </w:p>
        </w:tc>
        <w:tc>
          <w:tcPr>
            <w:tcW w:w="560" w:type="dxa"/>
            <w:vAlign w:val="bottom"/>
          </w:tcPr>
          <w:p>
            <w:pPr>
              <w:jc w:val="right"/>
              <w:spacing w:after="0"/>
              <w:rPr>
                <w:sz w:val="20"/>
                <w:szCs w:val="20"/>
                <w:color w:val="auto"/>
              </w:rPr>
            </w:pPr>
            <w:r>
              <w:rPr>
                <w:rFonts w:ascii="Arial" w:cs="Arial" w:eastAsia="Arial" w:hAnsi="Arial"/>
                <w:sz w:val="15"/>
                <w:szCs w:val="15"/>
                <w:color w:val="auto"/>
              </w:rPr>
              <w:t>(0.07)</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-611505</wp:posOffset>
            </wp:positionV>
            <wp:extent cx="481965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pacing w:after="0" w:line="230"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Our gross revenue by geography (based on client location)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 Change</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4900" w:type="dxa"/>
            <w:vAlign w:val="bottom"/>
          </w:tcPr>
          <w:p>
            <w:pPr>
              <w:spacing w:after="0"/>
              <w:rPr>
                <w:sz w:val="2"/>
                <w:szCs w:val="2"/>
                <w:color w:val="auto"/>
              </w:rPr>
            </w:pPr>
          </w:p>
        </w:tc>
        <w:tc>
          <w:tcPr>
            <w:tcW w:w="2440" w:type="dxa"/>
            <w:vAlign w:val="bottom"/>
            <w:tcBorders>
              <w:bottom w:val="single" w:sz="8" w:color="auto"/>
            </w:tcBorders>
            <w:gridSpan w:val="6"/>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U.S.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$385,176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$365,308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$19,868</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177,792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153,096</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24,696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r>
      <w:tr>
        <w:trPr>
          <w:trHeight w:val="20"/>
        </w:trPr>
        <w:tc>
          <w:tcPr>
            <w:tcW w:w="4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-831215</wp:posOffset>
            </wp:positionV>
            <wp:extent cx="1371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-831215</wp:posOffset>
            </wp:positionV>
            <wp:extent cx="137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$19.9 million or 5.4% to $385.2 million for the year ended December 31, 2017 from $365.3 million for the year ended December 31, 2016 primarily due to increased transactional volumes from our Institutional client sector for U.S. credit products, U.S. ETF and U.S. Treasury, due to higher trading volumes from our Wholesale client sector for repurchase agreements and U.S. Treasury and strong ATS and middle markets trading volumes in our Retail client sector.</w:t>
      </w:r>
    </w:p>
    <w:p>
      <w:pPr>
        <w:spacing w:after="0" w:line="64" w:lineRule="exact"/>
        <w:rPr>
          <w:sz w:val="20"/>
          <w:szCs w:val="20"/>
          <w:color w:val="auto"/>
        </w:rPr>
      </w:pPr>
    </w:p>
    <w:p>
      <w:pPr>
        <w:ind w:left="1260" w:right="859" w:firstLine="360"/>
        <w:spacing w:after="0" w:line="276" w:lineRule="auto"/>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Revenues from International clients increased by $24.7 million or 16.1% to $177.8 million for the year ended December 31, 2017 from $153.1 million for the year ended December 31, 2016 primarily due to increased transactional volumes from our Institutional client sector for European credit products, derivative products (led by European interest rate swaps, Dollar swaps and Japanese Yen swaps), European governments, European ETF, the product launch of China Bonds and an increase in</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dealer subscription fees on contract renewals as certain clients extended the terms of their existing contracts in preparation for the implementation of MiFID II and due to higher trading volumes in European credit products in our Wholesale client sector. Fluctuations in foreign currency rates also increased our International gross revenue by $1.2 million.</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Our expenses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Change</w:t>
            </w:r>
          </w:p>
        </w:tc>
        <w:tc>
          <w:tcPr>
            <w:tcW w:w="220" w:type="dxa"/>
            <w:vAlign w:val="bottom"/>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c>
          <w:tcPr>
            <w:tcW w:w="80" w:type="dxa"/>
            <w:vAlign w:val="bottom"/>
          </w:tcPr>
          <w:p>
            <w:pPr>
              <w:spacing w:after="0"/>
              <w:rPr>
                <w:sz w:val="17"/>
                <w:szCs w:val="17"/>
                <w:color w:val="auto"/>
              </w:rPr>
            </w:pPr>
          </w:p>
        </w:tc>
      </w:tr>
      <w:tr>
        <w:trPr>
          <w:trHeight w:val="175"/>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Employee compensation and benefits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$248,963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$228,584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$ 20,379</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8.9%</w:t>
            </w: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68,615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80,859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(12,244)</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33,973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27,392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6,581</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24.0%</w:t>
            </w:r>
          </w:p>
        </w:tc>
      </w:tr>
      <w:tr>
        <w:trPr>
          <w:trHeight w:val="243"/>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30,013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28,239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1"/>
                <w:szCs w:val="2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19,351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18,158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1,193</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r>
      <w:tr>
        <w:trPr>
          <w:trHeight w:val="25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14,441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15,817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6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415,356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399,049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$ 16,307</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-968375</wp:posOffset>
            </wp:positionV>
            <wp:extent cx="5213985"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-351155</wp:posOffset>
            </wp:positionV>
            <wp:extent cx="5213985" cy="1631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-1397000</wp:posOffset>
            </wp:positionV>
            <wp:extent cx="1371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-1397000</wp:posOffset>
            </wp:positionV>
            <wp:extent cx="13716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3"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Employee compensation and benefits expense increased by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$20.4 million or 8.9% to $249.0 million for the year ended December 31, 2017 from $228.6 million for the year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ended December 31, 2016. The increase was due to a $2.7 million increase in salaries and benefits, primarily due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an increase in employee headcount, an increase in annual incentive compensation of $10.6 million and 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increase in equity compensation of $7.1 million, each of which are based on operating performance, primarily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due to our financial results. Total employee headcount increased to 857 as of December 31, 2017 from 814 as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2016.</w:t>
      </w:r>
    </w:p>
    <w:p>
      <w:pPr>
        <w:spacing w:after="0" w:line="103" w:lineRule="exact"/>
        <w:rPr>
          <w:sz w:val="20"/>
          <w:szCs w:val="20"/>
          <w:color w:val="auto"/>
        </w:rPr>
      </w:pPr>
    </w:p>
    <w:p>
      <w:pPr>
        <w:ind w:left="1260" w:right="1159" w:firstLine="360"/>
        <w:spacing w:after="0" w:line="286"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decreased by $12.2 million or 15.1% to $68.6 million for the year ended December 31, 2017 from $80.8 million for the year ended December 31, 2016. The decrease was a result of certain intangible assets becoming fully amortized.</w:t>
      </w:r>
    </w:p>
    <w:p>
      <w:pPr>
        <w:spacing w:after="0" w:line="57"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General and administrative expense increased by $6.6 million or 24.0% to $34.0 million for the year ended December 31, 2017 from $27.4 million for the year ended December 31, 2016. The increase was primarily a result of a one-time net increase of $3.6 million from a reversal of New Jersey incentive grants, a $1.5 million increase in marketing expenses due to increased marketing efforts for key growth, client acquisition and regulatory initiatives, a $1.3 million increase in value-added taxes, and $1.0 million increase in travel and entertainment expenses due to increased corporate services provided to employees and increased sales efforts, offset by a reduction in foreign exchange losses of $1.4 million.</w:t>
      </w:r>
    </w:p>
    <w:p>
      <w:pPr>
        <w:spacing w:after="0" w:line="7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$1.8 million or 6.3% to $30.0 million for the year ended December 31, 2017 from $28.2 million for the year ended December 31, 2016 due primarily to increases in third-party software and technology maintenance and support as a result of certain cybersecurity and infrastructure initiatives.</w:t>
      </w:r>
    </w:p>
    <w:p>
      <w:pPr>
        <w:spacing w:after="0" w:line="79"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increased $1.2 million or 6.6% to $19.4 million for the year ended December 31, 2017 from $18.2 million for the year ended December 31, 2016 due primarily to increased legal fees.</w:t>
      </w:r>
    </w:p>
    <w:p>
      <w:pPr>
        <w:spacing w:after="0" w:line="73" w:lineRule="exact"/>
        <w:rPr>
          <w:sz w:val="20"/>
          <w:szCs w:val="20"/>
          <w:color w:val="auto"/>
        </w:rPr>
      </w:pPr>
    </w:p>
    <w:p>
      <w:pPr>
        <w:jc w:val="both"/>
        <w:ind w:left="1260" w:right="1059" w:firstLine="360"/>
        <w:spacing w:after="0" w:line="264"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decreased by $1.4 million or 8.7% to $14.4 million for the year ended December 31, 2017 from $15.8 million for the year ended December 31, 2016 due to the expiration of certain operating leases.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Net Interest Income (Expense)</w:t>
      </w:r>
    </w:p>
    <w:p>
      <w:pPr>
        <w:spacing w:after="0" w:line="10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Net interest income (expense) increased by $1.4 million to interest income of $0.7 million for the year ended December 31, 2017 from interest expense of $0.7 million for the year ended December 31, 2016 due to higher average investment balances and an increase in interest rates during 2017 and the conversion of our former convertible notes into equity in May 2017.</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Provision for income taxes increased by $6.9 million to $6.1 million for the year ended December 31, 2017 from a benefit from income taxes of $0.7 million for the year ended December 31, 2016.</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Quarterly Results of Operations</w:t>
      </w:r>
    </w:p>
    <w:p>
      <w:pPr>
        <w:spacing w:after="0" w:line="81"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Our quarterly results have been and will continue to be affected by changes in trading volumes due to market conditions, changes in the number of trading days during certain quarters and seasonal effects caused by slow-downs in trading activity during certain periods. As a result of these and other factors, our financial results for any single quarter or for periods of less than a year are not necessarily indicative of the results that may be achieved for a full fiscal year or any future periods.</w:t>
      </w:r>
    </w:p>
    <w:p>
      <w:pPr>
        <w:spacing w:after="0" w:line="80"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following table sets forth unaudited quarterly consolidated statements of operations data for each of the eight quarterly periods ended December 31, 2018. This quarterly information has been prepared on substantially the same basis as our annual financial statements and includes all adjustments (consisting of normal recurring adjustments) that, in the opinion of our management, are necessary for a fair statement of the unaudited quarterly financial information. This information should be read in conjunction with our consolidated financial statements and related notes included elsewhere in this prospectus.</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3"/>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October 1, 2018</w:t>
            </w:r>
          </w:p>
        </w:tc>
        <w:tc>
          <w:tcPr>
            <w:tcW w:w="20" w:type="dxa"/>
            <w:vAlign w:val="bottom"/>
            <w:shd w:val="clear" w:color="auto" w:fill="000000"/>
          </w:tcPr>
          <w:p>
            <w:pPr>
              <w:spacing w:after="0"/>
              <w:rPr>
                <w:sz w:val="17"/>
                <w:szCs w:val="17"/>
                <w:color w:val="auto"/>
              </w:rPr>
            </w:pPr>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460"/>
              <w:spacing w:after="0" w:line="133" w:lineRule="exact"/>
              <w:rPr>
                <w:sz w:val="20"/>
                <w:szCs w:val="20"/>
                <w:color w:val="auto"/>
              </w:rPr>
            </w:pPr>
            <w:r>
              <w:rPr>
                <w:rFonts w:ascii="Arial" w:cs="Arial" w:eastAsia="Arial" w:hAnsi="Arial"/>
                <w:sz w:val="14"/>
                <w:szCs w:val="14"/>
                <w:b w:val="1"/>
                <w:bCs w:val="1"/>
                <w:color w:val="auto"/>
                <w:w w:val="90"/>
              </w:rPr>
              <w:t>to</w:t>
            </w: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4"/>
          </w:tcPr>
          <w:p>
            <w:pPr>
              <w:ind w:left="60"/>
              <w:spacing w:after="0" w:line="133" w:lineRule="exact"/>
              <w:rPr>
                <w:sz w:val="20"/>
                <w:szCs w:val="20"/>
                <w:color w:val="auto"/>
              </w:rPr>
            </w:pPr>
            <w:r>
              <w:rPr>
                <w:rFonts w:ascii="Arial" w:cs="Arial" w:eastAsia="Arial" w:hAnsi="Arial"/>
                <w:sz w:val="14"/>
                <w:szCs w:val="14"/>
                <w:b w:val="1"/>
                <w:bCs w:val="1"/>
                <w:color w:val="auto"/>
              </w:rPr>
              <w:t>Sept. 30,</w:t>
            </w:r>
          </w:p>
        </w:tc>
        <w:tc>
          <w:tcPr>
            <w:tcW w:w="680" w:type="dxa"/>
            <w:vAlign w:val="bottom"/>
            <w:tcBorders>
              <w:top w:val="single" w:sz="8" w:color="auto"/>
            </w:tcBorders>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6"/>
              </w:rPr>
              <w:t>June 30,</w:t>
            </w:r>
          </w:p>
        </w:tc>
        <w:tc>
          <w:tcPr>
            <w:tcW w:w="680" w:type="dxa"/>
            <w:vAlign w:val="bottom"/>
            <w:tcBorders>
              <w:top w:val="single" w:sz="8" w:color="auto"/>
            </w:tcBorders>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9"/>
              </w:rPr>
              <w:t>Mar. 31,</w:t>
            </w:r>
          </w:p>
        </w:tc>
        <w:tc>
          <w:tcPr>
            <w:tcW w:w="660" w:type="dxa"/>
            <w:vAlign w:val="bottom"/>
            <w:tcBorders>
              <w:top w:val="single" w:sz="8" w:color="auto"/>
            </w:tcBorders>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8"/>
              </w:rPr>
              <w:t>Dec. 31,</w:t>
            </w:r>
          </w:p>
        </w:tc>
        <w:tc>
          <w:tcPr>
            <w:tcW w:w="680" w:type="dxa"/>
            <w:vAlign w:val="bottom"/>
            <w:tcBorders>
              <w:top w:val="single" w:sz="8" w:color="auto"/>
            </w:tcBorders>
            <w:gridSpan w:val="3"/>
          </w:tcPr>
          <w:p>
            <w:pPr>
              <w:jc w:val="right"/>
              <w:ind w:right="100"/>
              <w:spacing w:after="0" w:line="133" w:lineRule="exact"/>
              <w:rPr>
                <w:sz w:val="20"/>
                <w:szCs w:val="20"/>
                <w:color w:val="auto"/>
              </w:rPr>
            </w:pPr>
            <w:r>
              <w:rPr>
                <w:rFonts w:ascii="Arial" w:cs="Arial" w:eastAsia="Arial" w:hAnsi="Arial"/>
                <w:sz w:val="14"/>
                <w:szCs w:val="14"/>
                <w:b w:val="1"/>
                <w:bCs w:val="1"/>
                <w:color w:val="auto"/>
                <w:w w:val="97"/>
              </w:rPr>
              <w:t>Sept. 30,</w:t>
            </w:r>
          </w:p>
        </w:tc>
        <w:tc>
          <w:tcPr>
            <w:tcW w:w="680" w:type="dxa"/>
            <w:vAlign w:val="bottom"/>
            <w:tcBorders>
              <w:top w:val="single" w:sz="8" w:color="auto"/>
            </w:tcBorders>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6"/>
              </w:rPr>
              <w:t>June 30,</w:t>
            </w:r>
          </w:p>
        </w:tc>
        <w:tc>
          <w:tcPr>
            <w:tcW w:w="680" w:type="dxa"/>
            <w:vAlign w:val="bottom"/>
            <w:tcBorders>
              <w:top w:val="single" w:sz="8" w:color="auto"/>
            </w:tcBorders>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9"/>
              </w:rPr>
              <w:t>Mar. 31,</w:t>
            </w: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7"/>
                <w:szCs w:val="17"/>
                <w:color w:val="auto"/>
              </w:rPr>
            </w:pPr>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6"/>
          </w:tcPr>
          <w:p>
            <w:pPr>
              <w:jc w:val="right"/>
              <w:ind w:right="5"/>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rPr>
              <w:t>Transaction fees</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97,130</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92,582</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91,030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90,139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68,459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68,211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65,590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64,761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80"/>
              <w:spacing w:after="0" w:line="229" w:lineRule="exact"/>
              <w:rPr>
                <w:sz w:val="20"/>
                <w:szCs w:val="20"/>
                <w:color w:val="auto"/>
              </w:rPr>
            </w:pPr>
            <w:r>
              <w:rPr>
                <w:rFonts w:ascii="Arial" w:cs="Arial" w:eastAsia="Arial" w:hAnsi="Arial"/>
                <w:sz w:val="16"/>
                <w:szCs w:val="16"/>
                <w:color w:val="auto"/>
              </w:rPr>
              <w:t>Subscription fees</w:t>
            </w:r>
            <w:r>
              <w:rPr>
                <w:rFonts w:ascii="Arial" w:cs="Arial" w:eastAsia="Arial" w:hAnsi="Arial"/>
                <w:sz w:val="25"/>
                <w:szCs w:val="25"/>
                <w:color w:val="auto"/>
                <w:vertAlign w:val="superscript"/>
              </w:rPr>
              <w:t>(1)</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46,519</w:t>
            </w:r>
          </w:p>
        </w:tc>
        <w:tc>
          <w:tcPr>
            <w:tcW w:w="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45,690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49,728</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48,563</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48,646</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48,413</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48,986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48,488</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rPr>
              <w:t>Commissions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32,840</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24,394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27,553</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27,883</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25,129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23,769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23,935</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2,918</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tcPr>
          <w:p>
            <w:pPr>
              <w:ind w:left="360"/>
              <w:spacing w:after="0"/>
              <w:rPr>
                <w:sz w:val="20"/>
                <w:szCs w:val="20"/>
                <w:color w:val="auto"/>
              </w:rPr>
            </w:pPr>
            <w:r>
              <w:rPr>
                <w:rFonts w:ascii="Arial" w:cs="Arial" w:eastAsia="Arial" w:hAnsi="Arial"/>
                <w:sz w:val="16"/>
                <w:szCs w:val="16"/>
                <w:color w:val="auto"/>
              </w:rPr>
              <w:t>Gross revenues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178,637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165,253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171,015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169,503</w:t>
            </w: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143,399</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141,558</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139,676</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138,335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Contingent Consideration</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7"/>
              </w:rPr>
              <w:t>(19,297)</w:t>
            </w: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(10,070)</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(28,985)</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(7,184)</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(18,573)</w:t>
            </w: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(3,778)</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960" w:type="dxa"/>
            <w:vAlign w:val="bottom"/>
          </w:tcPr>
          <w:p>
            <w:pPr>
              <w:ind w:left="360"/>
              <w:spacing w:after="0"/>
              <w:rPr>
                <w:sz w:val="20"/>
                <w:szCs w:val="20"/>
                <w:color w:val="auto"/>
              </w:rPr>
            </w:pPr>
            <w:r>
              <w:rPr>
                <w:rFonts w:ascii="Arial" w:cs="Arial" w:eastAsia="Arial" w:hAnsi="Arial"/>
                <w:sz w:val="16"/>
                <w:szCs w:val="16"/>
                <w:color w:val="auto"/>
              </w:rPr>
              <w:t>Net Revenue</w:t>
            </w:r>
          </w:p>
        </w:tc>
        <w:tc>
          <w:tcPr>
            <w:tcW w:w="320" w:type="dxa"/>
            <w:vAlign w:val="bottom"/>
            <w:gridSpan w:val="2"/>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178,637</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167,790</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151,718</w:t>
            </w:r>
          </w:p>
        </w:tc>
        <w:tc>
          <w:tcPr>
            <w:tcW w:w="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159,433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114,414</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134,374</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121,103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134,557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96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6"/>
                <w:szCs w:val="16"/>
                <w:color w:val="auto"/>
              </w:rPr>
              <w:t>Expenses:</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60" w:type="dxa"/>
            <w:vAlign w:val="bottom"/>
          </w:tcPr>
          <w:p>
            <w:pPr>
              <w:ind w:left="180"/>
              <w:spacing w:after="0"/>
              <w:rPr>
                <w:sz w:val="20"/>
                <w:szCs w:val="20"/>
                <w:color w:val="auto"/>
              </w:rPr>
            </w:pPr>
            <w:r>
              <w:rPr>
                <w:rFonts w:ascii="Arial" w:cs="Arial" w:eastAsia="Arial" w:hAnsi="Arial"/>
                <w:sz w:val="16"/>
                <w:szCs w:val="16"/>
                <w:color w:val="auto"/>
              </w:rPr>
              <w:t>Employee compensation</w:t>
            </w:r>
          </w:p>
        </w:tc>
        <w:tc>
          <w:tcPr>
            <w:tcW w:w="420" w:type="dxa"/>
            <w:vAlign w:val="bottom"/>
            <w:gridSpan w:val="3"/>
            <w:vMerge w:val="restart"/>
          </w:tcPr>
          <w:p>
            <w:pPr>
              <w:ind w:left="340"/>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80,436</w:t>
            </w: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69,076</w:t>
            </w:r>
          </w:p>
        </w:tc>
        <w:tc>
          <w:tcPr>
            <w:tcW w:w="6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68,407</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71,570</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63,236</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61,899</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65,032</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58,796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tcPr>
          <w:p>
            <w:pPr>
              <w:ind w:left="360"/>
              <w:spacing w:after="0"/>
              <w:rPr>
                <w:sz w:val="20"/>
                <w:szCs w:val="20"/>
                <w:color w:val="auto"/>
              </w:rPr>
            </w:pPr>
            <w:r>
              <w:rPr>
                <w:rFonts w:ascii="Arial" w:cs="Arial" w:eastAsia="Arial" w:hAnsi="Arial"/>
                <w:sz w:val="16"/>
                <w:szCs w:val="16"/>
                <w:color w:val="auto"/>
              </w:rPr>
              <w:t>and benefits</w:t>
            </w:r>
          </w:p>
        </w:tc>
        <w:tc>
          <w:tcPr>
            <w:tcW w:w="42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33,020</w:t>
            </w: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16,362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16,178</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16,268</w:t>
            </w:r>
          </w:p>
        </w:tc>
        <w:tc>
          <w:tcPr>
            <w:tcW w:w="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15,970</w:t>
            </w:r>
          </w:p>
        </w:tc>
        <w:tc>
          <w:tcPr>
            <w:tcW w:w="10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15,936</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17,250</w:t>
            </w:r>
          </w:p>
        </w:tc>
        <w:tc>
          <w:tcPr>
            <w:tcW w:w="8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19,459</w:t>
            </w: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w w:val="92"/>
              </w:rPr>
              <w:t>General and administrative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11,837</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9,386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7,153</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6,517</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8,557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8,560</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9,343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Technology and</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9,907</w:t>
            </w: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9,112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9,023</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8,463</w:t>
            </w:r>
          </w:p>
        </w:tc>
        <w:tc>
          <w:tcPr>
            <w:tcW w:w="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7,623</w:t>
            </w:r>
          </w:p>
        </w:tc>
        <w:tc>
          <w:tcPr>
            <w:tcW w:w="10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8,096</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7,334</w:t>
            </w:r>
          </w:p>
        </w:tc>
        <w:tc>
          <w:tcPr>
            <w:tcW w:w="8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6,960</w:t>
            </w: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communications</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8,194</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7,546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7,276</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5,538</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6,089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4,489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5,259</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Occupancy</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3,722</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3,119</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3,909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tcPr>
          <w:p>
            <w:pPr>
              <w:ind w:left="360"/>
              <w:spacing w:after="0"/>
              <w:rPr>
                <w:sz w:val="20"/>
                <w:szCs w:val="20"/>
                <w:color w:val="auto"/>
              </w:rPr>
            </w:pPr>
            <w:r>
              <w:rPr>
                <w:rFonts w:ascii="Arial" w:cs="Arial" w:eastAsia="Arial" w:hAnsi="Arial"/>
                <w:sz w:val="16"/>
                <w:szCs w:val="16"/>
                <w:color w:val="auto"/>
              </w:rPr>
              <w:t>Total expenses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146,702</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114,973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111,556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112,078</w:t>
            </w: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104,594</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102,629</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108,127</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100,006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31,935</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40,162</w:t>
            </w: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47,355</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9,820</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31,745</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12,976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34,551</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ind w:left="360"/>
              <w:spacing w:after="0"/>
              <w:rPr>
                <w:sz w:val="20"/>
                <w:szCs w:val="20"/>
                <w:color w:val="auto"/>
              </w:rPr>
            </w:pPr>
            <w:r>
              <w:rPr>
                <w:rFonts w:ascii="Arial" w:cs="Arial" w:eastAsia="Arial" w:hAnsi="Arial"/>
                <w:sz w:val="16"/>
                <w:szCs w:val="16"/>
                <w:color w:val="auto"/>
              </w:rPr>
              <w:t>Income before taxes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32,722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53,490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40,744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47,826</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10,076</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32,104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13,163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Provision for income taxes</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(3,415)</w:t>
            </w:r>
          </w:p>
        </w:tc>
        <w:tc>
          <w:tcPr>
            <w:tcW w:w="6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(7,536)</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(2,518)</w:t>
            </w: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9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gridSpan w:val="2"/>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29,307</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45,954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38,897</w:t>
            </w: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45,308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7,106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31,051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12,110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33,380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-256540</wp:posOffset>
            </wp:positionV>
            <wp:extent cx="1714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-565150</wp:posOffset>
            </wp:positionV>
            <wp:extent cx="1714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-865505</wp:posOffset>
            </wp:positionV>
            <wp:extent cx="1714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-1028700</wp:posOffset>
            </wp:positionV>
            <wp:extent cx="1714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-1028700</wp:posOffset>
            </wp:positionV>
            <wp:extent cx="431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-1028700</wp:posOffset>
            </wp:positionV>
            <wp:extent cx="431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-1028700</wp:posOffset>
            </wp:positionV>
            <wp:extent cx="431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-1028700</wp:posOffset>
            </wp:positionV>
            <wp:extent cx="431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-1028700</wp:posOffset>
            </wp:positionV>
            <wp:extent cx="431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-1028700</wp:posOffset>
            </wp:positionV>
            <wp:extent cx="946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-1028700</wp:posOffset>
            </wp:positionV>
            <wp:extent cx="216090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-1191260</wp:posOffset>
            </wp:positionV>
            <wp:extent cx="1714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-2640965</wp:posOffset>
            </wp:positionV>
            <wp:extent cx="1714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-2803525</wp:posOffset>
            </wp:positionV>
            <wp:extent cx="1714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-2803525</wp:posOffset>
            </wp:positionV>
            <wp:extent cx="431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-2803525</wp:posOffset>
            </wp:positionV>
            <wp:extent cx="431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-2803525</wp:posOffset>
            </wp:positionV>
            <wp:extent cx="431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-2803525</wp:posOffset>
            </wp:positionV>
            <wp:extent cx="431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-2803525</wp:posOffset>
            </wp:positionV>
            <wp:extent cx="431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-2803525</wp:posOffset>
            </wp:positionV>
            <wp:extent cx="9461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-2803525</wp:posOffset>
            </wp:positionV>
            <wp:extent cx="216090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-2966720</wp:posOffset>
            </wp:positionV>
            <wp:extent cx="1714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-3806825</wp:posOffset>
            </wp:positionV>
            <wp:extent cx="342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-3806825</wp:posOffset>
            </wp:positionV>
            <wp:extent cx="342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-3806825</wp:posOffset>
            </wp:positionV>
            <wp:extent cx="342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-3806825</wp:posOffset>
            </wp:positionV>
            <wp:extent cx="342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-3806825</wp:posOffset>
            </wp:positionV>
            <wp:extent cx="342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-3806825</wp:posOffset>
            </wp:positionV>
            <wp:extent cx="342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-4175760</wp:posOffset>
            </wp:positionV>
            <wp:extent cx="3198495" cy="3771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198495" cy="377190"/>
                    </a:xfrm>
                    <a:prstGeom prst="rect">
                      <a:avLst/>
                    </a:prstGeom>
                    <a:noFill/>
                  </pic:spPr>
                </pic:pic>
              </a:graphicData>
            </a:graphic>
          </wp:anchor>
        </w:drawing>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520065</wp:posOffset>
            </wp:positionV>
            <wp:extent cx="123507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20" w:right="799" w:hanging="352"/>
        <w:spacing w:after="0" w:line="279" w:lineRule="auto"/>
        <w:tabs>
          <w:tab w:leader="none" w:pos="1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Subscription fees for the quarters ended December 31, 2018, September 30, 2018, June 30, 2018, March 31, 2018, December 31, 2017, September 30, 2017, June 30, 2017 and March 31, 2017 include $13.5 million, $12.5 million, $12.1 million, $12.2 million, $12.2 million, $12.5 million, $12.6 million and $12.7 million, respectively, of Refinitiv (formerly Thomson Reuters) market data fees.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jc w:val="both"/>
        <w:ind w:left="1260" w:right="799" w:firstLine="360"/>
        <w:spacing w:after="0" w:line="259"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their sufficiency to fund our operating and investing activities.</w:t>
      </w:r>
    </w:p>
    <w:p>
      <w:pPr>
        <w:spacing w:after="0" w:line="79"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62" w:lineRule="exact"/>
        <w:rPr>
          <w:sz w:val="20"/>
          <w:szCs w:val="20"/>
          <w:color w:val="auto"/>
        </w:rPr>
      </w:pPr>
    </w:p>
    <w:p>
      <w:pPr>
        <w:ind w:left="1260" w:right="739" w:firstLine="360"/>
        <w:spacing w:after="0" w:line="288" w:lineRule="auto"/>
        <w:rPr>
          <w:sz w:val="20"/>
          <w:szCs w:val="20"/>
          <w:color w:val="auto"/>
        </w:rPr>
      </w:pPr>
      <w:r>
        <w:rPr>
          <w:rFonts w:ascii="Arial" w:cs="Arial" w:eastAsia="Arial" w:hAnsi="Arial"/>
          <w:sz w:val="16"/>
          <w:szCs w:val="16"/>
          <w:color w:val="auto"/>
        </w:rPr>
        <w:t>Our primary cash needs are for day to day operations, working capital requirements, capital expenditures, primarily for software and equipment, and, following the consummation of this offering, our expected dividend payments. In addition, following the consummation of this offering, we will be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w:t>
      </w:r>
    </w:p>
    <w:p>
      <w:pPr>
        <w:spacing w:after="0" w:line="61"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Following the consummation of this offering, we expect to fund our liquidity requirements through cash and cash equivalents, cash flows from operations and borrowings under the New Revolving Credit Facility.</w:t>
      </w:r>
    </w:p>
    <w:p>
      <w:pPr>
        <w:spacing w:after="0" w:line="38"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We believe that our projected cash position, cash flows from operations and, following the consummation of this offering, borrowings under the New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61" w:lineRule="exact"/>
        <w:rPr>
          <w:sz w:val="20"/>
          <w:szCs w:val="20"/>
          <w:color w:val="auto"/>
        </w:rPr>
      </w:pPr>
    </w:p>
    <w:p>
      <w:pPr>
        <w:jc w:val="both"/>
        <w:ind w:left="1260" w:right="839" w:firstLine="360"/>
        <w:spacing w:after="0" w:line="312" w:lineRule="auto"/>
        <w:rPr>
          <w:sz w:val="20"/>
          <w:szCs w:val="20"/>
          <w:color w:val="auto"/>
        </w:rPr>
      </w:pPr>
      <w:r>
        <w:rPr>
          <w:rFonts w:ascii="Arial" w:cs="Arial" w:eastAsia="Arial" w:hAnsi="Arial"/>
          <w:sz w:val="16"/>
          <w:szCs w:val="16"/>
          <w:color w:val="auto"/>
        </w:rPr>
        <w:t>As of December 31, 2018 and 2017, we had cash and cash equivalents of approximately $410.1 million and $352.6 million, respectively. All cash and cash equivalents were held in accounts with banks such that the funds are immediately available or in fixed term deposits with a maximum maturity of three months.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 Policy</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Following the completion of this offering and subject to legally available funds, we intend to pay quarterly</w:t>
      </w:r>
    </w:p>
    <w:p>
      <w:pPr>
        <w:spacing w:after="0" w:line="35" w:lineRule="exact"/>
        <w:rPr>
          <w:sz w:val="20"/>
          <w:szCs w:val="20"/>
          <w:color w:val="auto"/>
        </w:rPr>
      </w:pPr>
    </w:p>
    <w:p>
      <w:pPr>
        <w:ind w:left="1260" w:right="839"/>
        <w:spacing w:after="0" w:line="250" w:lineRule="auto"/>
        <w:rPr>
          <w:sz w:val="20"/>
          <w:szCs w:val="20"/>
          <w:color w:val="auto"/>
        </w:rPr>
      </w:pPr>
      <w:r>
        <w:rPr>
          <w:rFonts w:ascii="Arial" w:cs="Arial" w:eastAsia="Arial" w:hAnsi="Arial"/>
          <w:sz w:val="18"/>
          <w:szCs w:val="18"/>
          <w:color w:val="auto"/>
        </w:rPr>
        <w:t>cash dividends on our Class A common stock and Class B common stock initially equal to $ per share, commencing with the quarter of . Based on shares of Class A common stock and shares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B common stock expected to be outstanding after this offering, this dividend policy implies a quarterly cash</w:t>
      </w:r>
    </w:p>
    <w:p>
      <w:pPr>
        <w:spacing w:after="0" w:line="32" w:lineRule="exact"/>
        <w:rPr>
          <w:sz w:val="20"/>
          <w:szCs w:val="20"/>
          <w:color w:val="auto"/>
        </w:rPr>
      </w:pPr>
    </w:p>
    <w:p>
      <w:pPr>
        <w:ind w:left="3960" w:right="3279" w:hanging="3973"/>
        <w:spacing w:after="0" w:line="589" w:lineRule="auto"/>
        <w:tabs>
          <w:tab w:leader="none" w:pos="3940" w:val="left"/>
        </w:tabs>
        <w:rPr>
          <w:sz w:val="20"/>
          <w:szCs w:val="20"/>
          <w:color w:val="auto"/>
        </w:rPr>
      </w:pPr>
      <w:r>
        <w:rPr>
          <w:rFonts w:ascii="Arial" w:cs="Arial" w:eastAsia="Arial" w:hAnsi="Arial"/>
          <w:sz w:val="18"/>
          <w:szCs w:val="18"/>
          <w:color w:val="auto"/>
        </w:rPr>
        <w:t>requirement of approximately $</w:t>
      </w:r>
      <w:r>
        <w:rPr>
          <w:sz w:val="20"/>
          <w:szCs w:val="20"/>
          <w:color w:val="auto"/>
        </w:rPr>
        <w:tab/>
      </w:r>
      <w:r>
        <w:rPr>
          <w:rFonts w:ascii="Arial" w:cs="Arial" w:eastAsia="Arial" w:hAnsi="Arial"/>
          <w:sz w:val="18"/>
          <w:szCs w:val="18"/>
          <w:color w:val="auto"/>
        </w:rPr>
        <w:t>million (or an annual cash requirement of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83450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approximately $ million).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w:t>
      </w:r>
    </w:p>
    <w:p>
      <w:pPr>
        <w:spacing w:after="0" w:line="79" w:lineRule="exact"/>
        <w:rPr>
          <w:sz w:val="20"/>
          <w:szCs w:val="20"/>
          <w:color w:val="auto"/>
        </w:rPr>
      </w:pPr>
    </w:p>
    <w:p>
      <w:pPr>
        <w:ind w:left="1260" w:right="819" w:firstLine="360"/>
        <w:spacing w:after="0" w:line="290" w:lineRule="auto"/>
        <w:rPr>
          <w:sz w:val="20"/>
          <w:szCs w:val="20"/>
          <w:color w:val="auto"/>
        </w:rPr>
      </w:pPr>
      <w:r>
        <w:rPr>
          <w:rFonts w:ascii="Arial" w:cs="Arial" w:eastAsia="Arial" w:hAnsi="Arial"/>
          <w:sz w:val="16"/>
          <w:szCs w:val="16"/>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the Continuing LLC Owners will be entitled to receive proportionate distributions based on their economic interests in TWM LLC at the time of such distributions.</w:t>
      </w:r>
    </w:p>
    <w:p>
      <w:pPr>
        <w:spacing w:after="0" w:line="58"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after giving effect to required tax distributions to be paid by TWM LLC; however, any future determination to change the amount of dividends and/or declare special dividends will be at the discretion of our board of directors and will be dependent upon then-existing conditions and other factors that our board of directors considers relevant. See “Risk Factors — Risks Relating to the Company and Our Organizational Structure — Our principal asset after the completion of this offering will be our interest in TWM LLC, and, accordingly, we will depend on distributions from TWM LLC to pay our taxes and expenses” and “Risk Factors — Risks Relating to This Offering and Ownership of our Class A common stock — We intend to pay regular dividends on our Class A common stock and Class B common stock, but our ability to do so may be limited.”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Indebtedness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2018 and 2017, we had no outstanding indebtedness.</w:t>
      </w:r>
    </w:p>
    <w:p>
      <w:pPr>
        <w:spacing w:after="0" w:line="117" w:lineRule="exact"/>
        <w:rPr>
          <w:sz w:val="20"/>
          <w:szCs w:val="20"/>
          <w:color w:val="auto"/>
        </w:rPr>
      </w:pPr>
    </w:p>
    <w:p>
      <w:pPr>
        <w:ind w:left="1260" w:right="759" w:firstLine="360"/>
        <w:spacing w:after="0" w:line="264" w:lineRule="auto"/>
        <w:rPr>
          <w:sz w:val="20"/>
          <w:szCs w:val="20"/>
          <w:color w:val="auto"/>
        </w:rPr>
      </w:pPr>
      <w:r>
        <w:rPr>
          <w:rFonts w:ascii="Arial" w:cs="Arial" w:eastAsia="Arial" w:hAnsi="Arial"/>
          <w:sz w:val="18"/>
          <w:szCs w:val="18"/>
          <w:color w:val="auto"/>
        </w:rPr>
        <w:t>In 2013, we issued $29.3 million of convertible notes to a subsidiary of Thomson Reuters in connection with the acquisition of BondDesk Group LLC and subsidiaries. During 2017, Thomson Reuters converted all outstanding convertible notes into equity.</w:t>
      </w:r>
    </w:p>
    <w:p>
      <w:pPr>
        <w:spacing w:after="0" w:line="73"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Historically, the Company has only issued debt in connection with significant investment transactions and all debt issued by the Company has been issued to subsidiaries of Thomson Reuters.</w:t>
      </w:r>
    </w:p>
    <w:p>
      <w:pPr>
        <w:spacing w:after="0" w:line="38"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Concurrently with the closing of this offering, we intend to enter into the New Revolving Credit Facility. The New Revolving Credit Facility is expected to permit borrowings of up to $ million, and will include borrowing capacity available for letters of credit and swingline loans. The New Revolving Credit Facility is expected to mature five years from the closing date of the facility. See “Description of Certain Indebtedness.” We expect that the New Revolving Credit Facility will be used to fund our ongoing working capital needs, letters of credit and for general corporate purposes, including potential future acquisitions and expansions.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Capital Requirements</w:t>
      </w:r>
    </w:p>
    <w:p>
      <w:pPr>
        <w:spacing w:after="0" w:line="104"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Japanese Financial Services Agency, the Japanese Securities Dealers Association and other foreign regulators, and must maintain financial resources, as defined in the applicable regulations, in excess of the applicable financial resources requirement. As of December 31, 2018 and 2017, each of our regulated subsidiaries had net capital or financial resources in excess of their minimum requirements which in aggregate was $41.7 million</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312" w:lineRule="auto"/>
        <w:rPr>
          <w:sz w:val="20"/>
          <w:szCs w:val="20"/>
          <w:color w:val="auto"/>
        </w:rPr>
      </w:pPr>
      <w:r>
        <w:rPr>
          <w:rFonts w:ascii="Arial" w:cs="Arial" w:eastAsia="Arial" w:hAnsi="Arial"/>
          <w:sz w:val="16"/>
          <w:szCs w:val="16"/>
          <w:color w:val="auto"/>
        </w:rPr>
        <w:t>and $38.9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Fails to Deliver/Fails to Receive</w:t>
      </w:r>
    </w:p>
    <w:p>
      <w:pPr>
        <w:spacing w:after="0" w:line="77"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dealers and clearing organizations for the proceeds from the unsettled transaction. The impact on our liquidity and capital resources is minimal as receivables and payables for failed transactions are usually recognized simultaneously and offset.</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63"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and payable to affiliates.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 Our working capital as of December 31, 2018 and 2017 was as follows:</w:t>
      </w:r>
    </w:p>
    <w:p>
      <w:pPr>
        <w:spacing w:after="0" w:line="77"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3"/>
                <w:szCs w:val="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left w:val="single" w:sz="8" w:color="auto"/>
            </w:tcBorders>
          </w:tcPr>
          <w:p>
            <w:pPr>
              <w:spacing w:after="0"/>
              <w:rPr>
                <w:sz w:val="14"/>
                <w:szCs w:val="14"/>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7"/>
          </w:tcPr>
          <w:p>
            <w:pPr>
              <w:ind w:left="18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$ 410,104</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$ 352,598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Restricted cash</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1,200</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brokers and dealers and clearing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organizations</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174,591</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4,324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11,427</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9,926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87,192</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69,662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Receivable from affiliates</w:t>
            </w:r>
          </w:p>
        </w:tc>
        <w:tc>
          <w:tcPr>
            <w:tcW w:w="200" w:type="dxa"/>
            <w:vAlign w:val="bottom"/>
            <w:tcBorders>
              <w:bottom w:val="single" w:sz="8" w:color="CCEEFF"/>
            </w:tcBorders>
            <w:gridSpan w:val="2"/>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140" w:type="dxa"/>
            <w:vAlign w:val="bottom"/>
            <w:tcBorders>
              <w:bottom w:val="single" w:sz="8" w:color="CCEEFF"/>
            </w:tcBorders>
          </w:tcPr>
          <w:p>
            <w:pPr>
              <w:spacing w:after="0"/>
              <w:rPr>
                <w:sz w:val="21"/>
                <w:szCs w:val="21"/>
                <w:color w:val="auto"/>
              </w:rPr>
            </w:pPr>
          </w:p>
        </w:tc>
        <w:tc>
          <w:tcPr>
            <w:tcW w:w="160" w:type="dxa"/>
            <w:vAlign w:val="bottom"/>
            <w:tcBorders>
              <w:left w:val="single" w:sz="8" w:color="auto"/>
              <w:bottom w:val="single" w:sz="8" w:color="CCEEFF"/>
            </w:tcBorders>
            <w:gridSpan w:val="2"/>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687,757</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left w:val="single" w:sz="8" w:color="auto"/>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438,085</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20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171,214</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4,322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120,158</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89,769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Deferred revenue</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27,883</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29,673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42,548</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Employee equity compensation payable</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24,187</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31,019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left w:val="single" w:sz="8" w:color="auto"/>
              <w:bottom w:val="single" w:sz="8" w:color="CCEEFF"/>
            </w:tcBorders>
            <w:gridSpan w:val="2"/>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gridSpan w:val="2"/>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390,999</w:t>
            </w:r>
          </w:p>
        </w:tc>
        <w:tc>
          <w:tcPr>
            <w:tcW w:w="140" w:type="dxa"/>
            <w:vAlign w:val="bottom"/>
            <w:tcBorders>
              <w:bottom w:val="single" w:sz="8" w:color="CCEEFF"/>
            </w:tcBorders>
          </w:tcPr>
          <w:p>
            <w:pPr>
              <w:spacing w:after="0"/>
              <w:rPr>
                <w:sz w:val="24"/>
                <w:szCs w:val="24"/>
                <w:color w:val="auto"/>
              </w:rPr>
            </w:pPr>
          </w:p>
        </w:tc>
        <w:tc>
          <w:tcPr>
            <w:tcW w:w="160" w:type="dxa"/>
            <w:vAlign w:val="bottom"/>
            <w:tcBorders>
              <w:left w:val="single" w:sz="8" w:color="auto"/>
              <w:bottom w:val="single" w:sz="8" w:color="CCEEFF"/>
            </w:tcBorders>
            <w:gridSpan w:val="2"/>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187,725</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$ 296,758</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$ 250,360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-316865</wp:posOffset>
            </wp:positionV>
            <wp:extent cx="521398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-1697355</wp:posOffset>
            </wp:positionV>
            <wp:extent cx="521398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-2803525</wp:posOffset>
            </wp:positionV>
            <wp:extent cx="7747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Current assets</w:t>
      </w:r>
    </w:p>
    <w:p>
      <w:pPr>
        <w:spacing w:after="0" w:line="77"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Current assets increased to $687.8 million as of December 31, 2018 from $438.1 million as of December 31, 2017 due to increased gross revenue and increased accounts receivable as a result of changes to the billing process for certain clients in connection with the implementation of MiFID II resulting in less billings annually in advance and more billings in arrears. In addition, there was an increase in fails to deliver as a result of higher unsettled wholesale platform transactions.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Current liabilities</w:t>
      </w:r>
    </w:p>
    <w:p>
      <w:pPr>
        <w:spacing w:after="0" w:line="63" w:lineRule="exact"/>
        <w:rPr>
          <w:sz w:val="20"/>
          <w:szCs w:val="20"/>
          <w:color w:val="auto"/>
        </w:rPr>
      </w:pPr>
    </w:p>
    <w:p>
      <w:pPr>
        <w:ind w:left="1260" w:right="1579" w:firstLine="360"/>
        <w:spacing w:after="0" w:line="342" w:lineRule="auto"/>
        <w:rPr>
          <w:sz w:val="20"/>
          <w:szCs w:val="20"/>
          <w:color w:val="auto"/>
        </w:rPr>
      </w:pPr>
      <w:r>
        <w:rPr>
          <w:rFonts w:ascii="Arial" w:cs="Arial" w:eastAsia="Arial" w:hAnsi="Arial"/>
          <w:sz w:val="16"/>
          <w:szCs w:val="16"/>
          <w:color w:val="auto"/>
        </w:rPr>
        <w:t>Current liabilities increased to $391.0 million as of December 31, 2018 from $187.7 million as of December 31, 2017 due to an increase in accrued compensation, which is based on our operating</w:t>
      </w:r>
    </w:p>
    <w:p>
      <w:pPr>
        <w:sectPr>
          <w:pgSz w:w="11900" w:h="16838" w:orient="portrait"/>
          <w:cols w:equalWidth="0" w:num="1">
            <w:col w:w="10219"/>
          </w:cols>
          <w:pgMar w:left="240" w:top="131" w:right="1440" w:bottom="1440" w:gutter="0" w:footer="0" w:header="0"/>
        </w:sectPr>
      </w:pPr>
    </w:p>
    <w:p>
      <w:pPr>
        <w:spacing w:after="0" w:line="178"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performance, primarily due to our financial results, and an increase in payable to brokers and dealers and clearing organizations resulting from a higher number of fails to receive as a result of higher unsettled wholesale platform transactions. The increases were partially offset by a decrease in employee equity compensation payable as a result of the conversion of certain cash-settled PRSUs to equity settled PRSUs. This employee equity compensation payable decrease was partially offset by the vesting of Class P1-(C) Shares from the Credit Initiative Earnout.</w:t>
      </w:r>
    </w:p>
    <w:p>
      <w:pPr>
        <w:spacing w:after="0" w:line="72"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See “— Liquidity and Capital Resources — Factors Influencing Our Liquidity and Capital Resources — Capital Requirements.”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Flows</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cash flows for the 2018 Successor Period, the 2018 Predecessor Period and the years ended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2017 and 2016 were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2"/>
              </w:rPr>
              <w:t>Predecessor</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October 1,</w:t>
            </w:r>
          </w:p>
        </w:tc>
        <w:tc>
          <w:tcPr>
            <w:tcW w:w="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January 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2018 to</w:t>
            </w:r>
          </w:p>
        </w:tc>
        <w:tc>
          <w:tcPr>
            <w:tcW w:w="6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Borders>
              <w:left w:val="single" w:sz="8" w:color="auto"/>
            </w:tcBorders>
          </w:tcPr>
          <w:p>
            <w:pPr>
              <w:spacing w:after="0"/>
              <w:rPr>
                <w:sz w:val="14"/>
                <w:szCs w:val="14"/>
                <w:color w:val="auto"/>
              </w:rPr>
            </w:pPr>
          </w:p>
        </w:tc>
        <w:tc>
          <w:tcPr>
            <w:tcW w:w="9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6"/>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provided by operating activities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112,556</w:t>
            </w:r>
          </w:p>
        </w:tc>
        <w:tc>
          <w:tcPr>
            <w:tcW w:w="26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164,828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224,580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171,845</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32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(16,246)</w:t>
            </w:r>
          </w:p>
        </w:tc>
        <w:tc>
          <w:tcPr>
            <w:tcW w:w="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(25,850)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(45,552)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(50,565)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(used in) financing activities</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(36,000)</w:t>
            </w:r>
          </w:p>
        </w:tc>
        <w:tc>
          <w:tcPr>
            <w:tcW w:w="60" w:type="dxa"/>
            <w:vAlign w:val="bottom"/>
            <w:tcBorders>
              <w:lef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(139,350)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(153,461)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(130,521)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320" w:type="dxa"/>
            <w:vAlign w:val="bottom"/>
          </w:tcPr>
          <w:p>
            <w:pPr>
              <w:spacing w:after="0"/>
              <w:rPr>
                <w:sz w:val="20"/>
                <w:szCs w:val="20"/>
                <w:color w:val="auto"/>
              </w:rPr>
            </w:pPr>
            <w:r>
              <w:rPr>
                <w:rFonts w:ascii="Arial" w:cs="Arial" w:eastAsia="Arial" w:hAnsi="Arial"/>
                <w:sz w:val="16"/>
                <w:szCs w:val="16"/>
                <w:color w:val="auto"/>
                <w:w w:val="96"/>
              </w:rPr>
              <w:t>Effect of exchange rate changes on cash and cash equivalents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(389)</w:t>
            </w:r>
          </w:p>
        </w:tc>
        <w:tc>
          <w:tcPr>
            <w:tcW w:w="6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(2,043)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3,157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(6,200)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increase/(decrease) in 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59,921</w:t>
            </w:r>
          </w:p>
        </w:tc>
        <w:tc>
          <w:tcPr>
            <w:tcW w:w="26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28,724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(15,441)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4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-239395</wp:posOffset>
            </wp:positionV>
            <wp:extent cx="857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-239395</wp:posOffset>
            </wp:positionV>
            <wp:extent cx="16319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-239395</wp:posOffset>
            </wp:positionV>
            <wp:extent cx="17145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-239395</wp:posOffset>
            </wp:positionV>
            <wp:extent cx="342201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-994410</wp:posOffset>
            </wp:positionV>
            <wp:extent cx="514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-994410</wp:posOffset>
            </wp:positionV>
            <wp:extent cx="514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-994410</wp:posOffset>
            </wp:positionV>
            <wp:extent cx="6032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Activities</w:t>
      </w:r>
    </w:p>
    <w:p>
      <w:pPr>
        <w:spacing w:after="0" w:line="63"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Operating activities consist primarily of net income adjusted for noncash items that include depreciation and amortization, contingent consideration and deferred revenue. Cash flows from operating activities can fluctuate significantly from period-to-period as working capital needs and the timing of payments for accrued compensation (primarily in the first quarter) and other items impact reported cash flows.</w:t>
      </w:r>
    </w:p>
    <w:p>
      <w:pPr>
        <w:spacing w:after="0" w:line="50"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Net cash provided by operating activities for the 2018 Successor Period and the 2018 Predecessor Period was $112.6 million and $164.8 million, respectively, which was primarily driven by increased gross revenue partially offset in the 2018 Predecessor Period by an increase in accounts receivable due to changes to the billing process associated with MiFID II resulting in less billings annually in advance and more billings monthly in arrears.</w:t>
      </w:r>
    </w:p>
    <w:p>
      <w:pPr>
        <w:spacing w:after="0" w:line="67"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Net cash provided by operating activities increased to $224.6 million for the year ended December 31, 2017 from $171.8 million for the year ended December 31, 2016. The $52.7 million increase was primarily due to increased gross revenue and an improvement in working capital.</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Investing Activities</w:t>
      </w:r>
    </w:p>
    <w:p>
      <w:pPr>
        <w:spacing w:after="0" w:line="63"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49" w:lineRule="exact"/>
        <w:rPr>
          <w:sz w:val="20"/>
          <w:szCs w:val="20"/>
          <w:color w:val="auto"/>
        </w:rPr>
      </w:pPr>
    </w:p>
    <w:p>
      <w:pPr>
        <w:ind w:left="1260" w:right="919" w:firstLine="360"/>
        <w:spacing w:after="0" w:line="297" w:lineRule="auto"/>
        <w:rPr>
          <w:sz w:val="20"/>
          <w:szCs w:val="20"/>
          <w:color w:val="auto"/>
        </w:rPr>
      </w:pPr>
      <w:r>
        <w:rPr>
          <w:rFonts w:ascii="Arial" w:cs="Arial" w:eastAsia="Arial" w:hAnsi="Arial"/>
          <w:sz w:val="16"/>
          <w:szCs w:val="16"/>
          <w:color w:val="auto"/>
        </w:rPr>
        <w:t>Net cash used in investing activities was $16.2 million for the 2018 Successor Period, which consisted of $7.2 million of capitalized software development costs and $9.1 million of purchases of furniture, equipment, purchased software and leasehold improvements. Net cash used in investing activities was $25.9 million for the 2018 Predecessor Period, which consisted of $19.5 million of capitalized software development costs and $6.3 million of purchases of furniture, equipment, purchased software and leasehold improvements.</w:t>
      </w:r>
    </w:p>
    <w:p>
      <w:pPr>
        <w:spacing w:after="0" w:line="23" w:lineRule="exact"/>
        <w:rPr>
          <w:sz w:val="20"/>
          <w:szCs w:val="20"/>
          <w:color w:val="auto"/>
        </w:rPr>
      </w:pPr>
    </w:p>
    <w:p>
      <w:pPr>
        <w:ind w:left="1260" w:right="839" w:firstLine="360"/>
        <w:spacing w:after="0" w:line="274" w:lineRule="auto"/>
        <w:rPr>
          <w:sz w:val="20"/>
          <w:szCs w:val="20"/>
          <w:color w:val="auto"/>
        </w:rPr>
      </w:pPr>
      <w:r>
        <w:rPr>
          <w:rFonts w:ascii="Arial" w:cs="Arial" w:eastAsia="Arial" w:hAnsi="Arial"/>
          <w:sz w:val="17"/>
          <w:szCs w:val="17"/>
          <w:color w:val="auto"/>
        </w:rPr>
        <w:t>Net cash used in investing activities decreased to $45.6 million for the year ended December 31, 2017 from $50.6 million for the year ended December 31, 2016. The $5.0 million decrease was primarily due to a</w:t>
      </w:r>
    </w:p>
    <w:p>
      <w:pPr>
        <w:jc w:val="both"/>
        <w:ind w:left="1260" w:right="1159"/>
        <w:spacing w:after="0" w:line="255" w:lineRule="auto"/>
        <w:rPr>
          <w:sz w:val="20"/>
          <w:szCs w:val="20"/>
          <w:color w:val="auto"/>
        </w:rPr>
      </w:pPr>
      <w:r>
        <w:rPr>
          <w:rFonts w:ascii="Arial" w:cs="Arial" w:eastAsia="Arial" w:hAnsi="Arial"/>
          <w:sz w:val="18"/>
          <w:szCs w:val="18"/>
          <w:color w:val="auto"/>
        </w:rPr>
        <w:t>$10.3 million reduction in business acquisitions and investments in 2017 offset by a $5.3 million increase in purchases of furniture, equipment, purchased software and leasehold improvements and the capitalization of software development costs.</w:t>
      </w:r>
    </w:p>
    <w:p>
      <w:pPr>
        <w:spacing w:after="0" w:line="25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Financing activities primarily consist of distributions to our existing stockholders.</w:t>
      </w:r>
    </w:p>
    <w:p>
      <w:pPr>
        <w:spacing w:after="0" w:line="117"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Net cash used in financing activities for the 2018 Successor Period and the 2018 Predecessor Period was $36.0 million and $139.4 million, respectively, due to capital distributions.</w:t>
      </w:r>
    </w:p>
    <w:p>
      <w:pPr>
        <w:spacing w:after="0" w:line="6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Net cash used in financing activities increased to $153.5 million for the year ended December 31, 2017 from $130.5 million for the year ended December 31, 2016. The $22.9 million increase was principally due to an increase in capital distributions of $22.0 million as a result of increased free cash flow.</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04" w:lineRule="exact"/>
        <w:rPr>
          <w:sz w:val="20"/>
          <w:szCs w:val="20"/>
          <w:color w:val="auto"/>
        </w:rPr>
      </w:pPr>
    </w:p>
    <w:p>
      <w:pPr>
        <w:ind w:left="1260" w:right="839" w:firstLine="360"/>
        <w:spacing w:after="0" w:line="312" w:lineRule="auto"/>
        <w:rPr>
          <w:sz w:val="20"/>
          <w:szCs w:val="20"/>
          <w:color w:val="auto"/>
        </w:rPr>
      </w:pPr>
      <w:r>
        <w:rPr>
          <w:rFonts w:ascii="Arial" w:cs="Arial" w:eastAsia="Arial" w:hAnsi="Arial"/>
          <w:sz w:val="16"/>
          <w:szCs w:val="16"/>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39"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39"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7"/>
          <w:szCs w:val="17"/>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70" w:lineRule="exact"/>
        <w:rPr>
          <w:sz w:val="20"/>
          <w:szCs w:val="20"/>
          <w:color w:val="auto"/>
        </w:rPr>
      </w:pPr>
    </w:p>
    <w:p>
      <w:pPr>
        <w:jc w:val="both"/>
        <w:ind w:left="1260" w:right="999" w:firstLine="360"/>
        <w:spacing w:after="0" w:line="264"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2018 Successor Period, the 2018 Predecessor Period and the years ended December 31, 2017 and 2016:</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5"/>
              </w:rPr>
              <w:t>Predecessor</w:t>
            </w: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5"/>
                <w:szCs w:val="15"/>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2018 to</w:t>
            </w: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left w:val="single" w:sz="8" w:color="auto"/>
            </w:tcBorders>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6"/>
                <w:szCs w:val="16"/>
                <w:color w:val="auto"/>
              </w:rPr>
            </w:pPr>
          </w:p>
        </w:tc>
        <w:tc>
          <w:tcPr>
            <w:tcW w:w="900" w:type="dxa"/>
            <w:vAlign w:val="bottom"/>
            <w:tcBorders>
              <w:left w:val="single" w:sz="8" w:color="auto"/>
            </w:tcBorders>
            <w:gridSpan w:val="3"/>
          </w:tcPr>
          <w:p>
            <w:pPr>
              <w:jc w:val="center"/>
              <w:ind w:left="114"/>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860" w:type="dxa"/>
            <w:vAlign w:val="bottom"/>
            <w:gridSpan w:val="2"/>
          </w:tcPr>
          <w:p>
            <w:pPr>
              <w:jc w:val="center"/>
              <w:ind w:left="98"/>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6"/>
                <w:szCs w:val="16"/>
                <w:color w:val="auto"/>
              </w:rPr>
            </w:pPr>
          </w:p>
        </w:tc>
        <w:tc>
          <w:tcPr>
            <w:tcW w:w="86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112,556</w:t>
            </w:r>
          </w:p>
        </w:tc>
        <w:tc>
          <w:tcPr>
            <w:tcW w:w="1060" w:type="dxa"/>
            <w:vAlign w:val="bottom"/>
            <w:tcBorders>
              <w:left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$ 164,828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$ 224,580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$ 171,845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Less: Capitalization of software development costs</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(7,156)</w:t>
            </w:r>
          </w:p>
        </w:tc>
        <w:tc>
          <w:tcPr>
            <w:tcW w:w="106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(19,523)</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(27,157)</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(25,351)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Purchases of furniture, equipment and leasehold</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(9,090)</w:t>
            </w:r>
          </w:p>
        </w:tc>
        <w:tc>
          <w:tcPr>
            <w:tcW w:w="1060" w:type="dxa"/>
            <w:vAlign w:val="bottom"/>
            <w:tcBorders>
              <w:left w:val="single" w:sz="8" w:color="auto"/>
            </w:tcBorders>
            <w:gridSpan w:val="4"/>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10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(13,461)</w:t>
            </w:r>
          </w:p>
        </w:tc>
        <w:tc>
          <w:tcPr>
            <w:tcW w:w="9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(9,998)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vMerge w:val="continue"/>
            <w:shd w:val="clear" w:color="auto" w:fill="CCEEFF"/>
          </w:tcPr>
          <w:p>
            <w:pPr>
              <w:spacing w:after="0"/>
              <w:rPr>
                <w:sz w:val="20"/>
                <w:szCs w:val="20"/>
                <w:color w:val="auto"/>
              </w:rPr>
            </w:pPr>
          </w:p>
        </w:tc>
        <w:tc>
          <w:tcPr>
            <w:tcW w:w="1060" w:type="dxa"/>
            <w:vAlign w:val="bottom"/>
            <w:tcBorders>
              <w:left w:val="single" w:sz="8" w:color="auto"/>
            </w:tcBorders>
            <w:gridSpan w:val="4"/>
            <w:vMerge w:val="continue"/>
            <w:shd w:val="clear" w:color="auto" w:fill="CCEEFF"/>
          </w:tcPr>
          <w:p>
            <w:pPr>
              <w:spacing w:after="0"/>
              <w:rPr>
                <w:sz w:val="20"/>
                <w:szCs w:val="20"/>
                <w:color w:val="auto"/>
              </w:rPr>
            </w:pPr>
          </w:p>
        </w:tc>
        <w:tc>
          <w:tcPr>
            <w:tcW w:w="1020" w:type="dxa"/>
            <w:vAlign w:val="bottom"/>
            <w:gridSpan w:val="3"/>
            <w:vMerge w:val="continue"/>
            <w:shd w:val="clear" w:color="auto" w:fill="CCEEFF"/>
          </w:tcPr>
          <w:p>
            <w:pPr>
              <w:spacing w:after="0"/>
              <w:rPr>
                <w:sz w:val="20"/>
                <w:szCs w:val="20"/>
                <w:color w:val="auto"/>
              </w:rPr>
            </w:pPr>
          </w:p>
        </w:tc>
        <w:tc>
          <w:tcPr>
            <w:tcW w:w="94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Free Cash Flow</w:t>
            </w:r>
          </w:p>
        </w:tc>
        <w:tc>
          <w:tcPr>
            <w:tcW w:w="22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96,310</w:t>
            </w:r>
          </w:p>
        </w:tc>
        <w:tc>
          <w:tcPr>
            <w:tcW w:w="1060" w:type="dxa"/>
            <w:vAlign w:val="bottom"/>
            <w:tcBorders>
              <w:left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$ 138,978</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$ 183,962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$ 136,496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-1002665</wp:posOffset>
            </wp:positionV>
            <wp:extent cx="8572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-1002665</wp:posOffset>
            </wp:positionV>
            <wp:extent cx="8572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-1002665</wp:posOffset>
            </wp:positionV>
            <wp:extent cx="9461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04"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In addition to net income presented in accordance with GAAP, we present Adjusted EBITDA as a measure of our operating performance and Adjusted Net Income as a measure of our profitability.</w:t>
      </w:r>
    </w:p>
    <w:p>
      <w:pPr>
        <w:spacing w:after="0" w:line="62"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360"/>
        <w:spacing w:after="0" w:line="271" w:lineRule="auto"/>
        <w:rPr>
          <w:sz w:val="20"/>
          <w:szCs w:val="20"/>
          <w:color w:val="auto"/>
        </w:rPr>
      </w:pPr>
      <w:r>
        <w:rPr>
          <w:rFonts w:ascii="Arial" w:cs="Arial" w:eastAsia="Arial" w:hAnsi="Arial"/>
          <w:sz w:val="17"/>
          <w:szCs w:val="17"/>
          <w:color w:val="auto"/>
        </w:rPr>
        <w:t>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below under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71" w:lineRule="exact"/>
        <w:rPr>
          <w:sz w:val="20"/>
          <w:szCs w:val="20"/>
          <w:color w:val="auto"/>
        </w:rPr>
      </w:pPr>
    </w:p>
    <w:p>
      <w:pPr>
        <w:ind w:left="1260" w:right="1320" w:firstLine="360"/>
        <w:spacing w:after="0" w:line="257"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sz w:val="20"/>
          <w:szCs w:val="20"/>
          <w:color w:val="auto"/>
        </w:rPr>
      </w:pPr>
    </w:p>
    <w:p>
      <w:pPr>
        <w:ind w:left="1260" w:right="1280" w:firstLine="360"/>
        <w:spacing w:after="0" w:line="287" w:lineRule="auto"/>
        <w:rPr>
          <w:sz w:val="20"/>
          <w:szCs w:val="20"/>
          <w:color w:val="auto"/>
        </w:rPr>
      </w:pPr>
      <w:r>
        <w:rPr>
          <w:rFonts w:ascii="Arial" w:cs="Arial" w:eastAsia="Arial" w:hAnsi="Arial"/>
          <w:sz w:val="16"/>
          <w:szCs w:val="16"/>
          <w:color w:val="auto"/>
        </w:rPr>
        <w:t>Adjusted Net Income is defined as net income before contingent consideration, acquisition and Refinitiv Transaction related depreciation and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1" w:lineRule="exact"/>
        <w:rPr>
          <w:sz w:val="20"/>
          <w:szCs w:val="20"/>
          <w:color w:val="auto"/>
        </w:rPr>
      </w:pPr>
    </w:p>
    <w:p>
      <w:pPr>
        <w:ind w:left="1260" w:right="1260" w:firstLine="360"/>
        <w:spacing w:after="0" w:line="253" w:lineRule="auto"/>
        <w:rPr>
          <w:sz w:val="20"/>
          <w:szCs w:val="20"/>
          <w:color w:val="auto"/>
        </w:rPr>
      </w:pPr>
      <w:r>
        <w:rPr>
          <w:rFonts w:ascii="Arial" w:cs="Arial" w:eastAsia="Arial" w:hAnsi="Arial"/>
          <w:sz w:val="18"/>
          <w:szCs w:val="18"/>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set forth below presents a reconciliation of net income to Adjusted EBITDA for the 2018</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Successor Period, the 2018 Predecessor Period and the years ended December 31, 2017 and 2016: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12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8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$ 29,307</w:t>
            </w:r>
          </w:p>
        </w:tc>
        <w:tc>
          <w:tcPr>
            <w:tcW w:w="80" w:type="dxa"/>
            <w:vAlign w:val="bottom"/>
            <w:shd w:val="clear" w:color="auto" w:fill="CCEEFF"/>
          </w:tcPr>
          <w:p>
            <w:pPr>
              <w:spacing w:after="0"/>
              <w:rPr>
                <w:sz w:val="21"/>
                <w:szCs w:val="21"/>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$ 130,160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93,161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26,830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58,520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26,224</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21"/>
                <w:szCs w:val="21"/>
                <w:color w:val="auto"/>
              </w:rPr>
            </w:pPr>
          </w:p>
        </w:tc>
        <w:tc>
          <w:tcPr>
            <w:tcW w:w="1120" w:type="dxa"/>
            <w:vAlign w:val="bottom"/>
            <w:tcBorders>
              <w:left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gridSpan w:val="4"/>
          </w:tcPr>
          <w:p>
            <w:pPr>
              <w:jc w:val="right"/>
              <w:ind w:right="140"/>
              <w:spacing w:after="0"/>
              <w:rPr>
                <w:sz w:val="20"/>
                <w:szCs w:val="20"/>
                <w:color w:val="auto"/>
              </w:rPr>
            </w:pPr>
            <w:r>
              <w:rPr>
                <w:rFonts w:ascii="Arial" w:cs="Arial" w:eastAsia="Arial" w:hAnsi="Arial"/>
                <w:sz w:val="18"/>
                <w:szCs w:val="18"/>
                <w:color w:val="auto"/>
              </w:rPr>
              <w:t>33,020</w:t>
            </w:r>
          </w:p>
        </w:tc>
        <w:tc>
          <w:tcPr>
            <w:tcW w:w="80" w:type="dxa"/>
            <w:vAlign w:val="bottom"/>
          </w:tcPr>
          <w:p>
            <w:pPr>
              <w:spacing w:after="0"/>
              <w:rPr>
                <w:sz w:val="21"/>
                <w:szCs w:val="21"/>
                <w:color w:val="auto"/>
              </w:rPr>
            </w:pPr>
          </w:p>
        </w:tc>
        <w:tc>
          <w:tcPr>
            <w:tcW w:w="112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48,808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68,615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80,859</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3,415</w:t>
            </w:r>
          </w:p>
        </w:tc>
        <w:tc>
          <w:tcPr>
            <w:tcW w:w="80" w:type="dxa"/>
            <w:vAlign w:val="bottom"/>
            <w:shd w:val="clear" w:color="auto" w:fill="CCEEFF"/>
          </w:tcPr>
          <w:p>
            <w:pPr>
              <w:spacing w:after="0"/>
              <w:rPr>
                <w:sz w:val="21"/>
                <w:szCs w:val="21"/>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11,900</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6,129</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Unrealized foreign exchange gains/losses</w:t>
            </w:r>
          </w:p>
        </w:tc>
        <w:tc>
          <w:tcPr>
            <w:tcW w:w="660" w:type="dxa"/>
            <w:vAlign w:val="bottom"/>
            <w:gridSpan w:val="2"/>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4"/>
                <w:szCs w:val="24"/>
                <w:color w:val="auto"/>
              </w:rPr>
            </w:pPr>
          </w:p>
        </w:tc>
        <w:tc>
          <w:tcPr>
            <w:tcW w:w="1120" w:type="dxa"/>
            <w:vAlign w:val="bottom"/>
            <w:tcBorders>
              <w:left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1,872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60" w:type="dxa"/>
            <w:vAlign w:val="bottom"/>
            <w:gridSpan w:val="2"/>
            <w:shd w:val="clear" w:color="auto" w:fill="CCEEFF"/>
          </w:tcPr>
          <w:p>
            <w:pPr>
              <w:spacing w:after="0"/>
              <w:rPr>
                <w:sz w:val="23"/>
                <w:szCs w:val="2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$ 65,218</w:t>
            </w:r>
          </w:p>
        </w:tc>
        <w:tc>
          <w:tcPr>
            <w:tcW w:w="80" w:type="dxa"/>
            <w:vAlign w:val="bottom"/>
            <w:shd w:val="clear" w:color="auto" w:fill="CCEEFF"/>
          </w:tcPr>
          <w:p>
            <w:pPr>
              <w:spacing w:after="0"/>
              <w:rPr>
                <w:sz w:val="23"/>
                <w:szCs w:val="23"/>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$ 215,012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215,863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202,086</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2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1280" w:type="dxa"/>
            <w:vAlign w:val="bottom"/>
            <w:gridSpan w:val="3"/>
            <w:vMerge w:val="restart"/>
          </w:tcPr>
          <w:p>
            <w:pPr>
              <w:jc w:val="right"/>
              <w:ind w:right="437"/>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12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-822960</wp:posOffset>
            </wp:positionV>
            <wp:extent cx="7747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-822960</wp:posOffset>
            </wp:positionV>
            <wp:extent cx="2489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-822960</wp:posOffset>
            </wp:positionV>
            <wp:extent cx="2489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-822960</wp:posOffset>
            </wp:positionV>
            <wp:extent cx="329311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-1903095</wp:posOffset>
            </wp:positionV>
            <wp:extent cx="13716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-1903095</wp:posOffset>
            </wp:positionV>
            <wp:extent cx="12890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-1903095</wp:posOffset>
            </wp:positionV>
            <wp:extent cx="12890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129" w:name="page130"/>
    <w:bookmarkEnd w:id="1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table set forth below provides a reconciliation of net income to Adjusted Net Income for the 2018</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Successor Period, the 2018 Predecessor Period and the years ended December 31, 2017 and 2016:</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4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3"/>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$ 29,307</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$ 130,160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93,161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26,830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58,520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26,224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0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Acquisition and Refinitiv Transaction related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402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7"/>
                <w:szCs w:val="27"/>
                <w:color w:val="auto"/>
                <w:vertAlign w:val="superscript"/>
              </w:rPr>
              <w:t>(1)</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22,413</w:t>
            </w:r>
          </w:p>
        </w:tc>
        <w:tc>
          <w:tcPr>
            <w:tcW w:w="80" w:type="dxa"/>
            <w:vAlign w:val="bottom"/>
            <w:shd w:val="clear" w:color="auto" w:fill="CCEEFF"/>
          </w:tcPr>
          <w:p>
            <w:pPr>
              <w:spacing w:after="0"/>
              <w:rPr>
                <w:sz w:val="24"/>
                <w:szCs w:val="24"/>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19,576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31,236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41,125</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2"/>
                <w:szCs w:val="22"/>
                <w:color w:val="auto"/>
              </w:rPr>
            </w:pPr>
          </w:p>
        </w:tc>
        <w:tc>
          <w:tcPr>
            <w:tcW w:w="1120" w:type="dxa"/>
            <w:vAlign w:val="bottom"/>
            <w:tcBorders>
              <w:left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1,872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$ 51,983</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$ 175,606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173,040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162,382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-402590</wp:posOffset>
            </wp:positionV>
            <wp:extent cx="774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-402590</wp:posOffset>
            </wp:positionV>
            <wp:extent cx="2489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-402590</wp:posOffset>
            </wp:positionV>
            <wp:extent cx="2489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-402590</wp:posOffset>
            </wp:positionV>
            <wp:extent cx="329311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-1337310</wp:posOffset>
            </wp:positionV>
            <wp:extent cx="13716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-1337310</wp:posOffset>
            </wp:positionV>
            <wp:extent cx="12890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-1337310</wp:posOffset>
            </wp:positionV>
            <wp:extent cx="12890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799" w:hanging="352"/>
        <w:spacing w:after="0" w:line="312" w:lineRule="auto"/>
        <w:tabs>
          <w:tab w:leader="none" w:pos="16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acquisition 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2018, we had the following contractual obligations: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Payments due by period</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6"/>
        </w:trPr>
        <w:tc>
          <w:tcPr>
            <w:tcW w:w="3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198"/>
        </w:trPr>
        <w:tc>
          <w:tcPr>
            <w:tcW w:w="32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Less than 1 year</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1 to 3 years</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3 to 5 years</w:t>
            </w:r>
          </w:p>
        </w:tc>
        <w:tc>
          <w:tcPr>
            <w:tcW w:w="122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4"/>
              </w:rPr>
              <w:t>More than 5 years</w:t>
            </w:r>
          </w:p>
        </w:tc>
      </w:tr>
      <w:tr>
        <w:trPr>
          <w:trHeight w:val="26"/>
        </w:trPr>
        <w:tc>
          <w:tcPr>
            <w:tcW w:w="3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3"/>
        </w:trPr>
        <w:tc>
          <w:tcPr>
            <w:tcW w:w="3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77"/>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$43,374</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$11,393</w:t>
            </w:r>
          </w:p>
        </w:tc>
        <w:tc>
          <w:tcPr>
            <w:tcW w:w="10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$12,897</w:t>
            </w:r>
          </w:p>
        </w:tc>
        <w:tc>
          <w:tcPr>
            <w:tcW w:w="8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$7,928</w:t>
            </w:r>
          </w:p>
        </w:tc>
        <w:tc>
          <w:tcPr>
            <w:tcW w:w="94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89"/>
              </w:rPr>
              <w:t>$11,156</w:t>
            </w:r>
          </w:p>
        </w:tc>
        <w:tc>
          <w:tcPr>
            <w:tcW w:w="280" w:type="dxa"/>
            <w:vAlign w:val="bottom"/>
            <w:shd w:val="clear" w:color="auto" w:fill="CCEEFF"/>
          </w:tcPr>
          <w:p>
            <w:pPr>
              <w:spacing w:after="0"/>
              <w:rPr>
                <w:sz w:val="24"/>
                <w:szCs w:val="24"/>
                <w:color w:val="auto"/>
              </w:rPr>
            </w:pPr>
          </w:p>
        </w:tc>
      </w:tr>
      <w:tr>
        <w:trPr>
          <w:trHeight w:val="20"/>
        </w:trPr>
        <w:tc>
          <w:tcPr>
            <w:tcW w:w="3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43,374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11,393</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12,897</w:t>
            </w:r>
          </w:p>
        </w:tc>
        <w:tc>
          <w:tcPr>
            <w:tcW w:w="840" w:type="dxa"/>
            <w:vAlign w:val="bottom"/>
            <w:gridSpan w:val="3"/>
          </w:tcPr>
          <w:p>
            <w:pPr>
              <w:jc w:val="center"/>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7,928</w:t>
            </w:r>
          </w:p>
        </w:tc>
        <w:tc>
          <w:tcPr>
            <w:tcW w:w="940" w:type="dxa"/>
            <w:vAlign w:val="bottom"/>
            <w:gridSpan w:val="2"/>
          </w:tcPr>
          <w:p>
            <w:pPr>
              <w:jc w:val="center"/>
              <w:ind w:left="276"/>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11,156</w:t>
            </w:r>
          </w:p>
        </w:tc>
        <w:tc>
          <w:tcPr>
            <w:tcW w:w="280" w:type="dxa"/>
            <w:vAlign w:val="bottom"/>
          </w:tcPr>
          <w:p>
            <w:pPr>
              <w:spacing w:after="0"/>
              <w:rPr>
                <w:sz w:val="22"/>
                <w:szCs w:val="22"/>
                <w:color w:val="auto"/>
              </w:rPr>
            </w:pPr>
          </w:p>
        </w:tc>
      </w:tr>
      <w:tr>
        <w:trPr>
          <w:trHeight w:val="20"/>
        </w:trPr>
        <w:tc>
          <w:tcPr>
            <w:tcW w:w="3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-505460</wp:posOffset>
            </wp:positionV>
            <wp:extent cx="13716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-505460</wp:posOffset>
            </wp:positionV>
            <wp:extent cx="1371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-505460</wp:posOffset>
            </wp:positionV>
            <wp:extent cx="1371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-505460</wp:posOffset>
            </wp:positionV>
            <wp:extent cx="13716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9"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color w:val="auto"/>
        </w:rPr>
        <w:t>Our operating lease obligations are primarily related to rental payments under lease agreements for office space in the United States and United Kingdom through December 2027. Minimum rent is expensed on a straight-line basis over the term of the lease.</w:t>
      </w:r>
    </w:p>
    <w:p>
      <w:pPr>
        <w:spacing w:after="0" w:line="73"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In the normal course of business, we enter into user agreements with our dealer clients which indemnify such clients from third parties in the event that our network infringes upon the intellectual property or other proprietary right of a third party. Our exposure under these user agreements is unknown as this would involve estimating future claims against the Company that have not yet occurred. However, based on our experience, we expect the risk of a material loss to be remote.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2018, we did not have any off-balance sheet arrangements.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79" w:lineRule="exact"/>
        <w:rPr>
          <w:sz w:val="20"/>
          <w:szCs w:val="20"/>
          <w:color w:val="auto"/>
        </w:rPr>
      </w:pPr>
    </w:p>
    <w:p>
      <w:pPr>
        <w:ind w:left="1260" w:right="959" w:firstLine="360"/>
        <w:spacing w:after="0" w:line="302" w:lineRule="auto"/>
        <w:rPr>
          <w:sz w:val="20"/>
          <w:szCs w:val="20"/>
          <w:color w:val="auto"/>
        </w:rPr>
      </w:pPr>
      <w:r>
        <w:rPr>
          <w:rFonts w:ascii="Arial" w:cs="Arial" w:eastAsia="Arial" w:hAnsi="Arial"/>
          <w:sz w:val="16"/>
          <w:szCs w:val="16"/>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w:t>
      </w: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39"/>
        <w:spacing w:after="0" w:line="259" w:lineRule="auto"/>
        <w:rPr>
          <w:sz w:val="20"/>
          <w:szCs w:val="20"/>
          <w:color w:val="auto"/>
        </w:rPr>
      </w:pPr>
      <w:r>
        <w:rPr>
          <w:rFonts w:ascii="Arial" w:cs="Arial" w:eastAsia="Arial" w:hAnsi="Arial"/>
          <w:sz w:val="18"/>
          <w:szCs w:val="18"/>
          <w:color w:val="auto"/>
        </w:rPr>
        <w:t>between actual and expected experience can potentially have a materially favorable or unfavorable impact on subsequent results of operations. More information on all of our significant accounting policies can be found in “Note 2 — Summary of Significant Accounting Policies” to our consolidated financial statements included elsewhere in this prospectus.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pushdown accounting, intangible assets, goodwill, software development costs, stock based compensation, contingent consideration payable and current and deferred income taxes.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on the date of the Refinitiv Transaction. We, as a consolidating subsidiary of Refinitiv, also accounted for the Refinitiv Transaction using pushdown accounting. Under pushdown accounting, the excess of our fair value above the fair value accounting basis of our net assets and liabilities is recorded as goodwill. The fair value of assets acquired and liabilities assumed was determined based on assumptions that reasonable market participants would use in the principal (or most advantageous) market for the asset or liability.</w:t>
      </w:r>
    </w:p>
    <w:p>
      <w:pPr>
        <w:spacing w:after="0" w:line="71"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In determining the fair value of the assets acquired and the liabilities assumed, we considered a report of a third-party valuation expert. Management is responsible for these internal and third-party valuations and appraisals and they are continuing to review the amounts and allocations to finalize these amounts. We have one year from the date of the Refinitiv Transaction to finalize these amounts.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undiscounted cash flows relating to the asset or asset group is less than the corresponding fair value. Intangible assets are amortized over their estimated useful lives of seven to sixteen years.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using a discounted cash flow or a revenues and earnings multiple approach. We calculate such loss as the difference between the 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04"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We capitalize certain costs associated with the development of internal use software at the point at which the conceptual formulation, design and testing of possible software project alternatives have been</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90" w:lineRule="auto"/>
        <w:rPr>
          <w:sz w:val="20"/>
          <w:szCs w:val="20"/>
          <w:color w:val="auto"/>
        </w:rPr>
      </w:pPr>
      <w:r>
        <w:rPr>
          <w:rFonts w:ascii="Arial" w:cs="Arial" w:eastAsia="Arial" w:hAnsi="Arial"/>
          <w:sz w:val="16"/>
          <w:szCs w:val="16"/>
          <w:color w:val="auto"/>
        </w:rPr>
        <w:t>completed, including among other items, employee compensation and related benefits and third-party consulting costs incurred during the application development stage which directly contribute to such development. Once the product is ready for its intended use, such costs are amortized on a straight-line basis over three years. Costs capitalized as part of the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variable transaction fees, we charge clients fees based on the mix of products traded and the volume of transactions executed.</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earn subscription fees primarily for granting clients access to our markets for trading and market data.</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Subscription fees are generally generated on a fixed price basis.</w:t>
      </w:r>
    </w:p>
    <w:p>
      <w:pPr>
        <w:spacing w:after="0" w:line="103" w:lineRule="exact"/>
        <w:rPr>
          <w:sz w:val="20"/>
          <w:szCs w:val="20"/>
          <w:color w:val="auto"/>
        </w:rPr>
      </w:pPr>
    </w:p>
    <w:p>
      <w:pPr>
        <w:ind w:left="1260" w:right="839" w:firstLine="360"/>
        <w:spacing w:after="0" w:line="264"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7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w:t>
      </w:r>
    </w:p>
    <w:p>
      <w:pPr>
        <w:spacing w:after="0" w:line="7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On January 1, 2018, we adopted ASU 2014-09, Revenue from Contracts with Customers, using the modified retrospective approach. The adoption of ASU 2014-09 did not have a material impact on the measurement or timing of recognition of revenue in any prior reporting periods. However, in the current reporting period, we were required to make significant judgements for the Refinitiv market data fees. Significant judgements used in accounting for this contract include:</w:t>
      </w:r>
    </w:p>
    <w:p>
      <w:pPr>
        <w:spacing w:after="0" w:line="94" w:lineRule="exact"/>
        <w:rPr>
          <w:sz w:val="20"/>
          <w:szCs w:val="20"/>
          <w:color w:val="auto"/>
        </w:rPr>
      </w:pPr>
    </w:p>
    <w:p>
      <w:pPr>
        <w:ind w:left="1980" w:right="1019" w:hanging="352"/>
        <w:spacing w:after="0" w:line="277"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62"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75" w:lineRule="exact"/>
        <w:rPr>
          <w:rFonts w:ascii="Arial" w:cs="Arial" w:eastAsia="Arial" w:hAnsi="Arial"/>
          <w:sz w:val="18"/>
          <w:szCs w:val="18"/>
          <w:color w:val="auto"/>
        </w:rPr>
      </w:pPr>
    </w:p>
    <w:p>
      <w:pPr>
        <w:ind w:left="1980" w:right="1019" w:hanging="352"/>
        <w:spacing w:after="0" w:line="312" w:lineRule="auto"/>
        <w:tabs>
          <w:tab w:leader="none" w:pos="19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stock-based compensation that our employees receive are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members’ capital. 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 The fair value of the equity instruments is determined in accordance with the American Institute of Certified Public Accountants Practice Aid, Valuation of Privately Held Company Securities Issued as Compensation. Factors that are considered in determining the fair value include forecasted future cash flows, the weighted average cost of capital, and the performance multiples of comparable companies.</w:t>
      </w:r>
    </w:p>
    <w:p>
      <w:pPr>
        <w:spacing w:after="0" w:line="22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99" w:firstLine="360"/>
        <w:spacing w:after="0" w:line="312" w:lineRule="auto"/>
        <w:rPr>
          <w:sz w:val="20"/>
          <w:szCs w:val="20"/>
          <w:color w:val="auto"/>
        </w:rPr>
      </w:pPr>
      <w:r>
        <w:rPr>
          <w:rFonts w:ascii="Arial" w:cs="Arial" w:eastAsia="Arial" w:hAnsi="Arial"/>
          <w:sz w:val="16"/>
          <w:szCs w:val="16"/>
          <w:color w:val="auto"/>
        </w:rPr>
        <w:t>On December 31, 2018, certain PRSUs, which previously were cash-settled, were converted to equity-settled PRSUs. The conversion was at fair value, using a unit price consistent with the share price of the Company. As a result of the modification, an additional $19.1 million was recorded in equity.</w:t>
      </w:r>
    </w:p>
    <w:p>
      <w:pPr>
        <w:spacing w:after="0" w:line="12" w:lineRule="exact"/>
        <w:rPr>
          <w:sz w:val="20"/>
          <w:szCs w:val="20"/>
          <w:color w:val="auto"/>
        </w:rPr>
      </w:pPr>
    </w:p>
    <w:p>
      <w:pPr>
        <w:ind w:left="1260" w:right="759" w:firstLine="360"/>
        <w:spacing w:after="0" w:line="251" w:lineRule="auto"/>
        <w:rPr>
          <w:sz w:val="20"/>
          <w:szCs w:val="20"/>
          <w:color w:val="auto"/>
        </w:rPr>
      </w:pPr>
      <w:r>
        <w:rPr>
          <w:rFonts w:ascii="Arial" w:cs="Arial" w:eastAsia="Arial" w:hAnsi="Arial"/>
          <w:sz w:val="16"/>
          <w:szCs w:val="16"/>
          <w:color w:val="auto"/>
        </w:rPr>
        <w:t>In October 2018, following the closing of the Refinitiv Transaction, we made a special award of options to management and other employees (the “Special Option Award”) under our Option Plan. In accounting for the options issued under this plan, we measure and recognize compensation expense for all awards based on their estimated fair values measured as of the grant date. These options are only exercisable any time following the closing of an initial public offering or during a 15-day period following a change in control of the Company. Costs related to these options will be recognized as an expense in our consolidated statements of income over the requisite service period, when exercisability is considered probable. Therefore, expense will only be recognized upon the completion of an initial public offering or a change in control, over the vesting period, with an offsetting increase to additional paid-in capital. We expect the non-cash stock-based compensation expense associated with the Special Option Award to be between approximately $33.5 million and $35.7 million, which is expected to be expensed beginning in the second quarter of 2019 and continuing over the following three years. For more information, please see “Executive Compensation — Narrative Disclosure to Summary Compensation Table — Amended and Restated Tradeweb Markets Inc. 2018 Share Option Plan.”</w:t>
      </w:r>
    </w:p>
    <w:p>
      <w:pPr>
        <w:spacing w:after="0" w:line="5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use the Black-Scholes pricing model to value some of our share-based payment awards. Determining the appropriate fair value model and calculating the fair value of the share-based payment awards requires the input of highly subjective assumptions, including the expected life of the share-based payment awards, the number of expected share-based payment awards that will be forfeited prior to the completion of the vesting requirements, and the stock price volatility.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63"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are currently a multiple member limited liability company taxed as a partnership and accordingly we are not required to maintain an income tax provision on our earnings. Therefore, the remaining tax effects of our activities accrue directly to our partners.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 After the consummation of this offering, we will become subject to U.S. federal, state and local income taxes with respect to our allocable share of any taxable income of Tradeweb Markets LLC and will be taxed at prevailing corporate tax rates.</w:t>
      </w:r>
    </w:p>
    <w:p>
      <w:pPr>
        <w:spacing w:after="0" w:line="56" w:lineRule="exact"/>
        <w:rPr>
          <w:sz w:val="20"/>
          <w:szCs w:val="20"/>
          <w:color w:val="auto"/>
        </w:rPr>
      </w:pPr>
    </w:p>
    <w:p>
      <w:pPr>
        <w:ind w:left="1260" w:right="1099" w:firstLine="360"/>
        <w:spacing w:after="0" w:line="312" w:lineRule="auto"/>
        <w:rPr>
          <w:sz w:val="20"/>
          <w:szCs w:val="20"/>
          <w:color w:val="auto"/>
        </w:rPr>
      </w:pPr>
      <w:r>
        <w:rPr>
          <w:rFonts w:ascii="Arial" w:cs="Arial" w:eastAsia="Arial" w:hAnsi="Arial"/>
          <w:sz w:val="16"/>
          <w:szCs w:val="16"/>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1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On December 22, 2017, the President signed into law the Tax Cuts and Jobs Act (“TCJA”) effective for tax</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years ending after December 31, 2017. This legislation replaces the prior corporate tax rate structure with a flat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21% rate, effective in 2018. There were many other future impacts of the tax reform such as the repeal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alternative minimum tax rate, tax loss carryback and carryforward limitations. This legislation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impacted the financial statements for the year ended December 31, 2017 by reducing the deferred tax asset by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$1,982,000 as a result of the revaluation of the deferred tax asset based on the reduced federal corporate tax rate.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During 2018, we finalized our calculations related to the impacts of the TCJA with no adjustment to our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previously recorded provisional tax expense.</w:t>
      </w:r>
    </w:p>
    <w:p>
      <w:pPr>
        <w:spacing w:after="0" w:line="89"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The TCJA also requires a U.S. shareholder of a controlled foreign corporation (“CFC”) to include in income, as a deemed dividend, the global intangible low-taxed income (“GILTI”) of the CFC. This provision is effective for taxable years of foreign corporations beginning after December 31, 2017, and to taxable years of United States shareholders in which or with which such taxable years of foreign corporations end. We have elected to treat taxes due on future U.S. inclusions in taxable income under the GILTI provision as a current period expense when incurred.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63" w:lineRule="exact"/>
        <w:rPr>
          <w:sz w:val="20"/>
          <w:szCs w:val="20"/>
          <w:color w:val="auto"/>
        </w:rPr>
      </w:pPr>
    </w:p>
    <w:p>
      <w:pPr>
        <w:ind w:left="1260" w:right="819" w:firstLine="360"/>
        <w:spacing w:after="0" w:line="342" w:lineRule="auto"/>
        <w:rPr>
          <w:sz w:val="20"/>
          <w:szCs w:val="20"/>
          <w:color w:val="auto"/>
        </w:rPr>
      </w:pPr>
      <w:r>
        <w:rPr>
          <w:rFonts w:ascii="Arial" w:cs="Arial" w:eastAsia="Arial" w:hAnsi="Arial"/>
          <w:sz w:val="16"/>
          <w:szCs w:val="16"/>
          <w:color w:val="auto"/>
        </w:rPr>
        <w:t>In 2014, we issued Class A Shares and unvested Class P-1(A) Shares to some of the Bank Stockholders as a result of a capital contribution to facilitate our expansion into new credit products. The proceeds from</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the issuance of the shares were included in members’ capital. In connection with the investment, certain employees also invested in the Company and were issued Class C Shares and unvested Class P-1(C) Shares. The proceeds from the issuance of these shares were included in members’ capital. The Class A Shares and Class C Shares issued in connection with the investment equally participate in the earnings of the Company together with the other Class A Shares, Class P(A) Shares, Class C Shares and Class P(C) Shares of the Company. Most of the holders of Class A shares have the right to appoint members to the board of managers of the Company. The Class P-1(A) Shares and Class P-1(C) Shares do not have any earnings participation rights, nor do any of the Class P-1(A) Shares have the right to appoint members to the board of managers, until they vest. The Class P-1(A) Shares and Class P-1(C) Shares vested in July 2018 upon the achievement of specific revenue earnout milestones related to the growth of our credit products, as defined by the agreement, from August 2014 through the vesting date of July 2018.</w:t>
      </w:r>
    </w:p>
    <w:p>
      <w:pPr>
        <w:spacing w:after="0" w:line="75"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Prior to the July 2018 vesting, we recognized contingent consideration with respect to the potential vesting of Class P-1(A) Shares and Class P-1(C) Shares as a contra-revenue adjustment in accordance with ASC 605-50-45-2 because the vesting could be viewed as a sales incentive to participating Bank Stockholders since they are also customers of the Company. The contingent consideration for each reporting period was calculated by estimating the final contingent consideration value using a monte carlo simulation and recognizing that value on a straightline basis over the 48 month period of the agreement, adjusting at each reporting period for any changes in the final value estimate. The revenue milestones provided that shares would vest only if certain credit revenue milestones would be achieved in the twelve months ended July 2016, 2017 and 2018.</w:t>
      </w:r>
    </w:p>
    <w:p>
      <w:pPr>
        <w:spacing w:after="0" w:line="5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As a result of achieving these milestones, the final earnout amount was calculated based on the credit revenues during the twelve months ended July 31, 2018. On July 31, 2018, members’ capital increased by $150.5 million as a result of the vesting of the Class P-1(A) Shares and employee equity compensation payable increased by $5.7 million as a result of the vesting of the Class P-1(C) Shares. The value of the vested Class P-1(C) Shares is included in employee equity compensation payable because the Class P-1(C) have been owned for less than six months by employees who have the ability to exercise a put option of those shares under certain conditions under their control.</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1260" w:right="1259" w:firstLine="360"/>
        <w:spacing w:after="0" w:line="342" w:lineRule="auto"/>
        <w:rPr>
          <w:sz w:val="20"/>
          <w:szCs w:val="20"/>
          <w:color w:val="auto"/>
        </w:rPr>
      </w:pPr>
      <w:r>
        <w:rPr>
          <w:rFonts w:ascii="Arial" w:cs="Arial" w:eastAsia="Arial" w:hAnsi="Arial"/>
          <w:sz w:val="16"/>
          <w:szCs w:val="16"/>
          <w:color w:val="auto"/>
        </w:rPr>
        <w:t>See “Note 2 — Summary of Significant Accounting Policies” to our consolidated financial statements included elsewhere in this prospectus for a discussion of recent accounting pronouncements.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Effects of Inflation</w:t>
      </w:r>
    </w:p>
    <w:p>
      <w:pPr>
        <w:spacing w:after="0" w:line="108"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04" w:lineRule="exact"/>
        <w:rPr>
          <w:sz w:val="20"/>
          <w:szCs w:val="20"/>
          <w:color w:val="auto"/>
        </w:rPr>
      </w:pPr>
    </w:p>
    <w:p>
      <w:pPr>
        <w:ind w:left="1260" w:right="979" w:firstLine="360"/>
        <w:spacing w:after="0" w:line="255"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 During the 2018 Successor Period, the 2018 Predecessor Period and the year ended December 31, 2017, approximately 28.6%, 28.6% and 24.7%, respectively, of our gross revenue and 15.1%, 17.0% and 15.6%, respectively, of our operating expenses were denominated in currencies other than the U.S. dollar, almost entirely the Euro for gross revenue and the British pound sterling for operating expenses.</w:t>
      </w:r>
    </w:p>
    <w:p>
      <w:pPr>
        <w:spacing w:after="0" w:line="85"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 denominated in foreign currencies. Revenues and expenses</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79"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Fluctuations in foreign currency rates increased our gross revenue by approximately $0.5 million and $9.6 million, respectively, for the 2018 Successor Period and the 2018 Predecessor Period and increased our operating income by approximately $2.2 million and $11.2 million, respectively, for the 2018 Successor Period and the 2018 Predecessor Period. Based on actual results for the 2018 Successor Period and the 2018 Predecessor Period, a hypothetical 10% increase or decrease in the U.S. dollar against all other currencies would have decreased or increased gross revenue by approximately $5.1 million and $14.3 million, respectively, and operating income by approximately $2.8 million and $8.6 million, respectively.</w:t>
      </w:r>
    </w:p>
    <w:p>
      <w:pPr>
        <w:spacing w:after="0" w:line="70" w:lineRule="exact"/>
        <w:rPr>
          <w:sz w:val="20"/>
          <w:szCs w:val="20"/>
          <w:color w:val="auto"/>
        </w:rPr>
      </w:pPr>
    </w:p>
    <w:p>
      <w:pPr>
        <w:ind w:left="1260" w:right="939" w:firstLine="360"/>
        <w:spacing w:after="0" w:line="297" w:lineRule="auto"/>
        <w:rPr>
          <w:sz w:val="20"/>
          <w:szCs w:val="20"/>
          <w:color w:val="auto"/>
        </w:rPr>
      </w:pPr>
      <w:r>
        <w:rPr>
          <w:rFonts w:ascii="Arial" w:cs="Arial" w:eastAsia="Arial" w:hAnsi="Arial"/>
          <w:sz w:val="16"/>
          <w:szCs w:val="16"/>
          <w:color w:val="auto"/>
        </w:rPr>
        <w:t>Fluctuations in foreign currency rates increased our gross revenues by approximately $1.2 million for the year ended December 31, 2017, and increased our operating income by approximately $4.3 million for the year ended December 31, 2017. Based on actual results for the year ended December 31, 2017, a hypothetical 10% increase or decrease in the U.S. dollar against all other currencies would have decreased or increased gross revenues by approximately $13.9 million and operating income by approximately $7.4 million.</w:t>
      </w:r>
    </w:p>
    <w:p>
      <w:pPr>
        <w:spacing w:after="0" w:line="50"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We have derivative risk relating to our foreign currency forward contracts. We enter into foreign currency forward contracts to mitigate our U.S. dollar and British pound sterling versus Euro exposure, generally with a duration of less than fourteen months. We do not use derivative instruments for trading or speculative purposes. As of December 31, 2018 and December 31, 2017, the notional amount of our foreign currency forward contracts was $1.7 million and $80.0 million, respectively.</w:t>
      </w:r>
    </w:p>
    <w:p>
      <w:pPr>
        <w:spacing w:after="0" w:line="6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Risk</w:t>
      </w:r>
    </w:p>
    <w:p>
      <w:pPr>
        <w:spacing w:after="0" w:line="77" w:lineRule="exact"/>
        <w:rPr>
          <w:sz w:val="20"/>
          <w:szCs w:val="20"/>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At December 31, 2018 and December 31, 2017, we established an allowance for doubtful accounts of $1.2 million and $0.9 million, respectively, with regard to these receivables.</w:t>
      </w:r>
    </w:p>
    <w:p>
      <w:pPr>
        <w:spacing w:after="0" w:line="79"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85"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81" w:lineRule="exact"/>
        <w:rPr>
          <w:sz w:val="20"/>
          <w:szCs w:val="20"/>
          <w:color w:val="auto"/>
        </w:rPr>
      </w:pPr>
    </w:p>
    <w:p>
      <w:pPr>
        <w:ind w:left="1260" w:right="779" w:firstLine="360"/>
        <w:spacing w:after="0" w:line="297" w:lineRule="auto"/>
        <w:rPr>
          <w:sz w:val="20"/>
          <w:szCs w:val="20"/>
          <w:color w:val="auto"/>
        </w:rPr>
      </w:pPr>
      <w:r>
        <w:rPr>
          <w:rFonts w:ascii="Arial" w:cs="Arial" w:eastAsia="Arial" w:hAnsi="Arial"/>
          <w:sz w:val="16"/>
          <w:szCs w:val="16"/>
          <w:color w:val="auto"/>
        </w:rPr>
        <w:t>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22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 process of improving our internal controls has required and will continue to require us to expend resources to design, implement and maintain a system of internal controls that is adequate to satisfy our reporting obligations as a public company. There can be no assurance that any actions we take will be completely successful. We will continue to evaluate the effectiveness of our disclosure controls and procedures and internal control over financial reporting on an on-going basis. As part of this process, we may identify specific internal controls as being deficient.</w:t>
      </w:r>
    </w:p>
    <w:p>
      <w:pPr>
        <w:spacing w:after="0" w:line="85"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We continue to evaluate our internal control procedures in order to comply with the requirements of Section 404 of the Sarbanes-Oxley Act. Section 404 requires annual management assessments of the effectiveness of our internal control over financial reporting and a report by our independent auditors addressing these assessments; however, for so long as we qualify as an emerging growth company, we will not be required to engage an auditor to report on our internal controls over financial reporting. We will be required to comply with the management certification requirements of Section 404 in our annual report on Form 10-K for the year following our first annual report that is filed with the SEC (subject to any change in applicable SEC rules). We will be required to comply with Section 404 in full (including an auditor attestation on management’s internal controls report) in our annual report on Form 10-K at the later of the year following our first annual report required to be filed with the SEC or the date on which we are no longer an emerging growth company (subject to any change in applicable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2018 of over $549 billion across more than 40 products.</w:t>
      </w:r>
    </w:p>
    <w:p>
      <w:pPr>
        <w:spacing w:after="0" w:line="65" w:lineRule="exact"/>
        <w:rPr>
          <w:sz w:val="20"/>
          <w:szCs w:val="20"/>
          <w:color w:val="auto"/>
        </w:rPr>
      </w:pPr>
    </w:p>
    <w:p>
      <w:pPr>
        <w:jc w:val="both"/>
        <w:ind w:left="1260" w:right="819" w:firstLine="360"/>
        <w:spacing w:after="0" w:line="264"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trading protocols and trade lifecycle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64135</wp:posOffset>
            </wp:positionV>
            <wp:extent cx="3387725" cy="23495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877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74"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4" w:lineRule="exact"/>
        <w:rPr>
          <w:sz w:val="20"/>
          <w:szCs w:val="20"/>
          <w:color w:val="auto"/>
        </w:rPr>
      </w:pPr>
    </w:p>
    <w:p>
      <w:pPr>
        <w:jc w:val="both"/>
        <w:ind w:left="1260" w:right="1019" w:firstLine="360"/>
        <w:spacing w:after="0" w:line="312"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97" w:lineRule="auto"/>
        <w:rPr>
          <w:sz w:val="20"/>
          <w:szCs w:val="20"/>
          <w:color w:val="auto"/>
        </w:rPr>
      </w:pPr>
      <w:r>
        <w:rPr>
          <w:rFonts w:ascii="Arial" w:cs="Arial" w:eastAsia="Arial" w:hAnsi="Arial"/>
          <w:sz w:val="16"/>
          <w:szCs w:val="16"/>
          <w:color w:val="auto"/>
        </w:rPr>
        <w:t>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50"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2018, we had annual compound average daily trading volume growth of 12.5% and annual compound gross revenue growth of 12.2%. Approximately 48.0% of our gross revenue for the combined year ended December 31, 2018 was fixed and generated from subscription fees and minimum volume floors. For the combined year ended December 31, 2018 and the year ended December 31, 2017, respectively, our gross revenue was $684.4 million and $563.0 million, an increase of 21.6%. For the 2018 Successor Period, the 2018 Predecessor Period and the year ended December 31, 2017, respectively, our net income was $29.3 million, $130.2 million and $83.6 million, our Adjusted EBITDA was $65.2 million, $215.0 million and $215.9 million, with an Adjusted EBITDA margin of 36.5%, 42.5% and 38.3%, and our Adjusted Net Income was $52.0 million, $175.6 million and $173.0 million. For the definitions of Adjusted EBITDA, Adjusted EBITDA margin and Adjusted Net Income and reconciliations to net income, their most directly comparable financial measure presented in accordance with GAAP, see footnote 7 in “Prospectus Summary — Summary Historical and Pro Forma Consolidated Financial and Other Data.”</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such as credit, money markets and equities.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59"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70"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70" w:lineRule="exact"/>
        <w:rPr>
          <w:sz w:val="20"/>
          <w:szCs w:val="20"/>
          <w:color w:val="auto"/>
        </w:rPr>
      </w:pPr>
    </w:p>
    <w:p>
      <w:pPr>
        <w:ind w:left="1260" w:right="1079" w:firstLine="360"/>
        <w:spacing w:after="0" w:line="312" w:lineRule="auto"/>
        <w:rPr>
          <w:sz w:val="20"/>
          <w:szCs w:val="20"/>
          <w:color w:val="auto"/>
        </w:rPr>
      </w:pPr>
      <w:r>
        <w:rPr>
          <w:rFonts w:ascii="Arial" w:cs="Arial" w:eastAsia="Arial" w:hAnsi="Arial"/>
          <w:sz w:val="16"/>
          <w:szCs w:val="16"/>
          <w:color w:val="auto"/>
        </w:rPr>
        <w:t>While our cornerstone products continue to be some of the first products we launched, including U.S. Treasuries, European government bonds and TBA MBS, we have continued to solve trading inefficiencies by adding new products across our rates, credit, money markets and equities asset classes. As a result of</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expanding our offerings, we have increased our opportunities in related addressable markets, where estimated average daily trading volumes have grown from approximately $0.6 trillion in 1998 to $4.0 trillion through the first nine months of 2018, according to industry sources and management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131445</wp:posOffset>
            </wp:positionV>
            <wp:extent cx="5059680" cy="25901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05968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Opportunity</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Based on industry sources and management estimates, we estimate that the global notional value outstanding for rates and credit was approximately $590 trillion as of June 2018. When combined with money markets and equities, the market size for our platforms increases to an estimated notional value of approximately $605 trillion. The markets in which we participate are actively traded, and we estimate that trading in rates, credit, ETFs and money markets generated average daily trading volumes of approximately $1.9 trillion, $0.1 trillion, $0.1 trillion and $1.9 trillion, respectively, through the first nine months of 2018. As electronic trading in these markets continues to develop, we believe we are well positioned to increase our share of these markets over time. Major market participants include large asset managers, hedge funds, central banks, banks and dealers, insurance companies, corporations, proprietary trading, brokerage and retail advisory firms, governments and retail investors.</w:t>
      </w:r>
    </w:p>
    <w:p>
      <w:pPr>
        <w:spacing w:after="0" w:line="87"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6"/>
          <w:szCs w:val="16"/>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 bond and Chinese bond markets have grown annually at 5% and 21%, respectively, over the last decade, according to SIFMA and BIS. The U.S. and European ETF markets have each grown annually at nearly 20% since 2007, according to ETFGI and Refinitiv. Continuing growth in these markets is expected to be driven by increasing global trading volumes, resulting from increased economic activity, new government and corporate debt issuances and the continued growth of passive investing. Additionally, after a period of historically low interest rates, trading volumes in our rates asset class may benefit from interest rates normalizing to higher levels as global central banks move toward monetary policy normalization and interest rate volatility. These markets have migrated to electronic trading platforms at different adoption rates — some gradually over time (e.g., government bonds and corporate bonds) and others on a more accelerated basis due to regulation (e.g., interest rate swaps).</w:t>
      </w:r>
    </w:p>
    <w:p>
      <w:pPr>
        <w:spacing w:after="0" w:line="6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w:t>
      </w:r>
    </w:p>
    <w:p>
      <w:pPr>
        <w:spacing w:after="0" w:line="22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579"/>
        <w:spacing w:after="0" w:line="308" w:lineRule="auto"/>
        <w:rPr>
          <w:sz w:val="20"/>
          <w:szCs w:val="20"/>
          <w:color w:val="auto"/>
        </w:rPr>
      </w:pPr>
      <w:r>
        <w:rPr>
          <w:rFonts w:ascii="Arial" w:cs="Arial" w:eastAsia="Arial" w:hAnsi="Arial"/>
          <w:sz w:val="17"/>
          <w:szCs w:val="17"/>
          <w:color w:val="auto"/>
        </w:rPr>
        <w:t>throughout the global 24-hour trading day as market participants have become increasingly global and comprehensive, trading across multiple geographies, asset classes and currencies.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4"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0"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75"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6"/>
          <w:szCs w:val="16"/>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 confirmation systems and other third-party service providers. These integrations, which include over 350 proprietary client integrations and over 30 vendor integrations, help our clients to improve the efficiency of their front, middle and back offices and provide them with the opportunity to adopt end-to-end straight-through processing.</w:t>
      </w:r>
    </w:p>
    <w:p>
      <w:pPr>
        <w:spacing w:after="0" w:line="65"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40% of overall trading volumes, according to industry sources and management estimates. Certain markets in which we operate have experienced higher rates of electronification, such as ETFs and 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70"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Act, Basel III and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2018, we had the leading market position in SEF trading for U.S. dollar-denominated interest rate swaps, excluding forward rate agreements, according to Clarus Financial Technology. In addition, higher capital</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requirements have driven dealers to reduce the size of their balance sheets and utilize the distribution and scale provided by electronic trading venues.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7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62 countries, and for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pacing w:after="0" w:line="7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0"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w:t>
      </w:r>
    </w:p>
    <w:p>
      <w:pPr>
        <w:sectPr>
          <w:pgSz w:w="11900" w:h="16838" w:orient="portrait"/>
          <w:cols w:equalWidth="0" w:num="1">
            <w:col w:w="10219"/>
          </w:cols>
          <w:pgMar w:left="240" w:top="131" w:right="1440" w:bottom="1440" w:gutter="0" w:footer="0" w:header="0"/>
        </w:sectPr>
      </w:pP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Through collaborative endeavors like these, we have become deeply integrated into our clients’ workflow and become a partner of choice for new innovations.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63"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63"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63"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w:t>
      </w:r>
    </w:p>
    <w:p>
      <w:pPr>
        <w:spacing w:after="0" w:line="76"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41,600 trades and 950 million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both through potential expansion of our existing market data license agreement with Refinitiv and through distributing additional datasets and analytics offerings through our own network or through other third-party networks.</w:t>
      </w:r>
    </w:p>
    <w:p>
      <w:pPr>
        <w:spacing w:after="0" w:line="44" w:lineRule="exact"/>
        <w:rPr>
          <w:sz w:val="20"/>
          <w:szCs w:val="20"/>
          <w:color w:val="auto"/>
        </w:rPr>
      </w:pPr>
    </w:p>
    <w:p>
      <w:pPr>
        <w:ind w:left="1260" w:right="939" w:firstLine="360"/>
        <w:spacing w:after="0" w:line="297" w:lineRule="auto"/>
        <w:rPr>
          <w:sz w:val="20"/>
          <w:szCs w:val="20"/>
          <w:color w:val="auto"/>
        </w:rPr>
      </w:pPr>
      <w:r>
        <w:rPr>
          <w:rFonts w:ascii="Arial" w:cs="Arial" w:eastAsia="Arial" w:hAnsi="Arial"/>
          <w:sz w:val="16"/>
          <w:szCs w:val="16"/>
          <w:color w:val="auto"/>
        </w:rPr>
        <w:t>We are continuously developing new offerings and solutions to meet the changing needs of our clients and will benefit from helping them comply with new regulations. For example, in January 2018, we launched our APA reporting service in response to demand by our clients to satisfy new off-venue and OTC reporting requirements under MiFID II. We now operate one of the largest fixed income APA services with over 100 clients, including 20 leading global banks, and expect to expand our APA service in the coming years.</w:t>
      </w:r>
    </w:p>
    <w:p>
      <w:pPr>
        <w:spacing w:after="0" w:line="22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7"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and higher market volatility.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due to current market trends include global government bonds, derivatives, ETFs and credit.</w:t>
      </w:r>
    </w:p>
    <w:p>
      <w:pPr>
        <w:spacing w:after="0" w:line="5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Market Share</w:t>
      </w:r>
    </w:p>
    <w:p>
      <w:pPr>
        <w:spacing w:after="0" w:line="117"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in our U.S. credit marketplace, 90% of trades include a net hedge transaction leveraging our U.S. Treasury marketplace.</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Electronification of Our Markets</w:t>
      </w:r>
    </w:p>
    <w:p>
      <w:pPr>
        <w:spacing w:after="0" w:line="11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39"/>
        <w:spacing w:after="0" w:line="264" w:lineRule="auto"/>
        <w:rPr>
          <w:sz w:val="20"/>
          <w:szCs w:val="20"/>
          <w:color w:val="auto"/>
        </w:rPr>
      </w:pPr>
      <w:r>
        <w:rPr>
          <w:rFonts w:ascii="Arial" w:cs="Arial" w:eastAsia="Arial" w:hAnsi="Arial"/>
          <w:sz w:val="18"/>
          <w:szCs w:val="18"/>
          <w:color w:val="auto"/>
        </w:rPr>
        <w:t>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73"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color w:val="auto"/>
        </w:rPr>
        <w:t>We believe that U.S. Treasuries, global swaps, global ETFs and U.S. credit products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add new products and expand into new complementary markets as client demand and market trends evolve. We recently expanded into China and offer our global clients access to the Chinese bond market. In addition, we have expanded our product set to include wholesale electronic repurchase agreements, U.S. and European bilateral repurchase agreements, European cash equities and U.S. options.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70"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In addition, we believe our business model is well suited to serve market participants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are leveraging our session-based trading technology in European corporate bonds for session-based trading in U.S. corporate bonds and Off-the-Run U.S. Treasury securities,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04"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81" w:lineRule="exact"/>
        <w:rPr>
          <w:sz w:val="20"/>
          <w:szCs w:val="20"/>
          <w:color w:val="auto"/>
        </w:rPr>
      </w:pPr>
    </w:p>
    <w:p>
      <w:pPr>
        <w:ind w:left="1260" w:right="1139" w:firstLine="360"/>
        <w:spacing w:after="0" w:line="312" w:lineRule="auto"/>
        <w:rPr>
          <w:sz w:val="20"/>
          <w:szCs w:val="20"/>
          <w:color w:val="auto"/>
        </w:rPr>
      </w:pPr>
      <w:r>
        <w:rPr>
          <w:rFonts w:ascii="Arial" w:cs="Arial" w:eastAsia="Arial" w:hAnsi="Arial"/>
          <w:sz w:val="16"/>
          <w:szCs w:val="16"/>
          <w:color w:val="auto"/>
        </w:rPr>
        <w:t>Our technology architecture reduces the time to market for new data solutions, which allows us to react quickly to client needs. Recently, we extended our long-term agreement with Refinitiv, pursuant to which Refinitiv licenses certain data from us, which provides us with a predictable and growing revenue stream.</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04"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Client Sectors</w:t>
      </w:r>
    </w:p>
    <w:p>
      <w:pPr>
        <w:spacing w:after="0" w:line="108"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over 20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57" w:lineRule="exact"/>
        <w:rPr>
          <w:sz w:val="20"/>
          <w:szCs w:val="20"/>
          <w:color w:val="auto"/>
        </w:rPr>
      </w:pPr>
    </w:p>
    <w:p>
      <w:pPr>
        <w:jc w:val="both"/>
        <w:ind w:left="1260" w:right="759" w:firstLine="360"/>
        <w:spacing w:after="0" w:line="259" w:lineRule="auto"/>
        <w:rPr>
          <w:sz w:val="20"/>
          <w:szCs w:val="20"/>
          <w:color w:val="auto"/>
        </w:rPr>
      </w:pPr>
      <w:r>
        <w:rPr>
          <w:rFonts w:ascii="Arial" w:cs="Arial" w:eastAsia="Arial" w:hAnsi="Arial"/>
          <w:sz w:val="18"/>
          <w:szCs w:val="18"/>
          <w:color w:val="auto"/>
        </w:rPr>
        <w:t>We provide deep liquidity pools to the institutional, wholesale and retail client sectors through our Tradeweb Institutional, Dealerweb and Tradeweb Direct platforms. We facilitated over $549 billion in average daily trading volume for 2018 across more than 40 products, and we have multi-year agreements with many of our significant dealer clients.</w:t>
      </w:r>
    </w:p>
    <w:p>
      <w:pPr>
        <w:spacing w:after="0" w:line="79"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retail and wholesale channels. Given our technological capabilities, the diversity of our client sectors and the breadth of our products and trading protocols, we believe we are well positioned to capitalize on this emerging trend.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Institutional</w:t>
      </w:r>
    </w:p>
    <w:p>
      <w:pPr>
        <w:spacing w:after="0" w:line="104" w:lineRule="exact"/>
        <w:rPr>
          <w:sz w:val="20"/>
          <w:szCs w:val="20"/>
          <w:color w:val="auto"/>
        </w:rPr>
      </w:pPr>
    </w:p>
    <w:p>
      <w:pPr>
        <w:ind w:left="1260" w:right="859" w:firstLine="360"/>
        <w:spacing w:after="0" w:line="271" w:lineRule="auto"/>
        <w:rPr>
          <w:sz w:val="20"/>
          <w:szCs w:val="20"/>
          <w:color w:val="auto"/>
        </w:rPr>
      </w:pPr>
      <w:r>
        <w:rPr>
          <w:rFonts w:ascii="Arial" w:cs="Arial" w:eastAsia="Arial" w:hAnsi="Arial"/>
          <w:sz w:val="17"/>
          <w:szCs w:val="17"/>
          <w:color w:val="auto"/>
        </w:rPr>
        <w:t>Tradeweb Institutional offers dealer-to-client and all-to-all trading and related solutions to over 1,900 liquidity-taking clients. Our clients include leading asset managers, hedge funds, insurance companies, regional dealers and central banks/sovereign entities. The Tradeweb Institutional platform serves 95% of the world’s largest 100 asset managers, over 80% of the top 25 insurance companies and over 50 central banks/sovereign entities with more than 140 dealers providing liquidity. Tradeweb Institutional offers trading in a wide variety of products, including U.S. Treasuries, European government bonds, TBA MBS, global interest rate swaps, global corporate bonds and ETFs. Our trading protocols include RFQ, Request-for-Market, Request-for-Stream, list trading, compression, blast all-to-all, Click-to-Trade and inventory-based.</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Wholesale</w:t>
      </w:r>
    </w:p>
    <w:p>
      <w:pPr>
        <w:spacing w:after="0" w:line="104"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provide fully electronic, hybrid and voice trading for the wholesale community on our Dealerweb platform. Our clients include more than 300 dealers with more than 90 dealers actively trading on our electronic and hybrid markets. Nearly all of our electronic and hybrid dealer clients also trade on the Tradeweb Institutional and Tradeweb Direct platforms. Dealerweb’s leading markets include TBA MBS, global credit, U.S. Treasuries, repurchase agreements and U.S. dollar-denominated swaps.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25% growth in the number of e-participants on our wholesale client sector markets since the first quarter of 2016.</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Retail</w:t>
      </w:r>
    </w:p>
    <w:p>
      <w:pPr>
        <w:spacing w:after="0" w:line="10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Tradeweb Direct, our regulated Alternative Trading System (“ATS”), offers financial advisors and their retail clients access to micro-lot liquidity provided by our network of broker-dealers. Tradeweb Direct serves over 54,000 financial advisors at more than 200 retail brokerage and advisory firms. In addition, certain Tradeweb Direct clients provide access to more than 64,000 retail clients through white-labeled, web-based front ends. Tradeweb Direct also provides access to its ATS to large and middle-market asset managers. Tradeweb Direct offers trading in a range of products, including U.S. corporate bonds, municipal</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spacing w:after="0" w:line="264" w:lineRule="auto"/>
        <w:rPr>
          <w:sz w:val="20"/>
          <w:szCs w:val="20"/>
          <w:color w:val="auto"/>
        </w:rPr>
      </w:pPr>
      <w:r>
        <w:rPr>
          <w:rFonts w:ascii="Arial" w:cs="Arial" w:eastAsia="Arial" w:hAnsi="Arial"/>
          <w:sz w:val="18"/>
          <w:szCs w:val="18"/>
          <w:color w:val="auto"/>
        </w:rPr>
        <w:t>bonds and certificates of deposit (CDs), using our Click-to-Trade, inventory-based and RFQ trading protocols . Participants on Tradeweb Direct have the ability to connect to our marketplaces via workstations or APIs or through access to websites that are white-labeled for our clients.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Asset Classes and Products</w:t>
      </w:r>
    </w:p>
    <w:p>
      <w:pPr>
        <w:spacing w:after="0" w:line="108"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color w:val="auto"/>
        </w:rPr>
        <w:t>For the full year ended December 31, 2018, approximately 87% of our gross revenue was generated from fees and commissions earned from our asset class and product offerings. We offer efficient and transparent trading across a diverse range of asset classes:</w:t>
      </w:r>
    </w:p>
    <w:p>
      <w:pPr>
        <w:spacing w:after="0" w:line="150" w:lineRule="exact"/>
        <w:rPr>
          <w:sz w:val="20"/>
          <w:szCs w:val="20"/>
          <w:color w:val="auto"/>
        </w:rPr>
      </w:pPr>
    </w:p>
    <w:p>
      <w:pPr>
        <w:jc w:val="both"/>
        <w:ind w:left="1980" w:right="859" w:hanging="352"/>
        <w:spacing w:after="0" w:line="266"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Rates (55%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facilitate trading in major government securities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U.S. Treasury securities, European government bonds, mortgage-backed securities, interest rate swaps and agency/supranational securities and other rates products.</w:t>
      </w:r>
    </w:p>
    <w:p>
      <w:pPr>
        <w:spacing w:after="0" w:line="135" w:lineRule="exact"/>
        <w:rPr>
          <w:rFonts w:ascii="Arial" w:cs="Arial" w:eastAsia="Arial" w:hAnsi="Arial"/>
          <w:sz w:val="18"/>
          <w:szCs w:val="18"/>
          <w:color w:val="auto"/>
        </w:rPr>
      </w:pPr>
    </w:p>
    <w:p>
      <w:pPr>
        <w:ind w:left="1980" w:right="939" w:hanging="352"/>
        <w:spacing w:after="0" w:line="266"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Credit (20%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deep pools of liquidity for our clients in U.S. and</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high grade and high yield bonds, municipal bonds, index, single name and sovereign credit default swaps and other credit products.</w:t>
      </w:r>
    </w:p>
    <w:p>
      <w:pPr>
        <w:spacing w:after="0" w:line="135" w:lineRule="exact"/>
        <w:rPr>
          <w:rFonts w:ascii="Arial" w:cs="Arial" w:eastAsia="Arial" w:hAnsi="Arial"/>
          <w:sz w:val="18"/>
          <w:szCs w:val="18"/>
          <w:color w:val="auto"/>
        </w:rPr>
      </w:pPr>
    </w:p>
    <w:p>
      <w:pPr>
        <w:ind w:left="1980" w:right="859" w:hanging="352"/>
        <w:spacing w:after="0" w:line="266"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Money Markets (5%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a broad range of money market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commercial paper, agency discount notes, repurchase agreements, certificates of deposit and treasury bills and other money markets products.</w:t>
      </w:r>
    </w:p>
    <w:p>
      <w:pPr>
        <w:spacing w:after="0" w:line="149" w:lineRule="exact"/>
        <w:rPr>
          <w:rFonts w:ascii="Arial" w:cs="Arial" w:eastAsia="Arial" w:hAnsi="Arial"/>
          <w:sz w:val="18"/>
          <w:szCs w:val="18"/>
          <w:color w:val="auto"/>
        </w:rPr>
      </w:pPr>
    </w:p>
    <w:p>
      <w:pPr>
        <w:ind w:left="1980" w:right="1239" w:hanging="352"/>
        <w:spacing w:after="0" w:line="282"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Equities (6%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Our equity trading products include global ETFs,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and other equities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88900</wp:posOffset>
            </wp:positionV>
            <wp:extent cx="5085715" cy="275272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085715"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Geographies</w:t>
      </w:r>
    </w:p>
    <w:p>
      <w:pPr>
        <w:spacing w:after="0" w:line="108" w:lineRule="exact"/>
        <w:rPr>
          <w:sz w:val="20"/>
          <w:szCs w:val="20"/>
          <w:color w:val="auto"/>
        </w:rPr>
      </w:pPr>
    </w:p>
    <w:p>
      <w:pPr>
        <w:jc w:val="both"/>
        <w:ind w:left="1260" w:right="919" w:firstLine="360"/>
        <w:spacing w:after="0" w:line="264" w:lineRule="auto"/>
        <w:rPr>
          <w:sz w:val="20"/>
          <w:szCs w:val="20"/>
          <w:color w:val="auto"/>
        </w:rPr>
      </w:pPr>
      <w:r>
        <w:rPr>
          <w:rFonts w:ascii="Arial" w:cs="Arial" w:eastAsia="Arial" w:hAnsi="Arial"/>
          <w:sz w:val="18"/>
          <w:szCs w:val="18"/>
          <w:color w:val="auto"/>
        </w:rPr>
        <w:t>We have a global footprint, serving clients, including over 1,900 institutional liquidity-taking clients, in 62 countries across the Americas, EMEA (Europe, Middle East and Africa) and APAC (Asia Pacific) regions and with offices in North America, Europe and Asia. By region:</w:t>
      </w:r>
    </w:p>
    <w:p>
      <w:pPr>
        <w:spacing w:after="0" w:line="141" w:lineRule="exact"/>
        <w:rPr>
          <w:sz w:val="20"/>
          <w:szCs w:val="20"/>
          <w:color w:val="auto"/>
        </w:rPr>
      </w:pPr>
    </w:p>
    <w:p>
      <w:pPr>
        <w:ind w:left="1980" w:right="879" w:hanging="352"/>
        <w:spacing w:after="0" w:line="277" w:lineRule="auto"/>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serve over 900 clients in the Americas, including 8 central banks / sovereign entities across North, Central and South America.</w:t>
      </w:r>
    </w:p>
    <w:p>
      <w:pPr>
        <w:spacing w:after="0" w:line="143"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serve over 700 clients in EMEA, including 42 central banks / sovereign entities across Europe, the Middle East and North Africa.</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979" w:hanging="352"/>
        <w:spacing w:after="0" w:line="277" w:lineRule="auto"/>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serve nearly 300 clients in APAC, including 12 central banks / sovereign entities across Asia, the Pacific, Oceania and the Indian sub-continent.</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addition, we currently support trading across 24 currencies globally.</w:t>
      </w:r>
    </w:p>
    <w:p>
      <w:pPr>
        <w:spacing w:after="0" w:line="117"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believe our platforms, technology and solutions have made trading in markets globally more efficient and transparent. Furthermore, our expertise in multiple jurisdictions positions us as a partner of choice as our clients expand their trading operations to new geographies. As the global markets move to electronic trading, we expect to be at the forefront of this change.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Solutions</w:t>
      </w:r>
    </w:p>
    <w:p>
      <w:pPr>
        <w:spacing w:after="0" w:line="10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We provide clients with solutions across the trade lifecycle including pre-trade data and analytics, intelligent trade execution, straight-through processing and post-trade data, analytics and reporting.</w:t>
      </w:r>
    </w:p>
    <w:p>
      <w:pPr>
        <w:spacing w:after="0" w:line="126" w:lineRule="exact"/>
        <w:rPr>
          <w:sz w:val="20"/>
          <w:szCs w:val="20"/>
          <w:color w:val="auto"/>
        </w:rPr>
      </w:pPr>
    </w:p>
    <w:p>
      <w:pPr>
        <w:ind w:left="1980" w:right="999" w:hanging="352"/>
        <w:spacing w:after="0" w:line="290" w:lineRule="auto"/>
        <w:tabs>
          <w:tab w:leader="none" w:pos="1980" w:val="left"/>
        </w:tabs>
        <w:numPr>
          <w:ilvl w:val="0"/>
          <w:numId w:val="92"/>
        </w:numPr>
        <w:rPr>
          <w:rFonts w:ascii="Arial" w:cs="Arial" w:eastAsia="Arial" w:hAnsi="Arial"/>
          <w:sz w:val="16"/>
          <w:szCs w:val="16"/>
          <w:color w:val="auto"/>
        </w:rPr>
      </w:pPr>
      <w:r>
        <w:rPr>
          <w:rFonts w:ascii="Arial" w:cs="Arial" w:eastAsia="Arial" w:hAnsi="Arial"/>
          <w:sz w:val="16"/>
          <w:szCs w:val="16"/>
          <w:b w:val="1"/>
          <w:bCs w:val="1"/>
          <w:u w:val="single" w:color="auto"/>
          <w:color w:val="auto"/>
        </w:rPr>
        <w:t>Pre-Trade Data and Analytics</w:t>
      </w:r>
      <w:r>
        <w:rPr>
          <w:rFonts w:ascii="Arial" w:cs="Arial" w:eastAsia="Arial" w:hAnsi="Arial"/>
          <w:sz w:val="16"/>
          <w:szCs w:val="16"/>
          <w:b w:val="1"/>
          <w:bCs w:val="1"/>
          <w:color w:val="auto"/>
        </w:rPr>
        <w:t xml:space="preserve">: </w:t>
      </w:r>
      <w:r>
        <w:rPr>
          <w:rFonts w:ascii="Arial" w:cs="Arial" w:eastAsia="Arial" w:hAnsi="Arial"/>
          <w:sz w:val="16"/>
          <w:szCs w:val="16"/>
          <w:color w:val="auto"/>
        </w:rPr>
        <w:t>We provide clients with accurate, real-time market data and</w:t>
      </w:r>
      <w:r>
        <w:rPr>
          <w:rFonts w:ascii="Arial" w:cs="Arial" w:eastAsia="Arial" w:hAnsi="Arial"/>
          <w:sz w:val="16"/>
          <w:szCs w:val="16"/>
          <w:b w:val="1"/>
          <w:bCs w:val="1"/>
          <w:color w:val="auto"/>
        </w:rPr>
        <w:t xml:space="preserve"> </w:t>
      </w:r>
      <w:r>
        <w:rPr>
          <w:rFonts w:ascii="Arial" w:cs="Arial" w:eastAsia="Arial" w:hAnsi="Arial"/>
          <w:sz w:val="16"/>
          <w:szCs w:val="16"/>
          <w:color w:val="auto"/>
        </w:rPr>
        <w:t>streaming price updates across more than 40 products. Major financial publications across the globe reference our market data. Our real-time market data services include major government bonds, corporate bonds, mortgage-backed securities, fixed income derivatives and money markets. For example, data and analytics power our Automated Intelligent Price, or Ai-Price, functionality, which delivers benchmark pricing and insights for more than 10,000 U.S. corporate bonds.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p>
    <w:p>
      <w:pPr>
        <w:spacing w:after="0" w:line="119" w:lineRule="exact"/>
        <w:rPr>
          <w:rFonts w:ascii="Arial" w:cs="Arial" w:eastAsia="Arial" w:hAnsi="Arial"/>
          <w:sz w:val="16"/>
          <w:szCs w:val="16"/>
          <w:color w:val="auto"/>
        </w:rPr>
      </w:pPr>
    </w:p>
    <w:p>
      <w:pPr>
        <w:ind w:left="1980" w:right="879" w:hanging="352"/>
        <w:spacing w:after="0" w:line="281" w:lineRule="auto"/>
        <w:tabs>
          <w:tab w:leader="none" w:pos="1980" w:val="left"/>
        </w:tabs>
        <w:numPr>
          <w:ilvl w:val="0"/>
          <w:numId w:val="92"/>
        </w:numPr>
        <w:rPr>
          <w:rFonts w:ascii="Arial" w:cs="Arial" w:eastAsia="Arial" w:hAnsi="Arial"/>
          <w:sz w:val="17"/>
          <w:szCs w:val="17"/>
          <w:color w:val="auto"/>
        </w:rPr>
      </w:pPr>
      <w:r>
        <w:rPr>
          <w:rFonts w:ascii="Arial" w:cs="Arial" w:eastAsia="Arial" w:hAnsi="Arial"/>
          <w:sz w:val="17"/>
          <w:szCs w:val="17"/>
          <w:b w:val="1"/>
          <w:bCs w:val="1"/>
          <w:u w:val="single" w:color="auto"/>
          <w:color w:val="auto"/>
        </w:rPr>
        <w:t>Trade 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Trade execution is at the core of our business. We provide marketplaces and tools</w:t>
      </w:r>
      <w:r>
        <w:rPr>
          <w:rFonts w:ascii="Arial" w:cs="Arial" w:eastAsia="Arial" w:hAnsi="Arial"/>
          <w:sz w:val="17"/>
          <w:szCs w:val="17"/>
          <w:b w:val="1"/>
          <w:bCs w:val="1"/>
          <w:color w:val="auto"/>
        </w:rPr>
        <w:t xml:space="preserve"> </w:t>
      </w:r>
      <w:r>
        <w:rPr>
          <w:rFonts w:ascii="Arial" w:cs="Arial" w:eastAsia="Arial" w:hAnsi="Arial"/>
          <w:sz w:val="17"/>
          <w:szCs w:val="17"/>
          <w:color w:val="auto"/>
        </w:rPr>
        <w:t>that facilitate trading by our clients and streamline their related workflows. Our market specialists and technology team work closely with our clients to continuously innovate and improve their trading practices. The trading protocols we currently offer on our platforms include:</w:t>
      </w:r>
    </w:p>
    <w:p>
      <w:pPr>
        <w:spacing w:after="0" w:line="128" w:lineRule="exact"/>
        <w:rPr>
          <w:rFonts w:ascii="Arial" w:cs="Arial" w:eastAsia="Arial" w:hAnsi="Arial"/>
          <w:sz w:val="17"/>
          <w:szCs w:val="17"/>
          <w:color w:val="auto"/>
        </w:rPr>
      </w:pPr>
    </w:p>
    <w:p>
      <w:pPr>
        <w:ind w:left="2340" w:right="939" w:hanging="351"/>
        <w:spacing w:after="0" w:line="293" w:lineRule="auto"/>
        <w:tabs>
          <w:tab w:leader="none" w:pos="2340" w:val="left"/>
        </w:tabs>
        <w:numPr>
          <w:ilvl w:val="1"/>
          <w:numId w:val="92"/>
        </w:numPr>
        <w:rPr>
          <w:rFonts w:ascii="Arial" w:cs="Arial" w:eastAsia="Arial" w:hAnsi="Arial"/>
          <w:sz w:val="16"/>
          <w:szCs w:val="16"/>
          <w:color w:val="auto"/>
        </w:rPr>
      </w:pPr>
      <w:r>
        <w:rPr>
          <w:rFonts w:ascii="Arial" w:cs="Arial" w:eastAsia="Arial" w:hAnsi="Arial"/>
          <w:sz w:val="16"/>
          <w:szCs w:val="16"/>
          <w:i w:val="1"/>
          <w:iCs w:val="1"/>
          <w:u w:val="single" w:color="auto"/>
          <w:color w:val="auto"/>
        </w:rPr>
        <w:t>Request-for-quote</w:t>
      </w:r>
      <w:r>
        <w:rPr>
          <w:rFonts w:ascii="Arial" w:cs="Arial" w:eastAsia="Arial" w:hAnsi="Arial"/>
          <w:sz w:val="16"/>
          <w:szCs w:val="16"/>
          <w:i w:val="1"/>
          <w:iCs w:val="1"/>
          <w:color w:val="auto"/>
        </w:rPr>
        <w:t xml:space="preserve">. </w:t>
      </w:r>
      <w:r>
        <w:rPr>
          <w:rFonts w:ascii="Arial" w:cs="Arial" w:eastAsia="Arial" w:hAnsi="Arial"/>
          <w:sz w:val="16"/>
          <w:szCs w:val="16"/>
          <w:color w:val="auto"/>
        </w:rPr>
        <w:t>Our multi-dealer request-for-quote, or RFQ, protocol provides institutional</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with the ability to hold a real-time 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 — both buy-side and sell-side names are known prior to execution. Multi-dealer RFQ assists clients with achieving best execution.</w:t>
      </w:r>
    </w:p>
    <w:p>
      <w:pPr>
        <w:spacing w:after="0" w:line="124" w:lineRule="exact"/>
        <w:rPr>
          <w:rFonts w:ascii="Arial" w:cs="Arial" w:eastAsia="Arial" w:hAnsi="Arial"/>
          <w:sz w:val="16"/>
          <w:szCs w:val="16"/>
          <w:color w:val="auto"/>
        </w:rPr>
      </w:pPr>
    </w:p>
    <w:p>
      <w:pPr>
        <w:ind w:left="2340" w:right="819" w:hanging="351"/>
        <w:spacing w:after="0" w:line="255" w:lineRule="auto"/>
        <w:tabs>
          <w:tab w:leader="none" w:pos="2340" w:val="left"/>
        </w:tabs>
        <w:numPr>
          <w:ilvl w:val="1"/>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Request-for-market</w:t>
      </w:r>
      <w:r>
        <w:rPr>
          <w:rFonts w:ascii="Arial" w:cs="Arial" w:eastAsia="Arial" w:hAnsi="Arial"/>
          <w:sz w:val="18"/>
          <w:szCs w:val="18"/>
          <w:i w:val="1"/>
          <w:iCs w:val="1"/>
          <w:color w:val="auto"/>
        </w:rPr>
        <w:t xml:space="preserve">. </w:t>
      </w:r>
      <w:r>
        <w:rPr>
          <w:rFonts w:ascii="Arial" w:cs="Arial" w:eastAsia="Arial" w:hAnsi="Arial"/>
          <w:sz w:val="18"/>
          <w:szCs w:val="18"/>
          <w:color w:val="auto"/>
        </w:rPr>
        <w:t>Our request-for-market, or RFM, protocol provides institutional clients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request a two-sided market 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p>
    <w:p>
      <w:pPr>
        <w:spacing w:after="0" w:line="152" w:lineRule="exact"/>
        <w:rPr>
          <w:rFonts w:ascii="Arial" w:cs="Arial" w:eastAsia="Arial" w:hAnsi="Arial"/>
          <w:sz w:val="18"/>
          <w:szCs w:val="18"/>
          <w:color w:val="auto"/>
        </w:rPr>
      </w:pPr>
    </w:p>
    <w:p>
      <w:pPr>
        <w:ind w:left="2340" w:right="1039" w:hanging="351"/>
        <w:spacing w:after="0" w:line="264" w:lineRule="auto"/>
        <w:tabs>
          <w:tab w:leader="none" w:pos="2340" w:val="left"/>
        </w:tabs>
        <w:numPr>
          <w:ilvl w:val="1"/>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Request-for-stream</w:t>
      </w:r>
      <w:r>
        <w:rPr>
          <w:rFonts w:ascii="Arial" w:cs="Arial" w:eastAsia="Arial" w:hAnsi="Arial"/>
          <w:sz w:val="18"/>
          <w:szCs w:val="18"/>
          <w:i w:val="1"/>
          <w:iCs w:val="1"/>
          <w:color w:val="auto"/>
        </w:rPr>
        <w:t xml:space="preserve">. </w:t>
      </w:r>
      <w:r>
        <w:rPr>
          <w:rFonts w:ascii="Arial" w:cs="Arial" w:eastAsia="Arial" w:hAnsi="Arial"/>
          <w:sz w:val="18"/>
          <w:szCs w:val="18"/>
          <w:color w:val="auto"/>
        </w:rPr>
        <w:t>Our request-for-stream, or RFS, protocol allows multiple dealers to show</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continuously updating rates, in line with market movements, during a client’s request window.</w:t>
      </w:r>
    </w:p>
    <w:p>
      <w:pPr>
        <w:spacing w:after="0" w:line="140" w:lineRule="exact"/>
        <w:rPr>
          <w:rFonts w:ascii="Arial" w:cs="Arial" w:eastAsia="Arial" w:hAnsi="Arial"/>
          <w:sz w:val="18"/>
          <w:szCs w:val="18"/>
          <w:color w:val="auto"/>
        </w:rPr>
      </w:pPr>
    </w:p>
    <w:p>
      <w:pPr>
        <w:ind w:left="2340" w:right="759" w:hanging="351"/>
        <w:spacing w:after="0" w:line="279" w:lineRule="auto"/>
        <w:tabs>
          <w:tab w:leader="none" w:pos="2340" w:val="left"/>
        </w:tabs>
        <w:numPr>
          <w:ilvl w:val="1"/>
          <w:numId w:val="92"/>
        </w:numPr>
        <w:rPr>
          <w:rFonts w:ascii="Arial" w:cs="Arial" w:eastAsia="Arial" w:hAnsi="Arial"/>
          <w:sz w:val="17"/>
          <w:szCs w:val="17"/>
          <w:color w:val="auto"/>
        </w:rPr>
      </w:pPr>
      <w:r>
        <w:rPr>
          <w:rFonts w:ascii="Arial" w:cs="Arial" w:eastAsia="Arial" w:hAnsi="Arial"/>
          <w:sz w:val="17"/>
          <w:szCs w:val="17"/>
          <w:i w:val="1"/>
          <w:iCs w:val="1"/>
          <w:u w:val="single" w:color="auto"/>
          <w:color w:val="auto"/>
        </w:rPr>
        <w:t>List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Used by clients with multiple transactions to complete, our list trading protocol is a</w:t>
      </w:r>
      <w:r>
        <w:rPr>
          <w:rFonts w:ascii="Arial" w:cs="Arial" w:eastAsia="Arial" w:hAnsi="Arial"/>
          <w:sz w:val="17"/>
          <w:szCs w:val="17"/>
          <w:i w:val="1"/>
          <w:iCs w:val="1"/>
          <w:color w:val="auto"/>
        </w:rPr>
        <w:t xml:space="preserve"> </w:t>
      </w:r>
      <w:r>
        <w:rPr>
          <w:rFonts w:ascii="Arial" w:cs="Arial" w:eastAsia="Arial" w:hAnsi="Arial"/>
          <w:sz w:val="17"/>
          <w:szCs w:val="17"/>
          <w:color w:val="auto"/>
        </w:rPr>
        <w:t>highly efficient workflow tool. By executing many trades at once, clients can request prices from multiple dealers to extract the best price and complete the hedging of the trades at one time, saving significant manual effort compared to executing on the telephone.</w:t>
      </w:r>
    </w:p>
    <w:p>
      <w:pPr>
        <w:spacing w:after="0" w:line="130" w:lineRule="exact"/>
        <w:rPr>
          <w:rFonts w:ascii="Arial" w:cs="Arial" w:eastAsia="Arial" w:hAnsi="Arial"/>
          <w:sz w:val="17"/>
          <w:szCs w:val="17"/>
          <w:color w:val="auto"/>
        </w:rPr>
      </w:pPr>
    </w:p>
    <w:p>
      <w:pPr>
        <w:jc w:val="both"/>
        <w:ind w:left="2340" w:right="1119" w:hanging="351"/>
        <w:spacing w:after="0" w:line="312" w:lineRule="auto"/>
        <w:tabs>
          <w:tab w:leader="none" w:pos="2340" w:val="left"/>
        </w:tabs>
        <w:numPr>
          <w:ilvl w:val="1"/>
          <w:numId w:val="92"/>
        </w:numPr>
        <w:rPr>
          <w:rFonts w:ascii="Arial" w:cs="Arial" w:eastAsia="Arial" w:hAnsi="Arial"/>
          <w:sz w:val="16"/>
          <w:szCs w:val="16"/>
          <w:color w:val="auto"/>
        </w:rPr>
      </w:pPr>
      <w:r>
        <w:rPr>
          <w:rFonts w:ascii="Arial" w:cs="Arial" w:eastAsia="Arial" w:hAnsi="Arial"/>
          <w:sz w:val="16"/>
          <w:szCs w:val="16"/>
          <w:i w:val="1"/>
          <w:iCs w:val="1"/>
          <w:u w:val="single" w:color="auto"/>
          <w:color w:val="auto"/>
        </w:rPr>
        <w:t>Compression</w:t>
      </w:r>
      <w:r>
        <w:rPr>
          <w:rFonts w:ascii="Arial" w:cs="Arial" w:eastAsia="Arial" w:hAnsi="Arial"/>
          <w:sz w:val="16"/>
          <w:szCs w:val="16"/>
          <w:color w:val="auto"/>
        </w:rPr>
        <w:t>. Clients utilize our interest rate swap compression tool as an efficient means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the number of line items they have outstanding at a clearinghouse by netting offsetting positions in a single transaction. This functionality allows clients to submit up to 250 line</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2340" w:right="859"/>
        <w:spacing w:after="0" w:line="259" w:lineRule="auto"/>
        <w:rPr>
          <w:sz w:val="20"/>
          <w:szCs w:val="20"/>
          <w:color w:val="auto"/>
        </w:rPr>
      </w:pPr>
      <w:r>
        <w:rPr>
          <w:rFonts w:ascii="Arial" w:cs="Arial" w:eastAsia="Arial" w:hAnsi="Arial"/>
          <w:sz w:val="18"/>
          <w:szCs w:val="18"/>
          <w:color w:val="auto"/>
        </w:rPr>
        <w:t>items to liquidity providers for simultaneous list pricing, which they can execute, clear and report in one transaction, reducing both their risk and clearing costs. The Tradeweb compression tool is flexible and versatile in design allowing clients to adapt the tool to their workflow and customize for granular swaps.</w:t>
      </w:r>
    </w:p>
    <w:p>
      <w:pPr>
        <w:spacing w:after="0" w:line="133" w:lineRule="exact"/>
        <w:rPr>
          <w:sz w:val="20"/>
          <w:szCs w:val="20"/>
          <w:color w:val="auto"/>
        </w:rPr>
      </w:pPr>
    </w:p>
    <w:p>
      <w:pPr>
        <w:ind w:left="2340" w:right="879" w:hanging="351"/>
        <w:spacing w:after="0" w:line="290" w:lineRule="auto"/>
        <w:tabs>
          <w:tab w:leader="none" w:pos="2340" w:val="left"/>
        </w:tabs>
        <w:numPr>
          <w:ilvl w:val="0"/>
          <w:numId w:val="93"/>
        </w:numPr>
        <w:rPr>
          <w:rFonts w:ascii="Arial" w:cs="Arial" w:eastAsia="Arial" w:hAnsi="Arial"/>
          <w:sz w:val="16"/>
          <w:szCs w:val="16"/>
          <w:color w:val="auto"/>
        </w:rPr>
      </w:pPr>
      <w:r>
        <w:rPr>
          <w:rFonts w:ascii="Arial" w:cs="Arial" w:eastAsia="Arial" w:hAnsi="Arial"/>
          <w:sz w:val="16"/>
          <w:szCs w:val="16"/>
          <w:i w:val="1"/>
          <w:iCs w:val="1"/>
          <w:u w:val="single" w:color="auto"/>
          <w:color w:val="auto"/>
        </w:rPr>
        <w:t>Blast all-to-all</w:t>
      </w:r>
      <w:r>
        <w:rPr>
          <w:rFonts w:ascii="Arial" w:cs="Arial" w:eastAsia="Arial" w:hAnsi="Arial"/>
          <w:sz w:val="16"/>
          <w:szCs w:val="16"/>
          <w:i w:val="1"/>
          <w:iCs w:val="1"/>
          <w:color w:val="auto"/>
        </w:rPr>
        <w:t xml:space="preserve">. </w:t>
      </w:r>
      <w:r>
        <w:rPr>
          <w:rFonts w:ascii="Arial" w:cs="Arial" w:eastAsia="Arial" w:hAnsi="Arial"/>
          <w:sz w:val="16"/>
          <w:szCs w:val="16"/>
          <w:color w:val="auto"/>
        </w:rPr>
        <w:t>Our Blast all-to-all, or A2A, protocol allows clients to send RFQ trade inquiries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market participants in a given 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98" w:lineRule="exact"/>
        <w:rPr>
          <w:rFonts w:ascii="Arial" w:cs="Arial" w:eastAsia="Arial" w:hAnsi="Arial"/>
          <w:sz w:val="16"/>
          <w:szCs w:val="16"/>
          <w:color w:val="auto"/>
        </w:rPr>
      </w:pPr>
    </w:p>
    <w:p>
      <w:pPr>
        <w:ind w:left="2340" w:right="799" w:hanging="351"/>
        <w:spacing w:after="0" w:line="259" w:lineRule="auto"/>
        <w:tabs>
          <w:tab w:leader="none" w:pos="2340" w:val="left"/>
        </w:tabs>
        <w:numPr>
          <w:ilvl w:val="0"/>
          <w:numId w:val="93"/>
        </w:numPr>
        <w:rPr>
          <w:rFonts w:ascii="Arial" w:cs="Arial" w:eastAsia="Arial" w:hAnsi="Arial"/>
          <w:sz w:val="18"/>
          <w:szCs w:val="18"/>
          <w:color w:val="auto"/>
        </w:rPr>
      </w:pPr>
      <w:r>
        <w:rPr>
          <w:rFonts w:ascii="Arial" w:cs="Arial" w:eastAsia="Arial" w:hAnsi="Arial"/>
          <w:sz w:val="18"/>
          <w:szCs w:val="18"/>
          <w:i w:val="1"/>
          <w:iCs w:val="1"/>
          <w:u w:val="single" w:color="auto"/>
          <w:color w:val="auto"/>
        </w:rPr>
        <w:t>Click-to-trade</w:t>
      </w:r>
      <w:r>
        <w:rPr>
          <w:rFonts w:ascii="Arial" w:cs="Arial" w:eastAsia="Arial" w:hAnsi="Arial"/>
          <w:sz w:val="18"/>
          <w:szCs w:val="18"/>
          <w:i w:val="1"/>
          <w:iCs w:val="1"/>
          <w:color w:val="auto"/>
        </w:rPr>
        <w:t xml:space="preserve">. </w:t>
      </w:r>
      <w:r>
        <w:rPr>
          <w:rFonts w:ascii="Arial" w:cs="Arial" w:eastAsia="Arial" w:hAnsi="Arial"/>
          <w:sz w:val="18"/>
          <w:szCs w:val="18"/>
          <w:color w:val="auto"/>
        </w:rPr>
        <w:t>Our click-to-trade, or CTT, protocol enables a liquidity-taking client to view a set</w:t>
      </w:r>
      <w:r>
        <w:rPr>
          <w:rFonts w:ascii="Arial" w:cs="Arial" w:eastAsia="Arial" w:hAnsi="Arial"/>
          <w:sz w:val="18"/>
          <w:szCs w:val="18"/>
          <w:i w:val="1"/>
          <w:iCs w:val="1"/>
          <w:color w:val="auto"/>
        </w:rPr>
        <w:t xml:space="preserve"> </w:t>
      </w:r>
      <w:r>
        <w:rPr>
          <w:rFonts w:ascii="Arial" w:cs="Arial" w:eastAsia="Arial" w:hAnsi="Arial"/>
          <w:sz w:val="18"/>
          <w:szCs w:val="18"/>
          <w:color w:val="auto"/>
        </w:rPr>
        <w:t>of prices in real-time and click on the price and the dealer with whom they wish to execute. This trading protocol is especially popular with clients that are looking to view a range of executable, real-time prices across dealers.</w:t>
      </w:r>
    </w:p>
    <w:p>
      <w:pPr>
        <w:spacing w:after="0" w:line="119" w:lineRule="exact"/>
        <w:rPr>
          <w:rFonts w:ascii="Arial" w:cs="Arial" w:eastAsia="Arial" w:hAnsi="Arial"/>
          <w:sz w:val="18"/>
          <w:szCs w:val="18"/>
          <w:color w:val="auto"/>
        </w:rPr>
      </w:pPr>
    </w:p>
    <w:p>
      <w:pPr>
        <w:ind w:left="2340" w:right="759" w:hanging="351"/>
        <w:spacing w:after="0" w:line="276" w:lineRule="auto"/>
        <w:tabs>
          <w:tab w:leader="none" w:pos="2340" w:val="left"/>
        </w:tabs>
        <w:numPr>
          <w:ilvl w:val="0"/>
          <w:numId w:val="93"/>
        </w:numPr>
        <w:rPr>
          <w:rFonts w:ascii="Arial" w:cs="Arial" w:eastAsia="Arial" w:hAnsi="Arial"/>
          <w:sz w:val="17"/>
          <w:szCs w:val="17"/>
          <w:color w:val="auto"/>
        </w:rPr>
      </w:pPr>
      <w:r>
        <w:rPr>
          <w:rFonts w:ascii="Arial" w:cs="Arial" w:eastAsia="Arial" w:hAnsi="Arial"/>
          <w:sz w:val="17"/>
          <w:szCs w:val="17"/>
          <w:i w:val="1"/>
          <w:iCs w:val="1"/>
          <w:u w:val="single" w:color="auto"/>
          <w:color w:val="auto"/>
        </w:rPr>
        <w:t>Session-based</w:t>
      </w:r>
      <w:r>
        <w:rPr>
          <w:rFonts w:ascii="Arial" w:cs="Arial" w:eastAsia="Arial" w:hAnsi="Arial"/>
          <w:sz w:val="17"/>
          <w:szCs w:val="17"/>
          <w:color w:val="auto"/>
        </w:rPr>
        <w:t>. Sweep, our session-based trading protocol, allows clients to manage inventory</w:t>
      </w:r>
      <w:r>
        <w:rPr>
          <w:rFonts w:ascii="Arial" w:cs="Arial" w:eastAsia="Arial" w:hAnsi="Arial"/>
          <w:sz w:val="17"/>
          <w:szCs w:val="17"/>
          <w:i w:val="1"/>
          <w:iCs w:val="1"/>
          <w:color w:val="auto"/>
        </w:rPr>
        <w:t xml:space="preserve"> </w:t>
      </w:r>
      <w:r>
        <w:rPr>
          <w:rFonts w:ascii="Arial" w:cs="Arial" w:eastAsia="Arial" w:hAnsi="Arial"/>
          <w:sz w:val="17"/>
          <w:szCs w:val="17"/>
          <w:color w:val="auto"/>
        </w:rPr>
        <w:t>and balance sheets by entering orders to be 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105" w:lineRule="exact"/>
        <w:rPr>
          <w:rFonts w:ascii="Arial" w:cs="Arial" w:eastAsia="Arial" w:hAnsi="Arial"/>
          <w:sz w:val="17"/>
          <w:szCs w:val="17"/>
          <w:color w:val="auto"/>
        </w:rPr>
      </w:pPr>
    </w:p>
    <w:p>
      <w:pPr>
        <w:ind w:left="2340" w:right="819" w:hanging="351"/>
        <w:spacing w:after="0" w:line="259" w:lineRule="auto"/>
        <w:tabs>
          <w:tab w:leader="none" w:pos="2340" w:val="left"/>
        </w:tabs>
        <w:numPr>
          <w:ilvl w:val="0"/>
          <w:numId w:val="93"/>
        </w:numPr>
        <w:rPr>
          <w:rFonts w:ascii="Arial" w:cs="Arial" w:eastAsia="Arial" w:hAnsi="Arial"/>
          <w:sz w:val="18"/>
          <w:szCs w:val="18"/>
          <w:color w:val="auto"/>
        </w:rPr>
      </w:pPr>
      <w:r>
        <w:rPr>
          <w:rFonts w:ascii="Arial" w:cs="Arial" w:eastAsia="Arial" w:hAnsi="Arial"/>
          <w:sz w:val="18"/>
          <w:szCs w:val="18"/>
          <w:i w:val="1"/>
          <w:iCs w:val="1"/>
          <w:u w:val="single" w:color="auto"/>
          <w:color w:val="auto"/>
        </w:rPr>
        <w:t>Central Limit Order Book</w:t>
      </w:r>
      <w:r>
        <w:rPr>
          <w:rFonts w:ascii="Arial" w:cs="Arial" w:eastAsia="Arial" w:hAnsi="Arial"/>
          <w:sz w:val="18"/>
          <w:szCs w:val="18"/>
          <w:i w:val="1"/>
          <w:iCs w:val="1"/>
          <w:color w:val="auto"/>
        </w:rPr>
        <w:t xml:space="preserve">. </w:t>
      </w:r>
      <w:r>
        <w:rPr>
          <w:rFonts w:ascii="Arial" w:cs="Arial" w:eastAsia="Arial" w:hAnsi="Arial"/>
          <w:sz w:val="18"/>
          <w:szCs w:val="18"/>
          <w:color w:val="auto"/>
        </w:rPr>
        <w:t>Our central limit order book, or CLOB, is a continuous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protocol that allows clients to trade on firm bids and offers from other market participants, as well as enter their own resting bids and offers for display to the market participants, typically anonymously.</w:t>
      </w:r>
    </w:p>
    <w:p>
      <w:pPr>
        <w:spacing w:after="0" w:line="119" w:lineRule="exact"/>
        <w:rPr>
          <w:rFonts w:ascii="Arial" w:cs="Arial" w:eastAsia="Arial" w:hAnsi="Arial"/>
          <w:sz w:val="18"/>
          <w:szCs w:val="18"/>
          <w:color w:val="auto"/>
        </w:rPr>
      </w:pPr>
    </w:p>
    <w:p>
      <w:pPr>
        <w:ind w:left="2340" w:right="859" w:hanging="351"/>
        <w:spacing w:after="0" w:line="273" w:lineRule="auto"/>
        <w:tabs>
          <w:tab w:leader="none" w:pos="2340" w:val="left"/>
        </w:tabs>
        <w:numPr>
          <w:ilvl w:val="0"/>
          <w:numId w:val="93"/>
        </w:numPr>
        <w:rPr>
          <w:rFonts w:ascii="Arial" w:cs="Arial" w:eastAsia="Arial" w:hAnsi="Arial"/>
          <w:sz w:val="17"/>
          <w:szCs w:val="17"/>
          <w:color w:val="auto"/>
        </w:rPr>
      </w:pPr>
      <w:r>
        <w:rPr>
          <w:rFonts w:ascii="Arial" w:cs="Arial" w:eastAsia="Arial" w:hAnsi="Arial"/>
          <w:sz w:val="17"/>
          <w:szCs w:val="17"/>
          <w:i w:val="1"/>
          <w:iCs w:val="1"/>
          <w:u w:val="single" w:color="auto"/>
          <w:color w:val="auto"/>
        </w:rPr>
        <w:t>Directed streams</w:t>
      </w:r>
      <w:r>
        <w:rPr>
          <w:rFonts w:ascii="Arial" w:cs="Arial" w:eastAsia="Arial" w:hAnsi="Arial"/>
          <w:sz w:val="17"/>
          <w:szCs w:val="17"/>
          <w:i w:val="1"/>
          <w:iCs w:val="1"/>
          <w:color w:val="auto"/>
        </w:rPr>
        <w:t xml:space="preserve">. </w:t>
      </w:r>
      <w:r>
        <w:rPr>
          <w:rFonts w:ascii="Arial" w:cs="Arial" w:eastAsia="Arial" w:hAnsi="Arial"/>
          <w:sz w:val="17"/>
          <w:szCs w:val="17"/>
          <w:color w:val="auto"/>
        </w:rPr>
        <w:t>Our directed streams protocol, which is currently used by our wholesale clients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On-The-Run U.S. 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110" w:lineRule="exact"/>
        <w:rPr>
          <w:rFonts w:ascii="Arial" w:cs="Arial" w:eastAsia="Arial" w:hAnsi="Arial"/>
          <w:sz w:val="17"/>
          <w:szCs w:val="17"/>
          <w:color w:val="auto"/>
        </w:rPr>
      </w:pPr>
    </w:p>
    <w:p>
      <w:pPr>
        <w:ind w:left="2340" w:right="979" w:hanging="351"/>
        <w:spacing w:after="0" w:line="297" w:lineRule="auto"/>
        <w:tabs>
          <w:tab w:leader="none" w:pos="2340" w:val="left"/>
        </w:tabs>
        <w:numPr>
          <w:ilvl w:val="0"/>
          <w:numId w:val="93"/>
        </w:numPr>
        <w:rPr>
          <w:rFonts w:ascii="Arial" w:cs="Arial" w:eastAsia="Arial" w:hAnsi="Arial"/>
          <w:sz w:val="16"/>
          <w:szCs w:val="16"/>
          <w:color w:val="auto"/>
        </w:rPr>
      </w:pPr>
      <w:r>
        <w:rPr>
          <w:rFonts w:ascii="Arial" w:cs="Arial" w:eastAsia="Arial" w:hAnsi="Arial"/>
          <w:sz w:val="16"/>
          <w:szCs w:val="16"/>
          <w:i w:val="1"/>
          <w:iCs w:val="1"/>
          <w:u w:val="single" w:color="auto"/>
          <w:color w:val="auto"/>
        </w:rPr>
        <w:t>Inventory-based</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inventory-based protocol allows liquidity-providing clients to submit a</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bids and offers for particular 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our credit and some money marketplaces.</w:t>
      </w:r>
    </w:p>
    <w:p>
      <w:pPr>
        <w:spacing w:after="0" w:line="104" w:lineRule="exact"/>
        <w:rPr>
          <w:rFonts w:ascii="Arial" w:cs="Arial" w:eastAsia="Arial" w:hAnsi="Arial"/>
          <w:sz w:val="16"/>
          <w:szCs w:val="16"/>
          <w:color w:val="auto"/>
        </w:rPr>
      </w:pPr>
    </w:p>
    <w:p>
      <w:pPr>
        <w:ind w:left="2340" w:right="1079" w:hanging="351"/>
        <w:spacing w:after="0" w:line="259" w:lineRule="auto"/>
        <w:tabs>
          <w:tab w:leader="none" w:pos="2340" w:val="left"/>
        </w:tabs>
        <w:numPr>
          <w:ilvl w:val="0"/>
          <w:numId w:val="93"/>
        </w:numPr>
        <w:rPr>
          <w:rFonts w:ascii="Arial" w:cs="Arial" w:eastAsia="Arial" w:hAnsi="Arial"/>
          <w:sz w:val="18"/>
          <w:szCs w:val="18"/>
          <w:color w:val="auto"/>
        </w:rPr>
      </w:pPr>
      <w:r>
        <w:rPr>
          <w:rFonts w:ascii="Arial" w:cs="Arial" w:eastAsia="Arial" w:hAnsi="Arial"/>
          <w:sz w:val="18"/>
          <w:szCs w:val="18"/>
          <w:i w:val="1"/>
          <w:iCs w:val="1"/>
          <w:u w:val="single" w:color="auto"/>
          <w:color w:val="auto"/>
        </w:rPr>
        <w:t>Voice</w:t>
      </w:r>
      <w:r>
        <w:rPr>
          <w:rFonts w:ascii="Arial" w:cs="Arial" w:eastAsia="Arial" w:hAnsi="Arial"/>
          <w:sz w:val="18"/>
          <w:szCs w:val="18"/>
          <w:i w:val="1"/>
          <w:iCs w:val="1"/>
          <w:color w:val="auto"/>
        </w:rPr>
        <w:t xml:space="preserve">. </w:t>
      </w:r>
      <w:r>
        <w:rPr>
          <w:rFonts w:ascii="Arial" w:cs="Arial" w:eastAsia="Arial" w:hAnsi="Arial"/>
          <w:sz w:val="18"/>
          <w:szCs w:val="18"/>
          <w:color w:val="auto"/>
        </w:rPr>
        <w:t>Voice-brokered products in our wholesale client sector include, among other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U.S. treasuries, MBS, municipal bonds and repurchase agreements. Our voice brokers provide anonymity and insight for sell side traders and give us valuable high-touch relationships and market understanding and access.</w:t>
      </w:r>
    </w:p>
    <w:p>
      <w:pPr>
        <w:spacing w:after="0" w:line="79" w:lineRule="exact"/>
        <w:rPr>
          <w:sz w:val="20"/>
          <w:szCs w:val="20"/>
          <w:color w:val="auto"/>
        </w:rPr>
      </w:pPr>
    </w:p>
    <w:p>
      <w:pPr>
        <w:ind w:left="1980" w:right="879"/>
        <w:spacing w:after="0" w:line="272" w:lineRule="auto"/>
        <w:rPr>
          <w:sz w:val="20"/>
          <w:szCs w:val="20"/>
          <w:color w:val="auto"/>
        </w:rPr>
      </w:pPr>
      <w:r>
        <w:rPr>
          <w:rFonts w:ascii="Arial" w:cs="Arial" w:eastAsia="Arial" w:hAnsi="Arial"/>
          <w:sz w:val="17"/>
          <w:szCs w:val="17"/>
          <w:color w:val="auto"/>
        </w:rPr>
        <w:t>Tradeweb Automated Intelligent Execution is an innovative automated trading technology that allows clients to execute large volumes of trade tickets at high speed using pre-programmed execution rules that are tailored to the client’s trading strategy. Clients use AiEX to efficiently automate high volumes of small, basic trades to free up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980" w:right="759" w:hanging="352"/>
        <w:spacing w:after="0" w:line="289" w:lineRule="auto"/>
        <w:tabs>
          <w:tab w:leader="none" w:pos="1980" w:val="left"/>
        </w:tabs>
        <w:numPr>
          <w:ilvl w:val="0"/>
          <w:numId w:val="94"/>
        </w:numPr>
        <w:rPr>
          <w:rFonts w:ascii="Arial" w:cs="Arial" w:eastAsia="Arial" w:hAnsi="Arial"/>
          <w:sz w:val="16"/>
          <w:szCs w:val="16"/>
          <w:color w:val="auto"/>
        </w:rPr>
      </w:pPr>
      <w:r>
        <w:rPr>
          <w:rFonts w:ascii="Arial" w:cs="Arial" w:eastAsia="Arial" w:hAnsi="Arial"/>
          <w:sz w:val="16"/>
          <w:szCs w:val="16"/>
          <w:b w:val="1"/>
          <w:bCs w:val="1"/>
          <w:u w:val="single" w:color="auto"/>
          <w:color w:val="auto"/>
        </w:rPr>
        <w:t>Trade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Our trade processing technology allows our clients to increase productivity,</w:t>
      </w:r>
      <w:r>
        <w:rPr>
          <w:rFonts w:ascii="Arial" w:cs="Arial" w:eastAsia="Arial" w:hAnsi="Arial"/>
          <w:sz w:val="16"/>
          <w:szCs w:val="16"/>
          <w:b w:val="1"/>
          <w:bCs w:val="1"/>
          <w:color w:val="auto"/>
        </w:rPr>
        <w:t xml:space="preserve"> </w:t>
      </w:r>
      <w:r>
        <w:rPr>
          <w:rFonts w:ascii="Arial" w:cs="Arial" w:eastAsia="Arial" w:hAnsi="Arial"/>
          <w:sz w:val="16"/>
          <w:szCs w:val="16"/>
          <w:color w:val="auto"/>
        </w:rPr>
        <w:t>reduce risk and improve overall performance. Our post-trade solutions allow clients to allocate their electronic or phone-executed trades electronically, including storing and communicating organizational and sub-account settlement, identity and confirmation preference information for processing trades. Our post-trade solutions also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120" w:lineRule="exact"/>
        <w:rPr>
          <w:rFonts w:ascii="Arial" w:cs="Arial" w:eastAsia="Arial" w:hAnsi="Arial"/>
          <w:sz w:val="16"/>
          <w:szCs w:val="16"/>
          <w:color w:val="auto"/>
        </w:rPr>
      </w:pPr>
    </w:p>
    <w:p>
      <w:pPr>
        <w:ind w:left="1980" w:right="759" w:hanging="352"/>
        <w:spacing w:after="0" w:line="253"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Post-Trade Data, Analytics and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Our comprehensive post-trade services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cost analysis, or TCA, best execution 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 In response to MiFID II, we also launched an APA reporting service 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Refinitiv’s FX trading venues and Forte Securities.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Strategic Alliances</w:t>
      </w:r>
    </w:p>
    <w:p>
      <w:pPr>
        <w:spacing w:after="0" w:line="108"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As part of our culture of collaborative innovation, throughout our history we have also initiated several formal strategic alliances. These alliances have taken several forms, including distribution partnerships, technological alliances and revenue sharing and other financial arrangements. The alliances have allowed us to accelerate our entry into certain new markets, leverage scale of other parties or simply maximize opportunities through joint projects.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for educating clients more broadly on the benefits of electronic trading, including how to optimize their trading performance and efficiency through our various trading protocols.</w:t>
      </w:r>
    </w:p>
    <w:p>
      <w:pPr>
        <w:spacing w:after="0" w:line="7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Given the breadth of our global client network, trading volume activity and engagement with regulatory bodies, we regularly work to help educate market participants on market trends,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81"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Additionally, we employ various marketing strategies to strengthen our brand position and explain our offerings, including our public website, advertising, digital and social media, earned media, direct marketing, promotional mailings, industry conferences and hosted events.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The markets for our solutions continue to evolve and are competitive in the asset classes, products and geographies in which we operate. We compete with a broad range of market participants globally. Some of these market participants can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70" w:lineRule="exact"/>
        <w:rPr>
          <w:sz w:val="20"/>
          <w:szCs w:val="20"/>
          <w:color w:val="auto"/>
        </w:rPr>
      </w:pPr>
    </w:p>
    <w:p>
      <w:pPr>
        <w:jc w:val="both"/>
        <w:ind w:left="1260" w:right="979" w:firstLine="360"/>
        <w:spacing w:after="0" w:line="264" w:lineRule="auto"/>
        <w:rPr>
          <w:sz w:val="20"/>
          <w:szCs w:val="20"/>
          <w:color w:val="auto"/>
        </w:rPr>
      </w:pPr>
      <w:r>
        <w:rPr>
          <w:rFonts w:ascii="Arial" w:cs="Arial" w:eastAsia="Arial" w:hAnsi="Arial"/>
          <w:sz w:val="18"/>
          <w:szCs w:val="18"/>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p>
    <w:p>
      <w:pPr>
        <w:spacing w:after="0" w:line="150" w:lineRule="exact"/>
        <w:rPr>
          <w:sz w:val="20"/>
          <w:szCs w:val="20"/>
          <w:color w:val="auto"/>
        </w:rPr>
      </w:pPr>
    </w:p>
    <w:p>
      <w:pPr>
        <w:ind w:left="1980" w:right="779" w:hanging="352"/>
        <w:spacing w:after="0" w:line="255"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electronic trading platforms</w:t>
      </w:r>
      <w:r>
        <w:rPr>
          <w:rFonts w:ascii="Arial" w:cs="Arial" w:eastAsia="Arial" w:hAnsi="Arial"/>
          <w:sz w:val="18"/>
          <w:szCs w:val="18"/>
          <w:b w:val="1"/>
          <w:bCs w:val="1"/>
          <w:color w:val="auto"/>
        </w:rPr>
        <w:t xml:space="preserve">: </w:t>
      </w:r>
      <w:r>
        <w:rPr>
          <w:rFonts w:ascii="Arial" w:cs="Arial" w:eastAsia="Arial" w:hAnsi="Arial"/>
          <w:sz w:val="18"/>
          <w:szCs w:val="18"/>
          <w:color w:val="auto"/>
        </w:rPr>
        <w:t>We compete with a number of other electronic trading venues.</w:t>
      </w:r>
      <w:r>
        <w:rPr>
          <w:rFonts w:ascii="Arial" w:cs="Arial" w:eastAsia="Arial" w:hAnsi="Arial"/>
          <w:sz w:val="18"/>
          <w:szCs w:val="18"/>
          <w:b w:val="1"/>
          <w:bCs w:val="1"/>
          <w:color w:val="auto"/>
        </w:rPr>
        <w:t xml:space="preserve"> </w:t>
      </w:r>
      <w:r>
        <w:rPr>
          <w:rFonts w:ascii="Arial" w:cs="Arial" w:eastAsia="Arial" w:hAnsi="Arial"/>
          <w:sz w:val="18"/>
          <w:szCs w:val="18"/>
          <w:color w:val="auto"/>
        </w:rPr>
        <w:t>These include MarketAxess, Bloomberg, London Stock Exchange Group (“LSEG”) (MTS BondsPro), ICE (Bondpoint, TMC Bonds, Creditex) and others in the credit and municipal markets; Bloomberg, LSEG (MTS BondVision), Nasdaq (Nasdaq Fixed Income), CME Group (NEX Group) and others in the rates and derivatives markets; and ITG (RFQ-hub) and Bloomberg in the equities and ETF markets. Additionally, new platform providers have entered the market, such as Trumid, trueEX, LiquidityEdge and Liquidnet.</w:t>
      </w:r>
    </w:p>
    <w:p>
      <w:pPr>
        <w:spacing w:after="0" w:line="148" w:lineRule="exact"/>
        <w:rPr>
          <w:rFonts w:ascii="Arial" w:cs="Arial" w:eastAsia="Arial" w:hAnsi="Arial"/>
          <w:sz w:val="18"/>
          <w:szCs w:val="18"/>
          <w:color w:val="auto"/>
        </w:rPr>
      </w:pPr>
    </w:p>
    <w:p>
      <w:pPr>
        <w:ind w:left="1980" w:right="819" w:hanging="352"/>
        <w:spacing w:after="0" w:line="274" w:lineRule="auto"/>
        <w:tabs>
          <w:tab w:leader="none" w:pos="1980" w:val="left"/>
        </w:tabs>
        <w:numPr>
          <w:ilvl w:val="0"/>
          <w:numId w:val="95"/>
        </w:numPr>
        <w:rPr>
          <w:rFonts w:ascii="Arial" w:cs="Arial" w:eastAsia="Arial" w:hAnsi="Arial"/>
          <w:sz w:val="17"/>
          <w:szCs w:val="17"/>
          <w:color w:val="auto"/>
        </w:rPr>
      </w:pPr>
      <w:r>
        <w:rPr>
          <w:rFonts w:ascii="Arial" w:cs="Arial" w:eastAsia="Arial" w:hAnsi="Arial"/>
          <w:sz w:val="17"/>
          <w:szCs w:val="17"/>
          <w:b w:val="1"/>
          <w:bCs w:val="1"/>
          <w:u w:val="single" w:color="auto"/>
          <w:color w:val="auto"/>
        </w:rPr>
        <w:t>Exchanges</w:t>
      </w:r>
      <w:r>
        <w:rPr>
          <w:rFonts w:ascii="Arial" w:cs="Arial" w:eastAsia="Arial" w:hAnsi="Arial"/>
          <w:sz w:val="17"/>
          <w:szCs w:val="17"/>
          <w:b w:val="1"/>
          <w:bCs w:val="1"/>
          <w:color w:val="auto"/>
        </w:rPr>
        <w:t xml:space="preserve">: </w:t>
      </w:r>
      <w:r>
        <w:rPr>
          <w:rFonts w:ascii="Arial" w:cs="Arial" w:eastAsia="Arial" w:hAnsi="Arial"/>
          <w:sz w:val="17"/>
          <w:szCs w:val="17"/>
          <w:color w:val="auto"/>
        </w:rPr>
        <w:t>In recent years, exchanges have pursued acquisitions that have put them in 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us. For example, ICE recently acquired BondPoint and TMC Bonds, retail-focused platforms, and IDC, a provider of fixed income data, in an effort to expand its portfolio of fixed income products and services. CME Group and Nasdaq also operate exchanges that compete with us. Exchanges also have data and analytics relationships with several market participants, which increasingly put their offerings in direct competition with Tradeweb.</w:t>
      </w:r>
    </w:p>
    <w:p>
      <w:pPr>
        <w:spacing w:after="0" w:line="133" w:lineRule="exact"/>
        <w:rPr>
          <w:rFonts w:ascii="Arial" w:cs="Arial" w:eastAsia="Arial" w:hAnsi="Arial"/>
          <w:sz w:val="17"/>
          <w:szCs w:val="17"/>
          <w:color w:val="auto"/>
        </w:rPr>
      </w:pPr>
    </w:p>
    <w:p>
      <w:pPr>
        <w:ind w:left="1980" w:right="799" w:hanging="352"/>
        <w:spacing w:after="0" w:line="298" w:lineRule="auto"/>
        <w:tabs>
          <w:tab w:leader="none" w:pos="1980" w:val="left"/>
        </w:tabs>
        <w:numPr>
          <w:ilvl w:val="0"/>
          <w:numId w:val="95"/>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Inter-dealer brokers</w:t>
      </w:r>
      <w:r>
        <w:rPr>
          <w:rFonts w:ascii="Arial" w:cs="Arial" w:eastAsia="Arial" w:hAnsi="Arial"/>
          <w:sz w:val="16"/>
          <w:szCs w:val="16"/>
          <w:b w:val="1"/>
          <w:bCs w:val="1"/>
          <w:color w:val="auto"/>
        </w:rPr>
        <w:t xml:space="preserve">: </w:t>
      </w:r>
      <w:r>
        <w:rPr>
          <w:rFonts w:ascii="Arial" w:cs="Arial" w:eastAsia="Arial" w:hAnsi="Arial"/>
          <w:sz w:val="16"/>
          <w:szCs w:val="16"/>
          <w:color w:val="auto"/>
        </w:rPr>
        <w:t>We compete with inter-dealer brokers, particularly in our wholesale markets in</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such as MBS, U.S. Treasuries, U.S. repo and products traded on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27" w:lineRule="exact"/>
        <w:rPr>
          <w:rFonts w:ascii="Arial" w:cs="Arial" w:eastAsia="Arial" w:hAnsi="Arial"/>
          <w:sz w:val="16"/>
          <w:szCs w:val="16"/>
          <w:color w:val="auto"/>
        </w:rPr>
      </w:pPr>
    </w:p>
    <w:p>
      <w:pPr>
        <w:ind w:left="1980" w:right="819" w:hanging="352"/>
        <w:spacing w:after="0" w:line="261"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Single-bank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Major global and regional investment and commercial banks offer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electronic trade execution through proprietary trading systems. Many of these banks expend considerable resources on product development, sales and support to promote their single-bank systems.</w:t>
      </w:r>
    </w:p>
    <w:p>
      <w:pPr>
        <w:spacing w:after="0" w:line="139" w:lineRule="exact"/>
        <w:rPr>
          <w:rFonts w:ascii="Arial" w:cs="Arial" w:eastAsia="Arial" w:hAnsi="Arial"/>
          <w:sz w:val="18"/>
          <w:szCs w:val="18"/>
          <w:color w:val="auto"/>
        </w:rPr>
      </w:pPr>
    </w:p>
    <w:p>
      <w:pPr>
        <w:ind w:left="1980" w:right="899" w:hanging="352"/>
        <w:spacing w:after="0" w:line="258"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Dealers</w:t>
      </w:r>
      <w:r>
        <w:rPr>
          <w:rFonts w:ascii="Arial" w:cs="Arial" w:eastAsia="Arial" w:hAnsi="Arial"/>
          <w:sz w:val="18"/>
          <w:szCs w:val="18"/>
          <w:b w:val="1"/>
          <w:bCs w:val="1"/>
          <w:color w:val="auto"/>
        </w:rPr>
        <w:t xml:space="preserve">: </w:t>
      </w:r>
      <w:r>
        <w:rPr>
          <w:rFonts w:ascii="Arial" w:cs="Arial" w:eastAsia="Arial" w:hAnsi="Arial"/>
          <w:sz w:val="18"/>
          <w:szCs w:val="18"/>
          <w:color w:val="auto"/>
        </w:rPr>
        <w:t>Many of our markets are still traded through traditional voice-based protocols.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have 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43" w:lineRule="exact"/>
        <w:rPr>
          <w:rFonts w:ascii="Arial" w:cs="Arial" w:eastAsia="Arial" w:hAnsi="Arial"/>
          <w:sz w:val="18"/>
          <w:szCs w:val="18"/>
          <w:color w:val="auto"/>
        </w:rPr>
      </w:pPr>
    </w:p>
    <w:p>
      <w:pPr>
        <w:ind w:left="1980" w:right="819" w:hanging="352"/>
        <w:spacing w:after="0" w:line="261"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data and information vendors</w:t>
      </w:r>
      <w:r>
        <w:rPr>
          <w:rFonts w:ascii="Arial" w:cs="Arial" w:eastAsia="Arial" w:hAnsi="Arial"/>
          <w:sz w:val="18"/>
          <w:szCs w:val="18"/>
          <w:b w:val="1"/>
          <w:bCs w:val="1"/>
          <w:color w:val="auto"/>
        </w:rPr>
        <w:t xml:space="preserve">: </w:t>
      </w:r>
      <w:r>
        <w:rPr>
          <w:rFonts w:ascii="Arial" w:cs="Arial" w:eastAsia="Arial" w:hAnsi="Arial"/>
          <w:sz w:val="18"/>
          <w:szCs w:val="18"/>
          <w:color w:val="auto"/>
        </w:rPr>
        <w:t>Market data and information providers, such as Bloomberg,</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Interactive Data Corporation (now part of ICE) and IHS Markit, have a pervasive presence across the financial trading community. Their data and pre-and post-trade analytics compete with offerings we provide to support trading on our marketplaces.</w:t>
      </w:r>
    </w:p>
    <w:p>
      <w:pPr>
        <w:spacing w:after="0" w:line="76" w:lineRule="exact"/>
        <w:rPr>
          <w:sz w:val="20"/>
          <w:szCs w:val="20"/>
          <w:color w:val="auto"/>
        </w:rPr>
      </w:pPr>
    </w:p>
    <w:p>
      <w:pPr>
        <w:jc w:val="both"/>
        <w:ind w:left="1260" w:right="919" w:firstLine="360"/>
        <w:spacing w:after="0" w:line="312" w:lineRule="auto"/>
        <w:rPr>
          <w:sz w:val="20"/>
          <w:szCs w:val="20"/>
          <w:color w:val="auto"/>
        </w:rPr>
      </w:pPr>
      <w:r>
        <w:rPr>
          <w:rFonts w:ascii="Arial" w:cs="Arial" w:eastAsia="Arial" w:hAnsi="Arial"/>
          <w:sz w:val="16"/>
          <w:szCs w:val="16"/>
          <w:color w:val="auto"/>
        </w:rPr>
        <w:t>We face intense competition, and we expect competition with a broad range of competitors to continue to intensify in the future. See “Risk Factors — Risks Relating to Our Business and Industry — Failure to compete successfully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Proprietary Technology</w:t>
      </w:r>
    </w:p>
    <w:p>
      <w:pPr>
        <w:spacing w:after="0" w:line="108" w:lineRule="exact"/>
        <w:rPr>
          <w:sz w:val="20"/>
          <w:szCs w:val="20"/>
          <w:color w:val="auto"/>
        </w:rPr>
      </w:pPr>
    </w:p>
    <w:p>
      <w:pPr>
        <w:jc w:val="both"/>
        <w:ind w:left="1260" w:right="1019" w:firstLine="360"/>
        <w:spacing w:after="0" w:line="288" w:lineRule="auto"/>
        <w:rPr>
          <w:sz w:val="20"/>
          <w:szCs w:val="20"/>
          <w:color w:val="auto"/>
        </w:rPr>
      </w:pPr>
      <w:r>
        <w:rPr>
          <w:rFonts w:ascii="Arial" w:cs="Arial" w:eastAsia="Arial" w:hAnsi="Arial"/>
          <w:sz w:val="16"/>
          <w:szCs w:val="16"/>
          <w:color w:val="auto"/>
        </w:rPr>
        <w:t>Over the past 20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w:t>
      </w:r>
    </w:p>
    <w:p>
      <w:pPr>
        <w:ind w:left="1260" w:right="799"/>
        <w:spacing w:after="0" w:line="253" w:lineRule="auto"/>
        <w:rPr>
          <w:sz w:val="20"/>
          <w:szCs w:val="20"/>
          <w:color w:val="auto"/>
        </w:rPr>
      </w:pPr>
      <w:r>
        <w:rPr>
          <w:rFonts w:ascii="Arial" w:cs="Arial" w:eastAsia="Arial" w:hAnsi="Arial"/>
          <w:sz w:val="18"/>
          <w:szCs w:val="18"/>
          <w:color w:val="auto"/>
        </w:rPr>
        <w:t>Critical to our ability to collaborate with clients and remain at the forefront of evolving market trends is our team of approximately 300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p>
    <w:p>
      <w:pPr>
        <w:spacing w:after="0" w:line="83"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73"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79" w:lineRule="exact"/>
        <w:rPr>
          <w:sz w:val="20"/>
          <w:szCs w:val="20"/>
          <w:color w:val="auto"/>
        </w:rPr>
      </w:pPr>
    </w:p>
    <w:p>
      <w:pPr>
        <w:jc w:val="both"/>
        <w:ind w:left="1260" w:right="959" w:firstLine="360"/>
        <w:spacing w:after="0" w:line="264" w:lineRule="auto"/>
        <w:rPr>
          <w:sz w:val="20"/>
          <w:szCs w:val="20"/>
          <w:color w:val="auto"/>
        </w:rPr>
      </w:pPr>
      <w:r>
        <w:rPr>
          <w:rFonts w:ascii="Arial" w:cs="Arial" w:eastAsia="Arial" w:hAnsi="Arial"/>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69" w:lineRule="exact"/>
        <w:rPr>
          <w:sz w:val="20"/>
          <w:szCs w:val="20"/>
          <w:color w:val="auto"/>
        </w:rPr>
      </w:pPr>
    </w:p>
    <w:p>
      <w:pPr>
        <w:ind w:left="1980" w:right="819" w:hanging="352"/>
        <w:spacing w:after="0" w:line="298" w:lineRule="auto"/>
        <w:tabs>
          <w:tab w:leader="none" w:pos="1980" w:val="left"/>
        </w:tabs>
        <w:numPr>
          <w:ilvl w:val="0"/>
          <w:numId w:val="96"/>
        </w:numPr>
        <w:rPr>
          <w:rFonts w:ascii="Arial" w:cs="Arial" w:eastAsia="Arial" w:hAnsi="Arial"/>
          <w:sz w:val="16"/>
          <w:szCs w:val="16"/>
          <w:color w:val="auto"/>
        </w:rPr>
      </w:pPr>
      <w:r>
        <w:rPr>
          <w:rFonts w:ascii="Arial" w:cs="Arial" w:eastAsia="Arial" w:hAnsi="Arial"/>
          <w:sz w:val="16"/>
          <w:szCs w:val="16"/>
          <w:b w:val="1"/>
          <w:bCs w:val="1"/>
          <w:u w:val="single" w:color="auto"/>
          <w:color w:val="auto"/>
        </w:rPr>
        <w:t>Nimble product development in collaboration with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Our approach to 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facilitates continuous releases of important 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p>
    <w:p>
      <w:pPr>
        <w:spacing w:after="0" w:line="46" w:lineRule="exact"/>
        <w:rPr>
          <w:rFonts w:ascii="Arial" w:cs="Arial" w:eastAsia="Arial" w:hAnsi="Arial"/>
          <w:sz w:val="16"/>
          <w:szCs w:val="16"/>
          <w:color w:val="auto"/>
        </w:rPr>
      </w:pPr>
    </w:p>
    <w:p>
      <w:pPr>
        <w:ind w:left="1980" w:right="779" w:hanging="352"/>
        <w:spacing w:after="0" w:line="258"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Scalable architecture</w:t>
      </w:r>
      <w:r>
        <w:rPr>
          <w:rFonts w:ascii="Arial" w:cs="Arial" w:eastAsia="Arial" w:hAnsi="Arial"/>
          <w:sz w:val="18"/>
          <w:szCs w:val="18"/>
          <w:b w:val="1"/>
          <w:bCs w:val="1"/>
          <w:color w:val="auto"/>
        </w:rPr>
        <w:t xml:space="preserve">: </w:t>
      </w:r>
      <w:r>
        <w:rPr>
          <w:rFonts w:ascii="Arial" w:cs="Arial" w:eastAsia="Arial" w:hAnsi="Arial"/>
          <w:sz w:val="18"/>
          <w:szCs w:val="18"/>
          <w:color w:val="auto"/>
        </w:rPr>
        <w:t>Our scalable architecture was designed to address increased trading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evolving market structures in a cost 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75" w:lineRule="exact"/>
        <w:rPr>
          <w:rFonts w:ascii="Arial" w:cs="Arial" w:eastAsia="Arial" w:hAnsi="Arial"/>
          <w:sz w:val="18"/>
          <w:szCs w:val="18"/>
          <w:color w:val="auto"/>
        </w:rPr>
      </w:pPr>
    </w:p>
    <w:p>
      <w:pPr>
        <w:ind w:left="1980" w:right="939" w:hanging="352"/>
        <w:spacing w:after="0" w:line="281" w:lineRule="auto"/>
        <w:tabs>
          <w:tab w:leader="none" w:pos="1980" w:val="left"/>
        </w:tabs>
        <w:numPr>
          <w:ilvl w:val="0"/>
          <w:numId w:val="96"/>
        </w:numPr>
        <w:rPr>
          <w:rFonts w:ascii="Arial" w:cs="Arial" w:eastAsia="Arial" w:hAnsi="Arial"/>
          <w:sz w:val="17"/>
          <w:szCs w:val="17"/>
          <w:color w:val="auto"/>
        </w:rPr>
      </w:pPr>
      <w:r>
        <w:rPr>
          <w:rFonts w:ascii="Arial" w:cs="Arial" w:eastAsia="Arial" w:hAnsi="Arial"/>
          <w:sz w:val="17"/>
          <w:szCs w:val="17"/>
          <w:b w:val="1"/>
          <w:bCs w:val="1"/>
          <w:u w:val="single" w:color="auto"/>
          <w:color w:val="auto"/>
        </w:rPr>
        <w:t>Strong disaster recovery and business continuity planning</w:t>
      </w:r>
      <w:r>
        <w:rPr>
          <w:rFonts w:ascii="Arial" w:cs="Arial" w:eastAsia="Arial" w:hAnsi="Arial"/>
          <w:sz w:val="17"/>
          <w:szCs w:val="17"/>
          <w:b w:val="1"/>
          <w:bCs w:val="1"/>
          <w:color w:val="auto"/>
        </w:rPr>
        <w:t xml:space="preserve">: </w:t>
      </w:r>
      <w:r>
        <w:rPr>
          <w:rFonts w:ascii="Arial" w:cs="Arial" w:eastAsia="Arial" w:hAnsi="Arial"/>
          <w:sz w:val="17"/>
          <w:szCs w:val="17"/>
          <w:color w:val="auto"/>
        </w:rPr>
        <w:t>We maintain redundant networks,</w:t>
      </w:r>
      <w:r>
        <w:rPr>
          <w:rFonts w:ascii="Arial" w:cs="Arial" w:eastAsia="Arial" w:hAnsi="Arial"/>
          <w:sz w:val="17"/>
          <w:szCs w:val="17"/>
          <w:b w:val="1"/>
          <w:bCs w:val="1"/>
          <w:color w:val="auto"/>
        </w:rPr>
        <w:t xml:space="preserve"> </w:t>
      </w:r>
      <w:r>
        <w:rPr>
          <w:rFonts w:ascii="Arial" w:cs="Arial" w:eastAsia="Arial" w:hAnsi="Arial"/>
          <w:sz w:val="17"/>
          <w:szCs w:val="17"/>
          <w:color w:val="auto"/>
        </w:rPr>
        <w:t>hardware, data centers and alternate operational facilities to address interruptions. We have eight datacenters across the United States, the United Kingdom and Japan. Our data center infrastructure is designed to be resilient and responsive with built-in redundancies.</w:t>
      </w:r>
    </w:p>
    <w:p>
      <w:pPr>
        <w:spacing w:after="0" w:line="60" w:lineRule="exact"/>
        <w:rPr>
          <w:rFonts w:ascii="Arial" w:cs="Arial" w:eastAsia="Arial" w:hAnsi="Arial"/>
          <w:sz w:val="17"/>
          <w:szCs w:val="17"/>
          <w:color w:val="auto"/>
        </w:rPr>
      </w:pPr>
    </w:p>
    <w:p>
      <w:pPr>
        <w:ind w:left="1980" w:right="759"/>
        <w:spacing w:after="0" w:line="288" w:lineRule="auto"/>
        <w:rPr>
          <w:rFonts w:ascii="Arial" w:cs="Arial" w:eastAsia="Arial" w:hAnsi="Arial"/>
          <w:sz w:val="17"/>
          <w:szCs w:val="17"/>
          <w:color w:val="auto"/>
        </w:rPr>
      </w:pPr>
      <w:r>
        <w:rPr>
          <w:rFonts w:ascii="Arial" w:cs="Arial" w:eastAsia="Arial" w:hAnsi="Arial"/>
          <w:sz w:val="16"/>
          <w:szCs w:val="16"/>
          <w:color w:val="auto"/>
        </w:rPr>
        <w:t>We have put in place business continuity plans in the event of a significant business disruption or disaster recovery situation to ensure the safety of all employees and resilience of critical systems required for normal operations. The plans cover a range of scenarios and adhere to industry standards and regulatory mandates as outlined by the Interagency Paper on Sound Practices to Strengthen the Resilience of the U.S. Financial System, the SEC’s Regulation Systems Compliance and Integrity,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57" w:lineRule="exact"/>
        <w:rPr>
          <w:rFonts w:ascii="Arial" w:cs="Arial" w:eastAsia="Arial" w:hAnsi="Arial"/>
          <w:sz w:val="17"/>
          <w:szCs w:val="17"/>
          <w:color w:val="auto"/>
        </w:rPr>
      </w:pPr>
    </w:p>
    <w:p>
      <w:pPr>
        <w:ind w:left="1980" w:right="919" w:hanging="352"/>
        <w:spacing w:after="0" w:line="274" w:lineRule="auto"/>
        <w:tabs>
          <w:tab w:leader="none" w:pos="1980" w:val="left"/>
        </w:tabs>
        <w:numPr>
          <w:ilvl w:val="0"/>
          <w:numId w:val="96"/>
        </w:numPr>
        <w:rPr>
          <w:rFonts w:ascii="Arial" w:cs="Arial" w:eastAsia="Arial" w:hAnsi="Arial"/>
          <w:sz w:val="17"/>
          <w:szCs w:val="17"/>
          <w:color w:val="auto"/>
        </w:rPr>
      </w:pPr>
      <w:r>
        <w:rPr>
          <w:rFonts w:ascii="Arial" w:cs="Arial" w:eastAsia="Arial" w:hAnsi="Arial"/>
          <w:sz w:val="17"/>
          <w:szCs w:val="17"/>
          <w:b w:val="1"/>
          <w:bCs w:val="1"/>
          <w:u w:val="single" w:color="auto"/>
          <w:color w:val="auto"/>
        </w:rPr>
        <w:t>Ongoing security, system monitoring and alerting</w:t>
      </w:r>
      <w:r>
        <w:rPr>
          <w:rFonts w:ascii="Arial" w:cs="Arial" w:eastAsia="Arial" w:hAnsi="Arial"/>
          <w:sz w:val="17"/>
          <w:szCs w:val="17"/>
          <w:b w:val="1"/>
          <w:bCs w:val="1"/>
          <w:color w:val="auto"/>
        </w:rPr>
        <w:t xml:space="preserve">: </w:t>
      </w:r>
      <w:r>
        <w:rPr>
          <w:rFonts w:ascii="Arial" w:cs="Arial" w:eastAsia="Arial" w:hAnsi="Arial"/>
          <w:sz w:val="17"/>
          <w:szCs w:val="17"/>
          <w:color w:val="auto"/>
        </w:rPr>
        <w:t>We prioritize security throughout our</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platforms, operations and software development. We make architectural, design and implementation choices to structurally address security risks, such as logical and physical access controls, perimeter firewall protection and embedded security processes in our systems development lifecycle. Our cyber security program is based on the National Institute of Standards and Technology Cyber Security Framework (the “Framework”). The Framework consists of</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39"/>
        <w:spacing w:after="0" w:line="276" w:lineRule="auto"/>
        <w:rPr>
          <w:sz w:val="20"/>
          <w:szCs w:val="20"/>
          <w:color w:val="auto"/>
        </w:rPr>
      </w:pPr>
      <w:r>
        <w:rPr>
          <w:rFonts w:ascii="Arial" w:cs="Arial" w:eastAsia="Arial" w:hAnsi="Arial"/>
          <w:sz w:val="17"/>
          <w:szCs w:val="17"/>
          <w:color w:val="auto"/>
        </w:rPr>
        <w:t>standards, guidelines and best practices to manage cybersecurity-related risks and promote the protection and resilience of critical infrastructure. Our Global Chief Information Security Officer leads a qualified cyber security team in assessing, managing and reducing the relevant risks to assure critical operations and continuous delivery of service. We constantly monitor connectivity, and our global operations team is alerted if there are any suspect events.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left="1260" w:right="1159" w:firstLine="360"/>
        <w:spacing w:after="0" w:line="264" w:lineRule="auto"/>
        <w:rPr>
          <w:sz w:val="20"/>
          <w:szCs w:val="20"/>
          <w:color w:val="auto"/>
        </w:rPr>
      </w:pPr>
      <w:r>
        <w:rPr>
          <w:rFonts w:ascii="Arial" w:cs="Arial" w:eastAsia="Arial" w:hAnsi="Arial"/>
          <w:sz w:val="18"/>
          <w:szCs w:val="18"/>
          <w:color w:val="auto"/>
        </w:rPr>
        <w:t>Like most companies that develop their technology in-house, we rely upon a combination of copyright, patent, trade secret and trademark laws, written agreements and common law to protect our proprietary technology, processes and other intellectual property.</w:t>
      </w:r>
    </w:p>
    <w:p>
      <w:pPr>
        <w:spacing w:after="0" w:line="73"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To that end, we have patents or patents pending in the United States and other jurisdictions related to price discovery, order execution and trade workflows including but not limited to pre-trade activities, market data scenarios, market data distribution, electronic data interchange, financial valuation, detecting trading opportunities, financial matching, order matching, order routing, pool trading, database, search, electronic messaging, prime brokerage, order transmission, electronic trading, tracking and monitoring, net spotting, straight-through-processing and clearing.</w:t>
      </w:r>
    </w:p>
    <w:p>
      <w:pPr>
        <w:spacing w:after="0" w:line="85"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In addition, we own, or have filed applications for, the rights to trade names, trademarks, copyrights, domain names and service marks that we use in the marketing of products and services to clients. We have registered for trademarks in many of our markets, including our major markets, with registrations pending in others. Trademarks registered include, but are not limited to, “Tradeweb,” “Dealerweb,” and “Tradeweb Direct.”</w:t>
      </w:r>
    </w:p>
    <w:p>
      <w:pPr>
        <w:spacing w:after="0" w:line="46"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Many aspects of our business are subject to regulation in a number of jurisdictions, including the United States, the United Kingdom, the Netherlands, Japan, Hong Kong and Singapore.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w:t>
      </w:r>
    </w:p>
    <w:p>
      <w:pPr>
        <w:spacing w:after="0" w:line="71"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70"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8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in certain markets. While we generally believe the net impact of the laws, rules and regulations may be positive for our business, it is possible that unintended consequences may materially adversely affect us in ways yet to be determined. See “Risk Factors — Risks Relating to Our Business and Industry — Our business, and the businesses of many of our clients, could be materially adversely affected by new laws, rules or regulations or changes in existing laws, rules or regulations, including the interpretation and enforcement thereof.”</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Regulation</w:t>
      </w:r>
    </w:p>
    <w:p>
      <w:pPr>
        <w:spacing w:after="0" w:line="104"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59"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The CFTC is the federal agency primarily responsible for the administration of federal laws governing activities relating to futures, swaps and other derivatives including the adoption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8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subject to the oversight of the NFA, a self-regulatory organization that regulates certain CFTC registrants.</w:t>
      </w:r>
    </w:p>
    <w:p>
      <w:pPr>
        <w:spacing w:after="0" w:line="74"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Following the 2008 financial crisis, legislators and regulators in the United States adopted new laws and regulations, including the Dodd-Frank Act. Various rules and regulations promulgated following the financial crisis, such as the Volcker Rule and additional bank capital and liquidity requirements, could adversely affect our bank and bank-affiliated dealer clients’ ability to make markets in a variety of products, thereby negatively impacting the level of liquidity and pricing available on our platforms.</w:t>
      </w:r>
    </w:p>
    <w:p>
      <w:pPr>
        <w:spacing w:after="0" w:line="64" w:lineRule="exact"/>
        <w:rPr>
          <w:sz w:val="20"/>
          <w:szCs w:val="20"/>
          <w:color w:val="auto"/>
        </w:rPr>
      </w:pPr>
    </w:p>
    <w:p>
      <w:pPr>
        <w:jc w:val="both"/>
        <w:ind w:left="1260" w:right="959" w:firstLine="360"/>
        <w:spacing w:after="0" w:line="286" w:lineRule="auto"/>
        <w:rPr>
          <w:sz w:val="20"/>
          <w:szCs w:val="20"/>
          <w:color w:val="auto"/>
        </w:rPr>
      </w:pPr>
      <w:r>
        <w:rPr>
          <w:rFonts w:ascii="Arial" w:cs="Arial" w:eastAsia="Arial" w:hAnsi="Arial"/>
          <w:sz w:val="17"/>
          <w:szCs w:val="17"/>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88" w:lineRule="auto"/>
        <w:rPr>
          <w:sz w:val="20"/>
          <w:szCs w:val="20"/>
          <w:color w:val="auto"/>
        </w:rPr>
      </w:pPr>
      <w:r>
        <w:rPr>
          <w:rFonts w:ascii="Arial" w:cs="Arial" w:eastAsia="Arial" w:hAnsi="Arial"/>
          <w:sz w:val="16"/>
          <w:szCs w:val="16"/>
          <w:color w:val="auto"/>
        </w:rPr>
        <w:t>regulations in this area, most of which are in effect. The SEC has also finalized many of its security-based swap regulations, although a significant number are not yet in effect.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As these rules require SEFs to maintain robust front-end and back-office IT capabilities and to make large and ongoing technology investments, and because SEFs may be supported by a variety of voice and auction-based execution methodologies, we expect our hybrid and fully electronic trading capability to perform strongly in such an environment. The SEC has proposed but not yet finalized its rules relating to the registration and regulation of security-based swap execution facilities (“SBSEFs”). If and when the SEC finalizes these rules, we expect that certain of our subsidiaries may be required to register as SBSEFs.</w:t>
      </w:r>
    </w:p>
    <w:p>
      <w:pPr>
        <w:spacing w:after="0" w:line="61"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 current administration under President Trump and the Republican Party have sought, and already passed legislation, to roll-back key pieces of the Dodd-Frank Act in an effort to loosen certain regulatory restrictions on financial institutions. Although the current administration has indicated a goal of further reforming aspects of its existing financial services regulations,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 In particular, there can be no assurance that rules impacting our clients will be amended or repealed, and we continue to expect the industry to be more heavily regulated than it was prior to the 2008 financial crisis.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0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Outside of the United States, we are currently regulated by: the FCA in the United Kingdom, the DNB and the AFM in the Netherlands, the Japan Financial Services Agency (the “JFSA”), the Japan Securities Dealers Association (the “JSDA”), the Securities &amp; Futures Commission (the “SFC”) of Hong Kong, the Monetary Authority of Singapore (the “MAS”), the Investment Industry Regulatory Organization of Canada and provincial regulators in Canada. We currently have an exemption from the Australian Securities and Investment Commission in Australia (the “ASIC”).</w:t>
      </w:r>
    </w:p>
    <w:p>
      <w:pPr>
        <w:spacing w:after="0" w:line="85"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The FCA’s strategic objective is to ensure that the relevant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Subject to section 178 of FSMA, individuals or companies that seek to acquire or increase their control in a firm that the FCA regulates is required to obtain prior approval from the FCA.</w:t>
      </w:r>
    </w:p>
    <w:p>
      <w:pPr>
        <w:spacing w:after="0" w:line="70"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legal framework in the Netherlands for financial undertakings is predominantly included in the Dutch Financial Supervision Act (</w:t>
      </w:r>
      <w:r>
        <w:rPr>
          <w:rFonts w:ascii="Arial" w:cs="Arial" w:eastAsia="Arial" w:hAnsi="Arial"/>
          <w:sz w:val="17"/>
          <w:szCs w:val="17"/>
          <w:i w:val="1"/>
          <w:iCs w:val="1"/>
          <w:color w:val="auto"/>
        </w:rPr>
        <w:t>Wet op het financieel toezicht</w:t>
      </w:r>
      <w:r>
        <w:rPr>
          <w:rFonts w:ascii="Arial" w:cs="Arial" w:eastAsia="Arial" w:hAnsi="Arial"/>
          <w:sz w:val="17"/>
          <w:szCs w:val="17"/>
          <w:color w:val="auto"/>
        </w:rPr>
        <w:t xml:space="preserve"> or “FSA”). The AFM, like DNB, is an autonomous administrative authority with independent responsibility for fulfilling its supervisory function. Pursuant to section 2:96 of the FSA, the AFM authorizes investment firms. The AFM is legally responsible for business supervision.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DNB and the AFM co-operate under the provisions of the FSA and have concluded a covenant on the co-operation and co-ordination of supervision and other related tasks.</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Much of our derivatives volumes continue to be executed by non-U.S. based clients outside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United States and is subject to local regulations. In particular, the European Union has recently enhanced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existing laws and developed new rules and regulations targeted at the financial services industry, including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MiFID II and MiFIR, which were implemented in January 2018 and which introduced significant changes to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EU financial markets designed to facilitate more efficient markets and greater transparency for participants.</w:t>
      </w:r>
    </w:p>
    <w:p>
      <w:pPr>
        <w:spacing w:after="0" w:line="114" w:lineRule="exact"/>
        <w:rPr>
          <w:sz w:val="20"/>
          <w:szCs w:val="20"/>
          <w:color w:val="auto"/>
        </w:rPr>
      </w:pPr>
    </w:p>
    <w:p>
      <w:pPr>
        <w:jc w:val="both"/>
        <w:ind w:left="1260" w:right="819" w:firstLine="360"/>
        <w:spacing w:after="0" w:line="291" w:lineRule="auto"/>
        <w:rPr>
          <w:sz w:val="20"/>
          <w:szCs w:val="20"/>
          <w:color w:val="auto"/>
        </w:rPr>
      </w:pPr>
      <w:r>
        <w:rPr>
          <w:rFonts w:ascii="Arial" w:cs="Arial" w:eastAsia="Arial" w:hAnsi="Arial"/>
          <w:sz w:val="16"/>
          <w:szCs w:val="16"/>
          <w:color w:val="auto"/>
        </w:rPr>
        <w:t>Among the other aspects of the regulations, MiFID II and MiFIR: (i) require a significant part of the market in certain derivative instruments to trade on regulated trading venues which are subject to transparency regimes,</w:t>
      </w:r>
    </w:p>
    <w:p>
      <w:pPr>
        <w:ind w:left="5240" w:right="3159" w:hanging="3972"/>
        <w:spacing w:after="0" w:line="589" w:lineRule="auto"/>
        <w:tabs>
          <w:tab w:leader="none" w:pos="1534"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enhance pre- and post-trade transparency for instruments within the scope of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83450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88" w:lineRule="auto"/>
        <w:rPr>
          <w:sz w:val="20"/>
          <w:szCs w:val="20"/>
          <w:color w:val="auto"/>
        </w:rPr>
      </w:pPr>
      <w:r>
        <w:rPr>
          <w:rFonts w:ascii="Arial" w:cs="Arial" w:eastAsia="Arial" w:hAnsi="Arial"/>
          <w:sz w:val="16"/>
          <w:szCs w:val="16"/>
          <w:color w:val="auto"/>
        </w:rPr>
        <w:t>the requirements which have been calibrated for different types of instruments and types of trading, (iii) enhance the transparency of fee structures and access to trading venues, (iv) increase and enhance post-trade reporting obligations with a requirement for “systematic internalisers” to submit certain post-trade data to APAs,</w:t>
      </w:r>
    </w:p>
    <w:p>
      <w:pPr>
        <w:ind w:left="1260" w:right="819" w:firstLine="8"/>
        <w:spacing w:after="0" w:line="252" w:lineRule="auto"/>
        <w:tabs>
          <w:tab w:leader="none" w:pos="15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provide for the establishment a consolidated tape for certain trade data, (vi) improve technology synchronization and best execution and (vii) enhance investor protection. MiFID II is also intended to help improve the functioning of the EU single market by achieving a greater consistency of regulatory standards. By design, therefore, it is intended that Member States should have very similar regulatory regimes in relation to the matters addressed to MiFID. In addition, the new regulated execution venue category introduced by MiFID II known as the Organized Trading Facility (“OTF”) (in addition to the venue category of Multilateral Trading Facility (“MTF”) for electronic trading) is intended to capture much of the voices and hybrid oriented trading within the EU.</w:t>
      </w:r>
    </w:p>
    <w:p>
      <w:pPr>
        <w:spacing w:after="0" w:line="8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We currently “passport” our UK authorized subsidiary’s FCA regulatory permissions throughout the European Economic Area (“EEA”) and as such this was, until recently, our sole MiFID investment firm with such permissions operating in Europe. In March 2017, following the United Kingdom’s vote to leave the EU, the U.K. Prime Minister gave the European Council of the EU formal written notification of the United Kingdom’s intention to leave the EU, triggering the withdrawal process under Article 50 of the Lisbon Treaty. The effects of Brexit will depend on any agreements the United Kingdom makes to retain access to EU markets, including for financial services, either during a transitional period or more permanently. Negotiations to determine the future terms of the United Kingdom’s relationship with the EU, including the terms of access to EU financial markets, are continuing. We are making all reasonable preparations to ensure, in any scenario, that services can continue to be provided in the UK and throughout the EEA, post-Brexit. Accordingly, we have established a new legal entity in the Netherlands, Tradeweb EU B.V., and will offer services from a new Amsterdam office. We received approval in early 2019 from Dutch regulatory authorities to operate an MTF, an OTF and an APA, essentially replicating our current UK regulatory permissions. As a result of this approval, we now operate two MTFs, two OTFs and two APAs in Europe, increasing the complexity of the business.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04"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Certain of our subsidiaries are subject to jurisdictional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Status of Tradeweb Entities</w:t>
      </w:r>
    </w:p>
    <w:p>
      <w:pPr>
        <w:spacing w:after="0" w:line="104" w:lineRule="exact"/>
        <w:rPr>
          <w:sz w:val="20"/>
          <w:szCs w:val="20"/>
          <w:color w:val="auto"/>
        </w:rPr>
      </w:pPr>
    </w:p>
    <w:p>
      <w:pPr>
        <w:ind w:left="1260" w:right="939" w:firstLine="360"/>
        <w:spacing w:after="0" w:line="342" w:lineRule="auto"/>
        <w:rPr>
          <w:sz w:val="20"/>
          <w:szCs w:val="20"/>
          <w:color w:val="auto"/>
        </w:rPr>
      </w:pPr>
      <w:r>
        <w:rPr>
          <w:rFonts w:ascii="Arial" w:cs="Arial" w:eastAsia="Arial" w:hAnsi="Arial"/>
          <w:sz w:val="16"/>
          <w:szCs w:val="16"/>
          <w:color w:val="auto"/>
        </w:rPr>
        <w:t>Our operations span jurisdictions across North America, Europe and Asia, and we operate through various regulated entities. The current regulatory status of many of our business entities is described below.</w:t>
      </w:r>
    </w:p>
    <w:p>
      <w:pPr>
        <w:spacing w:after="0" w:line="16" w:lineRule="exact"/>
        <w:rPr>
          <w:sz w:val="20"/>
          <w:szCs w:val="20"/>
          <w:color w:val="auto"/>
        </w:rPr>
      </w:pPr>
    </w:p>
    <w:p>
      <w:pPr>
        <w:ind w:left="1260" w:right="999" w:firstLine="360"/>
        <w:spacing w:after="0" w:line="259" w:lineRule="auto"/>
        <w:rPr>
          <w:sz w:val="20"/>
          <w:szCs w:val="20"/>
          <w:color w:val="auto"/>
        </w:rPr>
      </w:pPr>
      <w:r>
        <w:rPr>
          <w:rFonts w:ascii="Arial" w:cs="Arial" w:eastAsia="Arial" w:hAnsi="Arial"/>
          <w:sz w:val="18"/>
          <w:szCs w:val="18"/>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and Manitoba, and is recognized as a foreign trading venue in Switzerland.</w:t>
      </w:r>
    </w:p>
    <w:p>
      <w:pPr>
        <w:spacing w:after="0" w:line="79"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TW SEF LLC is a CFTC-registered SEF. TW SEF LLC is formally exempt from registration as an exchange in the Canadian provinces of Alberta, Ontario and Quebec and is recognized as a foreign trading venue in Switzerland. TW SEF LLC is formally exempt from registration by the ASIC with a pending application with ASIC for an Overseas Australian Market Operator License.</w:t>
      </w:r>
    </w:p>
    <w:p>
      <w:pPr>
        <w:spacing w:after="0" w:line="79"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Dealerweb Inc. is an SEC-registered broker-dealer, operates an ATS and is a member of FINRA and MSRB. Dealerweb Inc. is also a CFTC-registered introducing broker and a member of NFA. Dealerweb Inc. is recognized as a foreign trading venue in Switzerland.</w:t>
      </w:r>
    </w:p>
    <w:p>
      <w:pPr>
        <w:spacing w:after="0" w:line="73" w:lineRule="exact"/>
        <w:rPr>
          <w:sz w:val="20"/>
          <w:szCs w:val="20"/>
          <w:color w:val="auto"/>
        </w:rPr>
      </w:pPr>
    </w:p>
    <w:p>
      <w:pPr>
        <w:ind w:left="1260" w:right="1419" w:firstLine="360"/>
        <w:spacing w:after="0" w:line="308" w:lineRule="auto"/>
        <w:rPr>
          <w:sz w:val="20"/>
          <w:szCs w:val="20"/>
          <w:color w:val="auto"/>
        </w:rPr>
      </w:pPr>
      <w:r>
        <w:rPr>
          <w:rFonts w:ascii="Arial" w:cs="Arial" w:eastAsia="Arial" w:hAnsi="Arial"/>
          <w:sz w:val="17"/>
          <w:szCs w:val="17"/>
          <w:color w:val="auto"/>
        </w:rPr>
        <w:t>DW SEF LLC is a CFTC-registered SEF. DW SEF LLC is formally exempt from registration in the Canadian province of Ontario and is recognized as a foreign trading venue in Switzerland.</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79" w:firstLine="360"/>
        <w:spacing w:after="0" w:line="264" w:lineRule="auto"/>
        <w:rPr>
          <w:sz w:val="20"/>
          <w:szCs w:val="20"/>
          <w:color w:val="auto"/>
        </w:rPr>
      </w:pPr>
      <w:r>
        <w:rPr>
          <w:rFonts w:ascii="Arial" w:cs="Arial" w:eastAsia="Arial" w:hAnsi="Arial"/>
          <w:sz w:val="18"/>
          <w:szCs w:val="18"/>
          <w:color w:val="auto"/>
        </w:rPr>
        <w:t>Tradeweb Direct LLC is an SEC-registered broker-dealer, operates an ATS and is a member of FINRA and MSRB. Tradeweb Direct LLC relies on the international dealer exemption in the Canadian provinces of Ontario and Quebec.</w:t>
      </w:r>
    </w:p>
    <w:p>
      <w:pPr>
        <w:spacing w:after="0" w:line="73" w:lineRule="exact"/>
        <w:rPr>
          <w:sz w:val="20"/>
          <w:szCs w:val="20"/>
          <w:color w:val="auto"/>
        </w:rPr>
      </w:pPr>
    </w:p>
    <w:p>
      <w:pPr>
        <w:ind w:left="1260" w:right="739" w:firstLine="360"/>
        <w:spacing w:after="0" w:line="302" w:lineRule="auto"/>
        <w:rPr>
          <w:sz w:val="20"/>
          <w:szCs w:val="20"/>
          <w:color w:val="auto"/>
        </w:rPr>
      </w:pPr>
      <w:r>
        <w:rPr>
          <w:rFonts w:ascii="Arial" w:cs="Arial" w:eastAsia="Arial" w:hAnsi="Arial"/>
          <w:sz w:val="16"/>
          <w:szCs w:val="16"/>
          <w:color w:val="auto"/>
        </w:rPr>
        <w:t>Tradeweb Europe Limited is authorized and regulated in the United Kingdom by the FCA as a MiFID Investment Firm. It has permissions to operate an MTF, an OTF and an APA. Tradeweb Europe Limited passports its permissions under MiFID and accordingly provides services throughout the EEA. In addition, Tradeweb Europe Limited is also registered with the CFTC as an introducing broker and is a member of NFA.</w:t>
      </w:r>
    </w:p>
    <w:p>
      <w:pPr>
        <w:spacing w:after="0" w:line="46"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The Singapore branch of Tradeweb Europe Limited is regulated by the MAS as a Recognised Market Operator (“RMO”).</w:t>
      </w:r>
    </w:p>
    <w:p>
      <w:pPr>
        <w:spacing w:after="0" w:line="62"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The Hong Kong branch of Tradeweb Europe Limited is regulated by the SFC as an Automated Trading Service.</w:t>
      </w:r>
    </w:p>
    <w:p>
      <w:pPr>
        <w:spacing w:after="0" w:line="62" w:lineRule="exact"/>
        <w:rPr>
          <w:sz w:val="20"/>
          <w:szCs w:val="20"/>
          <w:color w:val="auto"/>
        </w:rPr>
      </w:pPr>
    </w:p>
    <w:p>
      <w:pPr>
        <w:jc w:val="both"/>
        <w:ind w:left="1260" w:right="1059" w:firstLine="360"/>
        <w:spacing w:after="0" w:line="264" w:lineRule="auto"/>
        <w:rPr>
          <w:sz w:val="20"/>
          <w:szCs w:val="20"/>
          <w:color w:val="auto"/>
        </w:rPr>
      </w:pPr>
      <w:r>
        <w:rPr>
          <w:rFonts w:ascii="Arial" w:cs="Arial" w:eastAsia="Arial" w:hAnsi="Arial"/>
          <w:sz w:val="18"/>
          <w:szCs w:val="18"/>
          <w:color w:val="auto"/>
        </w:rPr>
        <w:t>The Australia branch of Tradeweb Europe Limited is currently exempt from registration with ASIC, but, following amendments to the Australian Corporations Act, an application for an Overseas Australian Market Operator License is pending with ASIC.</w:t>
      </w:r>
    </w:p>
    <w:p>
      <w:pPr>
        <w:spacing w:after="0" w:line="73"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8"/>
          <w:szCs w:val="18"/>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(PBOC) for the provision of Bond Connect.</w:t>
      </w:r>
    </w:p>
    <w:p>
      <w:pPr>
        <w:spacing w:after="0" w:line="79"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70" w:lineRule="exact"/>
        <w:rPr>
          <w:sz w:val="20"/>
          <w:szCs w:val="20"/>
          <w:color w:val="auto"/>
        </w:rPr>
      </w:pPr>
    </w:p>
    <w:p>
      <w:pPr>
        <w:ind w:left="1260" w:right="959" w:firstLine="360"/>
        <w:spacing w:after="0" w:line="264" w:lineRule="auto"/>
        <w:rPr>
          <w:sz w:val="20"/>
          <w:szCs w:val="20"/>
          <w:color w:val="auto"/>
        </w:rPr>
      </w:pPr>
      <w:r>
        <w:rPr>
          <w:rFonts w:ascii="Arial" w:cs="Arial" w:eastAsia="Arial" w:hAnsi="Arial"/>
          <w:sz w:val="18"/>
          <w:szCs w:val="18"/>
          <w:color w:val="auto"/>
        </w:rPr>
        <w:t>Tradeweb EU B.V. is authorized and regulated by the DNB and AFM as a MiFID Investment Firm with permissions to operate an MTF and an OTF. Tradeweb EU B.V. will passport its permissions under MiFID and accordingly will provide services throughout the EU and the EEA.</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As of December 31, 2018, we had 919 employees, 681 of whom were based in the United States and 238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08"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Our corporate headquarters is located in New York, New York. As of December 31, 2018, our principal offices consisted of the following properties: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Square feet</w:t>
            </w: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Lease expiration date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5"/>
              </w:rPr>
              <w:t>Use</w:t>
            </w:r>
          </w:p>
        </w:tc>
      </w:tr>
      <w:tr>
        <w:trPr>
          <w:trHeight w:val="26"/>
        </w:trPr>
        <w:tc>
          <w:tcPr>
            <w:tcW w:w="3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41,062</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5/31/2021</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Office Space</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Jersey City, New Jersey</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65,242</w:t>
            </w:r>
          </w:p>
        </w:tc>
        <w:tc>
          <w:tcPr>
            <w:tcW w:w="220" w:type="dxa"/>
            <w:vAlign w:val="bottom"/>
          </w:tcPr>
          <w:p>
            <w:pPr>
              <w:spacing w:after="0"/>
              <w:rPr>
                <w:sz w:val="22"/>
                <w:szCs w:val="22"/>
                <w:color w:val="auto"/>
              </w:rPr>
            </w:pP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12/31/2027</w:t>
            </w:r>
          </w:p>
        </w:tc>
        <w:tc>
          <w:tcPr>
            <w:tcW w:w="2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Office Space</w:t>
            </w:r>
          </w:p>
        </w:tc>
      </w:tr>
      <w:tr>
        <w:trPr>
          <w:trHeight w:val="257"/>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United Kingdom</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16,259</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9/30/2024</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Office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-496570</wp:posOffset>
            </wp:positionV>
            <wp:extent cx="13716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-496570</wp:posOffset>
            </wp:positionV>
            <wp:extent cx="13716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-496570</wp:posOffset>
            </wp:positionV>
            <wp:extent cx="13716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color w:val="auto"/>
        </w:rPr>
        <w:t>We also lease offices in Los Angeles, California, Boca Raton, Florida and Garden City, New York. Through a shared services agreement with Refinitiv, we lease offices in Boston, Massachusetts and Chicago, Illinois and, outside the United States, in Amsterdam, Tokyo, Hong Kong, Shanghai and Singapore.</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infrastructure operates out of third-party data centers in Secaucus, New Jersey, Weehawken,</w:t>
      </w:r>
    </w:p>
    <w:p>
      <w:pPr>
        <w:spacing w:after="0" w:line="23" w:lineRule="exact"/>
        <w:rPr>
          <w:sz w:val="20"/>
          <w:szCs w:val="20"/>
          <w:color w:val="auto"/>
        </w:rPr>
      </w:pPr>
    </w:p>
    <w:p>
      <w:pPr>
        <w:ind w:left="1260" w:right="919"/>
        <w:spacing w:after="0" w:line="290" w:lineRule="auto"/>
        <w:rPr>
          <w:sz w:val="20"/>
          <w:szCs w:val="20"/>
          <w:color w:val="auto"/>
        </w:rPr>
      </w:pPr>
      <w:r>
        <w:rPr>
          <w:rFonts w:ascii="Arial" w:cs="Arial" w:eastAsia="Arial" w:hAnsi="Arial"/>
          <w:sz w:val="17"/>
          <w:szCs w:val="17"/>
          <w:color w:val="auto"/>
        </w:rPr>
        <w:t>New Jersey, Piscataway, New Jersey, Chicago, Illinois and Elk Grove, Illinois and, outside the United States, in Hounslow, United Kingdom, Slough, United Kingdom, Saitama, Japan and Tokyo, Japan.</w:t>
      </w: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059" w:firstLine="360"/>
        <w:spacing w:after="0" w:line="264" w:lineRule="auto"/>
        <w:rPr>
          <w:sz w:val="20"/>
          <w:szCs w:val="20"/>
          <w:color w:val="auto"/>
        </w:rPr>
      </w:pPr>
      <w:r>
        <w:rPr>
          <w:rFonts w:ascii="Arial" w:cs="Arial" w:eastAsia="Arial" w:hAnsi="Arial"/>
          <w:sz w:val="18"/>
          <w:szCs w:val="18"/>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and other factors.</w:t>
      </w:r>
    </w:p>
    <w:p>
      <w:pPr>
        <w:spacing w:after="0" w:line="72"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IDC Matter</w:t>
      </w:r>
    </w:p>
    <w:p>
      <w:pPr>
        <w:spacing w:after="0" w:line="104"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 xml:space="preserve">In September 2015, IDC Financial Publishing, Inc. (“IDC”) filed a lawsuit in the United States District Court for the Eastern District of Wisconsin against BondDesk Group LLC and Tradeweb Markets LLC (together, the “Tradeweb Parties”), and Fidelity Global Brokerage Group, Inc., Fidelity Brokerage Services, LLC, and National Financial Services, LLC (collectively, “Fidelity”), captioned </w:t>
      </w:r>
      <w:r>
        <w:rPr>
          <w:rFonts w:ascii="Arial" w:cs="Arial" w:eastAsia="Arial" w:hAnsi="Arial"/>
          <w:sz w:val="17"/>
          <w:szCs w:val="17"/>
          <w:i w:val="1"/>
          <w:iCs w:val="1"/>
          <w:color w:val="auto"/>
        </w:rPr>
        <w:t>IDC Financial Publishing Inc. v. BondDesk</w:t>
      </w:r>
      <w:r>
        <w:rPr>
          <w:rFonts w:ascii="Arial" w:cs="Arial" w:eastAsia="Arial" w:hAnsi="Arial"/>
          <w:sz w:val="17"/>
          <w:szCs w:val="17"/>
          <w:color w:val="auto"/>
        </w:rPr>
        <w:t xml:space="preserve"> </w:t>
      </w:r>
      <w:r>
        <w:rPr>
          <w:rFonts w:ascii="Arial" w:cs="Arial" w:eastAsia="Arial" w:hAnsi="Arial"/>
          <w:sz w:val="17"/>
          <w:szCs w:val="17"/>
          <w:i w:val="1"/>
          <w:iCs w:val="1"/>
          <w:color w:val="auto"/>
        </w:rPr>
        <w:t>Group LLC, et al.</w:t>
      </w:r>
      <w:r>
        <w:rPr>
          <w:rFonts w:ascii="Arial" w:cs="Arial" w:eastAsia="Arial" w:hAnsi="Arial"/>
          <w:sz w:val="17"/>
          <w:szCs w:val="17"/>
          <w:color w:val="auto"/>
        </w:rPr>
        <w:t>, Case No. 2:15-cv-01085-PP, relating to the distribution of IDC’s financial strength ratings over</w:t>
      </w:r>
      <w:r>
        <w:rPr>
          <w:rFonts w:ascii="Arial" w:cs="Arial" w:eastAsia="Arial" w:hAnsi="Arial"/>
          <w:sz w:val="17"/>
          <w:szCs w:val="17"/>
          <w:i w:val="1"/>
          <w:iCs w:val="1"/>
          <w:color w:val="auto"/>
        </w:rPr>
        <w:t xml:space="preserve"> </w:t>
      </w:r>
      <w:r>
        <w:rPr>
          <w:rFonts w:ascii="Arial" w:cs="Arial" w:eastAsia="Arial" w:hAnsi="Arial"/>
          <w:sz w:val="17"/>
          <w:szCs w:val="17"/>
          <w:color w:val="auto"/>
        </w:rPr>
        <w:t>Tradeweb’s trading platform to Fidelity, its registered investment advisors and Fidelity’s correspondent banks. IDC alleges that while certain business units of Fidelity were licensed to receive its data via Tradeweb’s platform, the IDC data was also distributed without authorization to Fidelity’s institutional customers for approximately five years. The complaint, as amended, asserts claims for breach of contract and intentional misrepresentation against all of the defendants (as well as a claim of tortious interference with contract against Fidelity). IDC claims to have suffered approximately $80 million in damages and also seeks punitive damages, attorneys’ fees and costs. The defendants answered the complaint denying the claims and asserting various affirmative defenses. The Tradeweb Parties and Fidelity have moved for summary judgment dismissing IDC’s claims and rejecting its damage theory as speculative and contrary to the evidence, and IDC has sought partial summary judgment dismissing several of the Tradeweb Parties’ and Fidelity’s affirmative defenses. Those motions remain pending. The case is scheduled for trial in July 2019. We intend to continue to vigorously defend what we believe to be meritless and excessive claims.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Treasuries Matter</w:t>
      </w:r>
    </w:p>
    <w:p>
      <w:pPr>
        <w:spacing w:after="0" w:line="104"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Arial" w:cs="Arial" w:eastAsia="Arial" w:hAnsi="Arial"/>
          <w:sz w:val="17"/>
          <w:szCs w:val="17"/>
          <w:i w:val="1"/>
          <w:iCs w:val="1"/>
          <w:color w:val="auto"/>
        </w:rPr>
        <w:t>In re</w:t>
      </w:r>
      <w:r>
        <w:rPr>
          <w:rFonts w:ascii="Arial" w:cs="Arial" w:eastAsia="Arial" w:hAnsi="Arial"/>
          <w:sz w:val="17"/>
          <w:szCs w:val="17"/>
          <w:color w:val="auto"/>
        </w:rPr>
        <w:t xml:space="preserve"> </w:t>
      </w:r>
      <w:r>
        <w:rPr>
          <w:rFonts w:ascii="Arial" w:cs="Arial" w:eastAsia="Arial" w:hAnsi="Arial"/>
          <w:sz w:val="17"/>
          <w:szCs w:val="17"/>
          <w:i w:val="1"/>
          <w:iCs w:val="1"/>
          <w:color w:val="auto"/>
        </w:rPr>
        <w:t>Treasuries Securities Auction Antitrust Litigation</w:t>
      </w:r>
      <w:r>
        <w:rPr>
          <w:rFonts w:ascii="Arial" w:cs="Arial" w:eastAsia="Arial" w:hAnsi="Arial"/>
          <w:sz w:val="17"/>
          <w:szCs w:val="17"/>
          <w:color w:val="auto"/>
        </w:rPr>
        <w:t>, No. 1:15-md-2673 (S.D.N.Y.) (PGG). In November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97" w:lineRule="auto"/>
        <w:rPr>
          <w:sz w:val="20"/>
          <w:szCs w:val="20"/>
          <w:color w:val="auto"/>
        </w:rPr>
      </w:pPr>
      <w:r>
        <w:rPr>
          <w:rFonts w:ascii="Arial" w:cs="Arial" w:eastAsia="Arial" w:hAnsi="Arial"/>
          <w:sz w:val="16"/>
          <w:szCs w:val="16"/>
          <w:color w:val="auto"/>
        </w:rPr>
        <w:t>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5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85" w:lineRule="exact"/>
        <w:rPr>
          <w:sz w:val="20"/>
          <w:szCs w:val="20"/>
          <w:color w:val="auto"/>
        </w:rPr>
      </w:pPr>
    </w:p>
    <w:p>
      <w:pPr>
        <w:ind w:left="1260" w:right="999" w:firstLine="360"/>
        <w:spacing w:after="0" w:line="286" w:lineRule="auto"/>
        <w:rPr>
          <w:sz w:val="20"/>
          <w:szCs w:val="20"/>
          <w:color w:val="auto"/>
        </w:rPr>
      </w:pPr>
      <w:r>
        <w:rPr>
          <w:rFonts w:ascii="Arial" w:cs="Arial" w:eastAsia="Arial" w:hAnsi="Arial"/>
          <w:sz w:val="17"/>
          <w:szCs w:val="17"/>
          <w:color w:val="auto"/>
        </w:rPr>
        <w:t>Defendants filed motions to dismiss in February 2018, including a separate motion to dismiss filed by the Tradeweb Parties. The motions to dismiss are pending. We believe that we have meritorious defenses to the claims set forth in the complaint and intend to continue to vigorously defend our position.</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Swaps Matter</w:t>
      </w:r>
    </w:p>
    <w:p>
      <w:pPr>
        <w:spacing w:after="0" w:line="104"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Arial" w:cs="Arial" w:eastAsia="Arial" w:hAnsi="Arial"/>
          <w:sz w:val="16"/>
          <w:szCs w:val="16"/>
          <w:i w:val="1"/>
          <w:iCs w:val="1"/>
          <w:color w:val="auto"/>
        </w:rPr>
        <w:t>Public School Teachers’</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and Retirement Fund of Chicago v. Bank of America Corporation, Case No. 15-cv-09219 (S.D.N.Y.)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plaintiffs, including Tera Group Inc. and Javelin Capital Markets LLC, filed lawsuits and, ultimately, the cases were consolidated under the caption </w:t>
      </w:r>
      <w:r>
        <w:rPr>
          <w:rFonts w:ascii="Arial" w:cs="Arial" w:eastAsia="Arial" w:hAnsi="Arial"/>
          <w:sz w:val="16"/>
          <w:szCs w:val="16"/>
          <w:i w:val="1"/>
          <w:iCs w:val="1"/>
          <w:color w:val="auto"/>
        </w:rPr>
        <w:t>In re Interest Rate Swaps Antitrust Litigation, No. 1:16-md-2704</w:t>
      </w:r>
      <w:r>
        <w:rPr>
          <w:rFonts w:ascii="Arial" w:cs="Arial" w:eastAsia="Arial" w:hAnsi="Arial"/>
          <w:sz w:val="16"/>
          <w:szCs w:val="16"/>
          <w:color w:val="auto"/>
        </w:rPr>
        <w:t>.</w:t>
      </w:r>
    </w:p>
    <w:p>
      <w:pPr>
        <w:spacing w:after="0" w:line="59"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80" w:lineRule="exact"/>
        <w:rPr>
          <w:sz w:val="20"/>
          <w:szCs w:val="20"/>
          <w:color w:val="auto"/>
        </w:rPr>
      </w:pPr>
    </w:p>
    <w:p>
      <w:pPr>
        <w:ind w:left="1260" w:right="739" w:firstLine="360"/>
        <w:spacing w:after="0" w:line="288" w:lineRule="auto"/>
        <w:rPr>
          <w:sz w:val="20"/>
          <w:szCs w:val="20"/>
          <w:color w:val="auto"/>
        </w:rPr>
      </w:pPr>
      <w:r>
        <w:rPr>
          <w:rFonts w:ascii="Arial" w:cs="Arial" w:eastAsia="Arial" w:hAnsi="Arial"/>
          <w:sz w:val="16"/>
          <w:szCs w:val="16"/>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is actively engaged in third-party discovery and has responded to the parties’ data and document requests. Additionally, in June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08" w:lineRule="exact"/>
        <w:rPr>
          <w:sz w:val="20"/>
          <w:szCs w:val="20"/>
          <w:color w:val="auto"/>
        </w:rPr>
      </w:pPr>
    </w:p>
    <w:p>
      <w:pPr>
        <w:ind w:left="1260" w:right="1059" w:firstLine="360"/>
        <w:spacing w:after="0" w:line="293" w:lineRule="auto"/>
        <w:rPr>
          <w:sz w:val="20"/>
          <w:szCs w:val="20"/>
          <w:color w:val="auto"/>
        </w:rPr>
      </w:pPr>
      <w:r>
        <w:rPr>
          <w:rFonts w:ascii="Arial" w:cs="Arial" w:eastAsia="Arial" w:hAnsi="Arial"/>
          <w:sz w:val="16"/>
          <w:szCs w:val="16"/>
          <w:color w:val="auto"/>
        </w:rPr>
        <w:t>The following table sets forth information about our executive officers, directors and director nominees, including their ages as of March 5, 2019. With respect to our directors and director nominees, each biography contains information regarding the person’s service as a director, business experience, director positions held currently or at any time during the past five years, information regarding involvement in certain legal or administrative proceedings, and the experience, qualifications, attributes or skills that caused our board of directors to determine that the person should serve as a director of our company.</w:t>
      </w:r>
    </w:p>
    <w:p>
      <w:pPr>
        <w:spacing w:after="0" w:line="184"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4860" w:type="dxa"/>
            <w:vAlign w:val="bottom"/>
          </w:tcPr>
          <w:p>
            <w:pPr>
              <w:ind w:left="21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Lee Olesky</w:t>
            </w:r>
          </w:p>
        </w:tc>
        <w:tc>
          <w:tcPr>
            <w:tcW w:w="22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6"/>
                <w:szCs w:val="16"/>
                <w:color w:val="auto"/>
              </w:rPr>
            </w:pPr>
          </w:p>
        </w:tc>
        <w:tc>
          <w:tcPr>
            <w:tcW w:w="4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William (“Billy”) Hult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President and Director Nominee</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Enrico Bruni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Managing Director, Head of Europe and Asia Business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Douglas Friedman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Simon Maisey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Managing Director, Global Head of Corporate Development</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James (“Jay”) Spencer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Robert Warshaw</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Scott Zucker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Administrative Officer</w:t>
            </w:r>
          </w:p>
        </w:tc>
      </w:tr>
    </w:tbl>
    <w:p>
      <w:pPr>
        <w:spacing w:after="0" w:line="32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Lee Olesky</w:t>
      </w:r>
    </w:p>
    <w:p>
      <w:pPr>
        <w:spacing w:after="0" w:line="104"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Mr. Olesky is our co-founder and has served as Tradeweb’s Chief Executive Officer and on the board of directors since its formation. Mr. Olesky has been the Chief Executive Officer since September 2008 and on the board of directors of TWM LLC since January 2008. After being our founding Chairman of the Board from 1996 to 1998, 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 Mr. Olesky was selected to serve on our board of directors because of the perspective, management, leadership experience and operational expertise in our business that he has developed as our Chief Executive Officer.</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Billy Hult</w:t>
      </w:r>
    </w:p>
    <w:p>
      <w:pPr>
        <w:spacing w:after="0" w:line="104"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Mr. Hult has served as Tradeweb’s President since its formation and has agreed to serve on its board of directors. Mr. Hult has served as the President and on the board of directors of TWM LLC since September 2008. Mr. Hult joined Tradeweb in July 2000 as a product manager and oversaw the creation of our TBA-MBS marketplace. In 2005, Mr. Hult went on to serve as the head of U.S. products overseeing the firm’s expansion into new asset classes. Prior to joining Tradeweb, Mr. Hult held a variety of trading positions at Société Générale from 1997 to 2000. He received a B.A. from Denison University. Mr. Hult was selected to serve on our board of directors because of the perspective, management, industry experience and operational expertise in our business that he has developed as our President.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Enrico Bruni</w:t>
      </w:r>
    </w:p>
    <w:p>
      <w:pPr>
        <w:spacing w:after="0" w:line="104"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Mr. Bruni has served as Managing Director, Head of Europe and Asia Business of TWM LLC since February 2013 and, following the completion of the Reorganization Transactions, will serve in the same position at Tradeweb.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2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Friedman</w:t>
      </w:r>
    </w:p>
    <w:p>
      <w:pPr>
        <w:spacing w:after="0" w:line="77"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Mr. Friedman has served as Tradeweb’s General Counsel and Secretary since its formation and as the General Counsel of TWM LLC since November 2009, prior to which he served as the Assistant General Counsel of TWM LLC beginning in June 2005.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Simon Maisey</w:t>
      </w:r>
    </w:p>
    <w:p>
      <w:pPr>
        <w:spacing w:after="0" w:line="63"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Mr. Maisey has served as Managing Director, Global Head of Corporate Development of TWM LLC since May 2016 and, following the completion of the Reorganization Transactions, will serve in the same position at Tradeweb.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 Morgan’s fixed income businesses and served on the TWM LLC board of directors as a J.P. Morgan representative from 2009 to 2014. He holds a MEng (Hons) from the University of Oxford.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Jay Spencer</w:t>
      </w:r>
    </w:p>
    <w:p>
      <w:pPr>
        <w:spacing w:after="0" w:line="63"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Mr. Spencer has served as Chief Technology Officer of TWM LLC since February 2008 and, following completion of the Reorganization Transactions, will serve in the same position at Tradeweb. Prior to joining Tradeweb, from 2003 to 2007, Mr. Spencer was Global Chief Information Officer for ICAP and a member of its Global Executive Management team. Previously, Mr. Spencer was the founding Chief Technology Officer of BrokerTec, a position he held from 1999 to 2003, where he worked closely with Mr. Olesky in establishing the business. His extensive electronic trading experience also includes senior product and executive positions at EJV Partners and Fidelity. He received a B.A from the University of North Carolina at Chapel Hill and an M.B.A. from Wake Forest University.</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Robert Warshaw</w:t>
      </w:r>
    </w:p>
    <w:p>
      <w:pPr>
        <w:spacing w:after="0" w:line="77"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Mr. Warshaw has served as Tradeweb’s Chief Financial Officer since its formation and as the Chief Financial Officer of TWM LLC since May 2011. Mr. Warshaw joined the Company in July 2009 as a managing director and Head of Equities and became Head of Business Development in November 2010. Prior to joining Tradeweb, Mr. Warshaw led venture capital-backed technology startups in the electronic trading, telepresence and social networking fields. Prior to that, he served as Chief Information Officer and a director of Lazard as well as a partner at McKinsey &amp; Company, where he advised large companies in the financial and technology sectors. Mr. Warshaw began his career at the former Andersen Consulting, since renamed Accenture, where he worked on a series of global assignments in the financial sector. He received a B.A. from the University of Pennsylvania and a master of management from the Kellogg School of Management at Northwestern University.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Zucker</w:t>
      </w:r>
    </w:p>
    <w:p>
      <w:pPr>
        <w:spacing w:after="0" w:line="63"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Mr. Zucker has served as Tradeweb’s Chief Administrative Officer since its formation and as the Chief Administrative Officer of TWM LLC since November 2009 and, following the completion of the Reorganization Transactions, will serve in the same position at Tradeweb. He joined the company in 2002 as General Counsel. Prior to joining Tradeweb, from 1999 to 2002, Mr. Zucker worked in the Corporate Department of Willkie Farr &amp; Gallagher LLP, an international law firm, providing legal, regulatory and securities law support exclusively to Bloomberg LP. He also worked in the Corporate Department of Robinson, Silverman, Pearce, Aronsohn and Berman LLP (now Bryan Cave Leighton Paisner LLP) from 1996 to 1999, where he specialized in general corporate and securities matters. He received a B.A. from Tufts University and a J.D. from Hofstra University School of Law.</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w:t>
      </w:r>
    </w:p>
    <w:p>
      <w:pPr>
        <w:spacing w:after="0" w:line="67" w:lineRule="exact"/>
        <w:rPr>
          <w:sz w:val="20"/>
          <w:szCs w:val="20"/>
          <w:color w:val="auto"/>
        </w:rPr>
      </w:pPr>
    </w:p>
    <w:p>
      <w:pPr>
        <w:ind w:left="1260" w:right="839" w:firstLine="360"/>
        <w:spacing w:after="0" w:line="308" w:lineRule="auto"/>
        <w:rPr>
          <w:sz w:val="20"/>
          <w:szCs w:val="20"/>
          <w:color w:val="auto"/>
        </w:rPr>
      </w:pPr>
      <w:r>
        <w:rPr>
          <w:rFonts w:ascii="Arial" w:cs="Arial" w:eastAsia="Arial" w:hAnsi="Arial"/>
          <w:sz w:val="17"/>
          <w:szCs w:val="17"/>
          <w:color w:val="auto"/>
        </w:rPr>
        <w:t>Our business and affairs are managed under the direction of our board of directors. Upon completion of this offering, our board of directors will consist of nine directors. In addition, our amended and restated</w:t>
      </w:r>
    </w:p>
    <w:p>
      <w:pPr>
        <w:sectPr>
          <w:pgSz w:w="11900" w:h="16838" w:orient="portrait"/>
          <w:cols w:equalWidth="0" w:num="1">
            <w:col w:w="10219"/>
          </w:cols>
          <w:pgMar w:left="240" w:top="132" w:right="1440" w:bottom="1440" w:gutter="0" w:footer="0" w:header="0"/>
        </w:sectPr>
      </w:pP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60" w:name="page161"/>
    <w:bookmarkEnd w:id="1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199"/>
        <w:spacing w:after="0" w:line="306" w:lineRule="auto"/>
        <w:rPr>
          <w:sz w:val="20"/>
          <w:szCs w:val="20"/>
          <w:color w:val="auto"/>
        </w:rPr>
      </w:pPr>
      <w:r>
        <w:rPr>
          <w:rFonts w:ascii="Arial" w:cs="Arial" w:eastAsia="Arial" w:hAnsi="Arial"/>
          <w:sz w:val="17"/>
          <w:szCs w:val="17"/>
          <w:color w:val="auto"/>
        </w:rPr>
        <w:t>certificate of incorporation and amended and restated bylaws will provide for a classified board of directors consisting of three classes of directors, each serving staggered three-year terms as follows: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40"/>
              <w:spacing w:after="0"/>
              <w:rPr>
                <w:sz w:val="20"/>
                <w:szCs w:val="20"/>
                <w:color w:val="auto"/>
              </w:rPr>
            </w:pPr>
            <w:r>
              <w:rPr>
                <w:rFonts w:ascii="Arial" w:cs="Arial" w:eastAsia="Arial" w:hAnsi="Arial"/>
                <w:sz w:val="18"/>
                <w:szCs w:val="18"/>
                <w:color w:val="auto"/>
                <w:w w:val="92"/>
              </w:rPr>
              <w:t>the Class I directors will be</w:t>
            </w:r>
          </w:p>
        </w:tc>
        <w:tc>
          <w:tcPr>
            <w:tcW w:w="380" w:type="dxa"/>
            <w:vAlign w:val="bottom"/>
          </w:tcPr>
          <w:p>
            <w:pPr>
              <w:spacing w:after="0"/>
              <w:rPr>
                <w:sz w:val="18"/>
                <w:szCs w:val="18"/>
                <w:color w:val="auto"/>
              </w:rPr>
            </w:pPr>
          </w:p>
        </w:tc>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700" w:type="dxa"/>
            <w:vAlign w:val="bottom"/>
          </w:tcPr>
          <w:p>
            <w:pPr>
              <w:ind w:left="160"/>
              <w:spacing w:after="0"/>
              <w:rPr>
                <w:sz w:val="20"/>
                <w:szCs w:val="20"/>
                <w:color w:val="auto"/>
              </w:rPr>
            </w:pPr>
            <w:r>
              <w:rPr>
                <w:rFonts w:ascii="Arial" w:cs="Arial" w:eastAsia="Arial" w:hAnsi="Arial"/>
                <w:sz w:val="18"/>
                <w:szCs w:val="18"/>
                <w:color w:val="auto"/>
              </w:rPr>
              <w:t>and</w:t>
            </w:r>
          </w:p>
        </w:tc>
        <w:tc>
          <w:tcPr>
            <w:tcW w:w="3980" w:type="dxa"/>
            <w:vAlign w:val="bottom"/>
          </w:tcPr>
          <w:p>
            <w:pPr>
              <w:ind w:left="180"/>
              <w:spacing w:after="0"/>
              <w:rPr>
                <w:sz w:val="20"/>
                <w:szCs w:val="20"/>
                <w:color w:val="auto"/>
              </w:rPr>
            </w:pPr>
            <w:r>
              <w:rPr>
                <w:rFonts w:ascii="Arial" w:cs="Arial" w:eastAsia="Arial" w:hAnsi="Arial"/>
                <w:sz w:val="18"/>
                <w:szCs w:val="18"/>
                <w:color w:val="auto"/>
                <w:w w:val="93"/>
              </w:rPr>
              <w:t>and their terms will expire at the annual meeting of</w:t>
            </w:r>
          </w:p>
        </w:tc>
      </w:tr>
      <w:tr>
        <w:trPr>
          <w:trHeight w:val="230"/>
        </w:trPr>
        <w:tc>
          <w:tcPr>
            <w:tcW w:w="22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stockholders for fiscal</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25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the Class II directors will be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ind w:left="220"/>
              <w:spacing w:after="0"/>
              <w:rPr>
                <w:sz w:val="20"/>
                <w:szCs w:val="20"/>
                <w:color w:val="auto"/>
              </w:rPr>
            </w:pPr>
            <w:r>
              <w:rPr>
                <w:rFonts w:ascii="Arial" w:cs="Arial" w:eastAsia="Arial" w:hAnsi="Arial"/>
                <w:sz w:val="18"/>
                <w:szCs w:val="18"/>
                <w:color w:val="auto"/>
              </w:rPr>
              <w:t>and</w:t>
            </w:r>
          </w:p>
        </w:tc>
        <w:tc>
          <w:tcPr>
            <w:tcW w:w="3980" w:type="dxa"/>
            <w:vAlign w:val="bottom"/>
          </w:tcPr>
          <w:p>
            <w:pPr>
              <w:ind w:left="240"/>
              <w:spacing w:after="0"/>
              <w:rPr>
                <w:sz w:val="20"/>
                <w:szCs w:val="20"/>
                <w:color w:val="auto"/>
              </w:rPr>
            </w:pPr>
            <w:r>
              <w:rPr>
                <w:rFonts w:ascii="Arial" w:cs="Arial" w:eastAsia="Arial" w:hAnsi="Arial"/>
                <w:sz w:val="18"/>
                <w:szCs w:val="18"/>
                <w:color w:val="auto"/>
                <w:w w:val="92"/>
              </w:rPr>
              <w:t>and their terms will expire at the annual meeting of</w:t>
            </w:r>
          </w:p>
        </w:tc>
      </w:tr>
      <w:tr>
        <w:trPr>
          <w:trHeight w:val="230"/>
        </w:trPr>
        <w:tc>
          <w:tcPr>
            <w:tcW w:w="22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stockholders for fiscal</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 and</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25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the Class III directors will be</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ind w:left="280"/>
              <w:spacing w:after="0"/>
              <w:rPr>
                <w:sz w:val="20"/>
                <w:szCs w:val="20"/>
                <w:color w:val="auto"/>
              </w:rPr>
            </w:pPr>
            <w:r>
              <w:rPr>
                <w:rFonts w:ascii="Arial" w:cs="Arial" w:eastAsia="Arial" w:hAnsi="Arial"/>
                <w:sz w:val="18"/>
                <w:szCs w:val="18"/>
                <w:color w:val="auto"/>
              </w:rPr>
              <w:t>and</w:t>
            </w:r>
          </w:p>
        </w:tc>
        <w:tc>
          <w:tcPr>
            <w:tcW w:w="3980" w:type="dxa"/>
            <w:vAlign w:val="bottom"/>
          </w:tcPr>
          <w:p>
            <w:pPr>
              <w:ind w:left="300"/>
              <w:spacing w:after="0"/>
              <w:rPr>
                <w:sz w:val="20"/>
                <w:szCs w:val="20"/>
                <w:color w:val="auto"/>
              </w:rPr>
            </w:pPr>
            <w:r>
              <w:rPr>
                <w:rFonts w:ascii="Arial" w:cs="Arial" w:eastAsia="Arial" w:hAnsi="Arial"/>
                <w:sz w:val="18"/>
                <w:szCs w:val="18"/>
                <w:color w:val="auto"/>
                <w:w w:val="90"/>
              </w:rPr>
              <w:t>and their terms will expire at the annual meeting of</w:t>
            </w:r>
          </w:p>
        </w:tc>
      </w:tr>
      <w:tr>
        <w:trPr>
          <w:trHeight w:val="230"/>
        </w:trPr>
        <w:tc>
          <w:tcPr>
            <w:tcW w:w="22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stockholders for fiscal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80" w:type="dxa"/>
            <w:vAlign w:val="bottom"/>
          </w:tcPr>
          <w:p>
            <w:pPr>
              <w:spacing w:after="0"/>
              <w:rPr>
                <w:sz w:val="20"/>
                <w:szCs w:val="20"/>
                <w:color w:val="auto"/>
              </w:rPr>
            </w:pPr>
          </w:p>
        </w:tc>
      </w:tr>
    </w:tbl>
    <w:p>
      <w:pPr>
        <w:spacing w:after="0" w:line="9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70"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In addition, we intend to enter into the Stockholders Agreement with the Refinitiv Owners in connection with this offering. This agreement will grant the Refinitiv Owners the right to designate nominees to our board of directors subject to the maintenance of certain ownership requirements in us. See “Certain Relationships and Related Party Transactions — Related Party Transactions Entered Into in Connection With This Transaction — Stockholders Agreement” for additional information.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Controlled Company Exception</w:t>
      </w:r>
    </w:p>
    <w:p>
      <w:pPr>
        <w:spacing w:after="0" w:line="108" w:lineRule="exact"/>
        <w:rPr>
          <w:sz w:val="20"/>
          <w:szCs w:val="20"/>
          <w:color w:val="auto"/>
        </w:rPr>
      </w:pPr>
    </w:p>
    <w:p>
      <w:pPr>
        <w:ind w:left="1620"/>
        <w:spacing w:after="0"/>
        <w:tabs>
          <w:tab w:leader="none" w:pos="6100" w:val="left"/>
        </w:tabs>
        <w:rPr>
          <w:sz w:val="20"/>
          <w:szCs w:val="20"/>
          <w:color w:val="auto"/>
        </w:rPr>
      </w:pPr>
      <w:r>
        <w:rPr>
          <w:rFonts w:ascii="Arial" w:cs="Arial" w:eastAsia="Arial" w:hAnsi="Arial"/>
          <w:sz w:val="18"/>
          <w:szCs w:val="18"/>
          <w:color w:val="auto"/>
        </w:rPr>
        <w:t>Our board of directors has affirmatively determined that</w:t>
      </w:r>
      <w:r>
        <w:rPr>
          <w:sz w:val="20"/>
          <w:szCs w:val="20"/>
          <w:color w:val="auto"/>
        </w:rPr>
        <w:tab/>
      </w:r>
      <w:r>
        <w:rPr>
          <w:rFonts w:ascii="Arial" w:cs="Arial" w:eastAsia="Arial" w:hAnsi="Arial"/>
          <w:sz w:val="16"/>
          <w:szCs w:val="16"/>
          <w:color w:val="auto"/>
        </w:rPr>
        <w:t>are independent directors under the rules of</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Nasdaq, and are independent directors as such term is defined in Rule 10A-3(b)(1) under the Exchange Act.</w:t>
      </w:r>
    </w:p>
    <w:p>
      <w:pPr>
        <w:spacing w:after="0" w:line="103"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After completion of this offering, the Refinitiv Owners, who will be parties to the Stockholders Agreement, will hold Class B common stock and Class D common stock collectively representing a majority of the combined voting power of our total outstanding common stock. As a result, we will be a “controlled company” within the meaning of the corporate governance standards of Nasdaq. Under these rules, a “controlled company” may elect not to comply with certain corporate governance requirements, including:</w:t>
      </w:r>
    </w:p>
    <w:p>
      <w:pPr>
        <w:spacing w:after="0" w:line="10" w:lineRule="exact"/>
        <w:rPr>
          <w:sz w:val="20"/>
          <w:szCs w:val="20"/>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76"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19" w:lineRule="exact"/>
        <w:rPr>
          <w:rFonts w:ascii="Arial" w:cs="Arial" w:eastAsia="Arial" w:hAnsi="Arial"/>
          <w:sz w:val="18"/>
          <w:szCs w:val="18"/>
          <w:color w:val="auto"/>
        </w:rPr>
      </w:pPr>
    </w:p>
    <w:p>
      <w:pPr>
        <w:ind w:left="1980" w:right="1199" w:hanging="352"/>
        <w:spacing w:after="0" w:line="342" w:lineRule="auto"/>
        <w:tabs>
          <w:tab w:leader="none" w:pos="1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979" w:firstLine="360"/>
        <w:spacing w:after="0" w:line="271" w:lineRule="auto"/>
        <w:rPr>
          <w:sz w:val="20"/>
          <w:szCs w:val="20"/>
          <w:color w:val="auto"/>
        </w:rPr>
      </w:pPr>
      <w:r>
        <w:rPr>
          <w:rFonts w:ascii="Arial" w:cs="Arial" w:eastAsia="Arial" w:hAnsi="Arial"/>
          <w:sz w:val="17"/>
          <w:szCs w:val="17"/>
          <w:color w:val="auto"/>
        </w:rPr>
        <w:t>Following this offering, we intend to utilize certain of these exemptions. As a result, we will not have a majority of independent directors, our nominating and corporate governance committee and compensation committee will not consist entirely of independent directors and such committees will not be subject to annual performance evaluations. Accordingly, you will not have the same protections afforded to stockholders of companies that are subject to all of the applicable stock exchange rules. See “Risk Factors — Risks Relating to This Offering and Ownership of Our Class A Common Stock — We are a “controlled company” within the meaning of the corporate governance standards of Nasdaq and, as a result, will qualify for, and may rely on, exemptions from certain corporate governance requirements.”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Upon completion of this offering, our board of directors will have three committees: the audit committee; the compensation committee; and the nominating and corporate governance committee. Our board of directors may establish other committees to facilitate the management of our business. The expected composition and functions of the audit committee, compensation committee and nominating and corporate governance committee are described below.</w:t>
      </w:r>
    </w:p>
    <w:p>
      <w:pPr>
        <w:spacing w:after="0" w:line="24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620"/>
        <w:spacing w:after="0"/>
        <w:tabs>
          <w:tab w:leader="none" w:pos="4940" w:val="left"/>
          <w:tab w:leader="none" w:pos="6380" w:val="left"/>
          <w:tab w:leader="none" w:pos="7180" w:val="left"/>
          <w:tab w:leader="none" w:pos="7680" w:val="left"/>
        </w:tabs>
        <w:rPr>
          <w:sz w:val="20"/>
          <w:szCs w:val="20"/>
          <w:color w:val="auto"/>
        </w:rPr>
      </w:pPr>
      <w:r>
        <w:rPr>
          <w:rFonts w:ascii="Arial" w:cs="Arial" w:eastAsia="Arial" w:hAnsi="Arial"/>
          <w:sz w:val="18"/>
          <w:szCs w:val="18"/>
          <w:color w:val="auto"/>
        </w:rPr>
        <w:t>The members of the audit committee are</w:t>
      </w:r>
      <w:r>
        <w:rPr>
          <w:sz w:val="20"/>
          <w:szCs w:val="20"/>
          <w:color w:val="auto"/>
        </w:rPr>
        <w:tab/>
      </w:r>
      <w:r>
        <w:rPr>
          <w:rFonts w:ascii="Arial" w:cs="Arial" w:eastAsia="Arial" w:hAnsi="Arial"/>
          <w:sz w:val="18"/>
          <w:szCs w:val="18"/>
          <w:color w:val="auto"/>
        </w:rPr>
        <w:t>, as Chairman,</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qualifies as our “audit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committee financial expert” within the meaning of regulations adopted by the SEC. Our board of directors has</w:t>
      </w:r>
    </w:p>
    <w:p>
      <w:pPr>
        <w:spacing w:after="0" w:line="21" w:lineRule="exact"/>
        <w:rPr>
          <w:sz w:val="20"/>
          <w:szCs w:val="20"/>
          <w:color w:val="auto"/>
        </w:rPr>
      </w:pPr>
    </w:p>
    <w:p>
      <w:pPr>
        <w:ind w:left="1260" w:right="759"/>
        <w:spacing w:after="0" w:line="252" w:lineRule="auto"/>
        <w:rPr>
          <w:sz w:val="20"/>
          <w:szCs w:val="20"/>
          <w:color w:val="auto"/>
        </w:rPr>
      </w:pPr>
      <w:r>
        <w:rPr>
          <w:rFonts w:ascii="Arial" w:cs="Arial" w:eastAsia="Arial" w:hAnsi="Arial"/>
          <w:sz w:val="18"/>
          <w:szCs w:val="18"/>
          <w:color w:val="auto"/>
        </w:rPr>
        <w:t>also determined that are “independent” as defined under Nasdaq rules and the Exchange Act and rules and regulations promulgated thereunder. 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 of directors.</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620"/>
        <w:spacing w:after="0"/>
        <w:tabs>
          <w:tab w:leader="none" w:pos="5580" w:val="left"/>
          <w:tab w:leader="none" w:pos="7060" w:val="left"/>
          <w:tab w:leader="none" w:pos="7780" w:val="left"/>
        </w:tabs>
        <w:rPr>
          <w:sz w:val="20"/>
          <w:szCs w:val="20"/>
          <w:color w:val="auto"/>
        </w:rPr>
      </w:pPr>
      <w:r>
        <w:rPr>
          <w:rFonts w:ascii="Arial" w:cs="Arial" w:eastAsia="Arial" w:hAnsi="Arial"/>
          <w:sz w:val="18"/>
          <w:szCs w:val="18"/>
          <w:color w:val="auto"/>
        </w:rPr>
        <w:t>The members of the compensation committee are</w:t>
      </w:r>
      <w:r>
        <w:rPr>
          <w:sz w:val="20"/>
          <w:szCs w:val="20"/>
          <w:color w:val="auto"/>
        </w:rPr>
        <w:tab/>
      </w:r>
      <w:r>
        <w:rPr>
          <w:rFonts w:ascii="Arial" w:cs="Arial" w:eastAsia="Arial" w:hAnsi="Arial"/>
          <w:sz w:val="18"/>
          <w:szCs w:val="18"/>
          <w:color w:val="auto"/>
        </w:rPr>
        <w:t>, as Chairman,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The principal</w:t>
      </w:r>
    </w:p>
    <w:p>
      <w:pPr>
        <w:spacing w:after="0" w:line="23" w:lineRule="exact"/>
        <w:rPr>
          <w:sz w:val="20"/>
          <w:szCs w:val="20"/>
          <w:color w:val="auto"/>
        </w:rPr>
      </w:pPr>
    </w:p>
    <w:p>
      <w:pPr>
        <w:ind w:left="1260" w:right="899"/>
        <w:spacing w:after="0" w:line="302" w:lineRule="auto"/>
        <w:rPr>
          <w:sz w:val="20"/>
          <w:szCs w:val="20"/>
          <w:color w:val="auto"/>
        </w:rPr>
      </w:pPr>
      <w:r>
        <w:rPr>
          <w:rFonts w:ascii="Arial" w:cs="Arial" w:eastAsia="Arial" w:hAnsi="Arial"/>
          <w:sz w:val="16"/>
          <w:szCs w:val="16"/>
          <w:color w:val="auto"/>
        </w:rPr>
        <w:t>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w:t>
      </w:r>
    </w:p>
    <w:p>
      <w:pPr>
        <w:spacing w:after="0" w:line="14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left="1620"/>
        <w:spacing w:after="0"/>
        <w:tabs>
          <w:tab w:leader="none" w:pos="7300" w:val="left"/>
          <w:tab w:leader="none" w:pos="8740" w:val="left"/>
        </w:tabs>
        <w:rPr>
          <w:sz w:val="20"/>
          <w:szCs w:val="20"/>
          <w:color w:val="auto"/>
        </w:rPr>
      </w:pPr>
      <w:r>
        <w:rPr>
          <w:rFonts w:ascii="Arial" w:cs="Arial" w:eastAsia="Arial" w:hAnsi="Arial"/>
          <w:sz w:val="18"/>
          <w:szCs w:val="18"/>
          <w:color w:val="auto"/>
        </w:rPr>
        <w:t>The members of the nominating and corporate governance committee are</w:t>
      </w:r>
      <w:r>
        <w:rPr>
          <w:sz w:val="20"/>
          <w:szCs w:val="20"/>
          <w:color w:val="auto"/>
        </w:rPr>
        <w:tab/>
      </w:r>
      <w:r>
        <w:rPr>
          <w:rFonts w:ascii="Arial" w:cs="Arial" w:eastAsia="Arial" w:hAnsi="Arial"/>
          <w:sz w:val="18"/>
          <w:szCs w:val="18"/>
          <w:color w:val="auto"/>
        </w:rPr>
        <w:t>, as Chairman,</w:t>
      </w:r>
      <w:r>
        <w:rPr>
          <w:sz w:val="20"/>
          <w:szCs w:val="20"/>
          <w:color w:val="auto"/>
        </w:rPr>
        <w:tab/>
      </w:r>
      <w:r>
        <w:rPr>
          <w:rFonts w:ascii="Arial" w:cs="Arial" w:eastAsia="Arial" w:hAnsi="Arial"/>
          <w:sz w:val="16"/>
          <w:szCs w:val="16"/>
          <w:color w:val="auto"/>
        </w:rPr>
        <w:t>, and</w:t>
      </w:r>
    </w:p>
    <w:p>
      <w:pPr>
        <w:spacing w:after="0" w:line="23" w:lineRule="exact"/>
        <w:rPr>
          <w:sz w:val="20"/>
          <w:szCs w:val="20"/>
          <w:color w:val="auto"/>
        </w:rPr>
      </w:pPr>
    </w:p>
    <w:p>
      <w:pPr>
        <w:ind w:left="1260" w:right="1219" w:firstLine="413"/>
        <w:spacing w:after="0" w:line="302" w:lineRule="auto"/>
        <w:tabs>
          <w:tab w:leader="none" w:pos="175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assists our board of directors in identifying individuals qualified to become board members, makes recommendations for nominees for committees and develops, recommends to the board of directors and reviews our corporate governance principles.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None of our executive officers serves, or in the past year has served, as a member of the board of directors or compensation committee (or other committee performing equivalent functions) of any entity that has one or more executive officers serving on our board of directors or compensation committee. No interlocking relationship exists between any member of the compensation committee (or other committee performing equivalent functions) and any executive, member of the board of directors or member of the compensation committee (or other committee performing equivalent functions) of any other company.</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We have adopted a Code of Ethics and Business Conduct applicable to all of our directors, officers (including our principal executive officer, principal financial officer and principal accounting officer) and all global employees. Our Code of Ethics and Business Conduct is available on our website at www.tradeweb.com. In the event that we amend or waive certain provisions of our Code of Ethics and Business Conduct applicable to our principal executive officer, principal financial officer or principal accounting officer that requires disclosure under applicable SEC rules, we intend to disclose the same on our website.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EXECUTIVE COMPENSATION</w:t>
      </w:r>
    </w:p>
    <w:p>
      <w:pPr>
        <w:spacing w:after="0" w:line="108" w:lineRule="exact"/>
        <w:rPr>
          <w:sz w:val="20"/>
          <w:szCs w:val="20"/>
          <w:color w:val="auto"/>
        </w:rPr>
      </w:pPr>
    </w:p>
    <w:p>
      <w:pPr>
        <w:ind w:left="1260" w:right="1099" w:firstLine="360"/>
        <w:spacing w:after="0" w:line="259" w:lineRule="auto"/>
        <w:rPr>
          <w:sz w:val="20"/>
          <w:szCs w:val="20"/>
          <w:color w:val="auto"/>
        </w:rPr>
      </w:pPr>
      <w:r>
        <w:rPr>
          <w:rFonts w:ascii="Arial" w:cs="Arial" w:eastAsia="Arial" w:hAnsi="Arial"/>
          <w:sz w:val="18"/>
          <w:szCs w:val="18"/>
          <w:color w:val="auto"/>
        </w:rPr>
        <w:t>As an emerging growth company, Tradeweb has opted to comply with the executive compensation rules applicable to “smaller reporting companies,” as defined under the Securities Act. Those rules require compensation disclosure only for Tradeweb’s principal executive officer and its next two most highly compensated executive officers.</w:t>
      </w:r>
    </w:p>
    <w:p>
      <w:pPr>
        <w:spacing w:after="0" w:line="79"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The tabular disclosure and discussion that follow describe Tradeweb’s executive compensation program during the most recently completed fiscal year ended December 31, 2018, with respect to Tradeweb’s named executive officers, including: Lee Olesky, Tradeweb’s Chief Executive Officer; William Hult, Tradeweb’s President; and James Spencer, Tradeweb’s Chief Technology Officer (collectively, Tradeweb’s “named executive officers”).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08"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The following table sets forth the compensation paid to the named executive officers (the “NEOs”) that is attributable to services performed during fiscal year 2018.</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Incentive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Stock</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Plan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Bonus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740" w:type="dxa"/>
            <w:vAlign w:val="bottom"/>
          </w:tcPr>
          <w:p>
            <w:pPr>
              <w:jc w:val="right"/>
              <w:ind w:right="163"/>
              <w:spacing w:after="0"/>
              <w:rPr>
                <w:sz w:val="20"/>
                <w:szCs w:val="20"/>
                <w:color w:val="auto"/>
              </w:rPr>
            </w:pPr>
            <w:r>
              <w:rPr>
                <w:rFonts w:ascii="Arial" w:cs="Arial" w:eastAsia="Arial" w:hAnsi="Arial"/>
                <w:sz w:val="14"/>
                <w:szCs w:val="14"/>
                <w:b w:val="1"/>
                <w:bCs w:val="1"/>
                <w:color w:val="auto"/>
              </w:rPr>
              <w:t>Total</w:t>
            </w:r>
          </w:p>
        </w:tc>
      </w:tr>
      <w:tr>
        <w:trPr>
          <w:trHeight w:val="186"/>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660" w:type="dxa"/>
            <w:vAlign w:val="bottom"/>
          </w:tcPr>
          <w:p>
            <w:pPr>
              <w:jc w:val="right"/>
              <w:ind w:right="83"/>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($)(5)</w:t>
            </w:r>
          </w:p>
        </w:tc>
        <w:tc>
          <w:tcPr>
            <w:tcW w:w="120" w:type="dxa"/>
            <w:vAlign w:val="bottom"/>
          </w:tcPr>
          <w:p>
            <w:pPr>
              <w:spacing w:after="0"/>
              <w:rPr>
                <w:sz w:val="16"/>
                <w:szCs w:val="16"/>
                <w:color w:val="auto"/>
              </w:rPr>
            </w:pPr>
          </w:p>
        </w:tc>
        <w:tc>
          <w:tcPr>
            <w:tcW w:w="740" w:type="dxa"/>
            <w:vAlign w:val="bottom"/>
          </w:tcPr>
          <w:p>
            <w:pPr>
              <w:jc w:val="right"/>
              <w:ind w:right="203"/>
              <w:spacing w:after="0"/>
              <w:rPr>
                <w:sz w:val="20"/>
                <w:szCs w:val="20"/>
                <w:color w:val="auto"/>
              </w:rPr>
            </w:pPr>
            <w:r>
              <w:rPr>
                <w:rFonts w:ascii="Arial" w:cs="Arial" w:eastAsia="Arial" w:hAnsi="Arial"/>
                <w:sz w:val="14"/>
                <w:szCs w:val="14"/>
                <w:b w:val="1"/>
                <w:bCs w:val="1"/>
                <w:color w:val="auto"/>
              </w:rPr>
              <w:t>($)</w:t>
            </w:r>
          </w:p>
        </w:tc>
      </w:tr>
      <w:tr>
        <w:trPr>
          <w:trHeight w:val="26"/>
        </w:trPr>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0"/>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Lee Olesky</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770,000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2,952,000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12,508,379</w:t>
            </w:r>
          </w:p>
        </w:tc>
        <w:tc>
          <w:tcPr>
            <w:tcW w:w="9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6,400,000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49,216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22,679,595</w:t>
            </w:r>
          </w:p>
        </w:tc>
      </w:tr>
      <w:tr>
        <w:trPr>
          <w:trHeight w:val="212"/>
        </w:trPr>
        <w:tc>
          <w:tcPr>
            <w:tcW w:w="20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Chief Executive Officer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6"/>
        </w:trPr>
        <w:tc>
          <w:tcPr>
            <w:tcW w:w="2040" w:type="dxa"/>
            <w:vAlign w:val="bottom"/>
            <w:gridSpan w:val="3"/>
          </w:tcPr>
          <w:p>
            <w:pPr>
              <w:spacing w:after="0"/>
              <w:rPr>
                <w:sz w:val="20"/>
                <w:szCs w:val="20"/>
                <w:color w:val="auto"/>
              </w:rPr>
            </w:pPr>
            <w:r>
              <w:rPr>
                <w:rFonts w:ascii="Arial" w:cs="Arial" w:eastAsia="Arial" w:hAnsi="Arial"/>
                <w:sz w:val="16"/>
                <w:szCs w:val="16"/>
                <w:color w:val="auto"/>
              </w:rPr>
              <w:t>William Hult</w:t>
            </w:r>
          </w:p>
        </w:tc>
        <w:tc>
          <w:tcPr>
            <w:tcW w:w="420" w:type="dxa"/>
            <w:vAlign w:val="bottom"/>
            <w:gridSpan w:val="2"/>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660,000</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2,461,250</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6,700,918</w:t>
            </w: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5,700,000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46,950</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15,569,118</w:t>
            </w:r>
          </w:p>
        </w:tc>
      </w:tr>
      <w:tr>
        <w:trPr>
          <w:trHeight w:val="209"/>
        </w:trPr>
        <w:tc>
          <w:tcPr>
            <w:tcW w:w="2040" w:type="dxa"/>
            <w:vAlign w:val="bottom"/>
            <w:gridSpan w:val="3"/>
          </w:tcPr>
          <w:p>
            <w:pPr>
              <w:ind w:left="180"/>
              <w:spacing w:after="0"/>
              <w:rPr>
                <w:sz w:val="20"/>
                <w:szCs w:val="20"/>
                <w:color w:val="auto"/>
              </w:rPr>
            </w:pPr>
            <w:r>
              <w:rPr>
                <w:rFonts w:ascii="Arial" w:cs="Arial" w:eastAsia="Arial" w:hAnsi="Arial"/>
                <w:sz w:val="16"/>
                <w:szCs w:val="16"/>
                <w:color w:val="auto"/>
              </w:rPr>
              <w:t>President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Spencer</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400,000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1,800,000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450,000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1,250,838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42,019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3,942,857</w:t>
            </w:r>
          </w:p>
        </w:tc>
      </w:tr>
      <w:tr>
        <w:trPr>
          <w:trHeight w:val="212"/>
        </w:trPr>
        <w:tc>
          <w:tcPr>
            <w:tcW w:w="20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Chief Technology Officer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43"/>
        </w:trPr>
        <w:tc>
          <w:tcPr>
            <w:tcW w:w="1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-968375</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-968375</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-968375</wp:posOffset>
            </wp:positionV>
            <wp:extent cx="514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-968375</wp:posOffset>
            </wp:positionV>
            <wp:extent cx="514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-968375</wp:posOffset>
            </wp:positionV>
            <wp:extent cx="514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-968375</wp:posOffset>
            </wp:positionV>
            <wp:extent cx="5143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-968375</wp:posOffset>
            </wp:positionV>
            <wp:extent cx="514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-968375</wp:posOffset>
            </wp:positionV>
            <wp:extent cx="5143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ind w:left="1620" w:right="879" w:hanging="352"/>
        <w:spacing w:after="0" w:line="264"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Mr. Spencer is entitled to a discretionary annual bonus as described below in “Narrative Disclosure to Summary Compensation Table—Annual Cash Incentive Awards,” which is anticipated to be paid in March 2019.</w:t>
      </w:r>
    </w:p>
    <w:p>
      <w:pPr>
        <w:spacing w:after="0" w:line="154" w:lineRule="exact"/>
        <w:rPr>
          <w:rFonts w:ascii="Arial" w:cs="Arial" w:eastAsia="Arial" w:hAnsi="Arial"/>
          <w:sz w:val="18"/>
          <w:szCs w:val="18"/>
          <w:color w:val="auto"/>
        </w:rPr>
      </w:pPr>
    </w:p>
    <w:p>
      <w:pPr>
        <w:ind w:left="1620" w:right="779" w:hanging="352"/>
        <w:spacing w:after="0" w:line="255"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amounts included in the “Stock Awards” column represent the grant date fair value of PRSU awards computed in accordance with FASB ASC Topic 718. Details and assumptions used in calculating the grant date fair value of the PRSU awards may be found in Note 11, “Stock-based Compensation Plans,” to the consolidated financial statements included elsewhere in this prospectus. In addition, assuming that the highest level of performance conditions will be achieved with respect to the PRSUs, the grant date fair value of these awards would have been $4,428,000 for Mr. Olesky, $3,691,875 for Mr. Hult and $675,000 for Mr. Spencer.</w:t>
      </w:r>
    </w:p>
    <w:p>
      <w:pPr>
        <w:spacing w:after="0" w:line="148" w:lineRule="exact"/>
        <w:rPr>
          <w:rFonts w:ascii="Arial" w:cs="Arial" w:eastAsia="Arial" w:hAnsi="Arial"/>
          <w:sz w:val="18"/>
          <w:szCs w:val="18"/>
          <w:color w:val="auto"/>
        </w:rPr>
      </w:pPr>
    </w:p>
    <w:p>
      <w:pPr>
        <w:ind w:left="1620" w:right="919" w:hanging="352"/>
        <w:spacing w:after="0" w:line="257"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amounts included in the “Option Awards” column represent the grant date fair value of option awards computed in accordance with FASB ASC Topic 718. Details and assumptions used in calculating the grant date fair value of the option awards may be found in the section titled “Management Discussion and Analysis of Financial Condition and Results of Operations—Critical Accounting Policies and Estimates— Stock-Based Compensation.”</w:t>
      </w:r>
    </w:p>
    <w:p>
      <w:pPr>
        <w:spacing w:after="0" w:line="147" w:lineRule="exact"/>
        <w:rPr>
          <w:rFonts w:ascii="Arial" w:cs="Arial" w:eastAsia="Arial" w:hAnsi="Arial"/>
          <w:sz w:val="18"/>
          <w:szCs w:val="18"/>
          <w:color w:val="auto"/>
        </w:rPr>
      </w:pPr>
    </w:p>
    <w:p>
      <w:pPr>
        <w:ind w:left="1620" w:right="759" w:hanging="352"/>
        <w:spacing w:after="0" w:line="257"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amounts included in the “Non-Equity Incentive Plan Compensation” column reflect Messrs. Olesky and Hult’s annual performance bonuses earned in respect of fiscal year 2018, which amounts are based on performance targets as set forth in their applicable employment agreements for such fiscal years as described below in “—Narrative Disclosure to Summary Compensation Table—Employment Agreements,” and are anticipated to be paid in March 2019.</w:t>
      </w:r>
    </w:p>
    <w:p>
      <w:pPr>
        <w:spacing w:after="0" w:line="147" w:lineRule="exact"/>
        <w:rPr>
          <w:rFonts w:ascii="Arial" w:cs="Arial" w:eastAsia="Arial" w:hAnsi="Arial"/>
          <w:sz w:val="18"/>
          <w:szCs w:val="18"/>
          <w:color w:val="auto"/>
        </w:rPr>
      </w:pPr>
    </w:p>
    <w:p>
      <w:pPr>
        <w:ind w:left="1620" w:right="779" w:hanging="352"/>
        <w:spacing w:after="0" w:line="286" w:lineRule="auto"/>
        <w:tabs>
          <w:tab w:leader="none" w:pos="1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amounts included in the “All Other Compensation” column represent (i) financial planning services, (ii) executive life insurance, (iii) group life insurance, (iv) matching contributions to the Company’s 401(k) plan, (v) executive long term disability insurance, (vi) excess liability insurance, and</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1079" w:firstLine="8"/>
        <w:spacing w:after="0" w:line="312" w:lineRule="auto"/>
        <w:tabs>
          <w:tab w:leader="none" w:pos="197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for Messrs. Olesky and Hult, annual club membership dues. The value of any dividend equivalent rights accrued in respect of PRSU grants to the NEOs are not included in the “All Other Compensation” column because those amounts were factored into the grant date fair value for the relevant PRSU grants.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Messrs. Olesky and Hult are each party to an employment agreement with TWM LLC, summarized below.</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Chief Executive Officer (Lee Olesky)</w:t>
      </w:r>
    </w:p>
    <w:p>
      <w:pPr>
        <w:spacing w:after="0" w:line="104" w:lineRule="exact"/>
        <w:rPr>
          <w:sz w:val="20"/>
          <w:szCs w:val="20"/>
          <w:color w:val="auto"/>
        </w:rPr>
      </w:pPr>
    </w:p>
    <w:p>
      <w:pPr>
        <w:ind w:left="1260" w:right="799" w:firstLine="360"/>
        <w:spacing w:after="0" w:line="284" w:lineRule="auto"/>
        <w:rPr>
          <w:sz w:val="20"/>
          <w:szCs w:val="20"/>
          <w:color w:val="auto"/>
        </w:rPr>
      </w:pPr>
      <w:r>
        <w:rPr>
          <w:rFonts w:ascii="Arial" w:cs="Arial" w:eastAsia="Arial" w:hAnsi="Arial"/>
          <w:sz w:val="16"/>
          <w:szCs w:val="16"/>
          <w:color w:val="auto"/>
        </w:rPr>
        <w:t>TWM LLC is party to an employment agreement with Mr. Olesky (the “CEO Employment Agreement”) for the position of Chief Executive Officer of TWM LLC (“CEO”). For as long as he is CEO, Mr. Olesky is entitled to be a member of the board of directors of Tradeweb Markets Inc. (the “Board”). The CEO Employment Agreement provides for an initial term ending on December 31, 2020, subject to automatic one-year extensions unless either TWM LLC or Mr. Olesky provides written notice of intent not to renew at least 90 days prior to the expiration of the then applicable term. The CEO Employment Agreement provides for a base salary of $770,000 per year, subject to increase at the discretion of the Board and/or the compensation committee of the Board.</w:t>
      </w:r>
    </w:p>
    <w:p>
      <w:pPr>
        <w:spacing w:after="0" w:line="3" w:lineRule="exact"/>
        <w:rPr>
          <w:sz w:val="20"/>
          <w:szCs w:val="20"/>
          <w:color w:val="auto"/>
        </w:rPr>
      </w:pPr>
    </w:p>
    <w:p>
      <w:pPr>
        <w:ind w:left="1260" w:right="759"/>
        <w:spacing w:after="0" w:line="252" w:lineRule="auto"/>
        <w:rPr>
          <w:sz w:val="20"/>
          <w:szCs w:val="20"/>
          <w:color w:val="auto"/>
        </w:rPr>
      </w:pPr>
      <w:r>
        <w:rPr>
          <w:rFonts w:ascii="Arial" w:cs="Arial" w:eastAsia="Arial" w:hAnsi="Arial"/>
          <w:sz w:val="18"/>
          <w:szCs w:val="18"/>
          <w:color w:val="auto"/>
        </w:rPr>
        <w:t>Mr. Olesky is also eligible to participate in an annual bonus plan, with a target bonus opportunity of $3.5 million (the “CEO Target Bonus”). Achievement of the CEO Target Bonus is based on TWM LLC’s attainment of certain performance goals set annually by the Board. The actual amount paid to him can be greater or less than the CEO Target Bonus depending on the extent to which these goals are achieved (or exceeded). For 2018, achievement of the CEO Target Bonus was based on attainment of annual revenue targets and a minimum EBITDA threshold. Mr. Olesky is also entitled to participate in TWM LLC’s executive employee benefit plans, including its PRSU Plan (as described further below) or a similar equity-based plan, and is entitled to six weeks of paid vacation annually.</w:t>
      </w:r>
    </w:p>
    <w:p>
      <w:pPr>
        <w:spacing w:after="0" w:line="8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The CEO Employment Agreement subjects Mr. Olesky to the following restrictive covenants: (i) non-solicitation of employees of TWM LLC and non-interference with customers and clients of TWM LLC during employment and the Non-Solicitation Period (as defined below); (ii) non-competition during employment and the CEO Non-Competition Period (as defined below); and (iii) perpetual non-disclosure of confidential information. The “CEO Non-Competition Period” means (x) in the event of a termination without Cause or resignation for Good Reason, eighteen (18) months following termination; and (y) in the event of a termination for any other reason, twelve (12) months following termination; provided, that, in the event Mr. Olesky resigns without Good Reason, Mr. Olesky’s service as a non-executive director or in a similar capacity with respect to a Restricted Enterprise (as defined in the CEO Employment Agreement) is not deemed to be a violation of the noncompetition restriction, unless the Restricted Enterprise is ICAP, MarketAxess, IHS Markit or Bloomberg, in which case such service is not permitted for six (6) months following termination. The definitions of “Cause” and “Good Reason” as defined in the CEO Employment Agreement are described below under “—Additional Narrative Disclosures —Potential Payments upon Termination or Change in Control.” The “Non-Solicitation Period” means, (x) in the event of a termination without Cause or resignation for Good Reason, eighteen (18) months following termination; and (y) in the event of a termination for any other reason, twelve (12) months following termination.</w:t>
      </w:r>
    </w:p>
    <w:p>
      <w:pPr>
        <w:spacing w:after="0" w:line="61" w:lineRule="exact"/>
        <w:rPr>
          <w:sz w:val="20"/>
          <w:szCs w:val="20"/>
          <w:color w:val="auto"/>
        </w:rPr>
      </w:pPr>
    </w:p>
    <w:p>
      <w:pPr>
        <w:jc w:val="both"/>
        <w:ind w:left="1260" w:right="779" w:firstLine="360"/>
        <w:spacing w:after="0" w:line="264" w:lineRule="auto"/>
        <w:rPr>
          <w:sz w:val="20"/>
          <w:szCs w:val="20"/>
          <w:color w:val="auto"/>
        </w:rPr>
      </w:pPr>
      <w:r>
        <w:rPr>
          <w:rFonts w:ascii="Arial" w:cs="Arial" w:eastAsia="Arial" w:hAnsi="Arial"/>
          <w:sz w:val="18"/>
          <w:szCs w:val="18"/>
          <w:color w:val="auto"/>
        </w:rPr>
        <w:t>The CEO Employment Agreement also provides for severance upon certain terminations of employment, as described below under “—Additional Narrative Disclosures—Potential Payments upon Termination or Change in Control.”</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President (William Hult)</w:t>
      </w:r>
    </w:p>
    <w:p>
      <w:pPr>
        <w:spacing w:after="0" w:line="104" w:lineRule="exact"/>
        <w:rPr>
          <w:sz w:val="20"/>
          <w:szCs w:val="20"/>
          <w:color w:val="auto"/>
        </w:rPr>
      </w:pPr>
    </w:p>
    <w:p>
      <w:pPr>
        <w:ind w:left="1260" w:right="999" w:firstLine="360"/>
        <w:spacing w:after="0" w:line="302" w:lineRule="auto"/>
        <w:rPr>
          <w:sz w:val="20"/>
          <w:szCs w:val="20"/>
          <w:color w:val="auto"/>
        </w:rPr>
      </w:pPr>
      <w:r>
        <w:rPr>
          <w:rFonts w:ascii="Arial" w:cs="Arial" w:eastAsia="Arial" w:hAnsi="Arial"/>
          <w:sz w:val="16"/>
          <w:szCs w:val="16"/>
          <w:color w:val="auto"/>
        </w:rPr>
        <w:t>TWM LLC is party to an employment agreement with Mr. Hult (the “President Employment Agreement” and together with the CEO Employment Agreement, the “Employment Agreements”) for the position of President of TWM LLC. For as long as he is President, Mr. Hult is entitled to be a member of the Board. The President Employment Agreement provides for an initial term ending on December 31, 2020,</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subject to automatic one-year extensions unless either TWM LLC or Mr. Hult provides written notice of intent not to renew at least 90 days prior to the expiration of the then applicable term. The President Employment Agreement provides for a base salary of $660,000 per year, subject to increase at the discretion of the Board and/or the compensation committee of the Board. Mr. Hult is also eligible to participate in an annual bonus plan, with a target bonus opportunity of $3,117,000 (the “President Target Bonus”). Achievement of the President Target Bonus is based on TWM LLC’s attainment of certain performance goals set annually by the Board. The actual amount paid to him can be greater or less than the President Target Bonus depending on the extent to which these goals are achieved (or exceeded). For 2018, achievement of the President Target Bonus was based on attainment of annual revenue targets and a minimum EBITDA threshold. Mr. Hult is also entitled to participate in TWM LLC’s executive employee benefit plans, including its PRSU Plan or a similar equity-based plan, and is entitled to six weeks of paid vacation annually.</w:t>
      </w:r>
    </w:p>
    <w:p>
      <w:pPr>
        <w:spacing w:after="0" w:line="7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President Employment Agreement subjects Mr. Hult to the following restrictive covenants: (i) non-solicitation of employees of TWM LLC and non-interference with customers and clients of TWM LLC during employment and the Non-Solicitation Period; (ii) non-competition during employment and the President Non-Competition Period (as defined below); and (iii) perpetual non-disclosure of confidential information. The “President Non-Competition Period” means (x) in the event of a termination without Cause or resignation for Good Reason, eighteen (18) months following termination; and (y) in the event of a termination for any other reason, twelve (12) months following termination. The definitions of “Cause” and “Good Reason” as defined in the President Employment Agreement are described below under “—Additional Narrative Disclosures—Potential Payments upon Termination or Change in Control.”</w:t>
      </w:r>
    </w:p>
    <w:p>
      <w:pPr>
        <w:spacing w:after="0" w:line="74" w:lineRule="exact"/>
        <w:rPr>
          <w:sz w:val="20"/>
          <w:szCs w:val="20"/>
          <w:color w:val="auto"/>
        </w:rPr>
      </w:pPr>
    </w:p>
    <w:p>
      <w:pPr>
        <w:ind w:left="1260" w:right="1419" w:firstLine="360"/>
        <w:spacing w:after="0" w:line="342" w:lineRule="auto"/>
        <w:rPr>
          <w:sz w:val="20"/>
          <w:szCs w:val="20"/>
          <w:color w:val="auto"/>
        </w:rPr>
      </w:pPr>
      <w:r>
        <w:rPr>
          <w:rFonts w:ascii="Arial" w:cs="Arial" w:eastAsia="Arial" w:hAnsi="Arial"/>
          <w:sz w:val="16"/>
          <w:szCs w:val="16"/>
          <w:color w:val="auto"/>
        </w:rPr>
        <w:t>The President Employment Agreement also provides for severance upon certain terminations of employment, as described below under “—Potential Payments upon Termination or Change in Control.”</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Spencer is eligible to receive an annual cash bonus in the discretion of TWM LLC’s CEO.</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and Restated Tradeweb Markets Inc. 2018 Share Option Plan</w:t>
      </w:r>
    </w:p>
    <w:p>
      <w:pPr>
        <w:spacing w:after="0" w:line="104"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The Board has adopted the Amended and Restated Tradeweb Markets Inc. 2018 Share Option Plan (previously the TWM LLC 2018 Share Option Plan), as may be amended from time to time (the “Option Plan”), under which there are 13,912.7333 shares of Class A common stock of the Company (“Shares”) reserved for the issuance of options to purchase Shares (“Options”). The Option Plan was established to recruit and retain key employees and consultants and to motivate key employees, directors and consultants by providing such participating individuals with a proprietary interest in the performance of the Company.</w:t>
      </w:r>
    </w:p>
    <w:p>
      <w:pPr>
        <w:spacing w:after="0" w:line="70"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i w:val="1"/>
          <w:iCs w:val="1"/>
          <w:color w:val="auto"/>
        </w:rPr>
        <w:t xml:space="preserve">Shares Subject to the Plan. </w:t>
      </w:r>
      <w:r>
        <w:rPr>
          <w:rFonts w:ascii="Arial" w:cs="Arial" w:eastAsia="Arial" w:hAnsi="Arial"/>
          <w:sz w:val="17"/>
          <w:szCs w:val="17"/>
          <w:color w:val="auto"/>
        </w:rPr>
        <w:t>There are currently 13,912.7333 Shares reserved for issuance under the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“Reserved Shares”). Any Shares related to an Option that lapses or otherwise terminates without issuance of the Shares shall again be available for issuance. Under the Option Plan, as of the date of an IPO (including this offering) of the Company or any of its affiliates (as defined in the Option Plan), the Reserved Shares will no longer be subject to increase, subject to certain provisions of the Option Plan related to technical adjustments. If at any time the Reserved Shares exceed 8% of the fully diluted equity of the Company (excluding PRSUs granted prior to the date the Option Plan was adopted) (the “Share Cap”), the Reserved Shares will be reduced by such excess.</w:t>
      </w:r>
    </w:p>
    <w:p>
      <w:pPr>
        <w:spacing w:after="0" w:line="71"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Following an IPO, the Option Plan will be administered by the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(the “Compensation Committee”). The Compensation Committee has the authority in its discretion to determine the employees, directors and consultants of the Company to whom Options may be granted and in what amounts. The Compensation Committee also has the authority in its discretion to determine the exercise price of Options, the vesting schedules and other conditions of Options, and the authority to interpret the Option Plan and to make any other determinations it deems necessary under the Option Plan. The Compensation Committee may correct any defect, supply any omission, or reconcile any inconsistency in the Option Plan or in any Option in the manner and to the extent it deems necessary to carry out the intent of the Option Plan. The Compensation Committee’s interpretations and determinations shall be final, binding and conclusive upon all persons.</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Plan Term.  </w:t>
      </w:r>
      <w:r>
        <w:rPr>
          <w:rFonts w:ascii="Arial" w:cs="Arial" w:eastAsia="Arial" w:hAnsi="Arial"/>
          <w:sz w:val="17"/>
          <w:szCs w:val="17"/>
          <w:color w:val="auto"/>
        </w:rPr>
        <w:t>The Option Plan became effective on August 6, 2018 and will terminate on the tenth (10th)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anniversary thereof, unless earlier terminated by the Board.</w:t>
      </w:r>
    </w:p>
    <w:p>
      <w:pPr>
        <w:spacing w:after="0" w:line="103" w:lineRule="exact"/>
        <w:rPr>
          <w:sz w:val="20"/>
          <w:szCs w:val="20"/>
          <w:color w:val="auto"/>
        </w:rPr>
      </w:pPr>
    </w:p>
    <w:p>
      <w:pPr>
        <w:jc w:val="both"/>
        <w:ind w:left="1260" w:right="799" w:firstLine="360"/>
        <w:spacing w:after="0" w:line="264" w:lineRule="auto"/>
        <w:rPr>
          <w:sz w:val="20"/>
          <w:szCs w:val="20"/>
          <w:color w:val="auto"/>
        </w:rPr>
      </w:pPr>
      <w:r>
        <w:rPr>
          <w:rFonts w:ascii="Arial" w:cs="Arial" w:eastAsia="Arial" w:hAnsi="Arial"/>
          <w:sz w:val="18"/>
          <w:szCs w:val="18"/>
          <w:i w:val="1"/>
          <w:iCs w:val="1"/>
          <w:color w:val="auto"/>
        </w:rPr>
        <w:t xml:space="preserve">Option Price. </w:t>
      </w:r>
      <w:r>
        <w:rPr>
          <w:rFonts w:ascii="Arial" w:cs="Arial" w:eastAsia="Arial" w:hAnsi="Arial"/>
          <w:sz w:val="18"/>
          <w:szCs w:val="18"/>
          <w:color w:val="auto"/>
        </w:rPr>
        <w:t>The exercise price for Options shall be determined by the Compensation Committee and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option agreement; provided, that the exercise price per Share under each Option shall not be less than the fair market value of a Share on the date the Option is granted.</w:t>
      </w:r>
    </w:p>
    <w:p>
      <w:pPr>
        <w:spacing w:after="0" w:line="73"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Options granted under the Option Plan shall be exercisable at such time and upon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as may be set forth in the applicable option agreement, but shall not be exercisable after the expiration of 10 years from the date it is granted.</w:t>
      </w:r>
    </w:p>
    <w:p>
      <w:pPr>
        <w:spacing w:after="0" w:line="73"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i w:val="1"/>
          <w:iCs w:val="1"/>
          <w:color w:val="auto"/>
        </w:rPr>
        <w:t xml:space="preserve">Vesting. </w:t>
      </w:r>
      <w:r>
        <w:rPr>
          <w:rFonts w:ascii="Arial" w:cs="Arial" w:eastAsia="Arial" w:hAnsi="Arial"/>
          <w:sz w:val="18"/>
          <w:szCs w:val="18"/>
          <w:color w:val="auto"/>
        </w:rPr>
        <w:t>The Compensation Committee shall determine the time or times at which an Option shall become</w:t>
      </w:r>
      <w:r>
        <w:rPr>
          <w:rFonts w:ascii="Arial" w:cs="Arial" w:eastAsia="Arial" w:hAnsi="Arial"/>
          <w:sz w:val="18"/>
          <w:szCs w:val="18"/>
          <w:i w:val="1"/>
          <w:iCs w:val="1"/>
          <w:color w:val="auto"/>
        </w:rPr>
        <w:t xml:space="preserve"> </w:t>
      </w:r>
      <w:r>
        <w:rPr>
          <w:rFonts w:ascii="Arial" w:cs="Arial" w:eastAsia="Arial" w:hAnsi="Arial"/>
          <w:sz w:val="18"/>
          <w:szCs w:val="18"/>
          <w:color w:val="auto"/>
        </w:rPr>
        <w:t>vested and exercisable. To date, all outstanding Options granted under the Option Plan are subject to the following vesting provisions: (i) 50% of the Option vests over time based on continued employment (the “Time-Based Portion”), and (ii) 50% of the Option vests based on satisfying certain performance conditions (the “Performance-Based Portion”), each as further described below.</w:t>
      </w:r>
    </w:p>
    <w:p>
      <w:pPr>
        <w:spacing w:after="0" w:line="80"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Time-Based Portion vested 25% on January 1, 2019 and 25% will vest on each anniversary thereafter until January 2022, and vests in full upon a change of control (as defined in the Option Plan), subject to continued employment on each such date. The Time-Based Portion also vests upon the participant’s termination without Cause or resignation for Good Reason (as such terms are defined in the Option Plan) within 90 days prior to the consummation of a change in control. In addition, the portions of the Time-Based Portion scheduled to vest on each of January 1, 2021 and January 1, 2022 will vest in the event of an IPO, including this offering, subject to continued employment on such date, or the participant’s termination without Cause or resignation for Good Reason within 90 days prior to the IPO.</w:t>
      </w:r>
    </w:p>
    <w:p>
      <w:pPr>
        <w:spacing w:after="0" w:line="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Performance-Based Portion, (i) 50% is eligible to vest in four equal installments in each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calendar years 2018, 2019, 2020 and 2021 based on achievement of Company EBITDA targets for the applicable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calendar year, and (ii) 50% is eligible to vest in four equal installments in each of calendar years 2018, 2019,</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2020 and 2021 based on the Company’s achievement for the relevant calendar year of certain revenue targets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“Revenue-Based Portion”). If at least 80% of the applicable revenue target is achieved for a given year,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Revenue-Based Portion will vest as to 0%, based on 80% achievement of target, and 100%, based on full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achievement of target, and performance achievement between 80% and 100% of target will vest based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straight-line interpolation from 0% to 100%. To the extent the relevant EBITDA targets and revenue targets are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not achieved for any calendar year, the portion of the Performance-Based Portion eligible to become vested for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such year shall become vested the first time the relevant EBITDA and revenue targets are fully achieved in a later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if at all. The relevant EBITDA and revenue targets have been achieved at 100% for 2018, and therefore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25% of the Performance-Based Portion is currently vested. If a change in control occurs prior to the date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Compensation Committee determines whether the relevant performance conditions have been achieved for 2021,</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any portion of the Performance-Based Portion that remains unvested shall be eligible to become vested as of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change of control to the extent the applicable remaining EBITDA targets or revenue targets will have been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deemed satisfied as of the change of control (which will be calculated based on the Company’s most recent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performance and deemed satisfied to the extent the Compensation Committee determines in good faith that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equity value implied in the change in control transaction equals or exceeds the equity value implied by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relevant performance targets). Any remaining unvested portion will be forfeited upon such change of control.</w:t>
      </w:r>
    </w:p>
    <w:p>
      <w:pPr>
        <w:spacing w:after="0" w:line="114"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i w:val="1"/>
          <w:iCs w:val="1"/>
          <w:color w:val="auto"/>
        </w:rPr>
        <w:t xml:space="preserve">Termination of Employment; Retirement. </w:t>
      </w:r>
      <w:r>
        <w:rPr>
          <w:rFonts w:ascii="Arial" w:cs="Arial" w:eastAsia="Arial" w:hAnsi="Arial"/>
          <w:sz w:val="18"/>
          <w:szCs w:val="18"/>
          <w:color w:val="auto"/>
        </w:rPr>
        <w:t>The Compensation Committee may determine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Option following termination of employment. To date, all outstanding Options granted under the Option Plan are subject to the following terms upon certain terminations of employment.</w:t>
      </w:r>
    </w:p>
    <w:p>
      <w:pPr>
        <w:spacing w:after="0" w:line="73" w:lineRule="exact"/>
        <w:rPr>
          <w:sz w:val="20"/>
          <w:szCs w:val="20"/>
          <w:color w:val="auto"/>
        </w:rPr>
      </w:pPr>
    </w:p>
    <w:p>
      <w:pPr>
        <w:ind w:left="1260" w:right="939" w:firstLine="360"/>
        <w:spacing w:after="0" w:line="291" w:lineRule="auto"/>
        <w:rPr>
          <w:sz w:val="20"/>
          <w:szCs w:val="20"/>
          <w:color w:val="auto"/>
        </w:rPr>
      </w:pPr>
      <w:r>
        <w:rPr>
          <w:rFonts w:ascii="Arial" w:cs="Arial" w:eastAsia="Arial" w:hAnsi="Arial"/>
          <w:sz w:val="16"/>
          <w:szCs w:val="16"/>
          <w:color w:val="auto"/>
        </w:rPr>
        <w:t>If a participant is terminated for Cause (as defined in the Option Plan) or is in breach of a restrictive covenant in favor of the Company, the Option will be terminated. Upon the termination of the participant’s employment for any reason other than Cause, the portion of the Option that is not vested on the date of termination shall be automatically cancelled by the Company and the vested portion of the Option shall remain outstanding and exercisable for (i) in the case of the participant’s resignation without Good Reason, 45 days following the later of (x) the date of resignation and (y) the date on which the vested portion of the Option first becomes exercisable, (ii) in the case of a termination of the participant’s employment by the</w:t>
      </w:r>
    </w:p>
    <w:p>
      <w:pPr>
        <w:spacing w:after="0" w:line="23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Company without Cause or by the participant for Good Reason, the ninety (90) day period following the later of</w:t>
      </w:r>
    </w:p>
    <w:p>
      <w:pPr>
        <w:spacing w:after="0" w:line="46" w:lineRule="exact"/>
        <w:rPr>
          <w:sz w:val="20"/>
          <w:szCs w:val="20"/>
          <w:color w:val="auto"/>
        </w:rPr>
      </w:pPr>
    </w:p>
    <w:p>
      <w:pPr>
        <w:jc w:val="both"/>
        <w:ind w:left="1260" w:right="899" w:firstLine="8"/>
        <w:spacing w:after="0" w:line="254" w:lineRule="auto"/>
        <w:tabs>
          <w:tab w:leader="none" w:pos="151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date of termination and (y) the date on which the vested portion of the Option first becomes exercisable, or (iii) in the case of a termination of the participant’s employment on account of death or Disability (as defined in the Option Plan), the one (1) year period following the later of (x) the date of termination and (y) the date on which the vested portion of the Option first becomes exercisable.</w:t>
      </w:r>
    </w:p>
    <w:p>
      <w:pPr>
        <w:spacing w:after="0" w:line="82"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6"/>
          <w:szCs w:val="16"/>
          <w:color w:val="auto"/>
        </w:rPr>
        <w:t>If a participant’s employment has terminated due to retirement, a pro-rata portion (based on days completed in the applicable calendar year through the date of retirement) of the Performance-Based Portion that is otherwise eligible to become vested in the calendar year of retirement shall remain outstanding and shall become vested on the applicable performance-vesting date to the extent the EBITDA target and/or revenue target (as applicable) with respect to the calendar year of retirement is achieved. The vested portion of the Option will then remain outstanding until the expiration of its term (or a breach of restrictive covenants) or until exercised, if earlier.</w:t>
      </w:r>
    </w:p>
    <w:p>
      <w:pPr>
        <w:spacing w:after="0" w:line="57" w:lineRule="exact"/>
        <w:rPr>
          <w:sz w:val="20"/>
          <w:szCs w:val="20"/>
          <w:color w:val="auto"/>
        </w:rPr>
      </w:pPr>
    </w:p>
    <w:p>
      <w:pPr>
        <w:ind w:left="1260" w:right="759" w:firstLine="360"/>
        <w:spacing w:after="0" w:line="284" w:lineRule="auto"/>
        <w:rPr>
          <w:sz w:val="20"/>
          <w:szCs w:val="20"/>
          <w:color w:val="auto"/>
        </w:rPr>
      </w:pPr>
      <w:r>
        <w:rPr>
          <w:rFonts w:ascii="Arial" w:cs="Arial" w:eastAsia="Arial" w:hAnsi="Arial"/>
          <w:sz w:val="16"/>
          <w:szCs w:val="16"/>
          <w:i w:val="1"/>
          <w:iCs w:val="1"/>
          <w:color w:val="auto"/>
        </w:rPr>
        <w:t xml:space="preserve">Method of Exercise of Options &amp; Withholding. </w:t>
      </w:r>
      <w:r>
        <w:rPr>
          <w:rFonts w:ascii="Arial" w:cs="Arial" w:eastAsia="Arial" w:hAnsi="Arial"/>
          <w:sz w:val="16"/>
          <w:szCs w:val="16"/>
          <w:color w:val="auto"/>
        </w:rPr>
        <w:t>The vested portion of any Option may be exercised by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to the Company at its principal office written notice of intent to exercise (an “Exercise Notice”). The notice must specify the number of Shares with respect to which the Option is being exercised (the “Purchased Shares”) and must be accompanied by payment in full of the aggregate exercise price of the vested portion of the Option being exercised in cash or by check or wire transfer; provided, however, that payment of the aggregate exercise price may instead be made, in whole or in part, (A) by the delivery to the Company of a certificate or certificates, book-entry position or other applicable documentation representing Shares having a fair market value (defined as the closing price of a Share on the day before any relevant determination date as reported on the principal nationally recognized stock exchange on which the Shares are traded) on the date of exercise equal to the aggregate exercise price in respect of the Purchased Shares, duly endorsed, which delivery effectively transfers to the Company good and valid title to such Shares, free and clear of any pledge, commitment, lien, claim or other encumbrance (such Shares to be valued on the basis of the aggregate fair market value thereof on the date of such exercise); provided, that the Company is not then prohibited under applicable law, rules or regulations from purchasing or acquiring such Shares, (B) if such exercise occurs prior to the expiration of any underwriters’ lockup associated with an IPO (including this offering) and the participant’s service has not terminated or the participant was terminated without Cause or resigned for Good Reason, by a reduction in the number of Purchased Shares to be issued upon such exercise having a fair market value on the date of exercise equal to the aggregate exercise price in respect of the Purchased Shares, or (C) if such exercise occurs following the expiration of any underwriters’ lockup associated with an IPO,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foregoing clause (B)) and the Company has declined to do so. An Exercise Notice, once delivered, shall be irrevocable. If a participant’s service terminates other than for Cause following the delivery of an Exercise Notice, the Exercise Notice will be honored by the Company pursuant to the applicable provisions of the participant’s option agreement. For the avoidance of doubt, the participant will not have any rights to distributions or other rights of a shareholder with respect to Shares subject to the Option other than as explicitly set forth in the Option Plan until the participant has given written notice of exercise of the Option, has paid in full for such Shares and, if applicable, has satisfied any other conditions imposed by the Compensation Committee or pursuant to the Option Plan or the participant’s option agreement.</w:t>
      </w:r>
    </w:p>
    <w:p>
      <w:pPr>
        <w:spacing w:after="0" w:line="61"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As a condition to the exercise of any portion of the Option, the participant must, with respect to such exercise, remit to the Company any applicable withholding taxes, which the participant may remit by making a “cashless” or “net settlement” election as described below. Prior to the expiration of any underwriters’ lockup associated with an IPO, if the participant’s service has not terminated or the participant was terminated without Cause or resigned for Good Reason, the participant may choose to satisfy such obligations by electing at the time of exercise to reduce the number of Purchased Shares to be issued upon such exercise by a number of Shares having a fair market value on the date of exercise equal to the minimum withholding and employment taxes payable in respect of the Purchased Shares. Following the expiration of any underwriters’ lockup associated with an IPO, the participant may satisfy such obligations by making arrangements through a registered broker-dealer pursuant to cashless exercise procedures established by the Compensation Committee from time to time, but only if the participant has first</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79"/>
        <w:spacing w:after="0" w:line="277" w:lineRule="auto"/>
        <w:rPr>
          <w:sz w:val="20"/>
          <w:szCs w:val="20"/>
          <w:color w:val="auto"/>
        </w:rPr>
      </w:pPr>
      <w:r>
        <w:rPr>
          <w:rFonts w:ascii="Arial" w:cs="Arial" w:eastAsia="Arial" w:hAnsi="Arial"/>
          <w:sz w:val="18"/>
          <w:szCs w:val="18"/>
          <w:color w:val="auto"/>
        </w:rPr>
        <w:t>requested that the Company “net settle” the Options (using the method described in the immediately preceding sentence) and the Company has declined to do so.</w:t>
      </w:r>
    </w:p>
    <w:p>
      <w:pPr>
        <w:spacing w:after="0" w:line="62"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i w:val="1"/>
          <w:iCs w:val="1"/>
          <w:color w:val="auto"/>
        </w:rPr>
        <w:t xml:space="preserve">Underwriters’ Lockup. </w:t>
      </w:r>
      <w:r>
        <w:rPr>
          <w:rFonts w:ascii="Arial" w:cs="Arial" w:eastAsia="Arial" w:hAnsi="Arial"/>
          <w:sz w:val="16"/>
          <w:szCs w:val="16"/>
          <w:color w:val="auto"/>
        </w:rPr>
        <w:t>The participant cannot transfer any Shares acquired by the participant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Plan for a period commencing on the day the Company notifies the participant that the Company is in registration under the applicable securities laws until (i) 180 days following the pricing date of an IPO (including this offering) and (ii) 90 days after the pricing date of any subsequent offering or, in each case, (x) such longer period of time as may be reasonably requested by the underwriter(s) in connection with such IPO or subsequent offering and (y) if such IPO or subsequent offering is in connection with a sale or similar corporate transaction, such longer period of time as may be set forth in any lock-up or market stand-off agreement executed by the beneficial owners of at least twenty five percent (25%) of the outstanding Shares immediately before such sale or similar corporate transaction. The participant shall execute and deliver such agreements as may be reasonably requested by the Company or the underwriter(s) that are consistent with the foregoing or which are necessary to give further effect thereto. The Company may impose stop-transfer instructions with respect to the Shares subject to the foregoing restriction until the end of the applicable period.</w:t>
      </w:r>
    </w:p>
    <w:p>
      <w:pPr>
        <w:spacing w:after="0" w:line="61"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i w:val="1"/>
          <w:iCs w:val="1"/>
          <w:color w:val="auto"/>
        </w:rPr>
        <w:t xml:space="preserve">Adjustments Generally.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the participant, whether by adjusting the terms of (including the exercise price of and/or the number of Shares underlying) the Option, the Share Cap, the Reserved Shares or by such other means as the Compensation Committee shall determine.</w:t>
      </w:r>
    </w:p>
    <w:p>
      <w:pPr>
        <w:spacing w:after="0" w:line="58"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i w:val="1"/>
          <w:iCs w:val="1"/>
          <w:color w:val="auto"/>
        </w:rPr>
        <w:t xml:space="preserve">Adjustments in the Event of Change in Control. </w:t>
      </w:r>
      <w:r>
        <w:rPr>
          <w:rFonts w:ascii="Arial" w:cs="Arial" w:eastAsia="Arial" w:hAnsi="Arial"/>
          <w:sz w:val="16"/>
          <w:szCs w:val="16"/>
          <w:color w:val="auto"/>
        </w:rPr>
        <w:t>In the event of a change of control, (i) any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then held by participants which are unexercisable or otherwise unvested and subject solely to time-based vesting conditions shall automatically be deemed exercisable or otherwise vested upon the consummation of such change of control, and (ii) except as otherwise provided in the applicable option agreement, all outstanding Options shall terminate upon the consummation of the change of control unless provision is made in connection with such transaction (in the sole discretion of the Compensation Committee or the parties to the change of control) for the assumption or continuation of such Options by, or the substitution for such Options with new awards of, the surviving, or successor or resulting entity, or a parent or subsidiary thereof, with such adjustments as to the number and kind of shares or other securities or property subject to such new awards, option and stock appreciation right exercise or base prices, and other terms of such new awards as the Compensation Committee or the parties to the change of control shall agree. In the event that provision is made in writing as aforesaid in connection with a change of control, the Option Plan and the unexercised Options theretofore granted or the new awards substituted therefor shall continue in the manner and under the terms provided in such writing. Notwithstanding the foregoing, except as otherwise provided in the applicable option agreement, vested Options (including those Options that would become vested upon the consummation of the change of control) shall not be terminated upon the consummation of the change of control unless holders of affected Options are provided either (a) a period of at least fifteen (15) calendar days prior to the date of the consummation of the change of control to exercise the Options, or (b) payment (in cash or other consideration upon or following the consummation of the change of control, or, to the extent permitted by Section 409A of the U.S. Internal Revenue Code of 1986, as amended (the “Code”), on a deferred basis, in each case as determined by the Compensation Committee in its discretion) in respect of each Share covered by the Option being cancelled in an amount equal to the excess, if any, of the per Share consideration to be paid or distributed to shareholders of the Company in the change of control (the value of any non-cash consideration to be determined by the Compensation Committee in good faith) over the exercise price of the Option. If the amount determined pursuant to the foregoing is zero or less, the affected Option may be cancelled without any payment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Unless otherwise determined by the Compensation Committee, an Option is not</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transferable or assignable by a participant in the Option Plan other than (i) an assignment or transfer to the participant’s spouse or descendants or any trust, limited partnership or other entity solely for the benefit of the participant or their spouse to descendants, provided that the transferee executes an option agreement, and (ii) by will or the laws of descent and distribution.</w:t>
      </w:r>
    </w:p>
    <w:p>
      <w:pPr>
        <w:spacing w:after="0" w:line="80"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i w:val="1"/>
          <w:iCs w:val="1"/>
          <w:color w:val="auto"/>
        </w:rPr>
        <w:t xml:space="preserve">Amendment or Termination of the Option Plan. </w:t>
      </w:r>
      <w:r>
        <w:rPr>
          <w:rFonts w:ascii="Arial" w:cs="Arial" w:eastAsia="Arial" w:hAnsi="Arial"/>
          <w:sz w:val="17"/>
          <w:szCs w:val="17"/>
          <w:color w:val="auto"/>
        </w:rPr>
        <w:t>The Board may amend, alter or discontinue the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 provided, however, that no alteration or discontinuation may be made without the consent of the participant if such action would diminish any of the rights of such participant under any Option. The Compensation Committee may amend the Option Plan (i) in such a manner as it reasonably deems necessary to comply with applicable law or to avoid the application of any tax penalty and (ii) without the consent of the participant, so long as any such amendment, alteration or discontinuation treats each similarly situated participant in a materially similar manner and has been approved by the CEO.</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 Awards Outstanding under the Option Plan</w:t>
      </w:r>
    </w:p>
    <w:p>
      <w:pPr>
        <w:spacing w:after="0" w:line="104" w:lineRule="exact"/>
        <w:rPr>
          <w:sz w:val="20"/>
          <w:szCs w:val="20"/>
          <w:color w:val="auto"/>
        </w:rPr>
      </w:pPr>
    </w:p>
    <w:p>
      <w:pPr>
        <w:ind w:left="1260" w:right="739" w:firstLine="360"/>
        <w:spacing w:after="0" w:line="302" w:lineRule="auto"/>
        <w:rPr>
          <w:sz w:val="20"/>
          <w:szCs w:val="20"/>
          <w:color w:val="auto"/>
        </w:rPr>
      </w:pPr>
      <w:r>
        <w:rPr>
          <w:rFonts w:ascii="Arial" w:cs="Arial" w:eastAsia="Arial" w:hAnsi="Arial"/>
          <w:sz w:val="16"/>
          <w:szCs w:val="16"/>
          <w:color w:val="auto"/>
        </w:rPr>
        <w:t>Each of our NEOs has been granted nonqualified stock options to acquire Shares pursuant to the Option Plan. Each of Messrs. Olesky, Hult and Spencer were granted a nonqualified stock option to purchase 4,869.4567, 2,608.6375 and 486.9457 Shares, respectively, on October 26, 2018. Each of the nonqualified stock option awards granted to Messrs. Olesky, Hult and Spencer was granted with an exercise price of $28,594.39 per Share.</w:t>
      </w:r>
    </w:p>
    <w:p>
      <w:pPr>
        <w:spacing w:after="0" w:line="46"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The option awards vest and become exercisable based on continued employment and achievement of certain performance thresholds, as further described above under “—Narrative Disclosure to Summary Compensation Table—Amended and Restated Tradeweb Markets Inc. 2018 Share Option Plan—Vesting</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all of the options awarded to our NEOs provide for accelerated vesting upon the occurrence of certain events, as described below in “—Additional Narrative Disclosures—Potential Payments upon Termination or Change in Control</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&amp; Restated Tradeweb Markets Inc. PRSU Plan</w:t>
      </w:r>
    </w:p>
    <w:p>
      <w:pPr>
        <w:spacing w:after="0" w:line="104" w:lineRule="exact"/>
        <w:rPr>
          <w:sz w:val="20"/>
          <w:szCs w:val="20"/>
          <w:color w:val="auto"/>
        </w:rPr>
      </w:pPr>
    </w:p>
    <w:p>
      <w:pPr>
        <w:ind w:left="1260" w:right="819" w:firstLine="360"/>
        <w:spacing w:after="0" w:line="288" w:lineRule="auto"/>
        <w:rPr>
          <w:sz w:val="20"/>
          <w:szCs w:val="20"/>
          <w:color w:val="auto"/>
        </w:rPr>
      </w:pPr>
      <w:r>
        <w:rPr>
          <w:rFonts w:ascii="Arial" w:cs="Arial" w:eastAsia="Arial" w:hAnsi="Arial"/>
          <w:sz w:val="16"/>
          <w:szCs w:val="16"/>
          <w:color w:val="auto"/>
        </w:rPr>
        <w:t>The Board has adopted the Amended &amp; Restated Tradeweb Markets Inc. PRSU Plan (previously the TWM LLC PRSU Plan), as may be amended from time to time (the “PRSU Plan”), which provides for the grants of performance-based restricted share units (“PRSUs”). The PRSU Plan was established to recruit and retain key employees and consultants and to motivate key employees, directors and consultants by providing those participating individuals with a proprietary interest in the performance of the Company. Each of our NEOs has been granted PRSUs pursuant to the PRSU Plan. Each of Messrs. Olesky, Hult and Spencer were granted PRSUs on February 26, 2016, May 9, 2017 and February 27, 2018 which vest in full on January 1 of 2019, 2020 and 2021, respectively, as further described below on table titled “Outstanding Equity Awards at Fiscal Year-End.” Following this offering, the Company does not intend to grant any new PRSU awards under the PRSU Plan (as any future restricted stock unit grants would be made under the Equity Plan described below).</w:t>
      </w:r>
    </w:p>
    <w:p>
      <w:pPr>
        <w:spacing w:after="0" w:line="61" w:lineRule="exact"/>
        <w:rPr>
          <w:sz w:val="20"/>
          <w:szCs w:val="20"/>
          <w:color w:val="auto"/>
        </w:rPr>
      </w:pPr>
    </w:p>
    <w:p>
      <w:pPr>
        <w:ind w:left="1260" w:right="1139" w:firstLine="360"/>
        <w:spacing w:after="0" w:line="342" w:lineRule="auto"/>
        <w:rPr>
          <w:sz w:val="20"/>
          <w:szCs w:val="20"/>
          <w:color w:val="auto"/>
        </w:rPr>
      </w:pPr>
      <w:r>
        <w:rPr>
          <w:rFonts w:ascii="Arial" w:cs="Arial" w:eastAsia="Arial" w:hAnsi="Arial"/>
          <w:sz w:val="16"/>
          <w:szCs w:val="16"/>
          <w:i w:val="1"/>
          <w:iCs w:val="1"/>
          <w:color w:val="auto"/>
        </w:rPr>
        <w:t xml:space="preserve">Grant Process. </w:t>
      </w:r>
      <w:r>
        <w:rPr>
          <w:rFonts w:ascii="Arial" w:cs="Arial" w:eastAsia="Arial" w:hAnsi="Arial"/>
          <w:sz w:val="16"/>
          <w:szCs w:val="16"/>
          <w:color w:val="auto"/>
        </w:rPr>
        <w:t>Grants are communicated to participants as an initial target dollar value and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PRSUs on or as soon as reasonably practicable following February 15 of the applicable plan year.</w:t>
      </w:r>
    </w:p>
    <w:p>
      <w:pPr>
        <w:spacing w:after="0" w:line="16"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i w:val="1"/>
          <w:iCs w:val="1"/>
          <w:color w:val="auto"/>
        </w:rPr>
        <w:t xml:space="preserve">Payment &amp; Performance Modifier. </w:t>
      </w:r>
      <w:r>
        <w:rPr>
          <w:rFonts w:ascii="Arial" w:cs="Arial" w:eastAsia="Arial" w:hAnsi="Arial"/>
          <w:sz w:val="16"/>
          <w:szCs w:val="16"/>
          <w:color w:val="auto"/>
        </w:rPr>
        <w:t>Each year the Compensation Committee establishes a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target for the applicable plan year. Based on the extent to which the target is achieved (or missed) a “Performance Modifier” of up to 200% is established. For the calendar year 2018, the Performance Modifier was 150%. Each award of PRSUs shall entitle the participant to receive a cash payment from the Company calculated by</w:t>
      </w:r>
    </w:p>
    <w:p>
      <w:pPr>
        <w:spacing w:after="0" w:line="2" w:lineRule="exact"/>
        <w:rPr>
          <w:sz w:val="20"/>
          <w:szCs w:val="20"/>
          <w:color w:val="auto"/>
        </w:rPr>
      </w:pPr>
    </w:p>
    <w:p>
      <w:pPr>
        <w:ind w:left="1260" w:right="879" w:firstLine="8"/>
        <w:spacing w:after="0" w:line="288" w:lineRule="auto"/>
        <w:tabs>
          <w:tab w:leader="none" w:pos="147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multiplying the number of vested PRSUs subject to the award by the Performance Modifier associated with such award, (ii) multiplying the result in clause (i) by the closing price of a Share on the day before the relevant payment date, as reported on the principal nationally recognized stock exchange on which the Shares are traded on the date of payment and (iii) adding to the result in clause (ii) the product of any dividend equivalent rights payable with respect to the number of PRSUs underlying the award (after applying the Performance Modifier). Payments are made in the month of March following the vesting date related to an award. In all cases, payments shall be made in the calendar year following the applicable vesting date.</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In December 2018 the Company agreed with its NEOs and certain other executives that, in lieu of the PRSU payments described above, PRSUs granted to such individuals in 2017 and 2018 will be settled exclusively in Shares, less any withholding and employment taxes associated with the settlement of the PRSUs. Settlement of such PRSUs will occur on February 1 of the year following the year in which the applicable PRSUs vest. Going forward, all PRSUs will be settled exclusively in Shares.</w:t>
      </w:r>
    </w:p>
    <w:p>
      <w:pPr>
        <w:spacing w:after="0" w:line="64" w:lineRule="exact"/>
        <w:rPr>
          <w:sz w:val="20"/>
          <w:szCs w:val="20"/>
          <w:color w:val="auto"/>
        </w:rPr>
      </w:pPr>
    </w:p>
    <w:p>
      <w:pPr>
        <w:ind w:left="1260" w:right="899" w:firstLine="360"/>
        <w:spacing w:after="0" w:line="273" w:lineRule="auto"/>
        <w:rPr>
          <w:sz w:val="20"/>
          <w:szCs w:val="20"/>
          <w:color w:val="auto"/>
        </w:rPr>
      </w:pPr>
      <w:r>
        <w:rPr>
          <w:rFonts w:ascii="Arial" w:cs="Arial" w:eastAsia="Arial" w:hAnsi="Arial"/>
          <w:sz w:val="17"/>
          <w:szCs w:val="17"/>
          <w:i w:val="1"/>
          <w:iCs w:val="1"/>
          <w:color w:val="auto"/>
        </w:rPr>
        <w:t xml:space="preserve">Termination of Service. </w:t>
      </w:r>
      <w:r>
        <w:rPr>
          <w:rFonts w:ascii="Arial" w:cs="Arial" w:eastAsia="Arial" w:hAnsi="Arial"/>
          <w:sz w:val="17"/>
          <w:szCs w:val="17"/>
          <w:color w:val="auto"/>
        </w:rPr>
        <w:t>In the event a participant is terminated prior to the scheduled vesting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forfeits any right to payment under the award</w:t>
      </w:r>
      <w:r>
        <w:rPr>
          <w:rFonts w:ascii="Arial" w:cs="Arial" w:eastAsia="Arial" w:hAnsi="Arial"/>
          <w:sz w:val="17"/>
          <w:szCs w:val="17"/>
          <w:i w:val="1"/>
          <w:iCs w:val="1"/>
          <w:color w:val="auto"/>
        </w:rPr>
        <w:t>,</w:t>
      </w:r>
      <w:r>
        <w:rPr>
          <w:rFonts w:ascii="Arial" w:cs="Arial" w:eastAsia="Arial" w:hAnsi="Arial"/>
          <w:sz w:val="17"/>
          <w:szCs w:val="17"/>
          <w:color w:val="auto"/>
        </w:rPr>
        <w:t xml:space="preserve"> unless the participant is terminated (i) without Cause (as defined in the PRSU Plan) within 180 days prior to the relevant vesting date, or (ii) due to the participant’s death or disability or retirement (as such terms are defined in the PRSU Plan), in which case the participant will be entitled to retain a pro-rated number of the PRSUs, based on days worked since the beginning of the year in which the grant is made, which will remain eligible to vest.</w:t>
      </w:r>
    </w:p>
    <w:p>
      <w:pPr>
        <w:spacing w:after="0" w:line="70"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If a participant’s service is terminated without Cause within six months following a change of control (as defined in the PRSU Plan), that participant’s outstanding PRSUs will vest and continue to be paid out in accordance with the PRSU Plan; provided, however, that if the change of control constitutes a “Qualified Change of Control” (meaning it constitutes a change of control or ownership for purposes of Section 409A of the Code), payment will, subject to the following sentence, be made as soon as practicable after the participant’s termination. In the case of a termination without Cause following a Qualified Change of Control, (i) if the termination occurs more than six months before the end of the applicable vesting period, the Performance Modifier applicable to the participant’s PRSUs shall be deemed to be 100%, and (ii) if the termination occurs within six months of the end of the applicable vesting period, the Performance Modifier shall be determined based on the actual performance of the Company, if it has been finally determined by March 15 following the year of the Qualified Change of Control. Otherwise, the Performance Modifier applicable to the Participant’s PRSUs shall be deemed to be 100%.</w:t>
      </w:r>
    </w:p>
    <w:p>
      <w:pPr>
        <w:spacing w:after="0" w:line="65"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The PRSUs accumulate dividend equivalent rights in respect of any dividends</w:t>
      </w:r>
      <w:r>
        <w:rPr>
          <w:rFonts w:ascii="Arial" w:cs="Arial" w:eastAsia="Arial" w:hAnsi="Arial"/>
          <w:sz w:val="17"/>
          <w:szCs w:val="17"/>
          <w:i w:val="1"/>
          <w:iCs w:val="1"/>
          <w:color w:val="auto"/>
        </w:rPr>
        <w:t xml:space="preserve"> </w:t>
      </w:r>
      <w:r>
        <w:rPr>
          <w:rFonts w:ascii="Arial" w:cs="Arial" w:eastAsia="Arial" w:hAnsi="Arial"/>
          <w:sz w:val="17"/>
          <w:szCs w:val="17"/>
          <w:color w:val="auto"/>
        </w:rPr>
        <w:t>paid on Shares (on a one Share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be forfeited. Dividend equivalent rights accumulated and not forfeited shall be added to, and be paid at the same time as, payments in respect of the related PRSUs as set forth above.</w:t>
      </w:r>
    </w:p>
    <w:p>
      <w:pPr>
        <w:spacing w:after="0" w:line="70" w:lineRule="exact"/>
        <w:rPr>
          <w:sz w:val="20"/>
          <w:szCs w:val="20"/>
          <w:color w:val="auto"/>
        </w:rPr>
      </w:pPr>
    </w:p>
    <w:p>
      <w:pPr>
        <w:ind w:left="1260" w:right="919" w:firstLine="360"/>
        <w:spacing w:after="0" w:line="289" w:lineRule="auto"/>
        <w:rPr>
          <w:sz w:val="20"/>
          <w:szCs w:val="20"/>
          <w:color w:val="auto"/>
        </w:rPr>
      </w:pPr>
      <w:r>
        <w:rPr>
          <w:rFonts w:ascii="Arial" w:cs="Arial" w:eastAsia="Arial" w:hAnsi="Arial"/>
          <w:sz w:val="16"/>
          <w:szCs w:val="16"/>
          <w:i w:val="1"/>
          <w:iCs w:val="1"/>
          <w:color w:val="auto"/>
        </w:rPr>
        <w:t xml:space="preserve">Adjustments in General.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affected participants, whether by adjusting the terms of an award (including the Performance Modifier applicable to such award and the manner of calculation thereof), the maximum dollar value in respect of which PRSUs may be issued at any time under the PRSU Plan, the underlying security to which an award relates or by such other means as the Compensation Committee shall determine.</w:t>
      </w:r>
    </w:p>
    <w:p>
      <w:pPr>
        <w:spacing w:after="0" w:line="59"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6"/>
          <w:szCs w:val="16"/>
          <w:i w:val="1"/>
          <w:iCs w:val="1"/>
          <w:color w:val="auto"/>
        </w:rPr>
        <w:t xml:space="preserve">Adjustments in the Event of a Change of Control. </w:t>
      </w:r>
      <w:r>
        <w:rPr>
          <w:rFonts w:ascii="Arial" w:cs="Arial" w:eastAsia="Arial" w:hAnsi="Arial"/>
          <w:sz w:val="16"/>
          <w:szCs w:val="16"/>
          <w:color w:val="auto"/>
        </w:rPr>
        <w:t>In the event of a change of control,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either (A) take equitable actions to preserve the economic rights of affected participants as described above in the section title “Adjustments in General</w:t>
      </w:r>
      <w:r>
        <w:rPr>
          <w:rFonts w:ascii="Arial" w:cs="Arial" w:eastAsia="Arial" w:hAnsi="Arial"/>
          <w:sz w:val="16"/>
          <w:szCs w:val="16"/>
          <w:i w:val="1"/>
          <w:iCs w:val="1"/>
          <w:color w:val="auto"/>
        </w:rPr>
        <w:t>”</w:t>
      </w:r>
      <w:r>
        <w:rPr>
          <w:rFonts w:ascii="Arial" w:cs="Arial" w:eastAsia="Arial" w:hAnsi="Arial"/>
          <w:sz w:val="16"/>
          <w:szCs w:val="16"/>
          <w:color w:val="auto"/>
        </w:rPr>
        <w:t xml:space="preserve"> above (which may include, if the Compensation Committee determines it to be equitable, taking no action) or (B) provide that (i) the price per Share (which is generally deemed to be the closing price of a Share on the day before the relevant determination date as reported on the principal nationally recognized stock exchange on which the Shares are traded) for purposes of determining the value of a PRSU shall be fixed at the per Share consideration received in connection with such change of control, and (ii) the Performance Modifier shall be (1) based on actual performance if the change of control is within 12 months of the relevant vesting date, (2) based on the Company’s average earnings per Share over the preceding two years if the change of control is between 12 and 24 months from the applicable vesting date, or (3) 100% if the change of control is more than 24 months from the applicable vesting date, and, in the case of either (A) or (B), payment with respect to</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vested PRSUs shall continue to be made in accordance with the PRSU Plan. Unless the Compensation Committee takes any action to the contrary in connection with a change of control, the vesting conditions applicable to all outstanding awards shall continue to apply (subject to any provisions governing terminations of service).</w:t>
      </w:r>
    </w:p>
    <w:p>
      <w:pPr>
        <w:spacing w:after="0" w:line="79"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i w:val="1"/>
          <w:iCs w:val="1"/>
          <w:color w:val="auto"/>
        </w:rPr>
        <w:t xml:space="preserve">Adjustments in the Event of a Qualified Change of Control. </w:t>
      </w:r>
      <w:r>
        <w:rPr>
          <w:rFonts w:ascii="Arial" w:cs="Arial" w:eastAsia="Arial" w:hAnsi="Arial"/>
          <w:sz w:val="16"/>
          <w:szCs w:val="16"/>
          <w:color w:val="auto"/>
        </w:rPr>
        <w:t>In the event of a Qualified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may, within the 30 days preceding or the 12 months following such Qualified Change of Control, accelerate the vesting of all outstanding awards (including related dividend equivalent rights) and make a cash payment in respect thereof to participants within the 12 month period following such action, all to the extent permitted by and in accordance with Section 409A of the Code. If such Qualified Change of Control occurs more than 12 months prior to the end of the vesting period applicable to an award, the Performance Modifier applicable to such award shall be (A) based on the Company’s average earnings per Share over the preceding two years if the change of control is between 12 and 24 months from the applicable vesting date, or</w:t>
      </w:r>
    </w:p>
    <w:p>
      <w:pPr>
        <w:spacing w:after="0" w:line="1" w:lineRule="exact"/>
        <w:rPr>
          <w:sz w:val="20"/>
          <w:szCs w:val="20"/>
          <w:color w:val="auto"/>
        </w:rPr>
      </w:pPr>
    </w:p>
    <w:p>
      <w:pPr>
        <w:ind w:left="1260" w:right="759" w:firstLine="8"/>
        <w:spacing w:after="0" w:line="269" w:lineRule="auto"/>
        <w:tabs>
          <w:tab w:leader="none" w:pos="154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100% if the change of control is more than 24 months from the applicable vesting date. If such Qualified Change of Control occurs less than 12 months prior to the end of the vesting period applicable to an award, payment shall not be made until the Performance Modifier applicable to such award has been established (and the Compensation Committee’s resolution to terminate the PRSU Plan shall be made at such time as would permit payment pursuant to the foregoing sentence to be made without violating Section 409A of the Code). In all cases, the value attributable to a PRSU that is liquidated in accordance with this provision will be the per Share consideration received in connection with such change of control.</w:t>
      </w:r>
    </w:p>
    <w:p>
      <w:pPr>
        <w:spacing w:after="0" w:line="73"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An award shall not be transferable or assignable by the participant other than by will or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descent and distribution.</w:t>
      </w:r>
    </w:p>
    <w:p>
      <w:pPr>
        <w:spacing w:after="0" w:line="62"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i w:val="1"/>
          <w:iCs w:val="1"/>
          <w:color w:val="auto"/>
        </w:rPr>
        <w:t xml:space="preserve">Amendment or Termination of the PRSU Plan. </w:t>
      </w:r>
      <w:r>
        <w:rPr>
          <w:rFonts w:ascii="Arial" w:cs="Arial" w:eastAsia="Arial" w:hAnsi="Arial"/>
          <w:sz w:val="18"/>
          <w:szCs w:val="18"/>
          <w:color w:val="auto"/>
        </w:rPr>
        <w:t>The Board may amend, alter or discontinue the PRSU Plan,</w:t>
      </w:r>
      <w:r>
        <w:rPr>
          <w:rFonts w:ascii="Arial" w:cs="Arial" w:eastAsia="Arial" w:hAnsi="Arial"/>
          <w:sz w:val="18"/>
          <w:szCs w:val="18"/>
          <w:i w:val="1"/>
          <w:iCs w:val="1"/>
          <w:color w:val="auto"/>
        </w:rPr>
        <w:t xml:space="preserve"> </w:t>
      </w:r>
      <w:r>
        <w:rPr>
          <w:rFonts w:ascii="Arial" w:cs="Arial" w:eastAsia="Arial" w:hAnsi="Arial"/>
          <w:sz w:val="18"/>
          <w:szCs w:val="18"/>
          <w:color w:val="auto"/>
        </w:rPr>
        <w:t>but no amendment, alteration or discontinuation shall be made without the consent of a participant, if such action would diminish any of the rights of such participant under any awards theretofore granted to such participant under the PRSU Plan; provided, however, that the Compensation Committee may amend the PRSU Plan in such manner as it reasonably deems necessary to comply with applicable law or to avoid the application of any tax penalty to any award.</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6"/>
          <w:szCs w:val="16"/>
          <w:i w:val="1"/>
          <w:iCs w:val="1"/>
          <w:color w:val="auto"/>
        </w:rPr>
        <w:t xml:space="preserve">2019 PRSU Grants.  </w:t>
      </w:r>
      <w:r>
        <w:rPr>
          <w:rFonts w:ascii="Arial" w:cs="Arial" w:eastAsia="Arial" w:hAnsi="Arial"/>
          <w:sz w:val="16"/>
          <w:szCs w:val="16"/>
          <w:color w:val="auto"/>
        </w:rPr>
        <w:t>On February 13, 2019, each of the NEOs received a grant of PRSUs for calendar year</w:t>
      </w:r>
    </w:p>
    <w:p>
      <w:pPr>
        <w:spacing w:after="0" w:line="46" w:lineRule="exact"/>
        <w:rPr>
          <w:sz w:val="20"/>
          <w:szCs w:val="20"/>
          <w:color w:val="auto"/>
        </w:rPr>
      </w:pPr>
    </w:p>
    <w:p>
      <w:pPr>
        <w:ind w:left="1260" w:right="759"/>
        <w:spacing w:after="0" w:line="251" w:lineRule="auto"/>
        <w:rPr>
          <w:sz w:val="20"/>
          <w:szCs w:val="20"/>
          <w:color w:val="auto"/>
        </w:rPr>
      </w:pPr>
      <w:r>
        <w:rPr>
          <w:rFonts w:ascii="Arial" w:cs="Arial" w:eastAsia="Arial" w:hAnsi="Arial"/>
          <w:sz w:val="18"/>
          <w:szCs w:val="18"/>
          <w:color w:val="auto"/>
        </w:rPr>
        <w:t>2019 (the “2019 PRSUs”). The NEOs received grants of 107.467 (for Mr. Olesky), 89.675 (for Mr. Hult) and 14.257 (for Mr. Spencer) 2019 PRSUs. The 2019 PRSUs will be settled exclusively in Shares, less any withholding and employment taxes associated with the settlement of the PRSUs. Settlement of the 2019 PRSUs will occur on February 1, 2022. In addition to the terms described above, the 2019 PRSUs provide for full vesting upon retirement or a change of control, and accelerated settlement in the event the change of control is a Qualified Change of Control. Any Shares received in settlement of the 2019 PRSUs will be subject to any underwriters’ lock up period applicable to the Shares. The “Performance Modifier” for the 2019 PRSUs will be between 0% and 200%, based equally on the Company attaining certain annual revenue growth and adjusted EBITDA margin targets.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Tradeweb Markets Inc. 2019 Omnibus Equity Incentive Plan</w:t>
      </w:r>
    </w:p>
    <w:p>
      <w:pPr>
        <w:spacing w:after="0" w:line="104" w:lineRule="exact"/>
        <w:rPr>
          <w:sz w:val="20"/>
          <w:szCs w:val="20"/>
          <w:color w:val="auto"/>
        </w:rPr>
      </w:pPr>
    </w:p>
    <w:p>
      <w:pPr>
        <w:ind w:left="1260" w:right="899" w:firstLine="360"/>
        <w:spacing w:after="0" w:line="273" w:lineRule="auto"/>
        <w:rPr>
          <w:sz w:val="20"/>
          <w:szCs w:val="20"/>
          <w:color w:val="auto"/>
        </w:rPr>
      </w:pPr>
      <w:r>
        <w:rPr>
          <w:rFonts w:ascii="Arial" w:cs="Arial" w:eastAsia="Arial" w:hAnsi="Arial"/>
          <w:sz w:val="17"/>
          <w:szCs w:val="17"/>
          <w:color w:val="auto"/>
        </w:rPr>
        <w:t>In connection with this offering, the Board has adopted the Tradeweb Markets Inc. 2019 Omnibus Equity Incentive Plan, as may be amended from time to time (the “Equity Plan”), under which equity awards may be made in respect of shares of Class A common stock of the Company (the “Shares”), consisting of a Share Pool (as defined below) of 6,366 Shares, as described further below in the section titled “—Shares Available.” Under the Equity Plan, awards may be granted in the form of options, restricted stock, restricted stock units, stock appreciation rights, cash-based awards, dividend equivalent rights and Share awards.</w:t>
      </w:r>
    </w:p>
    <w:p>
      <w:pPr>
        <w:spacing w:after="0" w:line="7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Equity Plan will be administered by the Compensation Committee.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consist of at least two directors of the Board and may consist of the entire Board. The Compensation Committee will generally consist of at least two directors considered to be non-employee directors for purposes of Section 16 of the Exchange Act.</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6"/>
          <w:szCs w:val="16"/>
          <w:i w:val="1"/>
          <w:iCs w:val="1"/>
          <w:color w:val="auto"/>
        </w:rPr>
        <w:t xml:space="preserve">Plan Term.  </w:t>
      </w:r>
      <w:r>
        <w:rPr>
          <w:rFonts w:ascii="Arial" w:cs="Arial" w:eastAsia="Arial" w:hAnsi="Arial"/>
          <w:sz w:val="16"/>
          <w:szCs w:val="16"/>
          <w:color w:val="auto"/>
        </w:rPr>
        <w:t>The Equity Plan became effective as of the date it was approved by the board of directors on</w:t>
      </w:r>
    </w:p>
    <w:p>
      <w:pPr>
        <w:spacing w:after="0" w:line="46" w:lineRule="exact"/>
        <w:rPr>
          <w:sz w:val="20"/>
          <w:szCs w:val="20"/>
          <w:color w:val="auto"/>
        </w:rPr>
      </w:pPr>
    </w:p>
    <w:p>
      <w:pPr>
        <w:ind w:left="1260" w:right="1159" w:firstLine="818"/>
        <w:spacing w:after="0" w:line="261" w:lineRule="auto"/>
        <w:tabs>
          <w:tab w:leader="none" w:pos="2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subject to its having been approved by the existing stockholders, and will terminate on the tenth (10th) anniversary thereof, unless earlier terminated by the board of directors.</w:t>
      </w:r>
    </w:p>
    <w:p>
      <w:pPr>
        <w:spacing w:after="0" w:line="76"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Under the Equity Plan, “Eligible Individuals” include officers, employees, consultants, advisors</w:t>
      </w:r>
      <w:r>
        <w:rPr>
          <w:rFonts w:ascii="Arial" w:cs="Arial" w:eastAsia="Arial" w:hAnsi="Arial"/>
          <w:sz w:val="17"/>
          <w:szCs w:val="17"/>
          <w:i w:val="1"/>
          <w:iCs w:val="1"/>
          <w:color w:val="auto"/>
        </w:rPr>
        <w:t xml:space="preserve"> </w:t>
      </w:r>
      <w:r>
        <w:rPr>
          <w:rFonts w:ascii="Arial" w:cs="Arial" w:eastAsia="Arial" w:hAnsi="Arial"/>
          <w:sz w:val="17"/>
          <w:szCs w:val="17"/>
          <w:color w:val="auto"/>
        </w:rPr>
        <w:t>and non-employee directors providing services to the Company and its subsidiaries and affiliates. The Compensation Committee will determine which Eligible Individuals will receive grants of awards.</w:t>
      </w:r>
    </w:p>
    <w:p>
      <w:pPr>
        <w:spacing w:after="0" w:line="5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Incentives Available. </w:t>
      </w:r>
      <w:r>
        <w:rPr>
          <w:rFonts w:ascii="Arial" w:cs="Arial" w:eastAsia="Arial" w:hAnsi="Arial"/>
          <w:sz w:val="18"/>
          <w:szCs w:val="18"/>
          <w:color w:val="auto"/>
        </w:rPr>
        <w:t>Under the Equity Plan, the Compensation Committee may grant any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types of awards to an Eligible Individual (to the extent permitted by applicable law): incentive stock options (“ISOs”) and nonqualified stock options (“Nonqualified Stock Options” and, together with ISOs, “Options”); stock appreciation rights (“SARs”); restricted stock grants (“Restricted Stock Grants”); restricted stock units (“RSUs”); Dividend Equivalent Rights; Share Awards; and Cash Based Awards, each as defined below (each type of grant is considered an “Award”).</w:t>
      </w:r>
    </w:p>
    <w:p>
      <w:pPr>
        <w:spacing w:after="0" w:line="85"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i w:val="1"/>
          <w:iCs w:val="1"/>
          <w:color w:val="auto"/>
        </w:rPr>
        <w:t xml:space="preserve">Shares Available. </w:t>
      </w:r>
      <w:r>
        <w:rPr>
          <w:rFonts w:ascii="Arial" w:cs="Arial" w:eastAsia="Arial" w:hAnsi="Arial"/>
          <w:sz w:val="17"/>
          <w:szCs w:val="17"/>
          <w:color w:val="auto"/>
        </w:rPr>
        <w:t>Subject to any adjustment as provided in the Equity Plan, up to 6,366 Shares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issued pursuant to Awards granted under the Equity Plan (the “Share Pool”), all of which may be granted pursuant to ISOs. The maximum dollar amount of cash or the fair market value of Shares that may be the subject of Awards granted to any non-employee director in any calendar year may not exceed $300,000.</w:t>
      </w:r>
    </w:p>
    <w:p>
      <w:pPr>
        <w:spacing w:after="0" w:line="63"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6"/>
          <w:szCs w:val="16"/>
          <w:color w:val="auto"/>
        </w:rPr>
        <w:t>If an Award or any portion thereof (a) expires or otherwise terminates without all of the Shares covered by such Award having been issued or (b) is settled in cash (i.e., the participant receives cash rather than Shares), such expiration, termination or settlement will not reduce (or otherwise offset) the number of Shares that may be available for issuance under the Equity Plan. Any Shares issued pursuant to an Award that are forfeited and returned back to or reacquired by the Company will again become available for issuance under the Equity Plan. Any Shares tendered or withheld to pay the exercise price of an Option or to satisfy tax withholding obligations associated with any Award, shall not become available again for issuance under the Equity Plan.</w:t>
      </w:r>
    </w:p>
    <w:p>
      <w:pPr>
        <w:spacing w:after="0" w:line="59" w:lineRule="exact"/>
        <w:rPr>
          <w:sz w:val="20"/>
          <w:szCs w:val="20"/>
          <w:color w:val="auto"/>
        </w:rPr>
      </w:pPr>
    </w:p>
    <w:p>
      <w:pPr>
        <w:jc w:val="both"/>
        <w:ind w:left="1260" w:right="879" w:firstLine="360"/>
        <w:spacing w:after="0" w:line="297"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Compensation Committee may grant Options (which may be ISOs or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to Eligible Individuals. An ISO is an Option intended to qualify for tax treatment applicable to ISOs under Section 422 of the Code. An ISO may be granted only to Eligible Individuals that are employees of the Company or any of its subsidiaries. A Nonqualified Stock Option is an Option that is not subject to statutory requirements and limitations required for certain tax advantages allowed under Section 422 of the Code.</w:t>
      </w:r>
    </w:p>
    <w:p>
      <w:pPr>
        <w:spacing w:after="0" w:line="50"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i w:val="1"/>
          <w:iCs w:val="1"/>
          <w:color w:val="auto"/>
        </w:rPr>
        <w:t xml:space="preserve">Vesting and Exercise Periods. </w:t>
      </w:r>
      <w:r>
        <w:rPr>
          <w:rFonts w:ascii="Arial" w:cs="Arial" w:eastAsia="Arial" w:hAnsi="Arial"/>
          <w:sz w:val="18"/>
          <w:szCs w:val="18"/>
          <w:color w:val="auto"/>
        </w:rPr>
        <w:t>Each Option granted under the Equity Plan may be subject to certain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will become exercisable in accordance with the specific terms and conditions of the Option, as determined by the Compensation Committee at the time of grant and set forth in an Award agreement. The term of an Option generally may not exceed ten years from the date it is granted (five years in the case of an ISO granted to a ten-percent stockholder). Each Option, to the extent it becomes exercisable, may be exercised at any time in whole or in part until its expiration or termination, unless otherwise provided in the applicable Award agreement.</w:t>
      </w:r>
    </w:p>
    <w:p>
      <w:pPr>
        <w:spacing w:after="0" w:line="81"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i w:val="1"/>
          <w:iCs w:val="1"/>
          <w:color w:val="auto"/>
        </w:rPr>
        <w:t xml:space="preserve">Exercise Price; Method of Exercise. </w:t>
      </w:r>
      <w:r>
        <w:rPr>
          <w:rFonts w:ascii="Arial" w:cs="Arial" w:eastAsia="Arial" w:hAnsi="Arial"/>
          <w:sz w:val="16"/>
          <w:szCs w:val="16"/>
          <w:color w:val="auto"/>
        </w:rPr>
        <w:t>The purchase price per Share with respect to any Option granted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Plan shall be determined by the Compensation Committee, provided that it may be not less than the greater of the par value of a Share and 100% of the fair market value of a Share on the date the Option is granted (110% in the case of an ISO granted to a ten-percent stockholder). The exercise price may be paid in (a) cash or its equivalent (e.g., a check), (b) if permitted by the Compensation Committee, the transfer, either actually or by attestation, to the Company of Shares that have been held by the participant for at least six (6) months (or such lesser period as may be permitted by the Compensation Committee) prior to the exercise of the Option, such transfer to be upon such terms and conditions as determined by the Compensation Committee or (c) in the form of other property as determined by the Compensation Committee. In addition, (a) the Compensation Committee may provide for the payment of the exercise through Share withholding as a result of which the number of Shares issued upon exercise of an Option would be reduced by a number of Shares having a fair market value (as defined in the Equity Plan) equal to the exercise price and (b) an Option may be exercised through a registered broker-dealer pursuant to such cashless exercise procedures that are, from time to time, deemed acceptable by the Compensation Committee. The Company will not issue fractional shares.</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Limits on Incentive Stock Options.  </w:t>
      </w:r>
      <w:r>
        <w:rPr>
          <w:rFonts w:ascii="Arial" w:cs="Arial" w:eastAsia="Arial" w:hAnsi="Arial"/>
          <w:sz w:val="17"/>
          <w:szCs w:val="17"/>
          <w:color w:val="auto"/>
        </w:rPr>
        <w:t>In order to comply with the requirements for ISOs in the Code, no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person may receive a grant of an ISO for stock that would have an aggregate fair market value in excess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$100,000, determined when the ISO is granted, that would be exercisable for the first time during any calendar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If any grant of an ISO is made in excess of such limit, the Options will be treated as Nonqualified Stock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Options according to the order in which they were granted such that the most recently granted Options are first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treated as Nonqualified Stock Options.</w:t>
      </w:r>
    </w:p>
    <w:p>
      <w:pPr>
        <w:spacing w:after="0" w:line="103"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grant SARs to Eligible Individuals on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determined by the Compensation Committee at the time of grant and set forth in an Award agreement. A SAR may be granted (a) at any time if unrelated to an Option or (b) if related to an Option, either at the time of grant or at any time thereafter during the term of the Option.</w:t>
      </w:r>
    </w:p>
    <w:p>
      <w:pPr>
        <w:spacing w:after="0" w:line="79" w:lineRule="exact"/>
        <w:rPr>
          <w:sz w:val="20"/>
          <w:szCs w:val="20"/>
          <w:color w:val="auto"/>
        </w:rPr>
      </w:pPr>
    </w:p>
    <w:p>
      <w:pPr>
        <w:ind w:left="1260" w:right="839" w:firstLine="360"/>
        <w:spacing w:after="0" w:line="297" w:lineRule="auto"/>
        <w:rPr>
          <w:sz w:val="20"/>
          <w:szCs w:val="20"/>
          <w:color w:val="auto"/>
        </w:rPr>
      </w:pPr>
      <w:r>
        <w:rPr>
          <w:rFonts w:ascii="Arial" w:cs="Arial" w:eastAsia="Arial" w:hAnsi="Arial"/>
          <w:sz w:val="16"/>
          <w:szCs w:val="16"/>
          <w:i w:val="1"/>
          <w:iCs w:val="1"/>
          <w:color w:val="auto"/>
        </w:rPr>
        <w:t xml:space="preserve">Vesting; Amount Payable. </w:t>
      </w:r>
      <w:r>
        <w:rPr>
          <w:rFonts w:ascii="Arial" w:cs="Arial" w:eastAsia="Arial" w:hAnsi="Arial"/>
          <w:sz w:val="16"/>
          <w:szCs w:val="16"/>
          <w:color w:val="auto"/>
        </w:rPr>
        <w:t>The Compensation Committee will determine the terms by which a SAR will</w:t>
      </w:r>
      <w:r>
        <w:rPr>
          <w:rFonts w:ascii="Arial" w:cs="Arial" w:eastAsia="Arial" w:hAnsi="Arial"/>
          <w:sz w:val="16"/>
          <w:szCs w:val="16"/>
          <w:i w:val="1"/>
          <w:iCs w:val="1"/>
          <w:color w:val="auto"/>
        </w:rPr>
        <w:t xml:space="preserve"> </w:t>
      </w:r>
      <w:r>
        <w:rPr>
          <w:rFonts w:ascii="Arial" w:cs="Arial" w:eastAsia="Arial" w:hAnsi="Arial"/>
          <w:sz w:val="16"/>
          <w:szCs w:val="16"/>
          <w:color w:val="auto"/>
        </w:rPr>
        <w:t>vest and become exercisable, which terms will be set forth in an Award agreement. A SAR is a right granted to a participant to receive an amount equal to the excess of the fair market value of a Share on the last business day preceding the date of exercise of such SAR over the fair market value of a Share on the date the SAR was granted. A SAR may be settled or paid in cash, Shares or a combination of each, in accordance with its terms.</w:t>
      </w:r>
    </w:p>
    <w:p>
      <w:pPr>
        <w:spacing w:after="0" w:line="50" w:lineRule="exact"/>
        <w:rPr>
          <w:sz w:val="20"/>
          <w:szCs w:val="20"/>
          <w:color w:val="auto"/>
        </w:rPr>
      </w:pPr>
    </w:p>
    <w:p>
      <w:pPr>
        <w:ind w:left="1260" w:right="1039" w:firstLine="360"/>
        <w:spacing w:after="0" w:line="342" w:lineRule="auto"/>
        <w:rPr>
          <w:sz w:val="20"/>
          <w:szCs w:val="20"/>
          <w:color w:val="auto"/>
        </w:rPr>
      </w:pPr>
      <w:r>
        <w:rPr>
          <w:rFonts w:ascii="Arial" w:cs="Arial" w:eastAsia="Arial" w:hAnsi="Arial"/>
          <w:sz w:val="16"/>
          <w:szCs w:val="16"/>
          <w:i w:val="1"/>
          <w:iCs w:val="1"/>
          <w:color w:val="auto"/>
        </w:rPr>
        <w:t xml:space="preserve">Duration. </w:t>
      </w:r>
      <w:r>
        <w:rPr>
          <w:rFonts w:ascii="Arial" w:cs="Arial" w:eastAsia="Arial" w:hAnsi="Arial"/>
          <w:sz w:val="16"/>
          <w:szCs w:val="16"/>
          <w:color w:val="auto"/>
        </w:rPr>
        <w:t>Each SAR will be exercisable or be forfeited or expire on such terms as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determines. Except in limited circumstances, a SAR shall have a term of no greater than ten years.</w:t>
      </w:r>
    </w:p>
    <w:p>
      <w:pPr>
        <w:spacing w:after="0" w:line="16"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i w:val="1"/>
          <w:iCs w:val="1"/>
          <w:color w:val="auto"/>
        </w:rPr>
        <w:t xml:space="preserve">Prohibition on Repricings. </w:t>
      </w:r>
      <w:r>
        <w:rPr>
          <w:rFonts w:ascii="Arial" w:cs="Arial" w:eastAsia="Arial" w:hAnsi="Arial"/>
          <w:sz w:val="16"/>
          <w:szCs w:val="16"/>
          <w:color w:val="auto"/>
        </w:rPr>
        <w:t>The Compensation Committee will have no authority to (a)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or amendment (other than in connection with certain changes in capitalization or certain corporate transactions in accordance with the terms of the Equity Plan, as generally described below) that reduces, or would have the effect of reducing, the exercise price of an Option or SAR previously granted under the Equity Plan or</w:t>
      </w:r>
    </w:p>
    <w:p>
      <w:pPr>
        <w:spacing w:after="0" w:line="2" w:lineRule="exact"/>
        <w:rPr>
          <w:sz w:val="20"/>
          <w:szCs w:val="20"/>
          <w:color w:val="auto"/>
        </w:rPr>
      </w:pPr>
    </w:p>
    <w:p>
      <w:pPr>
        <w:ind w:left="1260" w:right="859" w:firstLine="8"/>
        <w:spacing w:after="0" w:line="255" w:lineRule="auto"/>
        <w:tabs>
          <w:tab w:leader="none" w:pos="15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cancel for cash or other consideration any Option whose exercise price or SAR whose base price is greater than the fair market value per share, unless, in either case, the Company’s stockholders approve such adjustment or amendment.</w:t>
      </w:r>
    </w:p>
    <w:p>
      <w:pPr>
        <w:spacing w:after="0" w:line="82"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The Compensation Committee may grant dividend equivalent rights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Equivalent Rights”), either in tandem with an Award or as a separate Award, to Eligible Individuals on terms and conditions determined by the Compensation Committee at the time of grant and set forth in an Award agreement. A Dividend Equivalent Right is a right to receive cash or Shares based on the value of dividends that are paid with respect to the Shares. Amounts payable in respect of Dividend Equivalent Rights may be payable currently or, if applicable, deferred until the lapsing of restrictions on such dividend equivalent rights or until the vesting, exercise, payment, settlement or other lapse of restrictions on the Award to which the Dividend Equivalent Rights relate, provided, however, that a Dividend Equivalent Right granted in tandem with another Award that vests based on the achievement of performance goals shall be subject to restrictions and risk of forfeiture to the same extent as the Awards with respect to which such dividends are payable. In the event that the amount payable in respect of Dividend Equivalent Rights is to be deferred, the Compensation Committee shall determine whether such amount is to be held in cash or reinvested in Shares or deemed (notionally) to be reinvested in Shares. Dividend Equivalent Rights may be settled in cash or Shares or a combination thereof, in a single installment or multiple installments, as determined by the Compensation Committee.</w:t>
      </w:r>
    </w:p>
    <w:p>
      <w:pPr>
        <w:spacing w:after="0" w:line="64"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i w:val="1"/>
          <w:iCs w:val="1"/>
          <w:color w:val="auto"/>
        </w:rPr>
        <w:t xml:space="preserve">Restricted Stock; Restricted Stock Units. </w:t>
      </w:r>
      <w:r>
        <w:rPr>
          <w:rFonts w:ascii="Arial" w:cs="Arial" w:eastAsia="Arial" w:hAnsi="Arial"/>
          <w:sz w:val="16"/>
          <w:szCs w:val="16"/>
          <w:color w:val="auto"/>
        </w:rPr>
        <w:t>The Compensation Committee may grant either Shares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phantom Shares (RSUs), in each case subject to certain vesting requirements, on terms and conditions determined by the Compensation Committee at the time of grant and set forth in an Award agreement.</w:t>
      </w:r>
    </w:p>
    <w:p>
      <w:pPr>
        <w:spacing w:after="0" w:line="39" w:lineRule="exact"/>
        <w:rPr>
          <w:sz w:val="20"/>
          <w:szCs w:val="20"/>
          <w:color w:val="auto"/>
        </w:rPr>
      </w:pPr>
    </w:p>
    <w:p>
      <w:pPr>
        <w:ind w:left="1260" w:right="899" w:firstLine="360"/>
        <w:spacing w:after="0" w:line="273"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Unless the Compensation Committee determines otherwise, upon the issuance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Restricted Stock, the participant shall have all of the rights of a shareholder with respect to such Shares, including the right to vote the Shares and to receive all dividends or other distributions made with respect to the Shares. The Compensation Committee may determine that the payment to the participant of dividends, or a specified portion thereof, declared or paid on such Shares shall be deferred until the lapsing of the restrictions imposed upon such Shares and held by the Company for the account of the participant</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73" w:lineRule="auto"/>
        <w:rPr>
          <w:sz w:val="20"/>
          <w:szCs w:val="20"/>
          <w:color w:val="auto"/>
        </w:rPr>
      </w:pPr>
      <w:r>
        <w:rPr>
          <w:rFonts w:ascii="Arial" w:cs="Arial" w:eastAsia="Arial" w:hAnsi="Arial"/>
          <w:sz w:val="17"/>
          <w:szCs w:val="17"/>
          <w:color w:val="auto"/>
        </w:rPr>
        <w:t>until such time, provided, however, that a dividend payable in respect of Restricted Stock that vests based on the achievement of performance goals shall be subject to restrictions and risk of forfeiture to the same extent as the Restricted Stock with respect to which such dividends are payable. Payment of deferred dividends in respect of shares of Restricted Stock shall be made upon the lapsing of restrictions imposed on the shares of Restricted Stock in respect of which the deferred dividends were paid, and any dividends deferred in respect of any shares of Restricted Stock shall be forfeited upon the forfeiture of such shares of Restricted Stock.</w:t>
      </w:r>
    </w:p>
    <w:p>
      <w:pPr>
        <w:spacing w:after="0" w:line="70"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Each RSU shall represent the right of the participant to receive a payment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the RSU, or on any later date specified by the Compensation Committee, of an amount equal to the fair market value of a Share as of the date the RSU becomes vested, or such later date as determined by the Compensation Committee at the time the RSU is granted (and which will be set forth in the applicable Award agreement). An RSU may be settled or paid in cash, Shares or a combination of each, as determined by the Compensation Committee.</w:t>
      </w:r>
    </w:p>
    <w:p>
      <w:pPr>
        <w:spacing w:after="0" w:line="85"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Share Awards. </w:t>
      </w:r>
      <w:r>
        <w:rPr>
          <w:rFonts w:ascii="Arial" w:cs="Arial" w:eastAsia="Arial" w:hAnsi="Arial"/>
          <w:sz w:val="18"/>
          <w:szCs w:val="18"/>
          <w:color w:val="auto"/>
        </w:rPr>
        <w:t>The Compensation Committee may grant an Award of Shares (“Share Awards”) to an</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Individual on such terms and conditions as the Compensation Committee may determine at the time of grant. A Share Award may be made as additional compensation for services rendered by the Eligible Individual or may be in lieu of cash or other compensation to which the Eligible Individual is entitled from the Company. Any dividend payable in respect of a Share Award that vests based on the achievement of performance goals shall be subject to restrictions and risk of forfeiture to the same extent as the Share Award with respect to which such dividends are payable.</w:t>
      </w:r>
    </w:p>
    <w:p>
      <w:pPr>
        <w:spacing w:after="0" w:line="81"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i w:val="1"/>
          <w:iCs w:val="1"/>
          <w:color w:val="auto"/>
        </w:rPr>
        <w:t xml:space="preserve">Cash Based Awards. </w:t>
      </w:r>
      <w:r>
        <w:rPr>
          <w:rFonts w:ascii="Arial" w:cs="Arial" w:eastAsia="Arial" w:hAnsi="Arial"/>
          <w:sz w:val="16"/>
          <w:szCs w:val="16"/>
          <w:color w:val="auto"/>
        </w:rPr>
        <w:t>The Compensation Committee may grant awards initially denominated by reference to</w:t>
      </w:r>
      <w:r>
        <w:rPr>
          <w:rFonts w:ascii="Arial" w:cs="Arial" w:eastAsia="Arial" w:hAnsi="Arial"/>
          <w:sz w:val="16"/>
          <w:szCs w:val="16"/>
          <w:i w:val="1"/>
          <w:iCs w:val="1"/>
          <w:color w:val="auto"/>
        </w:rPr>
        <w:t xml:space="preserve"> </w:t>
      </w:r>
      <w:r>
        <w:rPr>
          <w:rFonts w:ascii="Arial" w:cs="Arial" w:eastAsia="Arial" w:hAnsi="Arial"/>
          <w:sz w:val="16"/>
          <w:szCs w:val="16"/>
          <w:color w:val="auto"/>
        </w:rPr>
        <w:t>a specified amount of cash (“Cash Based Awards”) to an Eligible Individual. Cash Based Awards are contingent upon the attainment of specified conditions as may be determined by the Compensation Committee, and represent the right to receive payment of the specified dollar amount or a percentage or multiple of the specified dollar amount as determined pursuant to the applicable Award agreement. The Compensation Committee may at the time a Cash Based Award is granted specify a maximum amount payable in respect of a vested Cash Based Award. Each Award agreement will specify the conditions which must be satisfied in order for the Cash Based Award to vest and the circumstances under which the Award will be forfeited. Payments in respect of the Cash Based Awards will be at such time or times as the Compensation Committee may determine following vesting of the Award. Such payments may be made entirely in Shares valued at their fair market value (as defined in the Equity Plan), entirely in cash or in such combination of Shares and cash as the Compensation Committee in its discretion shall determine at any time prior to such payment.</w:t>
      </w:r>
    </w:p>
    <w:p>
      <w:pPr>
        <w:spacing w:after="0" w:line="61"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i w:val="1"/>
          <w:iCs w:val="1"/>
          <w:color w:val="auto"/>
        </w:rPr>
        <w:t xml:space="preserve">Adjustments upon Changes in Capitalization. </w:t>
      </w:r>
      <w:r>
        <w:rPr>
          <w:rFonts w:ascii="Arial" w:cs="Arial" w:eastAsia="Arial" w:hAnsi="Arial"/>
          <w:sz w:val="17"/>
          <w:szCs w:val="17"/>
          <w:color w:val="auto"/>
        </w:rPr>
        <w:t>In the event that the outstanding Shares are changed into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a different number or kind of Shares or other stock or securities or other equity interests of the Company or another corporation or entity, whether through merger, consolidation, reorganization, recapitalization, reclassification, stock dividend, stock split, reverse stock split, substitution or other similar corporate event or transaction, or an extraordinary dividend or distribution by the Company in respect of its Shares or other capital stock or securities convertible into capital stock, cash, securities or other property, the Compensation Committee shall determine the appropriate adjustments, if any, to (a) the maximum number and kind of shares of stock or other securities or other equity interests as to which Awards may be granted under the Equity Plan, (b) the maximum number and class of Shares or other stock or securities that may be issued upon exercise of ISOs, (c) the number and kind of Shares or other securities covered by any or all outstanding Awards that have been granted under the Equity Plan, and (d) the option price of outstanding Options and the base price of outstanding SARs.</w:t>
      </w:r>
    </w:p>
    <w:p>
      <w:pPr>
        <w:spacing w:after="0" w:line="72"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i w:val="1"/>
          <w:iCs w:val="1"/>
          <w:color w:val="auto"/>
        </w:rPr>
        <w:t xml:space="preserve">Effect of Change in Control or Certain Other Transactions. </w:t>
      </w:r>
      <w:r>
        <w:rPr>
          <w:rFonts w:ascii="Arial" w:cs="Arial" w:eastAsia="Arial" w:hAnsi="Arial"/>
          <w:sz w:val="17"/>
          <w:szCs w:val="17"/>
          <w:color w:val="auto"/>
        </w:rPr>
        <w:t>Generally, the Award agreement evidencing</w:t>
      </w:r>
      <w:r>
        <w:rPr>
          <w:rFonts w:ascii="Arial" w:cs="Arial" w:eastAsia="Arial" w:hAnsi="Arial"/>
          <w:sz w:val="17"/>
          <w:szCs w:val="17"/>
          <w:i w:val="1"/>
          <w:iCs w:val="1"/>
          <w:color w:val="auto"/>
        </w:rPr>
        <w:t xml:space="preserve"> </w:t>
      </w:r>
      <w:r>
        <w:rPr>
          <w:rFonts w:ascii="Arial" w:cs="Arial" w:eastAsia="Arial" w:hAnsi="Arial"/>
          <w:sz w:val="17"/>
          <w:szCs w:val="17"/>
          <w:color w:val="auto"/>
        </w:rPr>
        <w:t>each Award will provide any specific terms applicable to that Award in the event of a Change in Control of the Company (as defined below). Unless otherwise provided in an Award agreement, in connection with a merger, consolidation, reorganization, recapitalization or other similar change in the capital stock of the Company, or a liquidation or dissolution of the Company (each, a “Corporate Transaction”) (a Corporate Transaction may be a transaction that is also a Change in Control), Awards shall either: (a) continue following such Corporate Transaction, which may include, in the discretion of the Compensation Committee or the parties to the Corporate Transaction, the assumption, continuation or</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color w:val="auto"/>
        </w:rPr>
        <w:t>substitution of the Awards, in each case with appropriate adjustments to the number, kind of shares, and exercise prices of the Awards; or (b) terminate.</w:t>
      </w:r>
    </w:p>
    <w:p>
      <w:pPr>
        <w:spacing w:after="0" w:line="62" w:lineRule="exact"/>
        <w:rPr>
          <w:sz w:val="20"/>
          <w:szCs w:val="20"/>
          <w:color w:val="auto"/>
        </w:rPr>
      </w:pPr>
    </w:p>
    <w:p>
      <w:pPr>
        <w:ind w:left="1260" w:right="1019" w:firstLine="360"/>
        <w:spacing w:after="0" w:line="284" w:lineRule="auto"/>
        <w:rPr>
          <w:sz w:val="20"/>
          <w:szCs w:val="20"/>
          <w:color w:val="auto"/>
        </w:rPr>
      </w:pPr>
      <w:r>
        <w:rPr>
          <w:rFonts w:ascii="Arial" w:cs="Arial" w:eastAsia="Arial" w:hAnsi="Arial"/>
          <w:sz w:val="16"/>
          <w:szCs w:val="16"/>
          <w:color w:val="auto"/>
        </w:rPr>
        <w:t>For purposes of the Equity Plan, “Change in Control” generally means the occurrence of any of the following events with respect to the Company: (a) any person (other than directly from the Company) first acquires securities of the Company representing fifty percent or more of the combined voting power of the Company’s then outstanding voting securities, other than an acquisition by certain employee benefit plans, the Company or a related entity, or any person in connection with a non-control transaction; (b) a majority of the members of the board of directors is replaced by directors whose appointment or election is not endorsed by a majority of the members of the board of directors serving immediately prior to such appointment or election;</w:t>
      </w:r>
    </w:p>
    <w:p>
      <w:pPr>
        <w:spacing w:after="0" w:line="3" w:lineRule="exact"/>
        <w:rPr>
          <w:sz w:val="20"/>
          <w:szCs w:val="20"/>
          <w:color w:val="auto"/>
        </w:rPr>
      </w:pPr>
    </w:p>
    <w:p>
      <w:pPr>
        <w:ind w:left="1260" w:right="759" w:firstLine="8"/>
        <w:spacing w:after="0" w:line="286" w:lineRule="auto"/>
        <w:tabs>
          <w:tab w:leader="none" w:pos="150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merger, consolidation or reorganization, other than a non-control transaction; (d) a complete liquidation or dissolution or (e) a sale or disposition of all or substantially all of the assets of the Company and its subsidiaries. A “non-control transaction” generally includes any transaction in which (i) stockholders immediately before such transaction continue to own at least a majority of the combined voting power of such resulting entity following the transaction; (ii) a majority of the members of the board of directors immediately before such transaction continue to constitute at least a majority of the board of the surviving entity following such transaction or (iii) with certain exceptions, no person other than any person who had beneficial ownership of more than fifty percent of the combined voting power of the Company’s then outstanding voting securities immediately prior to such transaction has beneficial ownership of more than fifty percent of the combined voting power of the surviving entity’s outstanding voting securities immediately after such transaction.</w:t>
      </w:r>
    </w:p>
    <w:p>
      <w:pPr>
        <w:spacing w:after="0" w:line="62"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i w:val="1"/>
          <w:iCs w:val="1"/>
          <w:color w:val="auto"/>
        </w:rPr>
        <w:t xml:space="preserve">Options and SARs. </w:t>
      </w:r>
      <w:r>
        <w:rPr>
          <w:rFonts w:ascii="Arial" w:cs="Arial" w:eastAsia="Arial" w:hAnsi="Arial"/>
          <w:sz w:val="16"/>
          <w:szCs w:val="16"/>
          <w:color w:val="auto"/>
        </w:rPr>
        <w:t>If Options or SARs are to terminate in the event of a corporate transaction, the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vested Options or SARs must be provided either (a) fifteen days to exercise their Options or SARs or</w:t>
      </w:r>
    </w:p>
    <w:p>
      <w:pPr>
        <w:ind w:left="1260" w:right="739" w:firstLine="8"/>
        <w:spacing w:after="0" w:line="251" w:lineRule="auto"/>
        <w:tabs>
          <w:tab w:leader="none" w:pos="15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payment (in cash or other consideration) in respect of each Share covered by the Option or SAR being cancelled in an amount equal to the excess, if any, of the per Share price to be paid to stockholders in the Corporate Transaction over the exercise or base price of the Option or the SAR. If the per Share price to be paid to stockholders in the Corporate Transaction is less than the exercise price of the Option or base price of the SAR, the Option or SAR may be terminated without payment of any kind. The holders of unvested Options or SARs may also receive payment, at the discretion of the Compensation Committee, in the same manner as described above for vested Options and SARs. The Compensation Committee may also accelerate the vesting on any unvested Option or SAR and provide holders of such Options or SARs a reasonable opportunity to exercise the Award.</w:t>
      </w:r>
    </w:p>
    <w:p>
      <w:pPr>
        <w:spacing w:after="0" w:line="90"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If Awards other than Options and SARs are to terminate in connection with a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holders of vested Awards will be provided, and holders of unvested Awards may be provided, at the discretion of the Compensation Committee, payment (in cash or other consideration upon or immediately following the Corporate Transaction, or, to the extent permitted by Section 409A of the Code, on a deferred basis) in respect of each Share covered by the Award being cancelled in an amount equal to the per Share price to be paid to stockholders in the Corporate Transaction, where the value of any non-cash consideration will be determined by the Compensation Committee in good faith.</w:t>
      </w:r>
    </w:p>
    <w:p>
      <w:pPr>
        <w:spacing w:after="0" w:line="70" w:lineRule="exact"/>
        <w:rPr>
          <w:sz w:val="20"/>
          <w:szCs w:val="20"/>
          <w:color w:val="auto"/>
        </w:rPr>
      </w:pPr>
    </w:p>
    <w:p>
      <w:pPr>
        <w:jc w:val="both"/>
        <w:ind w:left="1260" w:right="1299" w:firstLine="360"/>
        <w:spacing w:after="0" w:line="312" w:lineRule="auto"/>
        <w:rPr>
          <w:sz w:val="20"/>
          <w:szCs w:val="20"/>
          <w:color w:val="auto"/>
        </w:rPr>
      </w:pPr>
      <w:r>
        <w:rPr>
          <w:rFonts w:ascii="Arial" w:cs="Arial" w:eastAsia="Arial" w:hAnsi="Arial"/>
          <w:sz w:val="16"/>
          <w:szCs w:val="16"/>
          <w:color w:val="auto"/>
        </w:rPr>
        <w:t>The Compensation Committee may, in its sole discretion, provide for different treatment for different Awards or Awards held by different parties, and where alternative treatment is available for a participant’s Awards, may allow the participant to choose which treatment will apply to his or her Awards.</w:t>
      </w:r>
    </w:p>
    <w:p>
      <w:pPr>
        <w:spacing w:after="0" w:line="39"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The Equity Plan generally restricts the transfer of any Awards, except (a) transfers by will</w:t>
      </w:r>
      <w:r>
        <w:rPr>
          <w:rFonts w:ascii="Arial" w:cs="Arial" w:eastAsia="Arial" w:hAnsi="Arial"/>
          <w:sz w:val="17"/>
          <w:szCs w:val="17"/>
          <w:i w:val="1"/>
          <w:iCs w:val="1"/>
          <w:color w:val="auto"/>
        </w:rPr>
        <w:t xml:space="preserve"> </w:t>
      </w:r>
      <w:r>
        <w:rPr>
          <w:rFonts w:ascii="Arial" w:cs="Arial" w:eastAsia="Arial" w:hAnsi="Arial"/>
          <w:sz w:val="17"/>
          <w:szCs w:val="17"/>
          <w:color w:val="auto"/>
        </w:rPr>
        <w:t>or the laws of descent and distribution or (b) to a beneficiary designated by the participant, to whom any benefit under the Equity Plan is to be paid or who may exercise any rights of the participant in the event of the participant’s death before he or she receives any or all of such benefit or exercises an Award.</w:t>
      </w:r>
    </w:p>
    <w:p>
      <w:pPr>
        <w:spacing w:after="0" w:line="63"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7"/>
          <w:szCs w:val="17"/>
          <w:i w:val="1"/>
          <w:iCs w:val="1"/>
          <w:color w:val="auto"/>
        </w:rPr>
        <w:t xml:space="preserve">Amendment or Termination of the Equity Plan. </w:t>
      </w:r>
      <w:r>
        <w:rPr>
          <w:rFonts w:ascii="Arial" w:cs="Arial" w:eastAsia="Arial" w:hAnsi="Arial"/>
          <w:sz w:val="17"/>
          <w:szCs w:val="17"/>
          <w:color w:val="auto"/>
        </w:rPr>
        <w:t>The Equity Plan may be amended or terminated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without shareholder approval unless shareholder approval of the amendment or termination is required under applicable law, regulation or exchange requirement. No amendment may materially and adversely alter or materially impair any Award that had been granted under the Equity Plan prior to the amendment without the impacted participant’s consent. The Equity Plan will terminate on the tenth anniversary of its effective date; however, when the Equity Plan terminates, any applicable terms will remain in effect for administration of any Awards outstanding at the time of the Equity Plan’s termination.</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i w:val="1"/>
          <w:iCs w:val="1"/>
          <w:color w:val="auto"/>
        </w:rPr>
        <w:t xml:space="preserve">Forfeiture Events; Clawback. </w:t>
      </w:r>
      <w:r>
        <w:rPr>
          <w:rFonts w:ascii="Arial" w:cs="Arial" w:eastAsia="Arial" w:hAnsi="Arial"/>
          <w:sz w:val="17"/>
          <w:szCs w:val="17"/>
          <w:color w:val="auto"/>
        </w:rPr>
        <w:t>The Compensation Committee may specify in an Award agreement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rights, payments and benefits with respect to an Award shall be subject to reduction, cancellation, forfeiture, clawback or recoupment upon the occurrence of certain specified events or as required by law, in addition to any otherwise applicable forfeiture provisions that apply to the Award.</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08"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following table summarizes the number of securities underlying the equity awards held by each of the NEOs as of the fiscal year ended December 31, 2018.</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92"/>
              </w:rPr>
              <w:t>Option awards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Stock awards</w:t>
            </w:r>
          </w:p>
        </w:tc>
      </w:tr>
      <w:tr>
        <w:trPr>
          <w:trHeight w:val="144"/>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Equity</w:t>
            </w: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incentive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plan</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awards:</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Number of</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Number of</w:t>
            </w:r>
          </w:p>
        </w:tc>
        <w:tc>
          <w:tcPr>
            <w:tcW w:w="18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Number of</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Number of</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Market</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securities</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securities</w:t>
            </w:r>
          </w:p>
        </w:tc>
        <w:tc>
          <w:tcPr>
            <w:tcW w:w="18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securities</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shares</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value of</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underlying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underlying</w:t>
            </w:r>
          </w:p>
        </w:tc>
        <w:tc>
          <w:tcPr>
            <w:tcW w:w="18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underlying</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or units</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shares or</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unexercised</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1"/>
              </w:rPr>
              <w:t>unexercised</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unexercised</w:t>
            </w: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Option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0"/>
              </w:rPr>
              <w:t>of stock</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units of stock</w:t>
            </w:r>
          </w:p>
        </w:tc>
      </w:tr>
      <w:tr>
        <w:trPr>
          <w:trHeight w:val="126"/>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3"/>
          </w:tcPr>
          <w:p>
            <w:pPr>
              <w:jc w:val="center"/>
              <w:ind w:right="280"/>
              <w:spacing w:after="0" w:line="126" w:lineRule="exact"/>
              <w:rPr>
                <w:sz w:val="20"/>
                <w:szCs w:val="20"/>
                <w:color w:val="auto"/>
              </w:rPr>
            </w:pPr>
            <w:r>
              <w:rPr>
                <w:rFonts w:ascii="Arial" w:cs="Arial" w:eastAsia="Arial" w:hAnsi="Arial"/>
                <w:sz w:val="13"/>
                <w:szCs w:val="13"/>
                <w:b w:val="1"/>
                <w:bCs w:val="1"/>
                <w:color w:val="auto"/>
                <w:w w:val="92"/>
              </w:rPr>
              <w:t>Year</w:t>
            </w:r>
          </w:p>
        </w:tc>
        <w:tc>
          <w:tcPr>
            <w:tcW w:w="88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w w:val="85"/>
              </w:rPr>
              <w:t>options</w:t>
            </w:r>
          </w:p>
        </w:tc>
        <w:tc>
          <w:tcPr>
            <w:tcW w:w="82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80"/>
              </w:rPr>
              <w:t>options</w:t>
            </w:r>
          </w:p>
        </w:tc>
        <w:tc>
          <w:tcPr>
            <w:tcW w:w="180" w:type="dxa"/>
            <w:vAlign w:val="bottom"/>
          </w:tcPr>
          <w:p>
            <w:pPr>
              <w:spacing w:after="0"/>
              <w:rPr>
                <w:sz w:val="10"/>
                <w:szCs w:val="10"/>
                <w:color w:val="auto"/>
              </w:rPr>
            </w:pPr>
          </w:p>
        </w:tc>
        <w:tc>
          <w:tcPr>
            <w:tcW w:w="100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85"/>
              </w:rPr>
              <w:t>unearned</w:t>
            </w:r>
          </w:p>
        </w:tc>
        <w:tc>
          <w:tcPr>
            <w:tcW w:w="82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84"/>
              </w:rPr>
              <w:t>exercise</w:t>
            </w:r>
          </w:p>
        </w:tc>
        <w:tc>
          <w:tcPr>
            <w:tcW w:w="86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w w:val="90"/>
              </w:rPr>
              <w:t>Option</w:t>
            </w:r>
          </w:p>
        </w:tc>
        <w:tc>
          <w:tcPr>
            <w:tcW w:w="920" w:type="dxa"/>
            <w:vAlign w:val="bottom"/>
            <w:gridSpan w:val="2"/>
          </w:tcPr>
          <w:p>
            <w:pPr>
              <w:jc w:val="center"/>
              <w:ind w:right="320"/>
              <w:spacing w:after="0" w:line="126" w:lineRule="exact"/>
              <w:rPr>
                <w:sz w:val="20"/>
                <w:szCs w:val="20"/>
                <w:color w:val="auto"/>
              </w:rPr>
            </w:pPr>
            <w:r>
              <w:rPr>
                <w:rFonts w:ascii="Arial" w:cs="Arial" w:eastAsia="Arial" w:hAnsi="Arial"/>
                <w:sz w:val="13"/>
                <w:szCs w:val="13"/>
                <w:b w:val="1"/>
                <w:bCs w:val="1"/>
                <w:color w:val="auto"/>
                <w:w w:val="91"/>
              </w:rPr>
              <w:t>that have</w:t>
            </w:r>
          </w:p>
        </w:tc>
        <w:tc>
          <w:tcPr>
            <w:tcW w:w="86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7"/>
              </w:rPr>
              <w:t>that have</w:t>
            </w:r>
          </w:p>
        </w:tc>
      </w:tr>
      <w:tr>
        <w:trPr>
          <w:trHeight w:val="17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exercisable</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unexercisable</w:t>
            </w:r>
          </w:p>
        </w:tc>
        <w:tc>
          <w:tcPr>
            <w:tcW w:w="1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options</w:t>
            </w: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price</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expiration</w:t>
            </w: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not vested</w:t>
            </w:r>
          </w:p>
        </w:tc>
        <w:tc>
          <w:tcPr>
            <w:tcW w:w="860" w:type="dxa"/>
            <w:vAlign w:val="bottom"/>
            <w:gridSpan w:val="2"/>
          </w:tcPr>
          <w:p>
            <w:pPr>
              <w:jc w:val="center"/>
              <w:ind w:right="120"/>
              <w:spacing w:after="0" w:line="171" w:lineRule="exact"/>
              <w:rPr>
                <w:sz w:val="20"/>
                <w:szCs w:val="20"/>
                <w:color w:val="auto"/>
              </w:rPr>
            </w:pPr>
            <w:r>
              <w:rPr>
                <w:rFonts w:ascii="Arial" w:cs="Arial" w:eastAsia="Arial" w:hAnsi="Arial"/>
                <w:sz w:val="13"/>
                <w:szCs w:val="13"/>
                <w:b w:val="1"/>
                <w:bCs w:val="1"/>
                <w:color w:val="auto"/>
                <w:w w:val="81"/>
              </w:rPr>
              <w:t>not vested</w:t>
            </w:r>
            <w:r>
              <w:rPr>
                <w:rFonts w:ascii="Arial" w:cs="Arial" w:eastAsia="Arial" w:hAnsi="Arial"/>
                <w:sz w:val="19"/>
                <w:szCs w:val="19"/>
                <w:b w:val="1"/>
                <w:bCs w:val="1"/>
                <w:color w:val="auto"/>
                <w:w w:val="81"/>
                <w:vertAlign w:val="superscript"/>
              </w:rPr>
              <w:t>(1)</w:t>
            </w:r>
          </w:p>
        </w:tc>
      </w:tr>
      <w:tr>
        <w:trPr>
          <w:trHeight w:val="174"/>
        </w:trPr>
        <w:tc>
          <w:tcPr>
            <w:tcW w:w="1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Grant</w:t>
            </w:r>
          </w:p>
        </w:tc>
        <w:tc>
          <w:tcPr>
            <w:tcW w:w="240" w:type="dxa"/>
            <w:vAlign w:val="bottom"/>
            <w:gridSpan w:val="2"/>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date</w:t>
            </w:r>
          </w:p>
        </w:tc>
        <w:tc>
          <w:tcPr>
            <w:tcW w:w="2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3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r>
      <w:tr>
        <w:trPr>
          <w:trHeight w:val="203"/>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Lee Olesky</w:t>
            </w:r>
          </w:p>
        </w:tc>
        <w:tc>
          <w:tcPr>
            <w:tcW w:w="120" w:type="dxa"/>
            <w:vAlign w:val="bottom"/>
            <w:shd w:val="clear" w:color="auto" w:fill="CCEEFF"/>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203" w:lineRule="exact"/>
              <w:rPr>
                <w:sz w:val="20"/>
                <w:szCs w:val="20"/>
                <w:color w:val="auto"/>
              </w:rPr>
            </w:pPr>
            <w:r>
              <w:rPr>
                <w:rFonts w:ascii="Arial" w:cs="Arial" w:eastAsia="Arial" w:hAnsi="Arial"/>
                <w:sz w:val="14"/>
                <w:szCs w:val="14"/>
                <w:color w:val="auto"/>
              </w:rPr>
              <w:t>115.12</w:t>
            </w:r>
            <w:r>
              <w:rPr>
                <w:rFonts w:ascii="Arial" w:cs="Arial" w:eastAsia="Arial" w:hAnsi="Arial"/>
                <w:sz w:val="21"/>
                <w:szCs w:val="21"/>
                <w:color w:val="auto"/>
                <w:vertAlign w:val="superscript"/>
              </w:rPr>
              <w:t>(2)</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98"/>
              </w:rPr>
              <w:t>3,633,684</w:t>
            </w:r>
            <w:r>
              <w:rPr>
                <w:rFonts w:ascii="Arial" w:cs="Arial" w:eastAsia="Arial" w:hAnsi="Arial"/>
                <w:sz w:val="21"/>
                <w:szCs w:val="21"/>
                <w:color w:val="auto"/>
                <w:w w:val="98"/>
                <w:vertAlign w:val="superscript"/>
              </w:rPr>
              <w:t>(3)</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left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203" w:lineRule="exact"/>
              <w:rPr>
                <w:sz w:val="20"/>
                <w:szCs w:val="20"/>
                <w:color w:val="auto"/>
              </w:rPr>
            </w:pPr>
            <w:r>
              <w:rPr>
                <w:rFonts w:ascii="Arial" w:cs="Arial" w:eastAsia="Arial" w:hAnsi="Arial"/>
                <w:sz w:val="14"/>
                <w:szCs w:val="14"/>
                <w:color w:val="auto"/>
                <w:w w:val="97"/>
              </w:rPr>
              <w:t>137.686</w:t>
            </w:r>
            <w:r>
              <w:rPr>
                <w:rFonts w:ascii="Arial" w:cs="Arial" w:eastAsia="Arial" w:hAnsi="Arial"/>
                <w:sz w:val="21"/>
                <w:szCs w:val="21"/>
                <w:color w:val="auto"/>
                <w:w w:val="97"/>
                <w:vertAlign w:val="superscript"/>
              </w:rPr>
              <w:t>(4)</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98"/>
              </w:rPr>
              <w:t>4,345,807</w:t>
            </w:r>
            <w:r>
              <w:rPr>
                <w:rFonts w:ascii="Arial" w:cs="Arial" w:eastAsia="Arial" w:hAnsi="Arial"/>
                <w:sz w:val="21"/>
                <w:szCs w:val="21"/>
                <w:color w:val="auto"/>
                <w:w w:val="98"/>
                <w:vertAlign w:val="superscript"/>
              </w:rPr>
              <w:t>(5)</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left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2,434.72835</w:t>
            </w: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2,434.72835</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28,594.39</w:t>
            </w:r>
          </w:p>
        </w:tc>
        <w:tc>
          <w:tcPr>
            <w:tcW w:w="860" w:type="dxa"/>
            <w:vAlign w:val="bottom"/>
            <w:gridSpan w:val="2"/>
          </w:tcPr>
          <w:p>
            <w:pPr>
              <w:jc w:val="right"/>
              <w:ind w:right="160"/>
              <w:spacing w:after="0" w:line="203" w:lineRule="exact"/>
              <w:rPr>
                <w:sz w:val="20"/>
                <w:szCs w:val="20"/>
                <w:color w:val="auto"/>
              </w:rPr>
            </w:pPr>
            <w:r>
              <w:rPr>
                <w:rFonts w:ascii="Arial" w:cs="Arial" w:eastAsia="Arial" w:hAnsi="Arial"/>
                <w:sz w:val="14"/>
                <w:szCs w:val="14"/>
                <w:color w:val="auto"/>
                <w:w w:val="94"/>
              </w:rPr>
              <w:t>10/26/28</w:t>
            </w:r>
            <w:r>
              <w:rPr>
                <w:rFonts w:ascii="Arial" w:cs="Arial" w:eastAsia="Arial" w:hAnsi="Arial"/>
                <w:sz w:val="21"/>
                <w:szCs w:val="21"/>
                <w:color w:val="auto"/>
                <w:w w:val="94"/>
                <w:vertAlign w:val="superscript"/>
              </w:rPr>
              <w:t>(6)</w:t>
            </w:r>
          </w:p>
        </w:tc>
        <w:tc>
          <w:tcPr>
            <w:tcW w:w="920" w:type="dxa"/>
            <w:vAlign w:val="bottom"/>
            <w:gridSpan w:val="2"/>
          </w:tcPr>
          <w:p>
            <w:pPr>
              <w:jc w:val="right"/>
              <w:ind w:right="240"/>
              <w:spacing w:after="0" w:line="203" w:lineRule="exact"/>
              <w:rPr>
                <w:sz w:val="20"/>
                <w:szCs w:val="20"/>
                <w:color w:val="auto"/>
              </w:rPr>
            </w:pPr>
            <w:r>
              <w:rPr>
                <w:rFonts w:ascii="Arial" w:cs="Arial" w:eastAsia="Arial" w:hAnsi="Arial"/>
                <w:sz w:val="14"/>
                <w:szCs w:val="14"/>
                <w:color w:val="auto"/>
              </w:rPr>
              <w:t>149.55</w:t>
            </w:r>
            <w:r>
              <w:rPr>
                <w:rFonts w:ascii="Arial" w:cs="Arial" w:eastAsia="Arial" w:hAnsi="Arial"/>
                <w:sz w:val="21"/>
                <w:szCs w:val="21"/>
                <w:color w:val="auto"/>
                <w:vertAlign w:val="superscript"/>
              </w:rPr>
              <w:t>(7)</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98"/>
              </w:rPr>
              <w:t>4,720,277</w:t>
            </w:r>
            <w:r>
              <w:rPr>
                <w:rFonts w:ascii="Arial" w:cs="Arial" w:eastAsia="Arial" w:hAnsi="Arial"/>
                <w:sz w:val="21"/>
                <w:szCs w:val="21"/>
                <w:color w:val="auto"/>
                <w:w w:val="98"/>
                <w:vertAlign w:val="superscript"/>
              </w:rPr>
              <w:t>(8)</w:t>
            </w:r>
          </w:p>
        </w:tc>
      </w:tr>
      <w:tr>
        <w:trPr>
          <w:trHeight w:val="314"/>
        </w:trPr>
        <w:tc>
          <w:tcPr>
            <w:tcW w:w="1280" w:type="dxa"/>
            <w:vAlign w:val="bottom"/>
            <w:gridSpan w:val="2"/>
          </w:tcPr>
          <w:p>
            <w:pPr>
              <w:spacing w:after="0"/>
              <w:rPr>
                <w:sz w:val="20"/>
                <w:szCs w:val="20"/>
                <w:color w:val="auto"/>
              </w:rPr>
            </w:pPr>
            <w:r>
              <w:rPr>
                <w:rFonts w:ascii="Arial" w:cs="Arial" w:eastAsia="Arial" w:hAnsi="Arial"/>
                <w:sz w:val="14"/>
                <w:szCs w:val="14"/>
                <w:color w:val="auto"/>
              </w:rPr>
              <w:t>William Hult</w:t>
            </w: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95.933</w:t>
            </w:r>
            <w:r>
              <w:rPr>
                <w:rFonts w:ascii="Arial" w:cs="Arial" w:eastAsia="Arial" w:hAnsi="Arial"/>
                <w:sz w:val="21"/>
                <w:szCs w:val="21"/>
                <w:color w:val="auto"/>
                <w:vertAlign w:val="superscript"/>
              </w:rPr>
              <w:t>(2)</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3,028,069</w:t>
            </w:r>
            <w:r>
              <w:rPr>
                <w:rFonts w:ascii="Arial" w:cs="Arial" w:eastAsia="Arial" w:hAnsi="Arial"/>
                <w:sz w:val="21"/>
                <w:szCs w:val="21"/>
                <w:color w:val="auto"/>
                <w:w w:val="98"/>
                <w:vertAlign w:val="superscript"/>
              </w:rPr>
              <w:t>(9)</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203" w:lineRule="exact"/>
              <w:rPr>
                <w:sz w:val="20"/>
                <w:szCs w:val="20"/>
                <w:color w:val="auto"/>
              </w:rPr>
            </w:pPr>
            <w:r>
              <w:rPr>
                <w:rFonts w:ascii="Arial" w:cs="Arial" w:eastAsia="Arial" w:hAnsi="Arial"/>
                <w:sz w:val="14"/>
                <w:szCs w:val="14"/>
                <w:color w:val="auto"/>
                <w:w w:val="97"/>
              </w:rPr>
              <w:t>114.738</w:t>
            </w:r>
            <w:r>
              <w:rPr>
                <w:rFonts w:ascii="Arial" w:cs="Arial" w:eastAsia="Arial" w:hAnsi="Arial"/>
                <w:sz w:val="21"/>
                <w:szCs w:val="21"/>
                <w:color w:val="auto"/>
                <w:w w:val="97"/>
                <w:vertAlign w:val="superscript"/>
              </w:rPr>
              <w:t>(4)</w:t>
            </w:r>
          </w:p>
        </w:tc>
        <w:tc>
          <w:tcPr>
            <w:tcW w:w="860" w:type="dxa"/>
            <w:vAlign w:val="bottom"/>
            <w:gridSpan w:val="2"/>
          </w:tcPr>
          <w:p>
            <w:pPr>
              <w:jc w:val="right"/>
              <w:spacing w:after="0" w:line="203" w:lineRule="exact"/>
              <w:rPr>
                <w:sz w:val="20"/>
                <w:szCs w:val="20"/>
                <w:color w:val="auto"/>
              </w:rPr>
            </w:pPr>
            <w:r>
              <w:rPr>
                <w:rFonts w:ascii="Arial" w:cs="Arial" w:eastAsia="Arial" w:hAnsi="Arial"/>
                <w:sz w:val="14"/>
                <w:szCs w:val="14"/>
                <w:color w:val="auto"/>
                <w:w w:val="96"/>
              </w:rPr>
              <w:t>3,621,508</w:t>
            </w:r>
            <w:r>
              <w:rPr>
                <w:rFonts w:ascii="Arial" w:cs="Arial" w:eastAsia="Arial" w:hAnsi="Arial"/>
                <w:sz w:val="21"/>
                <w:szCs w:val="21"/>
                <w:color w:val="auto"/>
                <w:w w:val="96"/>
                <w:vertAlign w:val="superscript"/>
              </w:rPr>
              <w:t>(10)</w:t>
            </w:r>
          </w:p>
        </w:tc>
      </w:tr>
      <w:tr>
        <w:trPr>
          <w:trHeight w:val="199"/>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1,304.31875</w:t>
            </w: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1,304.31875</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28,594.39</w:t>
            </w:r>
          </w:p>
        </w:tc>
        <w:tc>
          <w:tcPr>
            <w:tcW w:w="860" w:type="dxa"/>
            <w:vAlign w:val="bottom"/>
            <w:gridSpan w:val="2"/>
          </w:tcPr>
          <w:p>
            <w:pPr>
              <w:jc w:val="right"/>
              <w:ind w:right="160"/>
              <w:spacing w:after="0" w:line="199" w:lineRule="exact"/>
              <w:rPr>
                <w:sz w:val="20"/>
                <w:szCs w:val="20"/>
                <w:color w:val="auto"/>
              </w:rPr>
            </w:pPr>
            <w:r>
              <w:rPr>
                <w:rFonts w:ascii="Arial" w:cs="Arial" w:eastAsia="Arial" w:hAnsi="Arial"/>
                <w:sz w:val="14"/>
                <w:szCs w:val="14"/>
                <w:color w:val="auto"/>
                <w:w w:val="94"/>
              </w:rPr>
              <w:t>10/26/28</w:t>
            </w:r>
            <w:r>
              <w:rPr>
                <w:rFonts w:ascii="Arial" w:cs="Arial" w:eastAsia="Arial" w:hAnsi="Arial"/>
                <w:sz w:val="21"/>
                <w:szCs w:val="21"/>
                <w:color w:val="auto"/>
                <w:w w:val="94"/>
                <w:vertAlign w:val="superscript"/>
              </w:rPr>
              <w:t>(6)</w:t>
            </w:r>
          </w:p>
        </w:tc>
        <w:tc>
          <w:tcPr>
            <w:tcW w:w="920" w:type="dxa"/>
            <w:vAlign w:val="bottom"/>
            <w:gridSpan w:val="2"/>
          </w:tcPr>
          <w:p>
            <w:pPr>
              <w:jc w:val="right"/>
              <w:ind w:right="240"/>
              <w:spacing w:after="0" w:line="199" w:lineRule="exact"/>
              <w:rPr>
                <w:sz w:val="20"/>
                <w:szCs w:val="20"/>
                <w:color w:val="auto"/>
              </w:rPr>
            </w:pPr>
            <w:r>
              <w:rPr>
                <w:rFonts w:ascii="Arial" w:cs="Arial" w:eastAsia="Arial" w:hAnsi="Arial"/>
                <w:sz w:val="14"/>
                <w:szCs w:val="14"/>
                <w:color w:val="auto"/>
                <w:w w:val="97"/>
              </w:rPr>
              <w:t>124.688</w:t>
            </w:r>
            <w:r>
              <w:rPr>
                <w:rFonts w:ascii="Arial" w:cs="Arial" w:eastAsia="Arial" w:hAnsi="Arial"/>
                <w:sz w:val="21"/>
                <w:szCs w:val="21"/>
                <w:color w:val="auto"/>
                <w:w w:val="97"/>
                <w:vertAlign w:val="superscript"/>
              </w:rPr>
              <w:t>(7)</w:t>
            </w:r>
          </w:p>
        </w:tc>
        <w:tc>
          <w:tcPr>
            <w:tcW w:w="860" w:type="dxa"/>
            <w:vAlign w:val="bottom"/>
            <w:gridSpan w:val="2"/>
          </w:tcPr>
          <w:p>
            <w:pPr>
              <w:jc w:val="right"/>
              <w:spacing w:after="0" w:line="199" w:lineRule="exact"/>
              <w:rPr>
                <w:sz w:val="20"/>
                <w:szCs w:val="20"/>
                <w:color w:val="auto"/>
              </w:rPr>
            </w:pPr>
            <w:r>
              <w:rPr>
                <w:rFonts w:ascii="Arial" w:cs="Arial" w:eastAsia="Arial" w:hAnsi="Arial"/>
                <w:sz w:val="14"/>
                <w:szCs w:val="14"/>
                <w:color w:val="auto"/>
                <w:w w:val="96"/>
              </w:rPr>
              <w:t>3,935,537</w:t>
            </w:r>
            <w:r>
              <w:rPr>
                <w:rFonts w:ascii="Arial" w:cs="Arial" w:eastAsia="Arial" w:hAnsi="Arial"/>
                <w:sz w:val="21"/>
                <w:szCs w:val="21"/>
                <w:color w:val="auto"/>
                <w:w w:val="96"/>
                <w:vertAlign w:val="superscript"/>
              </w:rPr>
              <w:t>(11)</w:t>
            </w:r>
          </w:p>
        </w:tc>
      </w:tr>
      <w:tr>
        <w:trPr>
          <w:trHeight w:val="311"/>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Spencer</w:t>
            </w:r>
          </w:p>
        </w:tc>
        <w:tc>
          <w:tcPr>
            <w:tcW w:w="120" w:type="dxa"/>
            <w:vAlign w:val="bottom"/>
            <w:shd w:val="clear" w:color="auto" w:fill="CCEEFF"/>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22.573</w:t>
            </w:r>
            <w:r>
              <w:rPr>
                <w:rFonts w:ascii="Arial" w:cs="Arial" w:eastAsia="Arial" w:hAnsi="Arial"/>
                <w:sz w:val="21"/>
                <w:szCs w:val="21"/>
                <w:color w:val="auto"/>
                <w:vertAlign w:val="superscript"/>
              </w:rPr>
              <w:t>(2)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712,486</w:t>
            </w:r>
            <w:r>
              <w:rPr>
                <w:rFonts w:ascii="Arial" w:cs="Arial" w:eastAsia="Arial" w:hAnsi="Arial"/>
                <w:sz w:val="21"/>
                <w:szCs w:val="21"/>
                <w:color w:val="auto"/>
                <w:vertAlign w:val="superscript"/>
              </w:rPr>
              <w:t>(12)</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left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203" w:lineRule="exact"/>
              <w:rPr>
                <w:sz w:val="20"/>
                <w:szCs w:val="20"/>
                <w:color w:val="auto"/>
              </w:rPr>
            </w:pPr>
            <w:r>
              <w:rPr>
                <w:rFonts w:ascii="Arial" w:cs="Arial" w:eastAsia="Arial" w:hAnsi="Arial"/>
                <w:sz w:val="14"/>
                <w:szCs w:val="14"/>
                <w:color w:val="auto"/>
              </w:rPr>
              <w:t>25.712</w:t>
            </w:r>
            <w:r>
              <w:rPr>
                <w:rFonts w:ascii="Arial" w:cs="Arial" w:eastAsia="Arial" w:hAnsi="Arial"/>
                <w:sz w:val="21"/>
                <w:szCs w:val="21"/>
                <w:color w:val="auto"/>
                <w:vertAlign w:val="superscript"/>
              </w:rPr>
              <w:t>(4)</w:t>
            </w:r>
          </w:p>
        </w:tc>
        <w:tc>
          <w:tcPr>
            <w:tcW w:w="860" w:type="dxa"/>
            <w:vAlign w:val="bottom"/>
            <w:gridSpan w:val="2"/>
          </w:tcPr>
          <w:p>
            <w:pPr>
              <w:jc w:val="right"/>
              <w:spacing w:after="0" w:line="203" w:lineRule="exact"/>
              <w:rPr>
                <w:sz w:val="20"/>
                <w:szCs w:val="20"/>
                <w:color w:val="auto"/>
              </w:rPr>
            </w:pPr>
            <w:r>
              <w:rPr>
                <w:rFonts w:ascii="Arial" w:cs="Arial" w:eastAsia="Arial" w:hAnsi="Arial"/>
                <w:sz w:val="14"/>
                <w:szCs w:val="14"/>
                <w:color w:val="auto"/>
              </w:rPr>
              <w:t>811,541</w:t>
            </w:r>
            <w:r>
              <w:rPr>
                <w:rFonts w:ascii="Arial" w:cs="Arial" w:eastAsia="Arial" w:hAnsi="Arial"/>
                <w:sz w:val="21"/>
                <w:szCs w:val="21"/>
                <w:color w:val="auto"/>
                <w:vertAlign w:val="superscript"/>
              </w:rPr>
              <w:t>(13)</w:t>
            </w:r>
          </w:p>
        </w:tc>
      </w:tr>
      <w:tr>
        <w:trPr>
          <w:trHeight w:val="270"/>
        </w:trPr>
        <w:tc>
          <w:tcPr>
            <w:tcW w:w="1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left w:val="single" w:sz="8" w:color="CCEEFF"/>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23"/>
                <w:szCs w:val="2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243.47285</w:t>
            </w: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243.47285</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28,594.39</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10/26/28</w:t>
            </w:r>
            <w:r>
              <w:rPr>
                <w:rFonts w:ascii="Arial" w:cs="Arial" w:eastAsia="Arial" w:hAnsi="Arial"/>
                <w:sz w:val="21"/>
                <w:szCs w:val="21"/>
                <w:color w:val="auto"/>
                <w:w w:val="94"/>
                <w:vertAlign w:val="superscript"/>
              </w:rPr>
              <w:t>(6)</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22.797</w:t>
            </w:r>
            <w:r>
              <w:rPr>
                <w:rFonts w:ascii="Arial" w:cs="Arial" w:eastAsia="Arial" w:hAnsi="Arial"/>
                <w:sz w:val="21"/>
                <w:szCs w:val="21"/>
                <w:color w:val="auto"/>
                <w:vertAlign w:val="superscript"/>
              </w:rPr>
              <w:t>(7)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719,546</w:t>
            </w:r>
            <w:r>
              <w:rPr>
                <w:rFonts w:ascii="Arial" w:cs="Arial" w:eastAsia="Arial" w:hAnsi="Arial"/>
                <w:sz w:val="21"/>
                <w:szCs w:val="21"/>
                <w:color w:val="auto"/>
                <w:vertAlign w:val="superscript"/>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-1354455</wp:posOffset>
            </wp:positionV>
            <wp:extent cx="4485005" cy="13550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485005" cy="1355090"/>
                    </a:xfrm>
                    <a:prstGeom prst="rect">
                      <a:avLst/>
                    </a:prstGeom>
                    <a:noFill/>
                  </pic:spPr>
                </pic:pic>
              </a:graphicData>
            </a:graphic>
          </wp:anchor>
        </w:drawing>
      </w:r>
    </w:p>
    <w:p>
      <w:pPr>
        <w:spacing w:after="0" w:line="141" w:lineRule="exact"/>
        <w:rPr>
          <w:sz w:val="20"/>
          <w:szCs w:val="20"/>
          <w:color w:val="auto"/>
        </w:rPr>
      </w:pPr>
    </w:p>
    <w:p>
      <w:pPr>
        <w:ind w:left="1620" w:hanging="352"/>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the Company’s December 31, 2018 valuation.</w:t>
      </w:r>
    </w:p>
    <w:p>
      <w:pPr>
        <w:spacing w:after="0" w:line="144" w:lineRule="exact"/>
        <w:rPr>
          <w:rFonts w:ascii="Arial" w:cs="Arial" w:eastAsia="Arial" w:hAnsi="Arial"/>
          <w:sz w:val="18"/>
          <w:szCs w:val="18"/>
          <w:color w:val="auto"/>
        </w:rPr>
      </w:pPr>
    </w:p>
    <w:p>
      <w:pPr>
        <w:ind w:left="1620" w:hanging="352"/>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PRSUs which vested in full on January 1, 2019.</w:t>
      </w:r>
    </w:p>
    <w:p>
      <w:pPr>
        <w:spacing w:after="0" w:line="144" w:lineRule="exact"/>
        <w:rPr>
          <w:rFonts w:ascii="Arial" w:cs="Arial" w:eastAsia="Arial" w:hAnsi="Arial"/>
          <w:sz w:val="18"/>
          <w:szCs w:val="18"/>
          <w:color w:val="auto"/>
        </w:rPr>
      </w:pPr>
    </w:p>
    <w:p>
      <w:pPr>
        <w:ind w:left="1620" w:right="899" w:hanging="352"/>
        <w:spacing w:after="0" w:line="277"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$341,228 in respect of this grant of PRSUs, to be paid at the time the award itself settles.</w:t>
      </w:r>
    </w:p>
    <w:p>
      <w:pPr>
        <w:spacing w:after="0" w:line="102" w:lineRule="exact"/>
        <w:rPr>
          <w:rFonts w:ascii="Arial" w:cs="Arial" w:eastAsia="Arial" w:hAnsi="Arial"/>
          <w:sz w:val="18"/>
          <w:szCs w:val="18"/>
          <w:color w:val="auto"/>
        </w:rPr>
      </w:pPr>
    </w:p>
    <w:p>
      <w:pPr>
        <w:ind w:left="1620" w:hanging="352"/>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2020, subject to continued employment.</w:t>
      </w:r>
    </w:p>
    <w:p>
      <w:pPr>
        <w:spacing w:after="0" w:line="144" w:lineRule="exact"/>
        <w:rPr>
          <w:rFonts w:ascii="Arial" w:cs="Arial" w:eastAsia="Arial" w:hAnsi="Arial"/>
          <w:sz w:val="18"/>
          <w:szCs w:val="18"/>
          <w:color w:val="auto"/>
        </w:rPr>
      </w:pPr>
    </w:p>
    <w:p>
      <w:pPr>
        <w:ind w:left="1620" w:right="899" w:hanging="352"/>
        <w:spacing w:after="0" w:line="277"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$290,380 in respect of this grant of PRSUs, to be paid at the time the award itself settles.</w:t>
      </w:r>
    </w:p>
    <w:p>
      <w:pPr>
        <w:spacing w:after="0" w:line="89" w:lineRule="exact"/>
        <w:rPr>
          <w:rFonts w:ascii="Arial" w:cs="Arial" w:eastAsia="Arial" w:hAnsi="Arial"/>
          <w:sz w:val="18"/>
          <w:szCs w:val="18"/>
          <w:color w:val="auto"/>
        </w:rPr>
      </w:pPr>
    </w:p>
    <w:p>
      <w:pPr>
        <w:ind w:left="1620" w:right="819" w:hanging="352"/>
        <w:spacing w:after="0" w:line="291" w:lineRule="auto"/>
        <w:tabs>
          <w:tab w:leader="none" w:pos="16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NEO received a grant of options on October 26, 2018, which vest as follows: (i) 50% vests based over time on continued employment, vesting 25% on January 1, 2019 and 25% on each anniversary thereafter until January 2022, with accelerated vesting for the tranches scheduled to vest on January 1, 2021 and January 1, 2022 upon the effectiveness of this offering and (ii) 50% vests based on satisfying certain performance conditions, including achievement of EBITDA and revenue targets, for calendar years 2018, 2019, 2020 and 2021, as further described above under “—Narrative Disclosure to Summary Compensation Table—Amended and Restated Tradeweb Markets Inc. 2018 Share Option Plan—Vesting.”</w:t>
      </w:r>
    </w:p>
    <w:p>
      <w:pPr>
        <w:spacing w:after="0" w:line="86" w:lineRule="exact"/>
        <w:rPr>
          <w:rFonts w:ascii="Arial" w:cs="Arial" w:eastAsia="Arial" w:hAnsi="Arial"/>
          <w:sz w:val="16"/>
          <w:szCs w:val="16"/>
          <w:color w:val="auto"/>
        </w:rPr>
      </w:pPr>
    </w:p>
    <w:p>
      <w:pPr>
        <w:ind w:left="1620" w:hanging="352"/>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2021, subject to continued employment.</w:t>
      </w:r>
    </w:p>
    <w:p>
      <w:pPr>
        <w:spacing w:after="0" w:line="144" w:lineRule="exact"/>
        <w:rPr>
          <w:rFonts w:ascii="Arial" w:cs="Arial" w:eastAsia="Arial" w:hAnsi="Arial"/>
          <w:sz w:val="18"/>
          <w:szCs w:val="18"/>
          <w:color w:val="auto"/>
        </w:rPr>
      </w:pPr>
    </w:p>
    <w:p>
      <w:pPr>
        <w:ind w:left="1620" w:right="899" w:hanging="352"/>
        <w:spacing w:after="0" w:line="277"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$167,047 in respect of this grant of PRSUs, to be paid at the time the award itself settles.</w:t>
      </w:r>
    </w:p>
    <w:p>
      <w:pPr>
        <w:spacing w:after="0" w:line="89" w:lineRule="exact"/>
        <w:rPr>
          <w:rFonts w:ascii="Arial" w:cs="Arial" w:eastAsia="Arial" w:hAnsi="Arial"/>
          <w:sz w:val="18"/>
          <w:szCs w:val="18"/>
          <w:color w:val="auto"/>
        </w:rPr>
      </w:pPr>
    </w:p>
    <w:p>
      <w:pPr>
        <w:ind w:left="1620" w:right="879" w:hanging="352"/>
        <w:spacing w:after="0" w:line="277"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$284,356 in respect of this grant of PRSUs, to be paid at the time the award itself settles.</w:t>
      </w:r>
    </w:p>
    <w:p>
      <w:pPr>
        <w:spacing w:after="0" w:line="89" w:lineRule="exact"/>
        <w:rPr>
          <w:rFonts w:ascii="Arial" w:cs="Arial" w:eastAsia="Arial" w:hAnsi="Arial"/>
          <w:sz w:val="18"/>
          <w:szCs w:val="18"/>
          <w:color w:val="auto"/>
        </w:rPr>
      </w:pPr>
    </w:p>
    <w:p>
      <w:pPr>
        <w:ind w:left="1620" w:right="879" w:hanging="352"/>
        <w:spacing w:after="0" w:line="277"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$241,983 in respect of this grant of PRSUs, to be paid at the time the award itself settles.</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right="879" w:hanging="352"/>
        <w:spacing w:after="0" w:line="277" w:lineRule="auto"/>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$139,276 in respect of this grant of PRSUs, to be paid at the time the award itself settles.</w:t>
      </w:r>
    </w:p>
    <w:p>
      <w:pPr>
        <w:spacing w:after="0" w:line="129" w:lineRule="exact"/>
        <w:rPr>
          <w:rFonts w:ascii="Arial" w:cs="Arial" w:eastAsia="Arial" w:hAnsi="Arial"/>
          <w:sz w:val="18"/>
          <w:szCs w:val="18"/>
          <w:color w:val="auto"/>
        </w:rPr>
      </w:pPr>
    </w:p>
    <w:p>
      <w:pPr>
        <w:ind w:left="1620" w:right="919" w:hanging="352"/>
        <w:spacing w:after="0" w:line="277" w:lineRule="auto"/>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$66,907 in respect of this grant of PRSUs, to be paid at the time the award itself settles.</w:t>
      </w:r>
    </w:p>
    <w:p>
      <w:pPr>
        <w:spacing w:after="0" w:line="129" w:lineRule="exact"/>
        <w:rPr>
          <w:rFonts w:ascii="Arial" w:cs="Arial" w:eastAsia="Arial" w:hAnsi="Arial"/>
          <w:sz w:val="18"/>
          <w:szCs w:val="18"/>
          <w:color w:val="auto"/>
        </w:rPr>
      </w:pPr>
    </w:p>
    <w:p>
      <w:pPr>
        <w:ind w:left="1620" w:right="919" w:hanging="352"/>
        <w:spacing w:after="0" w:line="277" w:lineRule="auto"/>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$54,226 in respect of this grant of PRSUs, to be paid at the time the award itself settles.</w:t>
      </w:r>
    </w:p>
    <w:p>
      <w:pPr>
        <w:spacing w:after="0" w:line="143" w:lineRule="exact"/>
        <w:rPr>
          <w:rFonts w:ascii="Arial" w:cs="Arial" w:eastAsia="Arial" w:hAnsi="Arial"/>
          <w:sz w:val="18"/>
          <w:szCs w:val="18"/>
          <w:color w:val="auto"/>
        </w:rPr>
      </w:pPr>
    </w:p>
    <w:p>
      <w:pPr>
        <w:ind w:left="1620" w:right="919" w:hanging="352"/>
        <w:spacing w:after="0" w:line="277" w:lineRule="auto"/>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$25,464 in respect of this grant of PRSUs, to be paid at the time the award itself settles.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Narrative Disclosures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Retirement Benefit Programs</w:t>
      </w:r>
    </w:p>
    <w:p>
      <w:pPr>
        <w:spacing w:after="0" w:line="104" w:lineRule="exact"/>
        <w:rPr>
          <w:sz w:val="20"/>
          <w:szCs w:val="20"/>
          <w:color w:val="auto"/>
        </w:rPr>
      </w:pPr>
    </w:p>
    <w:p>
      <w:pPr>
        <w:ind w:left="1260" w:right="979" w:firstLine="360"/>
        <w:spacing w:after="0" w:line="264" w:lineRule="auto"/>
        <w:rPr>
          <w:sz w:val="20"/>
          <w:szCs w:val="20"/>
          <w:color w:val="auto"/>
        </w:rPr>
      </w:pPr>
      <w:r>
        <w:rPr>
          <w:rFonts w:ascii="Arial" w:cs="Arial" w:eastAsia="Arial" w:hAnsi="Arial"/>
          <w:sz w:val="18"/>
          <w:szCs w:val="18"/>
          <w:color w:val="auto"/>
        </w:rPr>
        <w:t>The Company maintains a tax-qualified defined contribution plan (the “401(k) Plan”) that provides retirement benefits to employees, including matching contributions. The NEOs are eligible to participate in the 401(k) Plan on the same terms as other participating employees.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Severance under Employment Agreements</w:t>
      </w:r>
    </w:p>
    <w:p>
      <w:pPr>
        <w:spacing w:after="0" w:line="104"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Pursuant to the terms of the Employment Agreements, each of Messrs. Olesky and Hult are entitled to receive certain payments in connection with certain termination events.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event that (i) Mr. Olesky or Mr. Hult is terminated by TWM LLC without Cause (as defined below),</w:t>
      </w:r>
    </w:p>
    <w:p>
      <w:pPr>
        <w:spacing w:after="0" w:line="35" w:lineRule="exact"/>
        <w:rPr>
          <w:sz w:val="20"/>
          <w:szCs w:val="20"/>
          <w:color w:val="auto"/>
        </w:rPr>
      </w:pPr>
    </w:p>
    <w:p>
      <w:pPr>
        <w:ind w:left="1260" w:right="879" w:firstLine="8"/>
        <w:spacing w:after="0" w:line="284" w:lineRule="auto"/>
        <w:tabs>
          <w:tab w:leader="none" w:pos="152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Mr. Olesky or Mr. Hult resigns for Good Reason (as defined below), or (iii) TMW LLC elects not to renew Mr. Olesky’s or Mr. Hult’s Employment Agreement prior to its expiration or any subsequent renewal term and Mr. Olesky or Mr. Hult’s Employment Agreement and Mr. Olesky’s or Mr. Hult’s employment is terminated, each of Mr. Olesky and Mr. Hult are entitled to (A) continuation of their base salary for eighteen (18) months following termination, (B) the average annual bonus earned by the executive for the two calendar years ending immediately prior to the year of termination, payable in equal installments over eighteen (18) months, (C) a pro rata bonus for the year of termination based on actual TWM LLC performance for the year of termination, payable at the time when bonuses are otherwise paid, (D) (x) for Mr. Olesky, continuation of healthcare benefits provided by TWM LLC generally to its active senior executive officers, including employee contributions, until the Mr. Olesky reaches age 65, or, if not permitted by applicable law, private health insurance on substantially similar terms and conditions, and (y) for Mr. Hult, continuation of the healthcare benefits for eighteen (18) months, and (E) any earned but unpaid base salary, accrued vacation pay and unreimbursed business expenses and other benefits payable in accordance with TWM LLC policies. Payment of the severance benefits described above is subject to each of Mr. Olesky’s and Mr. Hult’s continued compliance with the restrictive covenants included in the applicable Employment Agreement, and their execution of a release of claims.</w:t>
      </w:r>
    </w:p>
    <w:p>
      <w:pPr>
        <w:spacing w:after="0" w:line="69" w:lineRule="exact"/>
        <w:rPr>
          <w:sz w:val="20"/>
          <w:szCs w:val="20"/>
          <w:color w:val="auto"/>
        </w:rPr>
      </w:pPr>
    </w:p>
    <w:p>
      <w:pPr>
        <w:jc w:val="both"/>
        <w:ind w:left="1260" w:right="1539" w:firstLine="360"/>
        <w:spacing w:after="0" w:line="264" w:lineRule="auto"/>
        <w:rPr>
          <w:sz w:val="20"/>
          <w:szCs w:val="20"/>
          <w:color w:val="auto"/>
        </w:rPr>
      </w:pPr>
      <w:r>
        <w:rPr>
          <w:rFonts w:ascii="Arial" w:cs="Arial" w:eastAsia="Arial" w:hAnsi="Arial"/>
          <w:sz w:val="18"/>
          <w:szCs w:val="18"/>
          <w:color w:val="auto"/>
        </w:rPr>
        <w:t>In the event that Mr. Olesky’s employment ends by reason of his retirement, he will be entitled to continuation of healthcare benefits generally provided to senior executive officers, including employee contributions, until Mr. Olesky reaches age 65.</w:t>
      </w:r>
    </w:p>
    <w:p>
      <w:pPr>
        <w:spacing w:after="0" w:line="73"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For purposes of the Employment Agreements, “Cause” means any of the following that remains uncured (if curable) for ten (10) days after the executive’s receipt of written notice thereof from TWM LLC: (a) the executive has engaged in dishonesty, gross negligence or willful misconduct of more than a de minimis nature, in each case, with regard to TWM LLC that is demonstrably injurious to TWM LLC; (b) the executive has failed to attempt, in good faith, to substantially perform his duties with TWM LLC (other than as a result of the executive’s physical or mental incapacity); (c) the executive has failed to attempt, in good faith, to follow the lawful written direction of, for Mr. Olesky, the Board and for Mr. Hult, the Chief Executive Officer; or (d) the executive has been convicted of, or entered a plea of guilty or no contest to, a felony (other than as a result of vicarious liability or a traffic infraction).</w:t>
      </w:r>
    </w:p>
    <w:p>
      <w:pPr>
        <w:spacing w:after="0" w:line="25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For purposes of the Employment Agreements, “Good Reason” means any of the following that remains uncured (if curable) for ten (10) days after TWM LLC’s receipt of written notice thereof from the executive not later than 60 days following the later of the occurrence of the event or the date the executive should reasonably have knowledge thereof: (a) the executive is serving in a position below, for Mr. Olesky, Chief Executive Officer (or is not reporting directly to the Board) and for Mr. Hult, President; (b) a material diminution of the executive’s duties, responsibilities or authority or the assignment to the executive of duties or responsibilities that are materially adversely inconsistent with the executive’s then position; (c) TWM LLC has reduced the executive’s annual salary or annual bonus target; (d) TWM LLC has required the executive to relocate his principal place of employment by more than fifty (50) miles; or (e) any material breach by TWM LLC of the Employment Agreement. In addition, for Mr. Olesky, “Good Reason” means a change in control (as defined in the Option Plan) which does not include an IPO. In addition, each of Mr. Olesky and Mr. Hult will have the right to resign for Good Reason in the event his employment is transferred to an affiliate of TWM LLC (unless such affiliate is a subsidiary of TWM LLC).</w:t>
      </w:r>
    </w:p>
    <w:p>
      <w:pPr>
        <w:spacing w:after="0" w:line="80"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Pursuant to the Employment Agreements, in the event that any of the payments or benefits provided by TWM LLC or any affiliate to TWM LLC (whether pursuant to the terms of the Employment Agreement or any equity compensation or other agreement with the Company or any affiliate)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Messrs. Olesky and Hult shall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the executive’s receipt on an after-tax basis, of the greatest amount of economic benefits under the Employment Agreement, notwithstanding that all or some portion of such benefits may be subject to the Excise Tax. If a reduction in the Parachute Payment is necessary, then the reduction shall occur in accordance with the terms of the Employment Agreement.</w:t>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Severance Policy</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Mr. Spencer is entitled to severance pursuant to a severance policy maintained by the Company for certain executive officers. In the event of a termination without cause, Mr. Spencer is entitled to (i) continuation of his base salary for twelve (12) months following termination, (ii) a payment equal to the sum of (A) his highest annual bonus received in respect of the two most recent calendar years completed prior to his termination, paid at the time bonuses are generally paid to senior executives (the “Reference Bonus Amount”), and (B) the Reference Bonus Amount prorated for the number of days worked during the calendar year preceding the date of termination, paid at the time when annual bonuses are paid generally to senior executives; and (iii) subject to Mr. Spencer’s timely election of continuation coverage under the Consolidated Omnibus Budget Reconciliation Act of 1985, as amended (“COBRA”) and Mr. Spencer’s copayment of premiums associated with such coverage consistent with amounts paid by Mr. Spencer during the year in which his termination occurs, reimbursement, on a monthly basis, for the excess costs of continued health benefits for Mr. Spencer and his covered dependents for twelve (12) months following the date of termination, or until such earlier date on which COBRA coverage for Mr. Spencer and his covered dependents terminates in accordance with COBRA.</w:t>
      </w:r>
    </w:p>
    <w:p>
      <w:pPr>
        <w:spacing w:after="0" w:line="16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Equity Awards</w:t>
      </w:r>
    </w:p>
    <w:p>
      <w:pPr>
        <w:spacing w:after="0" w:line="10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Each of our NEOs has been granted an Option under the Option Plan (described above under “—Narrative Disclosure to Summary Compensation Table—Amended and Restated Tradeweb Markets Inc. 2018 Share Option Plan”). Each of the Options granted to our NEOs fully vest as to the Time-Based Portion of the Option upon a change of control (as defined in the Option Plan), or upon the NEO’s termination without Cause or resignation for Good Reason within 90 days prior to the change of control. In addition, in the event of a change in control prior to the date the Compensation Committee determines whether the relevant performance-conditions for the Performance-Based Portion of such Option have been achieved for 2021 (as further described above under “— Narrative Disclosure to Summary Compensation Table—Amended and Restated Tradeweb Markets Inc. 2018 Share Option Plan—Vesting”) any portion of the Performance-Based Portion that remains unvested shall be eligible to become vested as of the change of</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54" w:lineRule="auto"/>
        <w:rPr>
          <w:sz w:val="20"/>
          <w:szCs w:val="20"/>
          <w:color w:val="auto"/>
        </w:rPr>
      </w:pPr>
      <w:r>
        <w:rPr>
          <w:rFonts w:ascii="Arial" w:cs="Arial" w:eastAsia="Arial" w:hAnsi="Arial"/>
          <w:sz w:val="18"/>
          <w:szCs w:val="18"/>
          <w:color w:val="auto"/>
        </w:rPr>
        <w:t>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 In addition, the portions of the Time-Based Portion scheduled to vest on each of January 1, 2021 and January 1, 2022 will vest in the event of an IPO, including this offering, subject to continued employment on such date, or the participant’s termination without Cause or resignation for Good Reason within 90 days prior to the IPO.</w:t>
      </w:r>
    </w:p>
    <w:p>
      <w:pPr>
        <w:spacing w:after="0" w:line="84"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Each of our NEOs has been granted PRSUs under the PRSU Plan (as described above under “—Narrative Disclosure to Summary Compensation Table—Amended &amp; Restated Tradeweb Markets Inc. PRSU Plan”). In the event an NEO is terminated (i) without Cause (as defined in the PRSU Plan) within 180 days prior to the relevant vesting date, or (ii) due to the participant’s death or disability or retirement (as such terms are defined in the PRSU Plan), the NEO will be entitled to retain a pro-rated number of the PRSUs, based on days worked for the vesting period, which will remain eligible to vest. In the event the NEO’s service is terminated without Cause within six months following a change of control (as defined in the PRSU Plan), any outstanding PRSUs will vest and continue to be paid out in accordance with the PRSU Plan; provided, however, that if the change of control constitutes a “Qualified Change of Control” (as defined above), payment applicable to the PRSU will be made as soon as practicable after the participant’s termination, as further described above under “—Narrative Disclosure to Summary Compensation Table—Amended &amp; Restated Tradeweb Markets Inc. PRSU Plan—Termination of Service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0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directors of TWM LLC for fiscal year 2018 included Lee Olesky, William Hult, Debra Walton, Steve Leith, Richard Lee, Christopher Conetta, Bill Hartnett, Rob Huntington, Rana Yared, Thomas Pluta, Patrick Haskell (Chairman), Simon Wilson and Paolo Croce. The director of Tradeweb Markets Inc. for fiscal year 2018 was Lee Olesky. None of these individuals received any compensation for their service as directors in fiscal year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our Class B common stock and our Class D common stock, after the completion of the Reorganization Transactions, including this offering, for:</w:t>
      </w:r>
    </w:p>
    <w:p>
      <w:pPr>
        <w:spacing w:after="0" w:line="73" w:lineRule="exact"/>
        <w:rPr>
          <w:sz w:val="20"/>
          <w:szCs w:val="20"/>
          <w:color w:val="auto"/>
        </w:rPr>
      </w:pPr>
    </w:p>
    <w:p>
      <w:pPr>
        <w:ind w:left="1980" w:right="999" w:hanging="352"/>
        <w:spacing w:after="0" w:line="277"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common stock, our Class B common stock or our Class D common stock;</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7"/>
          <w:szCs w:val="17"/>
          <w:color w:val="auto"/>
        </w:rPr>
        <w:t>As described in “The Reorganization Transactions” and “Certain Relationships and Related Party Transactions,” each Continuing LLC Owner will be entitled to have its LLC Interests redeemed for Class A common stock or Class B common stock on a one-for-one basis or, at the option of Tradeweb, cash equal to the volume weighted average market price of the applicable number of our shares of Class A common stock. In connection with this offering, we will issue to each Continuing LLC Owner for nominal consideration one share of Class D common stock for each LLC Interest it owns. As a result, the number of shares of Class D common stock listed in the table below correlate to the number of LLC Interests each such Continuing LLC Owner will own immediately after this offering. There will be no outstanding shares of our Class C common stock upon completion of this offering. See “The Reorganization Transactions.”</w:t>
      </w:r>
    </w:p>
    <w:p>
      <w:pPr>
        <w:spacing w:after="0" w:line="74" w:lineRule="exact"/>
        <w:rPr>
          <w:sz w:val="20"/>
          <w:szCs w:val="20"/>
          <w:color w:val="auto"/>
        </w:rPr>
      </w:pPr>
    </w:p>
    <w:p>
      <w:pPr>
        <w:ind w:left="1260" w:right="879" w:firstLine="360"/>
        <w:spacing w:after="0" w:line="284"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held by such person that have vested or will vest within 60 days of the date of this prospectus are considered outstanding, although these shares are not considered outstanding for purposes of computing</w:t>
      </w:r>
    </w:p>
    <w:p>
      <w:pPr>
        <w:spacing w:after="0" w:line="3"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pacing w:after="0" w:line="246"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 of Class A</w:t>
            </w: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Shares of Class B</w:t>
            </w: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Shares of Class D</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Combined Voting</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3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13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common stock</w:t>
            </w:r>
          </w:p>
        </w:tc>
        <w:tc>
          <w:tcPr>
            <w:tcW w:w="13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common stock</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Beneficially Owned</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Beneficially Owned</w:t>
            </w: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Beneficially Owned</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301"/>
        </w:trPr>
        <w:tc>
          <w:tcPr>
            <w:tcW w:w="394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  %</w:t>
            </w:r>
            <w:r>
              <w:rPr>
                <w:rFonts w:ascii="Arial" w:cs="Arial" w:eastAsia="Arial" w:hAnsi="Arial"/>
                <w:sz w:val="21"/>
                <w:szCs w:val="21"/>
                <w:b w:val="1"/>
                <w:bCs w:val="1"/>
                <w:color w:val="auto"/>
                <w:w w:val="98"/>
                <w:vertAlign w:val="superscript"/>
              </w:rPr>
              <w:t>(1)</w:t>
            </w:r>
            <w:r>
              <w:rPr>
                <w:rFonts w:ascii="Arial" w:cs="Arial" w:eastAsia="Arial" w:hAnsi="Arial"/>
                <w:sz w:val="14"/>
                <w:szCs w:val="14"/>
                <w:b w:val="1"/>
                <w:bCs w:val="1"/>
                <w:color w:val="auto"/>
                <w:w w:val="98"/>
              </w:rPr>
              <w:t xml:space="preserve">  %</w:t>
            </w:r>
            <w:r>
              <w:rPr>
                <w:rFonts w:ascii="Arial" w:cs="Arial" w:eastAsia="Arial" w:hAnsi="Arial"/>
                <w:sz w:val="21"/>
                <w:szCs w:val="21"/>
                <w:b w:val="1"/>
                <w:bCs w:val="1"/>
                <w:color w:val="auto"/>
                <w:w w:val="98"/>
                <w:vertAlign w:val="superscript"/>
              </w:rPr>
              <w:t>(2)</w:t>
            </w:r>
          </w:p>
        </w:tc>
        <w:tc>
          <w:tcPr>
            <w:tcW w:w="100" w:type="dxa"/>
            <w:vAlign w:val="bottom"/>
          </w:tcPr>
          <w:p>
            <w:pPr>
              <w:spacing w:after="0"/>
              <w:rPr>
                <w:sz w:val="24"/>
                <w:szCs w:val="24"/>
                <w:color w:val="auto"/>
              </w:rPr>
            </w:pPr>
          </w:p>
        </w:tc>
        <w:tc>
          <w:tcPr>
            <w:tcW w:w="7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ind w:right="6"/>
              <w:spacing w:after="0" w:line="301"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120" w:type="dxa"/>
            <w:vAlign w:val="bottom"/>
          </w:tcPr>
          <w:p>
            <w:pPr>
              <w:spacing w:after="0"/>
              <w:rPr>
                <w:sz w:val="24"/>
                <w:szCs w:val="24"/>
                <w:color w:val="auto"/>
              </w:rPr>
            </w:pPr>
          </w:p>
        </w:tc>
        <w:tc>
          <w:tcPr>
            <w:tcW w:w="7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ind w:right="26"/>
              <w:spacing w:after="0" w:line="301"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100" w:type="dxa"/>
            <w:vAlign w:val="bottom"/>
          </w:tcPr>
          <w:p>
            <w:pPr>
              <w:spacing w:after="0"/>
              <w:rPr>
                <w:sz w:val="24"/>
                <w:szCs w:val="24"/>
                <w:color w:val="auto"/>
              </w:rPr>
            </w:pPr>
          </w:p>
        </w:tc>
        <w:tc>
          <w:tcPr>
            <w:tcW w:w="560" w:type="dxa"/>
            <w:vAlign w:val="bottom"/>
            <w:tcBorders>
              <w:top w:val="single" w:sz="8" w:color="auto"/>
            </w:tcBorders>
          </w:tcPr>
          <w:p>
            <w:pPr>
              <w:jc w:val="right"/>
              <w:ind w:right="94"/>
              <w:spacing w:after="0" w:line="301"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560" w:type="dxa"/>
            <w:vAlign w:val="bottom"/>
            <w:tcBorders>
              <w:top w:val="single" w:sz="8" w:color="auto"/>
            </w:tcBorders>
          </w:tcPr>
          <w:p>
            <w:pPr>
              <w:jc w:val="right"/>
              <w:ind w:right="46"/>
              <w:spacing w:after="0" w:line="301"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-36195</wp:posOffset>
            </wp:positionV>
            <wp:extent cx="5763260" cy="1631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763260" cy="16319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6"/>
          <w:szCs w:val="16"/>
          <w:b w:val="1"/>
          <w:bCs w:val="1"/>
          <w:color w:val="auto"/>
        </w:rPr>
        <w:t>5% Stockholders</w:t>
      </w:r>
    </w:p>
    <w:p>
      <w:pPr>
        <w:spacing w:after="0" w:line="4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Entities affiliated with Refinitiv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17780</wp:posOffset>
            </wp:positionV>
            <wp:extent cx="5763260" cy="1543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763260" cy="154305"/>
                    </a:xfrm>
                    <a:prstGeom prst="rect">
                      <a:avLst/>
                    </a:prstGeom>
                    <a:noFill/>
                  </pic:spPr>
                </pic:pic>
              </a:graphicData>
            </a:graphic>
          </wp:anchor>
        </w:drawing>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Directors and Named Executive Officers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17780</wp:posOffset>
            </wp:positionV>
            <wp:extent cx="5763260" cy="154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763260" cy="154305"/>
                    </a:xfrm>
                    <a:prstGeom prst="rect">
                      <a:avLst/>
                    </a:prstGeom>
                    <a:noFill/>
                  </pic:spPr>
                </pic:pic>
              </a:graphicData>
            </a:graphic>
          </wp:anchor>
        </w:drawing>
      </w:r>
    </w:p>
    <w:p>
      <w:pPr>
        <w:spacing w:after="0" w:line="3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Billy Hult</w:t>
      </w:r>
    </w:p>
    <w:p>
      <w:pPr>
        <w:spacing w:after="0" w:line="7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Jay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17780</wp:posOffset>
            </wp:positionV>
            <wp:extent cx="5763260" cy="2660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763260" cy="266065"/>
                    </a:xfrm>
                    <a:prstGeom prst="rect">
                      <a:avLst/>
                    </a:prstGeom>
                    <a:noFill/>
                  </pic:spPr>
                </pic:pic>
              </a:graphicData>
            </a:graphic>
          </wp:anchor>
        </w:drawing>
      </w:r>
    </w:p>
    <w:p>
      <w:pPr>
        <w:spacing w:after="0" w:line="4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All executive officers and directors as a group (</w:t>
      </w:r>
    </w:p>
    <w:p>
      <w:pPr>
        <w:ind w:left="1020"/>
        <w:spacing w:after="0"/>
        <w:rPr>
          <w:sz w:val="20"/>
          <w:szCs w:val="20"/>
          <w:color w:val="auto"/>
        </w:rPr>
      </w:pPr>
      <w:r>
        <w:rPr>
          <w:rFonts w:ascii="Arial" w:cs="Arial" w:eastAsia="Arial" w:hAnsi="Arial"/>
          <w:sz w:val="16"/>
          <w:szCs w:val="16"/>
          <w:color w:val="auto"/>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172085</wp:posOffset>
            </wp:positionV>
            <wp:extent cx="123507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200" w:hanging="364"/>
        <w:spacing w:after="0"/>
        <w:tabs>
          <w:tab w:leader="none" w:pos="12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Assumes no exercise by the underwriters of their option to purchase additional shares of Class A common stock.</w:t>
      </w:r>
    </w:p>
    <w:p>
      <w:pPr>
        <w:spacing w:after="0" w:line="88" w:lineRule="exact"/>
        <w:rPr>
          <w:rFonts w:ascii="Arial" w:cs="Arial" w:eastAsia="Arial" w:hAnsi="Arial"/>
          <w:sz w:val="17"/>
          <w:szCs w:val="17"/>
          <w:color w:val="auto"/>
        </w:rPr>
      </w:pPr>
    </w:p>
    <w:p>
      <w:pPr>
        <w:ind w:left="1200" w:hanging="364"/>
        <w:spacing w:after="0"/>
        <w:tabs>
          <w:tab w:leader="none" w:pos="12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Assumes full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following is a description of transactions since January 1, 2016 to which we were a party in which the amount involved exceeded or will exceed $120,000, and in which any of our executive officers, directors, Bank Stockholders or holders of more than 5% of any class of our voting securities,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Refinitiv/Thomson Reuters</w:t>
      </w:r>
    </w:p>
    <w:p>
      <w:pPr>
        <w:spacing w:after="0" w:line="10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Following this offering, we expect Refinitiv will continue to provide data and insurance and, at least in the near term, office space and related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6 months prior to such date. During each of the years ended December 31, 2018, 2017 and 2016, we incurred fees of $4.3 million per year relating to this agreement. These fees are included in occupancy, technology and communications and general and administrative expenses in our consolidated statements of income included elsewhere in this prospectus.</w:t>
      </w:r>
    </w:p>
    <w:p>
      <w:pPr>
        <w:spacing w:after="0" w:line="67"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years ended December 31, 2018, 2017 and 2016, we earned approximately $50.3 million, $50.1 million and $50.6 million, respectively, of revenue under this agreement.</w:t>
      </w:r>
    </w:p>
    <w:p>
      <w:pPr>
        <w:spacing w:after="0" w:line="75"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color w:val="auto"/>
        </w:rPr>
        <w:t>We are party to a master agreement with Refinitiv (formerly Thomson Reuters) and the Bank Stockholders, which was entered into in connection with the initial investment in our business by the Bank Stockholders and subsequently amended in connection with restructurings of our business and additional investments by the Bank Stockholders. Under the master agreement, each party is subject to confidentiality obligations regarding both the nonpublic information of our business and the terms of those definitive agreements, subject to customary disclosure exceptions. In addition, the master agreement prohibits Refinitiv from establishing, investing in, or acting as primary business operator or manager of, an electronic trade execution platform for trading in fixed income securities or equity derivatives for so long as Refinitiv continues to directly or indirectly own a majority of our equity interests, subject to certain exceptions.</w:t>
      </w:r>
    </w:p>
    <w:p>
      <w:pPr>
        <w:spacing w:after="0" w:line="74"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We reimburse affiliates of Refinitiv for expenses paid on our behalf for various services including payroll, marketing, professional fees, communications, data costs and certain other administrative services. For the years ended December 31, 2018, 2017 and 2016, we reimbursed such affiliates approximately $32.5 million, $38.4 million and $34.4 million, respectively, for these expenses.</w:t>
      </w:r>
    </w:p>
    <w:p>
      <w:pPr>
        <w:spacing w:after="0" w:line="79" w:lineRule="exact"/>
        <w:rPr>
          <w:sz w:val="20"/>
          <w:szCs w:val="20"/>
          <w:color w:val="auto"/>
        </w:rPr>
      </w:pPr>
    </w:p>
    <w:p>
      <w:pPr>
        <w:ind w:left="1260" w:right="959" w:firstLine="360"/>
        <w:spacing w:after="0" w:line="312" w:lineRule="auto"/>
        <w:rPr>
          <w:sz w:val="20"/>
          <w:szCs w:val="20"/>
          <w:color w:val="auto"/>
        </w:rPr>
      </w:pPr>
      <w:r>
        <w:rPr>
          <w:rFonts w:ascii="Arial" w:cs="Arial" w:eastAsia="Arial" w:hAnsi="Arial"/>
          <w:sz w:val="16"/>
          <w:szCs w:val="16"/>
          <w:color w:val="auto"/>
        </w:rPr>
        <w:t>In 2013, we borrowed $29.3 million from a subsidiary of Thomson Reuters under a convertible term note. Interest charged on the outstanding borrowings was the greater of LIBOR or 150 basis points, plus 300 basis points per annum, and was reset and payable quarterly. During 2017, Thomson Reuters converted</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79"/>
        <w:spacing w:after="0" w:line="259" w:lineRule="auto"/>
        <w:rPr>
          <w:sz w:val="20"/>
          <w:szCs w:val="20"/>
          <w:color w:val="auto"/>
        </w:rPr>
      </w:pPr>
      <w:r>
        <w:rPr>
          <w:rFonts w:ascii="Arial" w:cs="Arial" w:eastAsia="Arial" w:hAnsi="Arial"/>
          <w:sz w:val="18"/>
          <w:szCs w:val="18"/>
          <w:color w:val="auto"/>
        </w:rPr>
        <w:t>all outstanding borrowings into 1,835.122 Class A Shares at the price of $15,958 per share. During the years ended December 31, 2017 and 2016, the interest rate charged was 4.50% per annum. We paid and expensed approximately $0.5 million and $1.3 million of interest related to this note during the years ended December 31, 2017 and 2016, respectively.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Bank Stockholders</w:t>
      </w:r>
    </w:p>
    <w:p>
      <w:pPr>
        <w:spacing w:after="0" w:line="108" w:lineRule="exact"/>
        <w:rPr>
          <w:sz w:val="20"/>
          <w:szCs w:val="20"/>
          <w:color w:val="auto"/>
        </w:rPr>
      </w:pPr>
    </w:p>
    <w:p>
      <w:pPr>
        <w:ind w:left="1260" w:right="1119" w:firstLine="360"/>
        <w:spacing w:after="0" w:line="259" w:lineRule="auto"/>
        <w:rPr>
          <w:sz w:val="20"/>
          <w:szCs w:val="20"/>
          <w:color w:val="auto"/>
        </w:rPr>
      </w:pPr>
      <w:r>
        <w:rPr>
          <w:rFonts w:ascii="Arial" w:cs="Arial" w:eastAsia="Arial" w:hAnsi="Arial"/>
          <w:sz w:val="18"/>
          <w:szCs w:val="18"/>
          <w:color w:val="auto"/>
        </w:rPr>
        <w:t>During the years ended December 31, 2018, 2017 and 2016, we earned $51,000, $40,000 and $80,000, respectively, of interest income from money market funds invested with and savings accounts deposited with affiliates of the Bank Stockholders. Interest rates earned on the money market and savings accounts are comparable to rates offered to third parties.</w:t>
      </w:r>
    </w:p>
    <w:p>
      <w:pPr>
        <w:spacing w:after="0" w:line="79" w:lineRule="exact"/>
        <w:rPr>
          <w:sz w:val="20"/>
          <w:szCs w:val="20"/>
          <w:color w:val="auto"/>
        </w:rPr>
      </w:pPr>
    </w:p>
    <w:p>
      <w:pPr>
        <w:ind w:left="1260" w:right="1059" w:firstLine="360"/>
        <w:spacing w:after="0" w:line="259" w:lineRule="auto"/>
        <w:rPr>
          <w:sz w:val="20"/>
          <w:szCs w:val="20"/>
          <w:color w:val="auto"/>
        </w:rPr>
      </w:pPr>
      <w:r>
        <w:rPr>
          <w:rFonts w:ascii="Arial" w:cs="Arial" w:eastAsia="Arial" w:hAnsi="Arial"/>
          <w:sz w:val="18"/>
          <w:szCs w:val="18"/>
          <w:color w:val="auto"/>
        </w:rPr>
        <w:t>During the years ended December 31, 2018, 2017 and 2016, we earned approximately $288.6 million, $232.4 million and $211.7 million, respectively, of transaction fees, subscription fees and commissions from affiliates of the Bank Stockholders. Over the same period, none of the Bank Stockholders accounted for more than 10% of our revenues.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Certain Original LLC Owners</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 July 31, 2018 upon the achievement of specific revenue earnout milestones related to the growth of specified credit products, with a value of $156.2 million.</w:t>
      </w:r>
    </w:p>
    <w:p>
      <w:pPr>
        <w:spacing w:after="0" w:line="85" w:lineRule="exact"/>
        <w:rPr>
          <w:sz w:val="20"/>
          <w:szCs w:val="20"/>
          <w:color w:val="auto"/>
        </w:rPr>
      </w:pPr>
    </w:p>
    <w:p>
      <w:pPr>
        <w:ind w:left="1260" w:right="799" w:firstLine="360"/>
        <w:spacing w:after="0" w:line="274" w:lineRule="auto"/>
        <w:rPr>
          <w:sz w:val="20"/>
          <w:szCs w:val="20"/>
          <w:color w:val="auto"/>
        </w:rPr>
      </w:pPr>
      <w:r>
        <w:rPr>
          <w:rFonts w:ascii="Arial" w:cs="Arial" w:eastAsia="Arial" w:hAnsi="Arial"/>
          <w:sz w:val="17"/>
          <w:szCs w:val="17"/>
          <w:color w:val="auto"/>
        </w:rPr>
        <w:t>Immediately following this offering, we will use the net proceeds from this offering to purchase issued and outstanding LLC Interests (or LLC Interests, if the underwriters exercise in full their option to</w:t>
      </w:r>
    </w:p>
    <w:p>
      <w:pPr>
        <w:ind w:left="1260" w:right="759"/>
        <w:spacing w:after="0" w:line="295" w:lineRule="auto"/>
        <w:rPr>
          <w:sz w:val="20"/>
          <w:szCs w:val="20"/>
          <w:color w:val="auto"/>
        </w:rPr>
      </w:pPr>
      <w:r>
        <w:rPr>
          <w:rFonts w:ascii="Arial" w:cs="Arial" w:eastAsia="Arial" w:hAnsi="Arial"/>
          <w:sz w:val="16"/>
          <w:szCs w:val="16"/>
          <w:color w:val="auto"/>
        </w:rPr>
        <w:t>purchase additional shares of Class A common stock) from certain of the Other LLC Owners (and cancel the corresponding shares of Class D common stock). See “Use of Proceeds.” The following table sets forth the cash proceeds that certain of the Other LLC Owners will receive from the purchase by us of LLC Interests with the net proceeds of this offering, based on the midpoint of the price range set forth on the cover page of this prospectus: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Number of LLC Interests,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 of LLC</w:t>
            </w:r>
          </w:p>
        </w:tc>
        <w:tc>
          <w:tcPr>
            <w:tcW w:w="60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assuming the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Interests, assuming the</w:t>
            </w:r>
          </w:p>
        </w:tc>
        <w:tc>
          <w:tcPr>
            <w:tcW w:w="60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underwriters’ option to</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underwriters’ option to</w:t>
            </w:r>
          </w:p>
        </w:tc>
        <w:tc>
          <w:tcPr>
            <w:tcW w:w="60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purchase additional</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purchase additional</w:t>
            </w:r>
          </w:p>
        </w:tc>
        <w:tc>
          <w:tcPr>
            <w:tcW w:w="60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shares of Class A</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Cash</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 of Class A</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common stock is not</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Proceeds</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common stock is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Proceeds</w:t>
            </w:r>
          </w:p>
        </w:tc>
      </w:tr>
      <w:tr>
        <w:trPr>
          <w:trHeight w:val="186"/>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exercised</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exercised in full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
        </w:trPr>
        <w:tc>
          <w:tcPr>
            <w:tcW w:w="3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4"/>
        </w:trPr>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-179705</wp:posOffset>
            </wp:positionV>
            <wp:extent cx="13716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-179705</wp:posOffset>
            </wp:positionV>
            <wp:extent cx="13716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-179705</wp:posOffset>
            </wp:positionV>
            <wp:extent cx="1371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-179705</wp:posOffset>
            </wp:positionV>
            <wp:extent cx="13716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Entered Into in Connection With This Offering</w:t>
      </w:r>
    </w:p>
    <w:p>
      <w:pPr>
        <w:spacing w:after="0" w:line="108" w:lineRule="exact"/>
        <w:rPr>
          <w:sz w:val="20"/>
          <w:szCs w:val="20"/>
          <w:color w:val="auto"/>
        </w:rPr>
      </w:pPr>
    </w:p>
    <w:p>
      <w:pPr>
        <w:ind w:left="1260" w:right="979" w:firstLine="360"/>
        <w:spacing w:after="0" w:line="286" w:lineRule="auto"/>
        <w:rPr>
          <w:sz w:val="20"/>
          <w:szCs w:val="20"/>
          <w:color w:val="auto"/>
        </w:rPr>
      </w:pPr>
      <w:r>
        <w:rPr>
          <w:rFonts w:ascii="Arial" w:cs="Arial" w:eastAsia="Arial" w:hAnsi="Arial"/>
          <w:sz w:val="17"/>
          <w:szCs w:val="17"/>
          <w:color w:val="auto"/>
        </w:rPr>
        <w:t>In connection with the Reorganization Transactions, we will engage in certain transactions with certain of our directors, executive officers and other persons and entities which are holders of 5% or more of our voting securities. These transactions are described in “The Reorganization Transactions.”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TWM LLC Agreement</w:t>
      </w:r>
    </w:p>
    <w:p>
      <w:pPr>
        <w:spacing w:after="0" w:line="104" w:lineRule="exact"/>
        <w:rPr>
          <w:sz w:val="20"/>
          <w:szCs w:val="20"/>
          <w:color w:val="auto"/>
        </w:rPr>
      </w:pPr>
    </w:p>
    <w:p>
      <w:pPr>
        <w:ind w:left="1260" w:right="879" w:firstLine="360"/>
        <w:spacing w:after="0" w:line="302" w:lineRule="auto"/>
        <w:rPr>
          <w:sz w:val="20"/>
          <w:szCs w:val="20"/>
          <w:color w:val="auto"/>
        </w:rPr>
      </w:pPr>
      <w:r>
        <w:rPr>
          <w:rFonts w:ascii="Arial" w:cs="Arial" w:eastAsia="Arial" w:hAnsi="Arial"/>
          <w:sz w:val="16"/>
          <w:szCs w:val="16"/>
          <w:color w:val="auto"/>
        </w:rPr>
        <w:t>We will operate our business through TWM LLC and its subsidiaries. In connection with the completion of this offering, we and the Original LLC Owners will enter into TWM LLC’s fifth amended and restated limited liability company agreement, which we refer to as the “TWM LLC Agreement.” The operations of TWM LLC, and the rights and obligations of the holders of LLC Interests, will be set forth in the TWM LLC Agreement.</w:t>
      </w:r>
    </w:p>
    <w:p>
      <w:pPr>
        <w:spacing w:after="0" w:line="46"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i w:val="1"/>
          <w:iCs w:val="1"/>
          <w:color w:val="auto"/>
        </w:rPr>
        <w:t xml:space="preserve">Appointment as Manager. </w:t>
      </w:r>
      <w:r>
        <w:rPr>
          <w:rFonts w:ascii="Arial" w:cs="Arial" w:eastAsia="Arial" w:hAnsi="Arial"/>
          <w:sz w:val="17"/>
          <w:szCs w:val="17"/>
          <w:color w:val="auto"/>
        </w:rPr>
        <w:t>Under the TWM LLC Agreement, we will become a member and the sole</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of TWM LLC. As the sole manager, we will be able to control all of the day-to-day business affairs and decision-making of TWM LLC without the approval of any other member, unless otherwise</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79" w:lineRule="auto"/>
        <w:rPr>
          <w:sz w:val="20"/>
          <w:szCs w:val="20"/>
          <w:color w:val="auto"/>
        </w:rPr>
      </w:pPr>
      <w:r>
        <w:rPr>
          <w:rFonts w:ascii="Arial" w:cs="Arial" w:eastAsia="Arial" w:hAnsi="Arial"/>
          <w:sz w:val="17"/>
          <w:szCs w:val="17"/>
          <w:color w:val="auto"/>
        </w:rPr>
        <w:t>stated in the TWM LLC Agreement. As such, we, through our officers and directors, will be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63"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We will not be entitled to compensation for our services as manager. We will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TWM LLC for fees and expenses incurred on behalf of TWM LLC, including all expenses associated with this offering and maintaining our existence as a separate legal entity.</w:t>
      </w:r>
    </w:p>
    <w:p>
      <w:pPr>
        <w:spacing w:after="0" w:line="57"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The TWM LLC Agreement recapitalizes the units currently held by the existing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TWM LLC into a new single class of common membership units, which we refer to as the “LLC Interests.” The TWM LLC Agreement will also reflect a split of LLC Interests such that one LLC Interest can be acquired with the net proceeds received in the initial offering from the sale of one share of our Class A common stock. Each LLC Interest will entitle the holder to a pro rata share of the net profits and net losses and distributions of TWM LLC.</w:t>
      </w:r>
    </w:p>
    <w:p>
      <w:pPr>
        <w:spacing w:after="0" w:line="85"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In connection with any tax period, the TWM LLC Agreement will require TWM LLC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distributions 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will also allow for distributions to be made by TWM LLC to its members on a pro rata basis out of distributable cash. We expect TWM LLC may make distributions out of distributable cash periodically to the extent permitted by any agreements governing our indebtedness and necessary to enable us to cover our operating expenses and other obligations, including any payments under the Tax Receivable Agreement, as well as to make dividend payments, if any, to the holders of our Class A common stock and Class B common stock.</w:t>
      </w:r>
    </w:p>
    <w:p>
      <w:pPr>
        <w:spacing w:after="0" w:line="68"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6"/>
          <w:szCs w:val="16"/>
          <w:i w:val="1"/>
          <w:iCs w:val="1"/>
          <w:color w:val="auto"/>
        </w:rPr>
        <w:t xml:space="preserve">LLC Interest Redemption Right. </w:t>
      </w:r>
      <w:r>
        <w:rPr>
          <w:rFonts w:ascii="Arial" w:cs="Arial" w:eastAsia="Arial" w:hAnsi="Arial"/>
          <w:sz w:val="16"/>
          <w:szCs w:val="16"/>
          <w:color w:val="auto"/>
        </w:rPr>
        <w:t>The TWM LLC Agreement provides a redemption right to the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of directors, which will include directors who hold LLC Interests or are affiliated with holders of LLC Interests and may include such directors in the future, a cash payment equal to a volume weighted average market price of one share of Class A common stock for each LLC Interest redeemed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our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264"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7"/>
          <w:szCs w:val="17"/>
          <w:i w:val="1"/>
          <w:iCs w:val="1"/>
          <w:color w:val="auto"/>
        </w:rPr>
        <w:t xml:space="preserve">Issuance of LLC Interests Upon Exercise of Options or Issuance of Other Equity Compensation. </w:t>
      </w:r>
      <w:r>
        <w:rPr>
          <w:rFonts w:ascii="Arial" w:cs="Arial" w:eastAsia="Arial" w:hAnsi="Arial"/>
          <w:sz w:val="17"/>
          <w:szCs w:val="17"/>
          <w:color w:val="auto"/>
        </w:rPr>
        <w:t>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options issued by us, or the issuance of other types of equity compensation by us (such as</w:t>
      </w:r>
    </w:p>
    <w:p>
      <w:pPr>
        <w:spacing w:after="0" w:line="21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1" w:lineRule="auto"/>
        <w:rPr>
          <w:sz w:val="20"/>
          <w:szCs w:val="20"/>
          <w:color w:val="auto"/>
        </w:rPr>
      </w:pPr>
      <w:r>
        <w:rPr>
          <w:rFonts w:ascii="Arial" w:cs="Arial" w:eastAsia="Arial" w:hAnsi="Arial"/>
          <w:sz w:val="17"/>
          <w:szCs w:val="17"/>
          <w:color w:val="auto"/>
        </w:rPr>
        <w:t>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75"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6"/>
          <w:szCs w:val="16"/>
          <w:i w:val="1"/>
          <w:iCs w:val="1"/>
          <w:color w:val="auto"/>
        </w:rPr>
        <w:t xml:space="preserve">Maintenance of one-to-one ratio of shares of Class A common stock, Class B common stock and LLC Interests owned by Tradeweb. </w:t>
      </w:r>
      <w:r>
        <w:rPr>
          <w:rFonts w:ascii="Arial" w:cs="Arial" w:eastAsia="Arial" w:hAnsi="Arial"/>
          <w:sz w:val="16"/>
          <w:szCs w:val="16"/>
          <w:color w:val="auto"/>
        </w:rPr>
        <w:t>Our amended and restated certificate of incorporation and the TWM LLC</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will require that (i) we at all times maintain a ratio of one LLC Interest owned by us for each share of</w:t>
      </w:r>
    </w:p>
    <w:p>
      <w:pPr>
        <w:ind w:left="1260" w:right="959" w:firstLine="8"/>
        <w:spacing w:after="0" w:line="290" w:lineRule="auto"/>
        <w:tabs>
          <w:tab w:leader="none" w:pos="148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Class A common stock issued by us and (II) Class B common stock issued by us, in each case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56"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TWM LLC Agreement generally does not permit transfers of LLC Interests by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79"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The TWM LLC Agreement will provide that the decision of the manager (pursuant to a</w:t>
      </w:r>
      <w:r>
        <w:rPr>
          <w:rFonts w:ascii="Arial" w:cs="Arial" w:eastAsia="Arial" w:hAnsi="Arial"/>
          <w:sz w:val="17"/>
          <w:szCs w:val="17"/>
          <w:i w:val="1"/>
          <w:iCs w:val="1"/>
          <w:color w:val="auto"/>
        </w:rPr>
        <w:t xml:space="preserve"> </w:t>
      </w:r>
      <w:r>
        <w:rPr>
          <w:rFonts w:ascii="Arial" w:cs="Arial" w:eastAsia="Arial" w:hAnsi="Arial"/>
          <w:sz w:val="17"/>
          <w:szCs w:val="17"/>
          <w:color w:val="auto"/>
        </w:rPr>
        <w:t>unanimous decision of our board of directors) together with 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TWC LLC’s debts, liabilities and obligations (including all expenses incurred in liquidation) and the remaining assets of TWC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74" w:lineRule="exact"/>
        <w:rPr>
          <w:sz w:val="20"/>
          <w:szCs w:val="20"/>
          <w:color w:val="auto"/>
        </w:rPr>
      </w:pPr>
    </w:p>
    <w:p>
      <w:pPr>
        <w:ind w:left="1260" w:right="1079" w:firstLine="360"/>
        <w:spacing w:after="0" w:line="276" w:lineRule="auto"/>
        <w:rPr>
          <w:sz w:val="20"/>
          <w:szCs w:val="20"/>
          <w:color w:val="auto"/>
        </w:rPr>
      </w:pPr>
      <w:r>
        <w:rPr>
          <w:rFonts w:ascii="Arial" w:cs="Arial" w:eastAsia="Arial" w:hAnsi="Arial"/>
          <w:sz w:val="17"/>
          <w:szCs w:val="17"/>
          <w:i w:val="1"/>
          <w:iCs w:val="1"/>
          <w:color w:val="auto"/>
        </w:rPr>
        <w:t xml:space="preserve">Confidentiality. </w:t>
      </w:r>
      <w:r>
        <w:rPr>
          <w:rFonts w:ascii="Arial" w:cs="Arial" w:eastAsia="Arial" w:hAnsi="Arial"/>
          <w:sz w:val="17"/>
          <w:szCs w:val="17"/>
          <w:color w:val="auto"/>
        </w:rPr>
        <w:t>Each member will agree to maintain the confidentiality of TWM LLC’s confidential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This obligation excludes (i) information that is independently obtained or developed by the 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64"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i w:val="1"/>
          <w:iCs w:val="1"/>
          <w:color w:val="auto"/>
        </w:rPr>
        <w:t xml:space="preserve">Indemnification and Exculpation. </w:t>
      </w:r>
      <w:r>
        <w:rPr>
          <w:rFonts w:ascii="Arial" w:cs="Arial" w:eastAsia="Arial" w:hAnsi="Arial"/>
          <w:sz w:val="17"/>
          <w:szCs w:val="17"/>
          <w:color w:val="auto"/>
        </w:rPr>
        <w:t>The TWM LLC Agreement provides for indemnification of the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and officers of TWM LLC and its subsidiaries. To the extent permitted by applicable law, TWM LLC will indemnify us, as its sole manager, and our authorized officers from and against any losses, liabilities, damages, expenses, fees or penalties incurred by any acts or omissions of these persons, provided</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312" w:lineRule="auto"/>
        <w:rPr>
          <w:sz w:val="20"/>
          <w:szCs w:val="20"/>
          <w:color w:val="auto"/>
        </w:rPr>
      </w:pPr>
      <w:r>
        <w:rPr>
          <w:rFonts w:ascii="Arial" w:cs="Arial" w:eastAsia="Arial" w:hAnsi="Arial"/>
          <w:sz w:val="16"/>
          <w:szCs w:val="16"/>
          <w:color w:val="auto"/>
        </w:rPr>
        <w:t>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39"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64"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i w:val="1"/>
          <w:iCs w:val="1"/>
          <w:color w:val="auto"/>
        </w:rPr>
        <w:t xml:space="preserve">Amendments. </w:t>
      </w:r>
      <w:r>
        <w:rPr>
          <w:rFonts w:ascii="Arial" w:cs="Arial" w:eastAsia="Arial" w:hAnsi="Arial"/>
          <w:sz w:val="16"/>
          <w:szCs w:val="16"/>
          <w:color w:val="auto"/>
        </w:rPr>
        <w:t>The TWM LLC Agreement may be amended with the consent of the holders of a majority in</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 of the outstanding LLC 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4"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We expect to obtain an increase in our share of the tax basis of the assets of TWM LLC when a Continuing LLC Owner receives shares of our Class A common stock or Class B common stock, as applicable, or, at our election, cash in connection with an exercise of such Continuing LLC Owner’s right to have its LLC Interests redeemed by TWM LLC or, at our election, exchanged and in connection with the disposition by such Continuing LLC Owner of its LLC Interests for cash in connection with this offering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7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We intend to enter into the Tax Receivable Agreement (the “TRA”) with TWM LLC and the Continuing LLC Owners. The TRA will provide for the payment by us to the Continuing LLC Owners who dispose of LLC Interests for cash in connection with this offering, or receive shares of our Class A common stock or Class B common stock or cash, as applicable, in connection with an exchange or redemption of LLC Interests following this offering, of 50% of the amount of U.S. federal, state and local income or franchise tax savings, if any, that we actually realize, or in some circumstances are deemed to realize, as a result of the transactions with such Continuing LLC Owner described above,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actual Basis Adjustments, as well as any amounts paid to the Continuing LLC Owners under the TRA, will vary depending on a number of factors, including:</w:t>
      </w:r>
    </w:p>
    <w:p>
      <w:pPr>
        <w:spacing w:after="0" w:line="143" w:lineRule="exact"/>
        <w:rPr>
          <w:sz w:val="20"/>
          <w:szCs w:val="20"/>
          <w:color w:val="auto"/>
        </w:rPr>
      </w:pPr>
    </w:p>
    <w:p>
      <w:pPr>
        <w:ind w:left="1980" w:right="879" w:hanging="352"/>
        <w:spacing w:after="0" w:line="264"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timing of any subsequent redemptions or exchanges — for instance, the increase in any tax deductions will vary depending on the fair value, which may fluctuate over time, of the depreciable or amortizable assets of TWM LLC at the time of each redemption or exchange;</w:t>
      </w:r>
    </w:p>
    <w:p>
      <w:pPr>
        <w:spacing w:after="0" w:line="140" w:lineRule="exact"/>
        <w:rPr>
          <w:rFonts w:ascii="Arial" w:cs="Arial" w:eastAsia="Arial" w:hAnsi="Arial"/>
          <w:sz w:val="18"/>
          <w:szCs w:val="18"/>
          <w:color w:val="auto"/>
        </w:rPr>
      </w:pPr>
    </w:p>
    <w:p>
      <w:pPr>
        <w:ind w:left="1980" w:right="879" w:hanging="352"/>
        <w:spacing w:after="0" w:line="286" w:lineRule="auto"/>
        <w:tabs>
          <w:tab w:leader="none" w:pos="1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price of shares of our Class A common stock at the time of redemptions or exchanges — the Basis Adjustments, as well as any related increase in any tax deductions, is directly related to the price of shares of our Class A common stock at the time of each redemption or exchange; and</w:t>
      </w:r>
    </w:p>
    <w:p>
      <w:pPr>
        <w:spacing w:after="0" w:line="125" w:lineRule="exact"/>
        <w:rPr>
          <w:rFonts w:ascii="Arial" w:cs="Arial" w:eastAsia="Arial" w:hAnsi="Arial"/>
          <w:sz w:val="17"/>
          <w:szCs w:val="17"/>
          <w:color w:val="auto"/>
        </w:rPr>
      </w:pPr>
    </w:p>
    <w:p>
      <w:pPr>
        <w:ind w:left="1980" w:right="799" w:hanging="352"/>
        <w:spacing w:after="0" w:line="254"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amount and timing of our income — 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TRA.</w:t>
      </w:r>
    </w:p>
    <w:p>
      <w:pPr>
        <w:spacing w:after="0" w:line="84"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consummation of the offering.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5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w:t>
      </w:r>
    </w:p>
    <w:p>
      <w:pPr>
        <w:spacing w:after="0" w:line="70" w:lineRule="exact"/>
        <w:rPr>
          <w:sz w:val="20"/>
          <w:szCs w:val="20"/>
          <w:color w:val="auto"/>
        </w:rPr>
      </w:pPr>
    </w:p>
    <w:p>
      <w:pPr>
        <w:ind w:left="1260" w:right="939" w:firstLine="360"/>
        <w:spacing w:after="0" w:line="257" w:lineRule="auto"/>
        <w:rPr>
          <w:sz w:val="20"/>
          <w:szCs w:val="20"/>
          <w:color w:val="auto"/>
        </w:rPr>
      </w:pPr>
      <w:r>
        <w:rPr>
          <w:rFonts w:ascii="Arial" w:cs="Arial" w:eastAsia="Arial" w:hAnsi="Arial"/>
          <w:sz w:val="18"/>
          <w:szCs w:val="18"/>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80"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 TRA provides that if (i) we materially breach any of our material obligations under the TRA (including by failing to make payments thereunder when we have available cash to do so), (ii) certain change of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85"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 In these situations, our obligations under the TRA could have a material adverse effect on our liquidity and could have the effect of delaying, deferring or preventing certain change of control transactions. There can be no assurance that we will be able to finance our obligations under the TRA.</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firstLine="360"/>
        <w:spacing w:after="0" w:line="290" w:lineRule="auto"/>
        <w:rPr>
          <w:sz w:val="20"/>
          <w:szCs w:val="20"/>
          <w:color w:val="auto"/>
        </w:rPr>
      </w:pPr>
      <w:r>
        <w:rPr>
          <w:rFonts w:ascii="Arial" w:cs="Arial" w:eastAsia="Arial" w:hAnsi="Arial"/>
          <w:sz w:val="16"/>
          <w:szCs w:val="16"/>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04" w:lineRule="exact"/>
        <w:rPr>
          <w:sz w:val="20"/>
          <w:szCs w:val="20"/>
          <w:color w:val="auto"/>
        </w:rPr>
      </w:pPr>
    </w:p>
    <w:p>
      <w:pPr>
        <w:ind w:left="1260" w:right="839" w:firstLine="360"/>
        <w:spacing w:after="0" w:line="284" w:lineRule="auto"/>
        <w:rPr>
          <w:sz w:val="20"/>
          <w:szCs w:val="20"/>
          <w:color w:val="auto"/>
        </w:rPr>
      </w:pPr>
      <w:r>
        <w:rPr>
          <w:rFonts w:ascii="Arial" w:cs="Arial" w:eastAsia="Arial" w:hAnsi="Arial"/>
          <w:sz w:val="16"/>
          <w:szCs w:val="16"/>
          <w:color w:val="auto"/>
        </w:rPr>
        <w:t>We intend to enter into the Stockholders Agreement with the Refinitiv Owners. This agreement will require us to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of directors or a duly-authorized committee of the board, as a director of our company, the number of Refinitiv Directors serving as directors of our company will be equal to: (1) if the Refinitiv Owners and their affiliates together continue to hold at least</w:t>
      </w:r>
    </w:p>
    <w:p>
      <w:pPr>
        <w:spacing w:after="0" w:line="5" w:lineRule="exact"/>
        <w:rPr>
          <w:sz w:val="20"/>
          <w:szCs w:val="20"/>
          <w:color w:val="auto"/>
        </w:rPr>
      </w:pPr>
    </w:p>
    <w:p>
      <w:pPr>
        <w:ind w:left="1260" w:right="759"/>
        <w:spacing w:after="0" w:line="283" w:lineRule="auto"/>
        <w:rPr>
          <w:sz w:val="20"/>
          <w:szCs w:val="20"/>
          <w:color w:val="auto"/>
        </w:rPr>
      </w:pPr>
      <w:r>
        <w:rPr>
          <w:rFonts w:ascii="Arial" w:cs="Arial" w:eastAsia="Arial" w:hAnsi="Arial"/>
          <w:sz w:val="16"/>
          <w:szCs w:val="16"/>
          <w:color w:val="auto"/>
        </w:rPr>
        <w:t>50% of the combined voting power of our outstanding common stock as of the record date for such meeting, the total number of directors comprising our entire board of directors; (2)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of directors; (3)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of directors; (4)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of directors; and (5)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of directors. In the case of a vacancy on our board created by the removal, resignation or otherwise of a Refinitiv Director, the Stockholders Agreement, to the extent the Refinitiv Owners continue to be entitled to nominate such Refinitiv Director, will require us to nominate an individual designated by the Refinitiv Owners for election to fill the vacancy. For so long as the Stockholders Agreement remains in effect, Refinitiv Directors may be removed only with the consent of the Refinitiv Owners. As part of their board nomination rights under the Stockholders Agreement, the Refinitiv Owners intend to appoint each of Lee Olesky, our Chief Executive Officer, and Billy Hult, our President, as members of our board of directors.</w:t>
      </w:r>
    </w:p>
    <w:p>
      <w:pPr>
        <w:spacing w:after="0" w:line="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We intend to enter into the Registration Rights Agreement with the Refinitiv Owners and the Bank Stockholders. Pursuant to the Registration Rights Agreement, we will grant the Refinitiv Owners, the Bank Stockholders, their affiliates and certain of their transferees the right, under certain circumstances and subject to the terms of the lock-up agreement they have entered into with the representatives of the underwriters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Demand Rights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any time after 180 days following the date of this prospectus, the Refinitiv Owners and the Bank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Stockholders may request that we register all or a portion of their registrable shares for sale under the Securities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Act, including, when we are eligible, pursuant to a shelf registration statement (provided, in all cases,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aggregate number of registrable shares that are requested to be included in any such registration equals at least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$100.0 million). In addition, at any time when a shelf registration statement is effective, the Refinitiv Owners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Bank Stockholders may request that we facilitate a shelf takedown of all or a portion of their registrable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shares (provided the aggregate number of registrable shares that are requested to be included in any such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takedown equals at least $100.0 million). The foregoing demand rights are subject to a number of exceptions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limitations, and we will not be required to effect a demand (whether for a non-shelf registered offering, 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underwriten shelf registration or an underwritten shelf takedown) on more than one occasion in any twelve-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month period, provided that a shelf takedown demanded in connection with a demanded shelf registration shall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constitute a single demand. This limitation on the number of demands will fall away at the earlier of (i) 36</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months after the pricing date of this offering and (ii) the date the Bank Stockholders own a number of shares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our common stock, in the aggregate, that is less than 10% of the number of shares of our common stock then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outstanding. In addition, from and after the time that the Bank Stockholders own a number of shares of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common stock, in the aggregate, that is less than 10% of the total number of shares of our common stock then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outstanding, the Bank Stockholders will have no further demand rights. We will not be required to effect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registration as requested by any of the Refinitiv Owners or the Bank Stockholders, if in the good faith judgment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our board of directors, such registration would materially interfere with certain existing or potential material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transactions or events involving the company and should be delayed. These demand rights will also be subject to</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cutbacks, priorities and other limitations.</w:t>
      </w:r>
    </w:p>
    <w:p>
      <w:pPr>
        <w:spacing w:after="0" w:line="19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Piggyback Registration Rights</w:t>
      </w:r>
    </w:p>
    <w:p>
      <w:pPr>
        <w:spacing w:after="0" w:line="10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In addition, if at any time we register any shares of our Class A common stock (other than pursuant to registrations on Form S-4 or Form S-8), the holders of registrable shares are entitled to include, subject to certain exceptions and limitations, all or a portion of their registrable shares in the registration. The foregoing piggyback rights, with respect to the Bank Stockholders, will fall away when the Bank Stockholders own a number of shares of our common stock, in the aggregate, that is less than 10% of the total number of shares of our common stock then outstanding; provided, that, with respect to each Bank Stockholder, on an individual basis, in no event shall such Bank Stockholder, together with any other holder that is an affiliate of such Bank Stockholder, cease to be entitled to piggyback rights if such Bank Stockholder, together with any such affiliate, owns a number of shares of our common stock, in the aggregate, that is more than 2% of the total number of shares of common stock then outstanding.</w:t>
      </w:r>
    </w:p>
    <w:p>
      <w:pPr>
        <w:spacing w:after="0" w:line="70"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Transfer Restrictions</w:t>
      </w:r>
    </w:p>
    <w:p>
      <w:pPr>
        <w:spacing w:after="0" w:line="104"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Without our prior written consent, the Refinitiv Owners and the Bank Stockholders will not be permitted to transfer any registrable shares they beneficially own as of the closing of this offering (the “Initial Ownership Shares”), including pursuant to the Registration Rights Agreement, except (i) with respect to 50% of such holder’s Initial Ownership Shares, after 180 days following the date of this prospectus, (ii) with respect to the remainder of such holder’s Initial Ownership Shares, after 365 days following the effective date of the registration statement of which this prospectus forms a part, (iii) to certain permitted transferees and (iv) in certain other limited circumstances.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Provisions</w:t>
      </w:r>
    </w:p>
    <w:p>
      <w:pPr>
        <w:spacing w:after="0" w:line="104"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We will pay all registration and offering expenses, including, among other things, reasonable fees 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59" w:lineRule="auto"/>
        <w:rPr>
          <w:sz w:val="20"/>
          <w:szCs w:val="20"/>
          <w:color w:val="auto"/>
        </w:rPr>
      </w:pPr>
      <w:r>
        <w:rPr>
          <w:rFonts w:ascii="Arial" w:cs="Arial" w:eastAsia="Arial" w:hAnsi="Arial"/>
          <w:sz w:val="18"/>
          <w:szCs w:val="18"/>
          <w:color w:val="auto"/>
        </w:rPr>
        <w:t>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6"/>
          <w:szCs w:val="16"/>
          <w:color w:val="auto"/>
        </w:rPr>
        <w:t>We intend to enter into indemnification agreements with our directors and executive officers. These agreements will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57"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8" w:lineRule="exact"/>
        <w:rPr>
          <w:sz w:val="20"/>
          <w:szCs w:val="20"/>
          <w:color w:val="auto"/>
        </w:rPr>
      </w:pPr>
    </w:p>
    <w:p>
      <w:pPr>
        <w:jc w:val="both"/>
        <w:ind w:left="1260" w:right="799" w:firstLine="360"/>
        <w:spacing w:after="0" w:line="285" w:lineRule="auto"/>
        <w:rPr>
          <w:sz w:val="20"/>
          <w:szCs w:val="20"/>
          <w:color w:val="auto"/>
        </w:rPr>
      </w:pPr>
      <w:r>
        <w:rPr>
          <w:rFonts w:ascii="Arial" w:cs="Arial" w:eastAsia="Arial" w:hAnsi="Arial"/>
          <w:sz w:val="16"/>
          <w:szCs w:val="16"/>
          <w:color w:val="auto"/>
        </w:rPr>
        <w:t>Prior to the completion of this offering, we expect that our board of directors will adopt a policy providing that the audit committee will review and approve or ratify transactions in excess of $120,000 of value in which we participate and in which a director, executive officer or beneficial holder of more than 5% of any class of our voting securities has or will have a direct or indirect material interest. Under this policy, the audit committee is to obtain all information it believes to be relevant to a review and approval or ratification of these transactions.</w:t>
      </w:r>
    </w:p>
    <w:p>
      <w:pPr>
        <w:spacing w:after="0" w:line="2" w:lineRule="exact"/>
        <w:rPr>
          <w:sz w:val="20"/>
          <w:szCs w:val="20"/>
          <w:color w:val="auto"/>
        </w:rPr>
      </w:pPr>
    </w:p>
    <w:p>
      <w:pPr>
        <w:ind w:left="1260" w:right="739"/>
        <w:spacing w:after="0" w:line="267" w:lineRule="auto"/>
        <w:rPr>
          <w:sz w:val="20"/>
          <w:szCs w:val="20"/>
          <w:color w:val="auto"/>
        </w:rPr>
      </w:pPr>
      <w:r>
        <w:rPr>
          <w:rFonts w:ascii="Arial" w:cs="Arial" w:eastAsia="Arial" w:hAnsi="Arial"/>
          <w:sz w:val="17"/>
          <w:szCs w:val="17"/>
          <w:color w:val="auto"/>
        </w:rPr>
        <w:t>After consideration of the relevant information, the audit committee is to approve only those related party transactions that the audit committee believes are on their terms, taken as a whole, no less favorable to us than could be obtained in an arm’s-length transaction with an unrelated third party and that the audit committee determines are not inconsistent with the best interests of the Company. In particular, our policy with respect to related party transactions will require our audit committee to consider the benefits to the Company, the impact on a director’s independence in the event the related person is a director, an immediate family member of a director or an entity in which a director has a position or relationship, the availability of other sources for comparable products or services, the terms of the transaction and the terms available to unrelated third parties or to employees generally. A “related party” is any person who is or was one of our executive officers, directors or director nominees or is a holder of more than 5% of our common stock, or their immediate family members or any entity owned or controlled by any of the foregoing persons. All of the transactions described above were entered into prior to the adoption of this policy.</w:t>
      </w:r>
    </w:p>
    <w:p>
      <w:pPr>
        <w:spacing w:after="0" w:line="77"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www.sec.gov</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DESCRIPTION OF CAPITAL STOCK</w:t>
      </w:r>
    </w:p>
    <w:p>
      <w:pPr>
        <w:spacing w:after="0" w:line="10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In connection with this offering, we will amend and restate our certificate of incorporation and our bylaws. Unless otherwise stated, the following is a description of the material terms of, and is qualified in its entirety by, our amended and restated certificate of incorporation and amended and restated bylaws, each of which will be in effect upon the completion of this offering, the forms of which are filed as exhibits to the registration statement of which this prospectus forms a part. In this “Description of Capital Stock” section, “we,” “us,” “our” and “our company” refer to Tradeweb Markets Inc. and not to any of its subsidiaries.</w:t>
      </w:r>
    </w:p>
    <w:p>
      <w:pPr>
        <w:spacing w:after="0" w:line="70" w:lineRule="exact"/>
        <w:rPr>
          <w:sz w:val="20"/>
          <w:szCs w:val="20"/>
          <w:color w:val="auto"/>
        </w:rPr>
      </w:pPr>
    </w:p>
    <w:p>
      <w:pPr>
        <w:ind w:left="1260" w:right="1279" w:firstLine="360"/>
        <w:spacing w:after="0" w:line="27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w:t>
      </w:r>
    </w:p>
    <w:p>
      <w:pPr>
        <w:spacing w:after="0" w:line="6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Our current authorized capital stock consists of 100 shares of common stock, par value $0.01 per share.</w:t>
      </w:r>
    </w:p>
    <w:p>
      <w:pPr>
        <w:spacing w:after="0" w:line="35" w:lineRule="exact"/>
        <w:rPr>
          <w:sz w:val="20"/>
          <w:szCs w:val="20"/>
          <w:color w:val="auto"/>
        </w:rPr>
      </w:pPr>
    </w:p>
    <w:p>
      <w:pPr>
        <w:ind w:left="1260" w:right="759"/>
        <w:spacing w:after="0" w:line="253" w:lineRule="auto"/>
        <w:rPr>
          <w:sz w:val="20"/>
          <w:szCs w:val="20"/>
          <w:color w:val="auto"/>
        </w:rPr>
      </w:pPr>
      <w:r>
        <w:rPr>
          <w:rFonts w:ascii="Arial" w:cs="Arial" w:eastAsia="Arial" w:hAnsi="Arial"/>
          <w:sz w:val="18"/>
          <w:szCs w:val="18"/>
          <w:color w:val="auto"/>
        </w:rPr>
        <w:t>Upon the completion of this offering, our authorized capital stock will consist of shares of Class A common stock, par value $0.01 per share, shares of Class B common stock, par value $0.01 per share, shares of Class C common stock, par value $0.01 per share, shares of Class D common stock, par value $0.01 per share, and shares of preferred stock, par value $0.01 per share. Unless our board of directors determines otherwise, we will issue all shares of our capital stock in uncertificated form.</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jc w:val="both"/>
        <w:ind w:left="1260" w:right="859" w:firstLine="360"/>
        <w:spacing w:after="0" w:line="286" w:lineRule="auto"/>
        <w:rPr>
          <w:sz w:val="20"/>
          <w:szCs w:val="20"/>
          <w:color w:val="auto"/>
        </w:rPr>
      </w:pPr>
      <w:r>
        <w:rPr>
          <w:rFonts w:ascii="Arial" w:cs="Arial" w:eastAsia="Arial" w:hAnsi="Arial"/>
          <w:sz w:val="17"/>
          <w:szCs w:val="17"/>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0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79"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A common stock unless they are declared or paid in the same amount in respect of Class B common stock, and vice versa. With respect to stock dividends, holders of Class A common stock must receive Class A common stock.</w:t>
      </w:r>
    </w:p>
    <w:p>
      <w:pPr>
        <w:spacing w:after="0" w:line="57"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A common stock and Class B common stock will be entitled to share ratably our remaining assets available for distribution.</w:t>
      </w:r>
    </w:p>
    <w:p>
      <w:pPr>
        <w:spacing w:after="0" w:line="79"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All shares of our Class A common stock that will be outstanding upon the completion of this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0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Holders of shares of our Class B common stock are entitled to ten votes for each share held of record on all matters on which stockholders are entitled to vote generally, including the election or removal of directors elected by our stockholders generally. The holders of our Class B common stock do not have cumulative voting rights in the election of directors.</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Holders of shares of our Class B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B common stock unless they are declared or paid in the same amount in respect of Class A common stock, and vice versa. With respect to stock dividends, holders of Class B common stock must receive Class B common stock.</w:t>
      </w:r>
    </w:p>
    <w:p>
      <w:pPr>
        <w:spacing w:after="0" w:line="57"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B common stock and Class A common stock will be entitled to share ratably our remaining assets available for distribution.</w:t>
      </w:r>
    </w:p>
    <w:p>
      <w:pPr>
        <w:spacing w:after="0" w:line="7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All shares of our Class B common stock that will be outstanding at the time of the completion of the offering will be fully paid and non-assessable. The Class B common stock will not be subject to further calls or assessments by us. Holders of shares of our Class B common stock do not have preemptive, subscription, redemption or conversion rights. There will be no redemption or sinking fund provisions applicable to the Class B common stock. The rights, powers, preferences and privileges of our Class B common stock will be subject to those of the holders of any shares of our preferred stock or any other series or class of stock we may authorize and issue in the future.</w:t>
      </w:r>
    </w:p>
    <w:p>
      <w:pPr>
        <w:spacing w:after="0" w:line="81"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Upon the completion of this offering, the Refinitiv Direct Owner will own 100% of our outstanding Class B common stock.</w:t>
      </w:r>
    </w:p>
    <w:p>
      <w:pPr>
        <w:spacing w:after="0" w:line="6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Shares of Class B common stock may be exchanged at any time, at the option of the holder, for newly issued shares of Class A common stock, on a one-for-one basis (in which case their shares of Class B common stock will be cancelled on a one-for-one basis upon any such issuance).</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Each share of Class B common stock will automatically convert into one share of Class A common stock</w:t>
      </w:r>
    </w:p>
    <w:p>
      <w:pPr>
        <w:spacing w:after="0" w:line="35" w:lineRule="exact"/>
        <w:rPr>
          <w:sz w:val="20"/>
          <w:szCs w:val="20"/>
          <w:color w:val="auto"/>
        </w:rPr>
      </w:pPr>
    </w:p>
    <w:p>
      <w:pPr>
        <w:ind w:left="1260" w:right="759" w:firstLine="8"/>
        <w:spacing w:after="0" w:line="302" w:lineRule="auto"/>
        <w:tabs>
          <w:tab w:leader="none" w:pos="147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immediately prior to any sale or other transfer of such share by a holder or its permitted transferees or (ii) once the Refinitiv Owners and their affiliates together no longer beneficially own a number of shares of our common stock and LLC Interests that together entitle them to at least 10% of TWM LLC’s economic interests.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Holders of shares of our Class C common stock are entitled to one vote for each share held of record on all matters on which stockholders are entitled to vote generally, including the election or removal of directors elected by our stockholders generally, with the number of shares of Class C common stock held by each holder being equivalent to the number of LLC Interests held by such holder. The holders of our Class C common stock do not have cumulative voting rights in the election of directors.</w:t>
      </w:r>
    </w:p>
    <w:p>
      <w:pPr>
        <w:spacing w:after="0" w:line="64"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Holders of shares of our Class C common stock are not entitled to receive dividends or a distribution upon our liquidation, dissolution or winding up.</w:t>
      </w:r>
    </w:p>
    <w:p>
      <w:pPr>
        <w:spacing w:after="0" w:line="62"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The Class C common stock will not be subject to further calls or assessments by us. Holders of shares of our Class C common stock do not have preemptive, subscription, redemption or conversion rights. There will be no redemption or sinking fund provisions applicable to the Class C common stock. The rights powers, preferences and privileges of our Class C common stock will be subject to those of the holders of any shares of our preferred stock or any other series or class of stock we may authorize and issue in the future.</w:t>
      </w:r>
    </w:p>
    <w:p>
      <w:pPr>
        <w:spacing w:after="0" w:line="6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will be no outstanding shares of Class C common stock upon completion of this offering.</w:t>
      </w:r>
    </w:p>
    <w:p>
      <w:pPr>
        <w:spacing w:after="0" w:line="117"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Shares of Class C common stock will only be issued in the future to the extent (i) the Continuing LLC Owners from time to time exchange all or a portion of their shares of our Class D common stock for newly issued shares of Class C common stock on a one-for-one basis (in which case their shares of Class D common stock will be cancelled on a one-for-one basis upon such issuance), or (ii) necessary to maintain a one-to-one ratio between the number of shares of Class C common stock issued to the Continuing LLC Owners and the number of related LLC interests held by the Continuing LLC Owners. Shares of Class C</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common stock will be cancelled on a one-for-one basis if we, at the election of a Continuing LLC Owner, redeem the related LLC Interests held by such Continuing LLC Owner and issue Class A common stock to the Continuing LLC Owner in connection therewith pursuant to the terms of the TWM LLC Agreement. Our Class C common stock is non-transferable, other than in connection with a transfer of the related LLC Interests to a permitted transferee under the TWM LLC Agreement, in which case a like number of shares of Class C common stock must be transferred to the permitted transferee.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Holders of shares of our Class D common stock are entitled to ten votes for each share held of record on all matters on which stockholders are entitled to vote generally, including the election or removal of directors elected by our stockholders generally, with the number of shares of Class D common stock held by each holder being equivalent to the number of LLC Interests held by such holder. The holders of our Class D common stock do not have cumulative voting rights in the election of directors.</w:t>
      </w:r>
    </w:p>
    <w:p>
      <w:pPr>
        <w:spacing w:after="0" w:line="64"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Holders of shares of our Class D common stock are not entitled to receive dividends or a distribution upon our liquidation, dissolution or winding up.</w:t>
      </w:r>
    </w:p>
    <w:p>
      <w:pPr>
        <w:spacing w:after="0" w:line="62"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All shares of our Class D common stock that will be outstanding upon completion of this offering will be fully paid and non-assessable. The Class D common stock will not be subject to further calls or assessments by us. Holders of shares of our Class D common stock do not have preemptive, subscription, redemption or conversion rights. There will be no redemption or sinking fund provisions applicable to the Class D common stock. The rights, powers, preferences and privileges of our Class D common stock will be subject to those of the holders of any shares of our preferred stock or any other series or class of stock we may authorize and issue in the future.</w:t>
      </w:r>
    </w:p>
    <w:p>
      <w:pPr>
        <w:spacing w:after="0" w:line="81"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Upon the completion of this offering, the Continuing LLC Owners will own 100% of our outstanding Class D common stock, with the number of shares of Class D common stock held by any such Continuing LLC Owner being equivalent to the number of LLC Interests held by such Continuing LLC Owner.</w:t>
      </w:r>
    </w:p>
    <w:p>
      <w:pPr>
        <w:spacing w:after="0" w:line="57"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Shares of Class D common stock will only be issued in the future to the extent necessary to maintain a one-to-one ratio between the number of shares of Class D common stock issued to the Continuing LLC Owners and the number of related LLC Intersts held by the Continuing LLC Owners. Shares of Class D common stock will be cancelled on a one-for-one basis if we, at the election of a Continuing LLC Owner, redeem the related LLC Interests held by such Continuing LLC Owner and issue Class A common stock or, at the election of the Continuing LLC Owner, Class B common stock, to such Continuing LLC Owner in connection therewith, pursuant to the terms of the TWM LLC Agreement. Furthermore, the Continuing LLC Owners may from time to time exchange all or a portion of their shares of our Class D common stock for newly issued shares of Class C common stock on a one-for-one basis (in which case their shares of Class D common stock will be cancelled on a one-for-one basis upon such issuance). Our Class D common stock is non-transferable, other than in connection with a transfer of the related LLC Interests to a permitted transferee under the TWM LLC Agreement, in which case a like number of shares of Class D common stock must be transferred to the permitted transferee.</w:t>
      </w:r>
    </w:p>
    <w:p>
      <w:pPr>
        <w:spacing w:after="0" w:line="6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Each share of Class D common stock will automatically convert into one share of Class C common stock</w:t>
      </w:r>
    </w:p>
    <w:p>
      <w:pPr>
        <w:spacing w:after="0" w:line="46" w:lineRule="exact"/>
        <w:rPr>
          <w:sz w:val="20"/>
          <w:szCs w:val="20"/>
          <w:color w:val="auto"/>
        </w:rPr>
      </w:pPr>
    </w:p>
    <w:p>
      <w:pPr>
        <w:ind w:left="1260" w:right="779" w:firstLine="8"/>
        <w:spacing w:after="0" w:line="253" w:lineRule="auto"/>
        <w:tabs>
          <w:tab w:leader="none" w:pos="147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immediately prior to any sale or other transfer of such share by a Continuing LLC Owner or any of its affiliates or permitted transferees, which sale or transfer will be limited by the transfer restrictions on LLC Interests contained in the TWM LLC Agreement, or (ii) once the Refinitiv Owners and their affiliates together no longer beneficially own a number of shares of our common stock and LLC Interests that together entitle them to at least 10% of TWM LLC’s economic interests.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No shares of preferred stock will be issued or outstanding immediately after the offering contemplated by this prospectus.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019"/>
        <w:spacing w:after="0" w:line="259" w:lineRule="auto"/>
        <w:rPr>
          <w:sz w:val="20"/>
          <w:szCs w:val="20"/>
          <w:color w:val="auto"/>
        </w:rPr>
      </w:pPr>
      <w:r>
        <w:rPr>
          <w:rFonts w:ascii="Arial" w:cs="Arial" w:eastAsia="Arial" w:hAnsi="Arial"/>
          <w:sz w:val="18"/>
          <w:szCs w:val="18"/>
          <w:color w:val="auto"/>
        </w:rPr>
        <w:t>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33" w:lineRule="exact"/>
        <w:rPr>
          <w:sz w:val="20"/>
          <w:szCs w:val="20"/>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57" w:lineRule="exact"/>
        <w:rPr>
          <w:rFonts w:ascii="Arial" w:cs="Arial" w:eastAsia="Arial" w:hAnsi="Arial"/>
          <w:sz w:val="18"/>
          <w:szCs w:val="18"/>
          <w:color w:val="auto"/>
        </w:rPr>
      </w:pPr>
    </w:p>
    <w:p>
      <w:pPr>
        <w:jc w:val="both"/>
        <w:ind w:left="1980" w:right="859" w:hanging="352"/>
        <w:spacing w:after="0" w:line="312" w:lineRule="auto"/>
        <w:tabs>
          <w:tab w:leader="none" w:pos="19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9" w:lineRule="exact"/>
        <w:rPr>
          <w:rFonts w:ascii="Arial" w:cs="Arial" w:eastAsia="Arial" w:hAnsi="Arial"/>
          <w:sz w:val="16"/>
          <w:szCs w:val="16"/>
          <w:color w:val="auto"/>
        </w:rPr>
      </w:pPr>
    </w:p>
    <w:p>
      <w:pPr>
        <w:ind w:left="1980" w:hanging="352"/>
        <w:spacing w:after="0"/>
        <w:tabs>
          <w:tab w:leader="none" w:pos="19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69" w:lineRule="exact"/>
        <w:rPr>
          <w:rFonts w:ascii="Arial" w:cs="Arial" w:eastAsia="Arial" w:hAnsi="Arial"/>
          <w:sz w:val="17"/>
          <w:szCs w:val="17"/>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redemption or repurchase rights and price or prices, if any, for shares of the series;</w:t>
      </w:r>
    </w:p>
    <w:p>
      <w:pPr>
        <w:spacing w:after="0" w:line="157"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6"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w:t>
      </w:r>
    </w:p>
    <w:p>
      <w:pPr>
        <w:spacing w:after="0" w:line="102" w:lineRule="exact"/>
        <w:rPr>
          <w:rFonts w:ascii="Arial" w:cs="Arial" w:eastAsia="Arial" w:hAnsi="Arial"/>
          <w:sz w:val="18"/>
          <w:szCs w:val="18"/>
          <w:color w:val="auto"/>
        </w:rPr>
      </w:pPr>
    </w:p>
    <w:p>
      <w:pPr>
        <w:ind w:left="1980" w:right="799" w:hanging="352"/>
        <w:spacing w:after="0" w:line="257" w:lineRule="auto"/>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0" w:lineRule="exact"/>
        <w:rPr>
          <w:rFonts w:ascii="Arial" w:cs="Arial" w:eastAsia="Arial" w:hAnsi="Arial"/>
          <w:sz w:val="18"/>
          <w:szCs w:val="18"/>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Class A common stock.</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74" w:lineRule="exact"/>
        <w:rPr>
          <w:sz w:val="20"/>
          <w:szCs w:val="20"/>
          <w:color w:val="auto"/>
        </w:rPr>
      </w:pPr>
    </w:p>
    <w:p>
      <w:pPr>
        <w:ind w:left="1260" w:right="859" w:firstLine="360"/>
        <w:spacing w:after="0" w:line="276" w:lineRule="auto"/>
        <w:rPr>
          <w:sz w:val="20"/>
          <w:szCs w:val="20"/>
          <w:color w:val="auto"/>
        </w:rPr>
      </w:pPr>
      <w:r>
        <w:rPr>
          <w:rFonts w:ascii="Arial" w:cs="Arial" w:eastAsia="Arial" w:hAnsi="Arial"/>
          <w:sz w:val="17"/>
          <w:szCs w:val="17"/>
          <w:color w:val="auto"/>
        </w:rPr>
        <w:t>Following this offering, we intend to pay dividends on our Class A common stock and Class B common stock. Any decision to declare and pay dividends in the future will be made at the sole discretion of our board of directors and will depend on, among other things, our and our subsidiaries’ results of operations, capital requirements, financial condition, business prospects, contractual restrictions and other factors that our board of directors may deem relevant. Because we are a holding company and have no</w:t>
      </w: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direct operations, we expect to pay dividends, if any, from funds we receive from our subsidiaries. In addition, our ability to pay dividends may be limited by the terms of the New Revolving Credit Facility or any future credit agreement or any future debt or preferred equity securities of Tradeweb or its subsidiaries. See “Dividend Policy.”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08" w:lineRule="exact"/>
        <w:rPr>
          <w:sz w:val="20"/>
          <w:szCs w:val="20"/>
          <w:color w:val="auto"/>
        </w:rPr>
      </w:pPr>
    </w:p>
    <w:p>
      <w:pPr>
        <w:jc w:val="both"/>
        <w:ind w:left="1260" w:right="879" w:firstLine="360"/>
        <w:spacing w:after="0" w:line="264"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69" w:lineRule="exact"/>
        <w:rPr>
          <w:sz w:val="20"/>
          <w:szCs w:val="20"/>
          <w:color w:val="auto"/>
        </w:rPr>
      </w:pPr>
    </w:p>
    <w:p>
      <w:pPr>
        <w:ind w:left="1260" w:right="1219"/>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04"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Delaware law does not require stockholder approval for any issuance of shares that are authorized and available for issuance. However, the listing requirements of Nasdaq, which would apply so long as our Class A common stock remains listed on Nasdaq, require stockholder approval of certain issuances equal to or 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70" w:lineRule="exact"/>
        <w:rPr>
          <w:sz w:val="20"/>
          <w:szCs w:val="20"/>
          <w:color w:val="auto"/>
        </w:rPr>
      </w:pPr>
    </w:p>
    <w:p>
      <w:pPr>
        <w:ind w:left="1260" w:right="1119" w:firstLine="360"/>
        <w:spacing w:after="0" w:line="255" w:lineRule="auto"/>
        <w:rPr>
          <w:sz w:val="20"/>
          <w:szCs w:val="20"/>
          <w:color w:val="auto"/>
        </w:rPr>
      </w:pPr>
      <w:r>
        <w:rPr>
          <w:rFonts w:ascii="Arial" w:cs="Arial" w:eastAsia="Arial" w:hAnsi="Arial"/>
          <w:sz w:val="18"/>
          <w:szCs w:val="18"/>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8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4"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60" w:lineRule="exact"/>
        <w:rPr>
          <w:sz w:val="20"/>
          <w:szCs w:val="20"/>
          <w:color w:val="auto"/>
        </w:rPr>
      </w:pPr>
    </w:p>
    <w:p>
      <w:pPr>
        <w:ind w:left="1980" w:right="979" w:hanging="352"/>
        <w:spacing w:after="0" w:line="277" w:lineRule="auto"/>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29"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40" w:lineRule="exact"/>
        <w:rPr>
          <w:rFonts w:ascii="Arial" w:cs="Arial" w:eastAsia="Arial" w:hAnsi="Arial"/>
          <w:sz w:val="18"/>
          <w:szCs w:val="18"/>
          <w:color w:val="auto"/>
        </w:rPr>
      </w:pPr>
    </w:p>
    <w:p>
      <w:pPr>
        <w:ind w:left="1980" w:right="779" w:hanging="352"/>
        <w:spacing w:after="0" w:line="271" w:lineRule="auto"/>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6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80"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9"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04"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directors may be removed with or without cause upon the affirmative vote of a majority in voting power of all outstanding shares of stock entitled to vote generally in the election of directors, voting together as a single class; provided, however, at any time when Refinitiv Owners and its affiliates beneficially own in the aggregate, less than 50% of the voting power of all the outstanding shares of our stock entitled to vote generally in the election of directors, directors may only be removed for cause, and only upon the affirmative vote of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the then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the Refinitiv Owners and their affiliates beneficially own, in the aggregate, less than 50% of the voting power of all outstanding shares of our stock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25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60" w:right="1119" w:firstLine="360"/>
        <w:spacing w:after="0" w:line="302" w:lineRule="auto"/>
        <w:rPr>
          <w:sz w:val="20"/>
          <w:szCs w:val="20"/>
          <w:color w:val="auto"/>
        </w:rPr>
      </w:pPr>
      <w:r>
        <w:rPr>
          <w:rFonts w:ascii="Arial" w:cs="Arial" w:eastAsia="Arial" w:hAnsi="Arial"/>
          <w:sz w:val="16"/>
          <w:szCs w:val="16"/>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04"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or the chairman of the board of directors; provided, however, at any time when the Refinitiv Owners and their affiliates beneficially own, in the aggregate, at least 50% in voting power of the stock entitled to vote generally in the election of directors, special meetings of our stockholders shall also be called by the board of directors or the chairman of the board of directors at the request of the Refinitiv Owners and their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04"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Refinitiv Owners and their affiliates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04"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at any time when the Refinitiv Owners and their affiliates own, in the aggregate, less than 50% in voting power of our stock entitled to vote generally in the election of directors.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04"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For as long as the Refinitiv Owners and their affiliates beneficially own, in the aggregate, at least 50% in voting power of our stock entitled to vote generally in the election of directors, any amendment, alteration, change, addition,</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94" w:lineRule="auto"/>
        <w:rPr>
          <w:sz w:val="20"/>
          <w:szCs w:val="20"/>
          <w:color w:val="auto"/>
        </w:rPr>
      </w:pPr>
      <w:r>
        <w:rPr>
          <w:rFonts w:ascii="Arial" w:cs="Arial" w:eastAsia="Arial" w:hAnsi="Arial"/>
          <w:sz w:val="16"/>
          <w:szCs w:val="16"/>
          <w:color w:val="auto"/>
        </w:rPr>
        <w:t>rescission or repeal of our bylaws by our stockholders requires the affirmative vote of a majority in voting power of the outstanding shares of our stock present in person or represented by proxy at the meeting and entitled to vote on such amendment, alteration, change, addition, rescission or repeal. At any time when Refinitiv and its affiliates beneficially own, in the aggregate, less than 50% in voting power of our stock entitled to vote generally in the election of directors, any amendment, alteration, change, addition, rescission or repeal of our bylaws by our stockholders requires the affirmative vote of the holders of at least 66</w:t>
      </w:r>
      <w:r>
        <w:rPr>
          <w:rFonts w:ascii="Arial" w:cs="Arial" w:eastAsia="Arial" w:hAnsi="Arial"/>
          <w:sz w:val="11"/>
          <w:szCs w:val="11"/>
          <w:color w:val="auto"/>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voting power of all the then outstanding shares of stock entitled to vote thereon, voting together as a single class.</w:t>
      </w:r>
    </w:p>
    <w:p>
      <w:pPr>
        <w:spacing w:after="0" w:line="56" w:lineRule="exact"/>
        <w:rPr>
          <w:sz w:val="20"/>
          <w:szCs w:val="20"/>
          <w:color w:val="auto"/>
        </w:rPr>
      </w:pPr>
    </w:p>
    <w:p>
      <w:pPr>
        <w:jc w:val="both"/>
        <w:ind w:left="1260" w:right="979"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Our amended and restated certificate of incorporation provides that at any time when the Refinitiv Owners and their affiliates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the then outstanding shares of stock entitled to vote thereon, voting together as a single class:</w:t>
      </w:r>
    </w:p>
    <w:p>
      <w:pPr>
        <w:spacing w:after="0" w:line="132" w:lineRule="exact"/>
        <w:rPr>
          <w:sz w:val="20"/>
          <w:szCs w:val="20"/>
          <w:color w:val="auto"/>
        </w:rPr>
      </w:pPr>
    </w:p>
    <w:p>
      <w:pPr>
        <w:ind w:left="1980" w:right="1319" w:hanging="352"/>
        <w:spacing w:after="0" w:line="293" w:lineRule="auto"/>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 for stockholders to amend our amended and restated bylaws;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69" w:lineRule="exact"/>
        <w:rPr>
          <w:rFonts w:ascii="Arial" w:cs="Arial" w:eastAsia="Arial" w:hAnsi="Arial"/>
          <w:sz w:val="17"/>
          <w:szCs w:val="17"/>
          <w:color w:val="auto"/>
        </w:rPr>
      </w:pPr>
    </w:p>
    <w:p>
      <w:pPr>
        <w:ind w:left="1980" w:hanging="352"/>
        <w:spacing w:after="0"/>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newly-created directorships;</w:t>
      </w:r>
    </w:p>
    <w:p>
      <w:pPr>
        <w:spacing w:after="0" w:line="182" w:lineRule="exact"/>
        <w:rPr>
          <w:rFonts w:ascii="Arial" w:cs="Arial" w:eastAsia="Arial" w:hAnsi="Arial"/>
          <w:sz w:val="17"/>
          <w:szCs w:val="17"/>
          <w:color w:val="auto"/>
        </w:rPr>
      </w:pPr>
    </w:p>
    <w:p>
      <w:pPr>
        <w:ind w:left="1980" w:hanging="352"/>
        <w:spacing w:after="0"/>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71" w:lineRule="exact"/>
        <w:rPr>
          <w:rFonts w:ascii="Arial" w:cs="Arial" w:eastAsia="Arial" w:hAnsi="Arial"/>
          <w:sz w:val="18"/>
          <w:szCs w:val="18"/>
          <w:color w:val="auto"/>
        </w:rPr>
      </w:pPr>
    </w:p>
    <w:p>
      <w:pPr>
        <w:ind w:left="1980" w:right="1559" w:hanging="352"/>
        <w:spacing w:after="0" w:line="223" w:lineRule="auto"/>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w:t>
      </w:r>
    </w:p>
    <w:p>
      <w:pPr>
        <w:spacing w:after="0" w:line="94"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4"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08"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Derivative Actions</w:t>
      </w:r>
    </w:p>
    <w:p>
      <w:pPr>
        <w:spacing w:after="0" w:line="10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08"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to the selection of an alternative forum, any (i) derivative action or proceeding brought on behalf of our Company, (ii) action asserting a claim of breach of a fiduciary duty owed by any director, officer or other employee of our Company to our Company or our Company’s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to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any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759" w:firstLine="360"/>
        <w:spacing w:after="0" w:line="267"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Refinitiv Owners or any of its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Refinitiv Owners or any non-employee director acquires knowledge of a potential transaction or other business opportunity which may be a corporate opportunity for itself or himself or its or his affiliates and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offered to a non-employee director solely in his or her capacity as a director or officer of the Company. To the fullest</w:t>
      </w:r>
    </w:p>
    <w:p>
      <w:pPr>
        <w:spacing w:after="0" w:line="25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59" w:lineRule="auto"/>
        <w:rPr>
          <w:sz w:val="20"/>
          <w:szCs w:val="20"/>
          <w:color w:val="auto"/>
        </w:rPr>
      </w:pPr>
      <w:r>
        <w:rPr>
          <w:rFonts w:ascii="Arial" w:cs="Arial" w:eastAsia="Arial" w:hAnsi="Arial"/>
          <w:sz w:val="18"/>
          <w:szCs w:val="18"/>
          <w:color w:val="auto"/>
        </w:rPr>
        <w:t>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08" w:lineRule="exact"/>
        <w:rPr>
          <w:sz w:val="20"/>
          <w:szCs w:val="20"/>
          <w:color w:val="auto"/>
        </w:rPr>
      </w:pPr>
    </w:p>
    <w:p>
      <w:pPr>
        <w:ind w:left="1260" w:right="839" w:firstLine="360"/>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breaches of the director’s duty of loyalty, 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spacing w:after="0" w:line="72"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6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1"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We intend to enter into an indemnification agreement with each of our directors and executive officers as described in “Certain Relationships and Related Party Transactions — Related Party Transactions Entered Into in Connection With This Offering — Indemnification Agreements.”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left="1260" w:right="1019" w:firstLine="360"/>
        <w:spacing w:after="0" w:line="342" w:lineRule="auto"/>
        <w:rPr>
          <w:sz w:val="20"/>
          <w:szCs w:val="20"/>
          <w:color w:val="auto"/>
        </w:rPr>
      </w:pPr>
      <w:r>
        <w:rPr>
          <w:rFonts w:ascii="Arial" w:cs="Arial" w:eastAsia="Arial" w:hAnsi="Arial"/>
          <w:sz w:val="16"/>
          <w:szCs w:val="16"/>
          <w:color w:val="auto"/>
        </w:rPr>
        <w:t>The transfer agent and registrar for shares of our Class A common stock, Class B common stock, Class C common stock and Class D common stock will be American Stock Transfer &amp; Trust Company, LLC.</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intend to apply to list our Class A common stock on Nasdaq under the symbol “TW.”</w:t>
      </w:r>
    </w:p>
    <w:p>
      <w:pPr>
        <w:spacing w:after="0" w:line="29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DESCRIPTION OF CERTAIN INDEBTEDNESS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Revolving Credit Facility</w:t>
      </w:r>
    </w:p>
    <w:p>
      <w:pPr>
        <w:spacing w:after="0" w:line="10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expect to enter into the New Revolving Credit Facility concurrently with the consummation of this offering. Despite our expectations, the entering into the New Revolving Credit Facility and the terms of such credit facility are subject to a number of factors, and we cannot assure you that we will enter into a credit facility on such terms or at all.</w:t>
      </w:r>
    </w:p>
    <w:p>
      <w:pPr>
        <w:spacing w:after="0" w:line="79" w:lineRule="exact"/>
        <w:rPr>
          <w:sz w:val="20"/>
          <w:szCs w:val="20"/>
          <w:color w:val="auto"/>
        </w:rPr>
      </w:pPr>
    </w:p>
    <w:p>
      <w:pPr>
        <w:jc w:val="both"/>
        <w:ind w:left="1260" w:right="1179" w:firstLine="360"/>
        <w:spacing w:after="0" w:line="271" w:lineRule="auto"/>
        <w:rPr>
          <w:sz w:val="20"/>
          <w:szCs w:val="20"/>
          <w:color w:val="auto"/>
        </w:rPr>
      </w:pPr>
      <w:r>
        <w:rPr>
          <w:rFonts w:ascii="Arial" w:cs="Arial" w:eastAsia="Arial" w:hAnsi="Arial"/>
          <w:sz w:val="17"/>
          <w:szCs w:val="17"/>
          <w:color w:val="auto"/>
        </w:rPr>
        <w:t>TWM LLC will be the borrower under the New Revolving Credit Facility. The New Revolving Credit Facility is expected to permit borrowings of up to $ million by TWM LLC. Subject to the satisfaction of certain criteria, we will be able to increase the facility by $ million with the consent of lenders</w:t>
      </w:r>
    </w:p>
    <w:p>
      <w:pPr>
        <w:ind w:left="1260"/>
        <w:spacing w:after="0"/>
        <w:rPr>
          <w:sz w:val="20"/>
          <w:szCs w:val="20"/>
          <w:color w:val="auto"/>
        </w:rPr>
      </w:pPr>
      <w:r>
        <w:rPr>
          <w:rFonts w:ascii="Arial" w:cs="Arial" w:eastAsia="Arial" w:hAnsi="Arial"/>
          <w:sz w:val="16"/>
          <w:szCs w:val="16"/>
          <w:color w:val="auto"/>
        </w:rPr>
        <w:t>participating in the increase. The New Revolving Credit Facility is expected to provide for the issuance of up to</w:t>
      </w:r>
    </w:p>
    <w:p>
      <w:pPr>
        <w:spacing w:after="0" w:line="32" w:lineRule="exact"/>
        <w:rPr>
          <w:sz w:val="20"/>
          <w:szCs w:val="20"/>
          <w:color w:val="auto"/>
        </w:rPr>
      </w:pPr>
    </w:p>
    <w:p>
      <w:pPr>
        <w:ind w:left="1940" w:hanging="672"/>
        <w:spacing w:after="0"/>
        <w:tabs>
          <w:tab w:leader="none" w:pos="19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million of letters of credit as well as borrowings on same-day notice, referred to as swingline loans, in</w:t>
      </w:r>
    </w:p>
    <w:p>
      <w:pPr>
        <w:spacing w:after="0" w:line="32" w:lineRule="exact"/>
        <w:rPr>
          <w:sz w:val="20"/>
          <w:szCs w:val="20"/>
          <w:color w:val="auto"/>
        </w:rPr>
      </w:pPr>
    </w:p>
    <w:p>
      <w:pPr>
        <w:ind w:left="1260"/>
        <w:spacing w:after="0"/>
        <w:tabs>
          <w:tab w:leader="none" w:pos="3320" w:val="left"/>
        </w:tabs>
        <w:rPr>
          <w:sz w:val="20"/>
          <w:szCs w:val="20"/>
          <w:color w:val="auto"/>
        </w:rPr>
      </w:pPr>
      <w:r>
        <w:rPr>
          <w:rFonts w:ascii="Arial" w:cs="Arial" w:eastAsia="Arial" w:hAnsi="Arial"/>
          <w:sz w:val="18"/>
          <w:szCs w:val="18"/>
          <w:color w:val="auto"/>
        </w:rPr>
        <w:t>an amount of up to $</w:t>
      </w:r>
      <w:r>
        <w:rPr>
          <w:sz w:val="20"/>
          <w:szCs w:val="20"/>
          <w:color w:val="auto"/>
        </w:rPr>
        <w:tab/>
      </w:r>
      <w:r>
        <w:rPr>
          <w:rFonts w:ascii="Arial" w:cs="Arial" w:eastAsia="Arial" w:hAnsi="Arial"/>
          <w:sz w:val="18"/>
          <w:szCs w:val="18"/>
          <w:color w:val="auto"/>
        </w:rPr>
        <w:t>million.</w:t>
      </w:r>
    </w:p>
    <w:p>
      <w:pPr>
        <w:spacing w:after="0" w:line="103"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Borrowings under the New Revolving Credit Facility are expected to bear interest at a rate equal to, at our option, either (a) a base rate equal to the greatest of: (i) the administrative agent’s prime rate; (ii) the federal funds</w:t>
      </w:r>
    </w:p>
    <w:p>
      <w:pPr>
        <w:ind w:left="1260" w:right="1079"/>
        <w:spacing w:after="0" w:line="276" w:lineRule="auto"/>
        <w:rPr>
          <w:sz w:val="20"/>
          <w:szCs w:val="20"/>
          <w:color w:val="auto"/>
        </w:rPr>
      </w:pPr>
      <w:r>
        <w:rPr>
          <w:rFonts w:ascii="Arial" w:cs="Arial" w:eastAsia="Arial" w:hAnsi="Arial"/>
          <w:sz w:val="18"/>
          <w:szCs w:val="18"/>
          <w:color w:val="auto"/>
        </w:rPr>
        <w:t xml:space="preserve">effective rate plus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of 1.0% and (iii) one month LIBOR plus 1.0%; in each case plus %, or (b) LIBOR plus %, subject to a 0.00% floor.</w:t>
      </w:r>
    </w:p>
    <w:p>
      <w:pPr>
        <w:spacing w:after="0" w:line="63" w:lineRule="exact"/>
        <w:rPr>
          <w:sz w:val="20"/>
          <w:szCs w:val="20"/>
          <w:color w:val="auto"/>
        </w:rPr>
      </w:pPr>
    </w:p>
    <w:p>
      <w:pPr>
        <w:jc w:val="both"/>
        <w:ind w:left="1260" w:right="799" w:firstLine="360"/>
        <w:spacing w:after="0" w:line="264" w:lineRule="auto"/>
        <w:rPr>
          <w:sz w:val="20"/>
          <w:szCs w:val="20"/>
          <w:color w:val="auto"/>
        </w:rPr>
      </w:pPr>
      <w:r>
        <w:rPr>
          <w:rFonts w:ascii="Arial" w:cs="Arial" w:eastAsia="Arial" w:hAnsi="Arial"/>
          <w:sz w:val="18"/>
          <w:szCs w:val="18"/>
          <w:color w:val="auto"/>
        </w:rPr>
        <w:t>In addition to paying interest on any outstanding principal under the New Revolving Credit Facility, we will be required to pay a commitment fee in respect of unutilized commitments. The commitment fee will be 0.25%. We will also be required to pay customary letters of credit fees and agency fees.</w:t>
      </w:r>
    </w:p>
    <w:p>
      <w:pPr>
        <w:spacing w:after="0" w:line="7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We will have the option to voluntarily repay outstanding loans at any time without premium or penalty other than customary “breakage” costs with respect to LIBOR loans.</w:t>
      </w:r>
    </w:p>
    <w:p>
      <w:pPr>
        <w:spacing w:after="0" w:line="62" w:lineRule="exact"/>
        <w:rPr>
          <w:sz w:val="20"/>
          <w:szCs w:val="20"/>
          <w:color w:val="auto"/>
        </w:rPr>
      </w:pPr>
    </w:p>
    <w:p>
      <w:pPr>
        <w:ind w:left="1260" w:right="1079" w:firstLine="360"/>
        <w:spacing w:after="0" w:line="342" w:lineRule="auto"/>
        <w:rPr>
          <w:sz w:val="20"/>
          <w:szCs w:val="20"/>
          <w:color w:val="auto"/>
        </w:rPr>
      </w:pPr>
      <w:r>
        <w:rPr>
          <w:rFonts w:ascii="Arial" w:cs="Arial" w:eastAsia="Arial" w:hAnsi="Arial"/>
          <w:sz w:val="16"/>
          <w:szCs w:val="16"/>
          <w:color w:val="auto"/>
        </w:rPr>
        <w:t>There will be no scheduled amortization under the New Revolving Credit Facility. The principal amount outstanding will be due and payable in full at maturity, five years from the closing date of the facility.</w:t>
      </w:r>
    </w:p>
    <w:p>
      <w:pPr>
        <w:spacing w:after="0" w:line="16"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Obligations under the New Revolving Credit Facility will be guaranteed by our existing and future direct and indirect material wholly-owned domestic subsidiaries, subject to certain exceptions. The New Revolving Credit Facility will be secured by a first-priority security interest in substantially all of the assets of TWM LLC and the guarantors under the facility, subject to certain exceptions.</w:t>
      </w:r>
    </w:p>
    <w:p>
      <w:pPr>
        <w:spacing w:after="0" w:line="79" w:lineRule="exact"/>
        <w:rPr>
          <w:sz w:val="20"/>
          <w:szCs w:val="20"/>
          <w:color w:val="auto"/>
        </w:rPr>
      </w:pPr>
    </w:p>
    <w:p>
      <w:pPr>
        <w:ind w:left="1260" w:right="759" w:firstLine="360"/>
        <w:spacing w:after="0" w:line="264" w:lineRule="auto"/>
        <w:rPr>
          <w:sz w:val="20"/>
          <w:szCs w:val="20"/>
          <w:color w:val="auto"/>
        </w:rPr>
      </w:pPr>
      <w:r>
        <w:rPr>
          <w:rFonts w:ascii="Arial" w:cs="Arial" w:eastAsia="Arial" w:hAnsi="Arial"/>
          <w:sz w:val="18"/>
          <w:szCs w:val="18"/>
          <w:color w:val="auto"/>
        </w:rPr>
        <w:t>The credit agreement that will govern the New Revolving Credit Facility will contain a number of covenants that, among other things and subject to certain exceptions, restrict our ability and the ability of our restricted subsidiaries to:</w:t>
      </w:r>
    </w:p>
    <w:p>
      <w:pPr>
        <w:spacing w:after="0" w:line="154" w:lineRule="exact"/>
        <w:rPr>
          <w:sz w:val="20"/>
          <w:szCs w:val="20"/>
          <w:color w:val="auto"/>
        </w:rPr>
      </w:pPr>
    </w:p>
    <w:p>
      <w:pPr>
        <w:ind w:left="1980" w:hanging="352"/>
        <w:spacing w:after="0"/>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New Revolving Credit Facility is expected to contain a covenant requiring compliance with a</w:t>
      </w:r>
    </w:p>
    <w:p>
      <w:pPr>
        <w:spacing w:after="0" w:line="23" w:lineRule="exact"/>
        <w:rPr>
          <w:sz w:val="20"/>
          <w:szCs w:val="20"/>
          <w:color w:val="auto"/>
        </w:rPr>
      </w:pPr>
    </w:p>
    <w:p>
      <w:pPr>
        <w:ind w:left="1260"/>
        <w:spacing w:after="0"/>
        <w:tabs>
          <w:tab w:leader="none" w:pos="8340" w:val="left"/>
        </w:tabs>
        <w:rPr>
          <w:sz w:val="20"/>
          <w:szCs w:val="20"/>
          <w:color w:val="auto"/>
        </w:rPr>
      </w:pPr>
      <w:r>
        <w:rPr>
          <w:rFonts w:ascii="Arial" w:cs="Arial" w:eastAsia="Arial" w:hAnsi="Arial"/>
          <w:sz w:val="18"/>
          <w:szCs w:val="18"/>
          <w:color w:val="auto"/>
        </w:rPr>
        <w:t>(i) maximum total net leverage ratio tested on the last day of each fiscal quarter not to exceed</w:t>
      </w:r>
      <w:r>
        <w:rPr>
          <w:sz w:val="20"/>
          <w:szCs w:val="20"/>
          <w:color w:val="auto"/>
        </w:rPr>
        <w:tab/>
      </w:r>
      <w:r>
        <w:rPr>
          <w:rFonts w:ascii="Arial" w:cs="Arial" w:eastAsia="Arial" w:hAnsi="Arial"/>
          <w:sz w:val="16"/>
          <w:szCs w:val="16"/>
          <w:color w:val="auto"/>
        </w:rPr>
        <w:t>to 1.0 and (ii)</w:t>
      </w:r>
    </w:p>
    <w:p>
      <w:pPr>
        <w:spacing w:after="0" w:line="9" w:lineRule="exact"/>
        <w:rPr>
          <w:sz w:val="20"/>
          <w:szCs w:val="20"/>
          <w:color w:val="auto"/>
        </w:rPr>
      </w:pPr>
    </w:p>
    <w:p>
      <w:pPr>
        <w:ind w:left="1260"/>
        <w:spacing w:after="0"/>
        <w:tabs>
          <w:tab w:leader="none" w:pos="8440" w:val="left"/>
        </w:tabs>
        <w:rPr>
          <w:sz w:val="20"/>
          <w:szCs w:val="20"/>
          <w:color w:val="auto"/>
        </w:rPr>
      </w:pPr>
      <w:r>
        <w:rPr>
          <w:rFonts w:ascii="Arial" w:cs="Arial" w:eastAsia="Arial" w:hAnsi="Arial"/>
          <w:sz w:val="18"/>
          <w:szCs w:val="18"/>
          <w:color w:val="auto"/>
        </w:rPr>
        <w:t>minimum cash interest coverage ratio tested on the last day of each fiscal quarter not to exceed</w:t>
      </w:r>
      <w:r>
        <w:rPr>
          <w:sz w:val="20"/>
          <w:szCs w:val="20"/>
          <w:color w:val="auto"/>
        </w:rPr>
        <w:tab/>
      </w:r>
      <w:r>
        <w:rPr>
          <w:rFonts w:ascii="Arial" w:cs="Arial" w:eastAsia="Arial" w:hAnsi="Arial"/>
          <w:sz w:val="16"/>
          <w:szCs w:val="16"/>
          <w:color w:val="auto"/>
        </w:rPr>
        <w:t>to 1.0.</w:t>
      </w:r>
    </w:p>
    <w:p>
      <w:pPr>
        <w:spacing w:after="0" w:line="103"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The credit agreement that will govern the New Revolving Credit Facility will also contain certain customary affirmative covenants and events of default for facilities of this type, including relating to a change of control. If an event of default occurs, the lenders under the New Revolving Credit Facility will be entitled to take various actions, including the acceleration of amounts due under the New Revolving Credit Facility and all actions permitted to be taken by secured creditors under applicable law.</w:t>
      </w: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SHARES ELIGIBLE FOR FUTURE SALE</w:t>
      </w:r>
    </w:p>
    <w:p>
      <w:pPr>
        <w:spacing w:after="0" w:line="10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Immediately prior to this offering, there was no public market for our Class A common stock. Future sales of substantial amounts of our Class A common stock in the public market (including securities convertible into or redeemable, exchangeable or exercisable for shares of Class A common stock), or the perception that such sales may occur, after this offering could adversely affect the prevailing market price of our Class A common stock.</w:t>
      </w:r>
    </w:p>
    <w:p>
      <w:pPr>
        <w:spacing w:after="0" w:line="2" w:lineRule="exact"/>
        <w:rPr>
          <w:sz w:val="20"/>
          <w:szCs w:val="20"/>
          <w:color w:val="auto"/>
        </w:rPr>
      </w:pPr>
    </w:p>
    <w:p>
      <w:pPr>
        <w:ind w:left="1260" w:right="779"/>
        <w:spacing w:after="0" w:line="252" w:lineRule="auto"/>
        <w:rPr>
          <w:sz w:val="20"/>
          <w:szCs w:val="20"/>
          <w:color w:val="auto"/>
        </w:rPr>
      </w:pPr>
      <w:r>
        <w:rPr>
          <w:rFonts w:ascii="Arial" w:cs="Arial" w:eastAsia="Arial" w:hAnsi="Arial"/>
          <w:sz w:val="18"/>
          <w:szCs w:val="18"/>
          <w:color w:val="auto"/>
        </w:rPr>
        <w:t>Furthermore, because % of our Class A common stock outstanding prior to the completion of this offering (including securities convertible into or redeemable, exchangeable or exercisable for shares of our Class A common stock) will be subject to the contractual and legal restrictions on resale described below, the sale of a substantial amount of Class A common stock in the public market after these restrictions lapse could materially adversely affect the prevailing market price of our Class A common stock and our ability to raise equity capital in the future.</w:t>
      </w:r>
    </w:p>
    <w:p>
      <w:pPr>
        <w:spacing w:after="0" w:line="86" w:lineRule="exact"/>
        <w:rPr>
          <w:sz w:val="20"/>
          <w:szCs w:val="20"/>
          <w:color w:val="auto"/>
        </w:rPr>
      </w:pPr>
    </w:p>
    <w:p>
      <w:pPr>
        <w:ind w:left="1260" w:right="779" w:firstLine="360"/>
        <w:spacing w:after="0" w:line="288" w:lineRule="auto"/>
        <w:rPr>
          <w:sz w:val="20"/>
          <w:szCs w:val="20"/>
          <w:color w:val="auto"/>
        </w:rPr>
      </w:pPr>
      <w:r>
        <w:rPr>
          <w:rFonts w:ascii="Arial" w:cs="Arial" w:eastAsia="Arial" w:hAnsi="Arial"/>
          <w:sz w:val="16"/>
          <w:szCs w:val="16"/>
          <w:color w:val="auto"/>
        </w:rPr>
        <w:t>Upon completion of this offering, we expect to have outstanding an aggregate of shares of our Class A common stock, assuming no exercise of outstanding options and assuming that the underwriters have not exercised their option to purchase additional shares of Class A common stock. All of the shares of Class A common stock sold in this offering will be freely transferable without restriction or further registration under the Securities Act by persons other than “affiliates,” as that term is defined in Rule 144 under the Securities Act. Generally, the balance of our outstanding shares of Class A common stock are “restricted securities” within the meaning of Rule 144 under the Securities Act, subject to the limitations and restrictions that are described below. Class A common stock purchased by our affiliates will be “restricted securities” under Rule 144. Restricted securities may be sold in the public market only if registered or if they qualify for an exemption from registration under Rule 144 or Rule 701 under the Securities Act. These rules are summarized below.</w:t>
      </w:r>
    </w:p>
    <w:p>
      <w:pPr>
        <w:spacing w:after="0" w:line="61"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6"/>
          <w:szCs w:val="16"/>
          <w:color w:val="auto"/>
        </w:rPr>
        <w:t>In addition, based on an assumed initial public offering price of $ per share (the midpoint of the price range set forth on the cover page of this prospectus), upon completion of the offering, (i) the Other LLC Owners</w:t>
      </w:r>
    </w:p>
    <w:p>
      <w:pPr>
        <w:ind w:left="1260" w:right="1239"/>
        <w:spacing w:after="0" w:line="265" w:lineRule="auto"/>
        <w:rPr>
          <w:sz w:val="20"/>
          <w:szCs w:val="20"/>
          <w:color w:val="auto"/>
        </w:rPr>
      </w:pPr>
      <w:r>
        <w:rPr>
          <w:rFonts w:ascii="Arial" w:cs="Arial" w:eastAsia="Arial" w:hAnsi="Arial"/>
          <w:sz w:val="17"/>
          <w:szCs w:val="17"/>
          <w:color w:val="auto"/>
        </w:rPr>
        <w:t>will own an aggregate of LLC Interests and shares of our Class D common stock (or LLC Interests and shares of our Class D common stock, if the underwriters exercise in full their option to</w:t>
      </w:r>
    </w:p>
    <w:p>
      <w:pPr>
        <w:ind w:left="1260"/>
        <w:spacing w:after="0"/>
        <w:rPr>
          <w:sz w:val="20"/>
          <w:szCs w:val="20"/>
          <w:color w:val="auto"/>
        </w:rPr>
      </w:pPr>
      <w:r>
        <w:rPr>
          <w:rFonts w:ascii="Arial" w:cs="Arial" w:eastAsia="Arial" w:hAnsi="Arial"/>
          <w:sz w:val="17"/>
          <w:szCs w:val="17"/>
          <w:color w:val="auto"/>
        </w:rPr>
        <w:t>purchase additional shares of Class A common stock), (ii) the Refinitiv LLC Owner will own an aggregate of</w:t>
      </w:r>
    </w:p>
    <w:p>
      <w:pPr>
        <w:spacing w:after="0" w:line="397" w:lineRule="exact"/>
        <w:rPr>
          <w:sz w:val="20"/>
          <w:szCs w:val="20"/>
          <w:color w:val="auto"/>
        </w:rPr>
      </w:pPr>
    </w:p>
    <w:p>
      <w:pPr>
        <w:ind w:left="1260" w:right="819" w:firstLine="405"/>
        <w:spacing w:after="0" w:line="258" w:lineRule="auto"/>
        <w:rPr>
          <w:sz w:val="20"/>
          <w:szCs w:val="20"/>
          <w:color w:val="auto"/>
        </w:rPr>
      </w:pPr>
      <w:r>
        <w:rPr>
          <w:rFonts w:ascii="Arial" w:cs="Arial" w:eastAsia="Arial" w:hAnsi="Arial"/>
          <w:sz w:val="18"/>
          <w:szCs w:val="18"/>
          <w:color w:val="auto"/>
        </w:rPr>
        <w:t>LLC Interests and shares of our Class D common stock and (iii) the Refinitiv Direct Owner will own an aggregate of shares of our Class B common stock. Pursuant to the TWM LLC Agreement</w:t>
      </w:r>
    </w:p>
    <w:p>
      <w:pPr>
        <w:spacing w:after="0" w:line="1" w:lineRule="exact"/>
        <w:rPr>
          <w:sz w:val="20"/>
          <w:szCs w:val="20"/>
          <w:color w:val="auto"/>
        </w:rPr>
      </w:pPr>
    </w:p>
    <w:p>
      <w:pPr>
        <w:ind w:left="1260" w:right="759"/>
        <w:spacing w:after="0" w:line="284" w:lineRule="auto"/>
        <w:rPr>
          <w:sz w:val="20"/>
          <w:szCs w:val="20"/>
          <w:color w:val="auto"/>
        </w:rPr>
      </w:pPr>
      <w:r>
        <w:rPr>
          <w:rFonts w:ascii="Arial" w:cs="Arial" w:eastAsia="Arial" w:hAnsi="Arial"/>
          <w:sz w:val="16"/>
          <w:szCs w:val="16"/>
          <w:color w:val="auto"/>
        </w:rPr>
        <w:t>and, subject to certain restrictions set forth therein and as described elsewhere in this prospectus, the Continuing LLC Owners will be granted the right to have their LLC Interests redeemed, at their election, for shares of our Class A common stock or Class B common stock, in each case, on a one-for-one basis (and such holders’ shares of Class C common stock or Class D common stock, as the case may be, will be cancelled on a one-for-one basis upon such issuance). Shares of our Class B common stock may be exchanged at any time, at the option of the Refinitiv Direct Owner or any other future holder of Class B common stock, for shares of our Class A common stock on a one-for-one basis (and such holders’ shares of Class B common stock will be cancelled on a one-for-one basis upon any such issuance). The Continuing LLC Owners may from time to time exchange all or a portion of their shares of our Class D common stock for newly issued shares of Class C common stock on a one-for-one basis (in which case their shares of Class D common stock will be cancelled on a one-for-one basis upon such issuance). Shares of our Class B common stock and Class D common stock will automatically convert into shares of Class A common stock and Class C common stock, respectively, under certain circumstances. See “Description of Our Capital Stock.” Shares of our Class A common stock issuable upon redemption, exchange or conversion, would be considered “restricted securities” under Rule 144, although it is anticipated that the holders will be able to “tack” the holding period of their Class A common stock to the ownership of the redeemed, exchanged or converted security.</w:t>
      </w:r>
    </w:p>
    <w:p>
      <w:pPr>
        <w:spacing w:after="0" w:line="28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Upon the expiration of the lock-up arrangements described below, (i) 180 days after the date of this</w:t>
      </w:r>
    </w:p>
    <w:p>
      <w:pPr>
        <w:spacing w:after="0" w:line="35" w:lineRule="exact"/>
        <w:rPr>
          <w:sz w:val="20"/>
          <w:szCs w:val="20"/>
          <w:color w:val="auto"/>
        </w:rPr>
      </w:pPr>
    </w:p>
    <w:p>
      <w:pPr>
        <w:ind w:left="1260" w:right="879"/>
        <w:spacing w:after="0" w:line="281" w:lineRule="auto"/>
        <w:rPr>
          <w:sz w:val="20"/>
          <w:szCs w:val="20"/>
          <w:color w:val="auto"/>
        </w:rPr>
      </w:pPr>
      <w:r>
        <w:rPr>
          <w:rFonts w:ascii="Arial" w:cs="Arial" w:eastAsia="Arial" w:hAnsi="Arial"/>
          <w:sz w:val="16"/>
          <w:szCs w:val="16"/>
          <w:color w:val="auto"/>
        </w:rPr>
        <w:t>prospectus, and subject to the provisions of Rule 144, an additional shares of Class A common stock (including securities convertible into or redeemable, exchangeable or exercisable for shares of Class A common stock) and (ii) 365 days after the date of this prospectus, and subject to the provisions of Rule 144, an additional</w:t>
      </w:r>
    </w:p>
    <w:p>
      <w:pPr>
        <w:spacing w:after="0" w:line="2" w:lineRule="exact"/>
        <w:rPr>
          <w:sz w:val="20"/>
          <w:szCs w:val="20"/>
          <w:color w:val="auto"/>
        </w:rPr>
      </w:pPr>
    </w:p>
    <w:p>
      <w:pPr>
        <w:ind w:left="1260" w:right="739" w:firstLine="405"/>
        <w:spacing w:after="0" w:line="254" w:lineRule="auto"/>
        <w:rPr>
          <w:sz w:val="20"/>
          <w:szCs w:val="20"/>
          <w:color w:val="auto"/>
        </w:rPr>
      </w:pPr>
      <w:r>
        <w:rPr>
          <w:rFonts w:ascii="Arial" w:cs="Arial" w:eastAsia="Arial" w:hAnsi="Arial"/>
          <w:sz w:val="18"/>
          <w:szCs w:val="18"/>
          <w:color w:val="auto"/>
        </w:rPr>
        <w:t>shares of Class A common stock (including securities convertible into or redeemable, exchangeable or exercisable for shares of Class A common stock) will, in each case, be available for sale in the public market. The sale of these restricted securities is subject, in the case of shares held by affiliates, to the volume restrictions contained in those rules.</w:t>
      </w:r>
    </w:p>
    <w:p>
      <w:pPr>
        <w:spacing w:after="0" w:line="24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connection with this offering, we, our directors and executive officers and stockholders currently</w:t>
      </w:r>
    </w:p>
    <w:p>
      <w:pPr>
        <w:spacing w:after="0" w:line="23" w:lineRule="exact"/>
        <w:rPr>
          <w:sz w:val="20"/>
          <w:szCs w:val="20"/>
          <w:color w:val="auto"/>
        </w:rPr>
      </w:pPr>
    </w:p>
    <w:p>
      <w:pPr>
        <w:ind w:left="1260" w:right="759"/>
        <w:spacing w:after="0" w:line="281" w:lineRule="auto"/>
        <w:rPr>
          <w:sz w:val="20"/>
          <w:szCs w:val="20"/>
          <w:color w:val="auto"/>
        </w:rPr>
      </w:pPr>
      <w:r>
        <w:rPr>
          <w:rFonts w:ascii="Arial" w:cs="Arial" w:eastAsia="Arial" w:hAnsi="Arial"/>
          <w:sz w:val="16"/>
          <w:szCs w:val="16"/>
          <w:color w:val="auto"/>
        </w:rPr>
        <w:t>representing % of the outstanding shares of our Class A common stock (including securities convertible into or redeemable, exchangeable or exercisable for shares of our Class A common stock) will agree with the underwriters to enter into lock-up agreements described in “Underwriting (Conflicts of Interest),” pursuant to which shares of our Class A common stock outstanding after this offering (including securities convertible into or redeemable, exchangeable or exercisable for shares of our Class A common stock) will be restricted from immediate resale in accordance with the terms of such lock-up agreements without the prior written consent of</w:t>
      </w:r>
    </w:p>
    <w:p>
      <w:pPr>
        <w:spacing w:after="0" w:line="4" w:lineRule="exact"/>
        <w:rPr>
          <w:sz w:val="20"/>
          <w:szCs w:val="20"/>
          <w:color w:val="auto"/>
        </w:rPr>
      </w:pPr>
    </w:p>
    <w:p>
      <w:pPr>
        <w:ind w:left="1260" w:right="879" w:firstLine="1088"/>
        <w:spacing w:after="0" w:line="270" w:lineRule="auto"/>
        <w:tabs>
          <w:tab w:leader="none" w:pos="243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Under these agreements, subject to limited exceptions, neither we nor any of our directors or executive officers or these stockholders may dispose of, hedge or otherwise transfer the economic consequences of ownership of any shares of our Class A common stock or securities convertible into or redeemable, exchangeable or exercisable for shares of our Class A common stock. These restrictions will be in effect for a period of 180 days after the date of this prospectus. Certain transfers or dispositions can be made sooner, provided the transferee becomes bound to the terms of the lock-up.</w:t>
      </w:r>
    </w:p>
    <w:p>
      <w:pPr>
        <w:spacing w:after="0" w:line="71"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In addition, we intend to enter into the Registration Rights Agreement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each as of the closing of this offering, will be subject to certain transfer restrictions. See “Certain Relationships and Related Party Transactions — Related Party Transactions Entered Into in Connection With This Offering — Registration Rights Agreement.”</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In general, under Rule 144 as in effect on the date of this prospectus, beginning 90 days after the completion of this offering, a person (or persons whose common stock is required to be aggregated) who is an affiliate and who has beneficially owned our common stock for at least six months is entitled to sell in any three-month period a number of shares that does not exceed the greater of:</w:t>
      </w:r>
    </w:p>
    <w:p>
      <w:pPr>
        <w:spacing w:after="0" w:line="160" w:lineRule="exact"/>
        <w:rPr>
          <w:sz w:val="20"/>
          <w:szCs w:val="20"/>
          <w:color w:val="auto"/>
        </w:rPr>
      </w:pPr>
    </w:p>
    <w:p>
      <w:pPr>
        <w:ind w:left="1980" w:hanging="352"/>
        <w:spacing w:after="0"/>
        <w:tabs>
          <w:tab w:leader="none" w:pos="1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w:t>
      </w:r>
    </w:p>
    <w:p>
      <w:pPr>
        <w:sectPr>
          <w:pgSz w:w="11900" w:h="16838" w:orient="portrait"/>
          <w:cols w:equalWidth="0" w:num="1">
            <w:col w:w="10219"/>
          </w:cols>
          <w:pgMar w:left="240" w:top="132" w:right="1440" w:bottom="1440" w:gutter="0" w:footer="0" w:header="0"/>
        </w:sectPr>
      </w:pPr>
    </w:p>
    <w:p>
      <w:pPr>
        <w:spacing w:after="0" w:line="23" w:lineRule="exact"/>
        <w:rPr>
          <w:sz w:val="20"/>
          <w:szCs w:val="20"/>
          <w:color w:val="auto"/>
        </w:rPr>
      </w:pPr>
    </w:p>
    <w:p>
      <w:pPr>
        <w:ind w:left="1980"/>
        <w:spacing w:after="0"/>
        <w:tabs>
          <w:tab w:leader="none" w:pos="3460" w:val="left"/>
        </w:tabs>
        <w:rPr>
          <w:sz w:val="20"/>
          <w:szCs w:val="20"/>
          <w:color w:val="auto"/>
        </w:rPr>
      </w:pPr>
      <w:r>
        <w:rPr>
          <w:rFonts w:ascii="Arial" w:cs="Arial" w:eastAsia="Arial" w:hAnsi="Arial"/>
          <w:sz w:val="16"/>
          <w:szCs w:val="16"/>
          <w:color w:val="auto"/>
        </w:rPr>
        <w:t>approximately</w:t>
      </w:r>
      <w:r>
        <w:rPr>
          <w:sz w:val="20"/>
          <w:szCs w:val="20"/>
          <w:color w:val="auto"/>
        </w:rPr>
        <w:tab/>
      </w:r>
      <w:r>
        <w:rPr>
          <w:rFonts w:ascii="Arial" w:cs="Arial" w:eastAsia="Arial" w:hAnsi="Arial"/>
          <w:sz w:val="16"/>
          <w:szCs w:val="16"/>
          <w:color w:val="auto"/>
        </w:rPr>
        <w:t>shares immediately after completion of this offering; or</w:t>
      </w:r>
    </w:p>
    <w:p>
      <w:pPr>
        <w:sectPr>
          <w:pgSz w:w="11900" w:h="16838" w:orient="portrait"/>
          <w:cols w:equalWidth="0" w:num="1">
            <w:col w:w="10219"/>
          </w:cols>
          <w:pgMar w:left="240" w:top="132" w:right="1440" w:bottom="1440" w:gutter="0" w:footer="0" w:header="0"/>
          <w:type w:val="continuous"/>
        </w:sectPr>
      </w:pP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1119"/>
        <w:spacing w:after="0" w:line="277" w:lineRule="auto"/>
        <w:rPr>
          <w:sz w:val="20"/>
          <w:szCs w:val="20"/>
          <w:color w:val="auto"/>
        </w:rPr>
      </w:pPr>
      <w:r>
        <w:rPr>
          <w:rFonts w:ascii="Arial" w:cs="Arial" w:eastAsia="Arial" w:hAnsi="Arial"/>
          <w:sz w:val="18"/>
          <w:szCs w:val="18"/>
          <w:color w:val="auto"/>
        </w:rPr>
        <w:t>the average weekly trading volume in our Class A common stock on during the four calendar weeks preceding the filing of a notice on Form 144 with respect to such a sale.</w:t>
      </w:r>
    </w:p>
    <w:p>
      <w:pPr>
        <w:spacing w:after="0" w:line="62" w:lineRule="exact"/>
        <w:rPr>
          <w:sz w:val="20"/>
          <w:szCs w:val="20"/>
          <w:color w:val="auto"/>
        </w:rPr>
      </w:pPr>
    </w:p>
    <w:p>
      <w:pPr>
        <w:sectPr>
          <w:pgSz w:w="11900" w:h="16838" w:orient="portrait"/>
          <w:cols w:equalWidth="0" w:num="2">
            <w:col w:w="1700" w:space="280"/>
            <w:col w:w="8239"/>
          </w:cols>
          <w:pgMar w:left="240" w:top="132" w:right="1440" w:bottom="1440" w:gutter="0" w:footer="0" w:header="0"/>
          <w:type w:val="continuous"/>
        </w:sectPr>
      </w:pPr>
    </w:p>
    <w:p>
      <w:pPr>
        <w:jc w:val="both"/>
        <w:ind w:left="1260" w:right="839" w:firstLine="360"/>
        <w:spacing w:after="0" w:line="312" w:lineRule="auto"/>
        <w:rPr>
          <w:sz w:val="20"/>
          <w:szCs w:val="20"/>
          <w:color w:val="auto"/>
        </w:rPr>
      </w:pPr>
      <w:r>
        <w:rPr>
          <w:rFonts w:ascii="Arial" w:cs="Arial" w:eastAsia="Arial" w:hAnsi="Arial"/>
          <w:sz w:val="16"/>
          <w:szCs w:val="16"/>
          <w:color w:val="auto"/>
        </w:rPr>
        <w:t>Sales by our affiliates under Rule 144 are also subject to manner of sale provisions and notice requirements and to the availability of current public information about us. An “affiliate” is a person that directly, or indirectly through one or more intermediaries, controls or is controlled by, or is under common control with, an issuer.</w:t>
      </w:r>
    </w:p>
    <w:p>
      <w:pPr>
        <w:spacing w:after="0" w:line="39"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Under Rule 144, a person (or persons whose shares are aggregated) who is not deemed to have been an affiliate of ours at any time during the 90 days preceding a sale, and who has beneficially owned the shares proposed to be sold for at least six months (including the holding period of any prior owner other than an affiliate), would be entitled to sell those shares subject only to availability of current public information about us, and after beneficially owning such shares for at least twelve months, would be entitled to sell an unlimited number of shares without restriction. To the extent that our affiliates sell their shares of Class A common stock, other than pursuant to Rule 144 or a registration statement, the purchaser’s holding period for the purpose of effecting a sale under Rule 144 commences on the date of transfer from the affiliate.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08"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In general, under Rule 701 as in effect on the date of this prospectus, any of our employees, directors, officers, consultants or advisors who purchased shares from us in reliance on Rule 701 in connection with a compensatory stock or option plan or other written agreement before the effective date of this offering, or who purchased shares from us after that date upon the exercise of options granted before that date, are eligible to resell such shares 90 days after the effective date of this offering in reliance upon Rule 144. If</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02" w:name="page203"/>
    <w:bookmarkEnd w:id="20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79"/>
        <w:spacing w:after="0" w:line="286" w:lineRule="auto"/>
        <w:rPr>
          <w:sz w:val="20"/>
          <w:szCs w:val="20"/>
          <w:color w:val="auto"/>
        </w:rPr>
      </w:pPr>
      <w:r>
        <w:rPr>
          <w:rFonts w:ascii="Arial" w:cs="Arial" w:eastAsia="Arial" w:hAnsi="Arial"/>
          <w:sz w:val="17"/>
          <w:szCs w:val="17"/>
          <w:color w:val="auto"/>
        </w:rPr>
        <w:t>such person is not an affiliate, such sale may be made subject only to the manner of sale provisions of Rule 144. If such a person is an affiliate, such sale may be made under Rule 144 without compliance with the holding period requirement, but subject to the other Rule 144 restrictions described above.</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Plans</w:t>
      </w:r>
    </w:p>
    <w:p>
      <w:pPr>
        <w:spacing w:after="0" w:line="10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 such registration statements will be available for sale in the open market following the expiration of the applicable</w:t>
      </w:r>
    </w:p>
    <w:p>
      <w:pPr>
        <w:spacing w:after="0" w:line="2" w:lineRule="exact"/>
        <w:rPr>
          <w:sz w:val="20"/>
          <w:szCs w:val="20"/>
          <w:color w:val="auto"/>
        </w:rPr>
      </w:pPr>
    </w:p>
    <w:p>
      <w:pPr>
        <w:ind w:left="1260" w:right="839"/>
        <w:spacing w:after="0" w:line="273" w:lineRule="auto"/>
        <w:rPr>
          <w:sz w:val="20"/>
          <w:szCs w:val="20"/>
          <w:color w:val="auto"/>
        </w:rPr>
      </w:pPr>
      <w:r>
        <w:rPr>
          <w:rFonts w:ascii="Arial" w:cs="Arial" w:eastAsia="Arial" w:hAnsi="Arial"/>
          <w:sz w:val="17"/>
          <w:szCs w:val="17"/>
          <w:color w:val="auto"/>
        </w:rPr>
        <w:t>lock-up period. We expect that the initial registration statement on Form S-8 will cover shares of our Class A common stock. Shares issued upon the exercise of stock options after the effective date of the applicable Form S-8 registration statement will be eligible for resale in the public market without restriction, subject to Rule 144 limitations applicable to affiliates and the lock-up agreements described above.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We intend to enter into the Registration Rights Agreement with the Refinitiv Owners and the Bank Stockholders. Pursuant to the Registration Rights Agreement, we will grant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 — Related Party Transactions Entered Into in Connection With This Offering —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NON-U.S. HOLDERS OF OUR COMMON STOCK</w:t>
      </w:r>
    </w:p>
    <w:p>
      <w:pPr>
        <w:spacing w:after="0" w:line="88"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The following is a summary of the material U.S. federal income and estate tax consequences of the ownership and disposition of our Class A common stock that is being issued pursuant to this offering. This summary is limited to Non-U.S. Holders (as defined below) that hold our Class A common stock as a capital asset (generally, property held for investment) for U.S. federal income tax purposes. This summary does not discuss all of the aspects of U.S. federal income and estate taxation that may be relevant to a Non-U.S. Holder in light of the Non-U.S. Holder’s particular investment or other circumstances. Accordingly, all prospective Non-U.S. Holders should consult their own tax advisors with respect to the U.S. federal, state, local and non-U.S. tax consequences of the ownership and disposition of our Class A common stock.</w:t>
      </w:r>
    </w:p>
    <w:p>
      <w:pPr>
        <w:spacing w:after="0" w:line="71"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This summary is based on provisions of the U.S. Internal Revenue Code of 1986, as amended (which we refer to as the “Code”), applicable U.S. Treasury regulations and administrative and judicial interpretations, all as in effect or in existence on the date of this prospectus. Subsequent developments in U.S. federal income or estate tax law, including changes in law or differing interpretations, which may be applied retroactively, could alter the U.S. federal income and estate tax consequences of owning and disposing of our Class A common stock as described in this summary. There can be no assurance that the IRS will not take a contrary position with respect to one or more of the tax consequences described herein and we have not obtained, nor do we intend to obtain, a ruling from the IRS with respect to the U.S. federal income or estate tax consequences of the ownership or disposition of our Class A common stock.</w:t>
      </w:r>
    </w:p>
    <w:p>
      <w:pPr>
        <w:spacing w:after="0" w:line="74"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As used in this summary, the term “Non-U.S. Holder” means a beneficial owner of our Class A common stock that is not, for U.S. federal income tax purposes:</w:t>
      </w:r>
    </w:p>
    <w:p>
      <w:pPr>
        <w:spacing w:after="0" w:line="62" w:lineRule="exact"/>
        <w:rPr>
          <w:sz w:val="20"/>
          <w:szCs w:val="20"/>
          <w:color w:val="auto"/>
        </w:rPr>
      </w:pPr>
    </w:p>
    <w:p>
      <w:pPr>
        <w:ind w:left="1980" w:hanging="352"/>
        <w:spacing w:after="0"/>
        <w:tabs>
          <w:tab w:leader="none" w:pos="1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980" w:right="919" w:hanging="352"/>
        <w:spacing w:after="0" w:line="342" w:lineRule="auto"/>
        <w:tabs>
          <w:tab w:leader="none" w:pos="19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entity or arrangement treated as a partnership;</w:t>
      </w:r>
    </w:p>
    <w:p>
      <w:pPr>
        <w:spacing w:after="0" w:line="117"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62" w:lineRule="exact"/>
        <w:rPr>
          <w:rFonts w:ascii="Arial" w:cs="Arial" w:eastAsia="Arial" w:hAnsi="Arial"/>
          <w:sz w:val="18"/>
          <w:szCs w:val="18"/>
          <w:color w:val="auto"/>
        </w:rPr>
      </w:pPr>
    </w:p>
    <w:p>
      <w:pPr>
        <w:jc w:val="both"/>
        <w:ind w:left="1980" w:right="759" w:hanging="352"/>
        <w:spacing w:after="0" w:line="259" w:lineRule="auto"/>
        <w:tabs>
          <w:tab w:leader="none" w:pos="1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U.S. Treasury regulations to be treated as a United States person.</w:t>
      </w:r>
    </w:p>
    <w:p>
      <w:pPr>
        <w:spacing w:after="0" w:line="79"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such a partnership generally will depend upon the status of the partner, the activities of the partnership and certain determinations made at the partner level. Partnerships, and partners in partnerships, that hold our Class A common stock should consult their own tax advisors as to the particular U.S. federal income and estate tax consequences of owning and disposing of our Class A common stock that are applicable to them.</w:t>
      </w:r>
    </w:p>
    <w:p>
      <w:pPr>
        <w:spacing w:after="0" w:line="85"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color w:val="auto"/>
        </w:rPr>
        <w:t>This summary does not address all U.S. federal income or estate tax consequences relevant to a Non-U.S. Holder’s particular circumstances, including the impact of the Medicare contribution tax on net investment income. In addition, this summary does not consider any specific facts or circumstances that may apply to a Non-U.S. Holder and does not address any special tax rules that may apply to particular Non-U.S. Holders, such as:</w:t>
      </w:r>
    </w:p>
    <w:p>
      <w:pPr>
        <w:spacing w:after="0" w:line="60" w:lineRule="exact"/>
        <w:rPr>
          <w:sz w:val="20"/>
          <w:szCs w:val="20"/>
          <w:color w:val="auto"/>
        </w:rPr>
      </w:pPr>
    </w:p>
    <w:p>
      <w:pPr>
        <w:ind w:left="1980" w:right="779" w:hanging="352"/>
        <w:spacing w:after="0" w:line="255" w:lineRule="auto"/>
        <w:tabs>
          <w:tab w:leader="none" w:pos="1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Non-U.S. Holder that is a financial institution, insurance company, tax-exempt organization, pension plan, broker, dealer or trader in stocks, securities or currencies, U.S. expatriate, accrual method taxpayer for U.S. federal income tax purposes required to accelerate the recognition of any item of gross income with respect to our Class A common stock as a result of such income being recognized on an applicable financial statement, controlled foreign corporation or passive foreign investment company;</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859" w:hanging="352"/>
        <w:spacing w:after="0" w:line="277" w:lineRule="auto"/>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Non-U.S. Holder holding our Class A common stock as part of a conversion, constructive sale, wash sale or other integrated transaction or a hedge, straddle or synthetic security;</w:t>
      </w:r>
    </w:p>
    <w:p>
      <w:pPr>
        <w:spacing w:after="0" w:line="129"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Non-U.S. Holder that holds or receives our Class A common stock pursuant to the exercise of any employee stock option or otherwise as compensation; or</w:t>
      </w:r>
    </w:p>
    <w:p>
      <w:pPr>
        <w:spacing w:after="0" w:line="129"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Non-U.S. Holder that at any time owns, directly, indirectly or constructively, 5% or more of our outstanding Class A common stock.</w:t>
      </w:r>
    </w:p>
    <w:p>
      <w:pPr>
        <w:spacing w:after="0" w:line="62"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In addition, this summary does not address any U.S. state or local, or non-U.S. or other tax consequences, or any U.S. federal income or estate tax consequences for beneficial owners of a Non-U.S. Holder, including shareholders of a controlled foreign corporation or passive foreign investment company that holds our Class A common stock.</w:t>
      </w:r>
    </w:p>
    <w:p>
      <w:pPr>
        <w:spacing w:after="0" w:line="75" w:lineRule="exact"/>
        <w:rPr>
          <w:sz w:val="20"/>
          <w:szCs w:val="20"/>
          <w:color w:val="auto"/>
        </w:rPr>
      </w:pPr>
    </w:p>
    <w:p>
      <w:pPr>
        <w:ind w:left="1260" w:right="959" w:firstLine="360"/>
        <w:spacing w:after="0" w:line="313" w:lineRule="auto"/>
        <w:rPr>
          <w:sz w:val="20"/>
          <w:szCs w:val="20"/>
          <w:color w:val="auto"/>
        </w:rPr>
      </w:pPr>
      <w:r>
        <w:rPr>
          <w:rFonts w:ascii="Arial" w:cs="Arial" w:eastAsia="Arial" w:hAnsi="Arial"/>
          <w:sz w:val="17"/>
          <w:szCs w:val="17"/>
          <w:b w:val="1"/>
          <w:bCs w:val="1"/>
          <w:color w:val="auto"/>
        </w:rPr>
        <w:t>Each Non-U.S. Holder should consult its own tax advisor regarding the U.S. federal, state, local and non-U.S. tax consequences of owning and disposing of our Class A common stock.</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08"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As discussed under “Dividend Policy” above, following this offering, we intend to pay quarterly cash dividends on our Class A common stock. Distributions of cash or property (other than certain pro rata distributions of our stock) with respect to our Class A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nontaxable return of capital to the extent of the Non-U.S. Holder’s adjusted tax basis in its Class A common stock and will reduce (but not below zero) such Non-U.S. Holder’s adjusted tax basis in its Class A common stock. Any remaining excess will be treated as gain from a disposition of our Class A common stock subject to the tax treatment described below in “Sales or Other Dispositions of Our Class A Common Stock”.</w:t>
      </w:r>
    </w:p>
    <w:p>
      <w:pPr>
        <w:spacing w:after="0" w:line="87"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Distributions on our Class A common stock that are treated as dividends, and that are not effectively connected with a Non-U.S. Holder’s conduct of a trade or business in the United States, generally will be subject to withholding of U.S. federal income tax at a rate of 30%. A Non-U.S. Holder may be eligible for a lower rate under an applicable income tax treaty between the United States and its jurisdiction of tax residence. In order to claim the benefit of an applicable income tax treaty, a Non-U.S. Holder will be required to provide to the applicable withholding agent a properly executed IRS Form W-8BEN or W-8BEN-E (or other applicable form) in accordance with the applicable certification and disclosure requirements. Special rules apply to partnerships and other pass-through entities and these certification and disclosure requirements also may apply to beneficial owners of partnerships and other pass-through entities that hold our Class A common stock.</w:t>
      </w:r>
    </w:p>
    <w:p>
      <w:pPr>
        <w:spacing w:after="0" w:line="59"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6"/>
          <w:szCs w:val="16"/>
          <w:color w:val="auto"/>
        </w:rPr>
        <w:t>Distributions on our Class A common stock that are treated as dividends, and that are effectively connected with a Non-U.S. Holder’s conduct of a trade or business in the United States will be taxed on a net income basis at the regular graduated rates and in the manner applicable to United States persons (unless the Non-U.S. Holder is eligible for and properly claims the benefit of an applicable income tax treaty and the dividends are not attributable to a permanent establishment or fixed base maintained by the Non-U.S. Holder in the United States, in which case the Non-U.S. Holder may be eligible for a lower rate under an applicable income tax treaty between the United States and its jurisdiction of tax residence). Dividends that are effectively connected with a Non-U.S. Holder’s conduct of a trade or business in the United States, will not be subject to the withholding of U.S. federal income tax discussed above if the Non-U.S. Holder provides to the applicable withholding agent a properly executed IRS Form W-8ECI (or other applicable form) in accordance with the applicable certification and disclosure requirements. A Non-U.S. Holder that is treated as a corporation for U.S. federal income tax purposes may also be subject to a “branch profits” tax at a 30% rate (or a lower rate if the Non-U.S. Holder is eligible for a lower rate under an applicable income tax treaty) on the Non-U.S. Holder’s earnings and profits (attributable to dividends on our Class A common stock or otherwise) that are effectively connected with the Non-U.S. Holder’s conduct of a trade or business within the United States, subject to certain adjustments.</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dividends and must be updated periodically. A Non-U.S. Holder may obtain a refund or credit of any excess amounts withheld by timely filing an appropriate claim for a refund with the IRS. Non-U.S. Holders should consult their own tax advisors regarding their eligibility for benefits under a relevant income tax treaty and the manner of claiming such benefits.</w:t>
      </w:r>
    </w:p>
    <w:p>
      <w:pPr>
        <w:spacing w:after="0" w:line="80"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or Other Dispositions of Our Class A Common Stock</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 Non-U.S. Holder generally will not be subject to U.S. federal income tax (including withholding thereof)</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 any gain recognized on any sales or other dispositions of our Class A common stock unless:</w:t>
      </w:r>
    </w:p>
    <w:p>
      <w:pPr>
        <w:spacing w:after="0" w:line="184" w:lineRule="exact"/>
        <w:rPr>
          <w:sz w:val="20"/>
          <w:szCs w:val="20"/>
          <w:color w:val="auto"/>
        </w:rPr>
      </w:pPr>
    </w:p>
    <w:p>
      <w:pPr>
        <w:ind w:left="1980" w:right="799" w:hanging="352"/>
        <w:spacing w:after="0" w:line="272" w:lineRule="auto"/>
        <w:tabs>
          <w:tab w:leader="none" w:pos="19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 in this case, the gain will be subject to U.S. federal income tax on a net income basis at the regular graduated rates and in the manner applicable to United States persons (unless an applicable income tax treaty provides otherwise) and, if the Non-U.S. Holder is treated as a corporation for U.S. federal income tax purposes, the “branch profits tax” described above may also apply;</w:t>
      </w:r>
    </w:p>
    <w:p>
      <w:pPr>
        <w:spacing w:after="0" w:line="137" w:lineRule="exact"/>
        <w:rPr>
          <w:rFonts w:ascii="Arial" w:cs="Arial" w:eastAsia="Arial" w:hAnsi="Arial"/>
          <w:sz w:val="17"/>
          <w:szCs w:val="17"/>
          <w:color w:val="auto"/>
        </w:rPr>
      </w:pPr>
    </w:p>
    <w:p>
      <w:pPr>
        <w:ind w:left="1980" w:right="859" w:hanging="352"/>
        <w:spacing w:after="0" w:line="276" w:lineRule="auto"/>
        <w:tabs>
          <w:tab w:leader="none" w:pos="19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more than 182 days in the taxable year of the disposition and meets certain other requirements; in this case, except as otherwise provided by an applicable income tax treaty, the gain, which may be offset by certain U.S. source capital losses, generally will be subject to a flat 30% U.S. federal income tax, even though the Non-U.S. Holder is not considered a resident of the United States under the Code; or</w:t>
      </w:r>
    </w:p>
    <w:p>
      <w:pPr>
        <w:spacing w:after="0" w:line="132" w:lineRule="exact"/>
        <w:rPr>
          <w:rFonts w:ascii="Arial" w:cs="Arial" w:eastAsia="Arial" w:hAnsi="Arial"/>
          <w:sz w:val="17"/>
          <w:szCs w:val="17"/>
          <w:color w:val="auto"/>
        </w:rPr>
      </w:pPr>
    </w:p>
    <w:p>
      <w:pPr>
        <w:ind w:left="1980" w:right="799" w:hanging="352"/>
        <w:spacing w:after="0" w:line="286" w:lineRule="auto"/>
        <w:tabs>
          <w:tab w:leader="none" w:pos="19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(i) the five-year period ending on the date of disposition and (ii) the period that the Non-U.S. Holder held our Class A common stock.</w:t>
      </w:r>
    </w:p>
    <w:p>
      <w:pPr>
        <w:spacing w:after="0" w:line="57"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Generally, a 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We believe that we are not currently, and we do not anticipate becoming in the future, a United States real property holding corporation. However, because the determination of whether we are a United States real property holding corporation is made from time to time and depends on the relative fair market values of our assets, there can be no assurance in this regard. If we were a United States real property holding corporation, the tax relating to disposition of stock in a United States real property holding corporation generally will not apply to a Non-U.S. Holder whose holdings, direct, indirect and constructive, constituted 5% or less of our Class A common stock at all times during the applicable period, provided that our Class A common stock is “regularly traded on an established securities market” (as provided in applicable U.S. Treasury regulations) at any time during the calendar year in which the disposition occurs. However, no assurance can be provided that our Class A common stock will be regularly traded on an established securities market for purposes of the rules described above. Non-U.S. Holders should consult their own tax advisors regarding the possible adverse U.S. federal income tax consequences to them if we are, or were to become, a United States real property holding corporation.</w:t>
      </w:r>
    </w:p>
    <w:p>
      <w:pPr>
        <w:spacing w:after="0" w:line="61"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08" w:lineRule="exact"/>
        <w:rPr>
          <w:sz w:val="20"/>
          <w:szCs w:val="20"/>
          <w:color w:val="auto"/>
        </w:rPr>
      </w:pPr>
    </w:p>
    <w:p>
      <w:pPr>
        <w:ind w:left="1260" w:right="939" w:firstLine="360"/>
        <w:spacing w:after="0" w:line="302" w:lineRule="auto"/>
        <w:rPr>
          <w:sz w:val="20"/>
          <w:szCs w:val="20"/>
          <w:color w:val="auto"/>
        </w:rPr>
      </w:pPr>
      <w:r>
        <w:rPr>
          <w:rFonts w:ascii="Arial" w:cs="Arial" w:eastAsia="Arial" w:hAnsi="Arial"/>
          <w:sz w:val="16"/>
          <w:szCs w:val="16"/>
          <w:color w:val="auto"/>
        </w:rPr>
        <w:t>Our Class A Class A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Backup withholding (currently at a rate of 24%) will not apply to payments of dividends on our Class A common stock to a Non-U.S. Holder if the Non-U.S. Holder provides to the applicable withholding agent a properly executed IRS Form W-8BEN or W-8BEN-E (or other applicable form) certifying under penalties of perjury that the Non-U.S. Holder is not a United States person, or otherwise qualifies for an exemption. However, the applicable withholding agent generally will be required to report to the IRS and to such Non-U.S. Holder payments of dividends on our Class A common stock and the amount of U.S. federal income tax, if any, withheld with respect to those payments. Copies of the information returns reporting such dividends and any withholding may also be made available to the tax authorities in the country in which the Non-U.S. Holder resides under the provisions of a treaty or agreement.</w:t>
      </w:r>
    </w:p>
    <w:p>
      <w:pPr>
        <w:spacing w:after="0" w:line="7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gross proceeds from sales or other dispositions of our Class A common stock may be subject, in certain circumstances discussed below, to U.S. backup withholding and information reporting. If a Non-U.S. Holder sells or otherwise disposes of our Class A common stock outside the United States through a non-U.S. office of a non-U.S. broker and the disposition proceeds are paid to the Non-U.S. Holder outside the United States, then the U.S. backup withholding and information reporting requirements generally will not apply to that payment. However, U.S. information reporting, but not U.S. backup withholding, will apply to a payment of disposition proceeds, even if that payment is made outside the United States, if a Non-U.S. Holder sells our Class A common stock through a non-U.S. office of a broker that is a United States person or has certain enumerated connections with the United States, unless the broker has documentary evidence in its files that the Non-U.S. Holder is not a United States person and certain other conditions are met or the Non-U.S. Holder otherwise qualifies for an exemption.</w:t>
      </w:r>
    </w:p>
    <w:p>
      <w:pPr>
        <w:spacing w:after="0" w:line="75"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If a Non-U.S. Holder receives payments of the proceeds of a disposition of our Class A common stock to or through a U.S. office of a broker, the payment will be subject to both U.S. backup withholding and information reporting unless the Non-U.S. Holder provides to the broker a properly executed IRS Form W-8BEN or W-8BEN-E (or other applicable form) certifying under penalties of perjury that the Non-U.S. Holder is not a United States person, or the Non-U.S. Holder otherwise qualifies for an exemption.</w:t>
      </w:r>
    </w:p>
    <w:p>
      <w:pPr>
        <w:spacing w:after="0" w:line="6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credited against the Non-U.S. Holder’s U.S. federal income tax liability (which may result in the Non-U.S. Holder being entitled to a refund), provided that the required information is timely furnished to the IRS.</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w:t>
      </w:r>
    </w:p>
    <w:p>
      <w:pPr>
        <w:spacing w:after="0" w:line="108" w:lineRule="exact"/>
        <w:rPr>
          <w:sz w:val="20"/>
          <w:szCs w:val="20"/>
          <w:color w:val="auto"/>
        </w:rPr>
      </w:pPr>
    </w:p>
    <w:p>
      <w:pPr>
        <w:ind w:left="1260" w:right="1339" w:firstLine="360"/>
        <w:spacing w:after="0" w:line="274" w:lineRule="auto"/>
        <w:rPr>
          <w:sz w:val="20"/>
          <w:szCs w:val="20"/>
          <w:color w:val="auto"/>
        </w:rPr>
      </w:pPr>
      <w:r>
        <w:rPr>
          <w:rFonts w:ascii="Arial" w:cs="Arial" w:eastAsia="Arial" w:hAnsi="Arial"/>
          <w:sz w:val="16"/>
          <w:szCs w:val="16"/>
          <w:color w:val="auto"/>
        </w:rPr>
        <w:t>The Foreign Account Tax Compliance Act and related Treasury guidance (commonly referred to as “FATCA”) impose U.S. federal withholding tax at a rate of 30% on payments to certain foreign entities of</w:t>
      </w:r>
    </w:p>
    <w:p>
      <w:pPr>
        <w:spacing w:after="0" w:line="1" w:lineRule="exact"/>
        <w:rPr>
          <w:sz w:val="20"/>
          <w:szCs w:val="20"/>
          <w:color w:val="auto"/>
        </w:rPr>
      </w:pPr>
    </w:p>
    <w:p>
      <w:pPr>
        <w:ind w:left="1260" w:right="779" w:firstLine="8"/>
        <w:spacing w:after="0" w:line="264" w:lineRule="auto"/>
        <w:tabs>
          <w:tab w:leader="none" w:pos="147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U.S.-source dividends (including dividends paid on our Class A common stock) and (ii) the gross proceeds from the sale or other disposition of property that produces U.S.-source dividends (including sales or other dispositions of our Class A common stock). Under recently proposed Treasury regulations that may be relied upon pending finalization, the withholding tax on gross proceeds would be eliminated and, consequently, FATCA withholding on gross proceeds is not currently expected to apply. This withholding tax applies to a foreign entity, whether acting as a beneficial owner or an intermediary, unless such foreign entity complies with (i) certain information reporting requirements regarding its U.S. account holders and its U.S. owners and (ii) certain withholding obligations regarding certain payments to its account holders and certain other persons. Accordingly, the entity through which a Non-U.S. Holder holds its Class A common stock will affect the determination of whether such withholding is required. Non-U.S. Holders are encouraged to consult their tax advisors regarding</w:t>
      </w:r>
    </w:p>
    <w:p>
      <w:pPr>
        <w:spacing w:after="0" w:line="1"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color w:val="auto"/>
        </w:rPr>
        <w:t>FATCA.</w:t>
      </w:r>
    </w:p>
    <w:p>
      <w:pPr>
        <w:spacing w:after="0" w:line="2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UNDERWRITING (CONFLICTS OF INTEREST)</w:t>
      </w:r>
    </w:p>
    <w:p>
      <w:pPr>
        <w:spacing w:after="0" w:line="108"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We are offering shares of our Class A common stock described in this prospectus through a number of underwriters. J.P. Morgan Securities LLC, Citigroup Global Markets Inc., Goldman Sachs &amp; Co. LLC and Morgan Stanley &amp; Co. LLC are acting as representatives on behalf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ectPr>
          <w:pgSz w:w="11900" w:h="16838" w:orient="portrait"/>
          <w:cols w:equalWidth="0" w:num="1">
            <w:col w:w="10219"/>
          </w:cols>
          <w:pgMar w:left="240" w:top="132" w:right="1440" w:bottom="1440" w:gutter="0" w:footer="0" w:header="0"/>
        </w:sectPr>
      </w:pPr>
    </w:p>
    <w:p>
      <w:pPr>
        <w:spacing w:after="0" w:line="253"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-4298950</wp:posOffset>
            </wp:positionH>
            <wp:positionV relativeFrom="paragraph">
              <wp:posOffset>22225</wp:posOffset>
            </wp:positionV>
            <wp:extent cx="4751070" cy="1714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7680" w:space="720"/>
            <w:col w:w="1819"/>
          </w:cols>
          <w:pgMar w:left="240" w:top="132"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J.P. Morgan Securities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wp:posOffset>
            </wp:positionV>
            <wp:extent cx="4751070" cy="1631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751070"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Goldman Sachs &amp; Co.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wp:posOffset>
            </wp:positionV>
            <wp:extent cx="4751070" cy="3003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751070" cy="300355"/>
                    </a:xfrm>
                    <a:prstGeom prst="rect">
                      <a:avLst/>
                    </a:prstGeom>
                    <a:noFill/>
                  </pic:spPr>
                </pic:pic>
              </a:graphicData>
            </a:graphic>
          </wp:anchor>
        </w:drawing>
      </w:r>
    </w:p>
    <w:p>
      <w:pPr>
        <w:spacing w:after="0" w:line="16" w:lineRule="exact"/>
        <w:rPr>
          <w:sz w:val="20"/>
          <w:szCs w:val="20"/>
          <w:color w:val="auto"/>
        </w:rPr>
      </w:pPr>
    </w:p>
    <w:p>
      <w:pPr>
        <w:jc w:val="center"/>
        <w:ind w:right="4179"/>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jc w:val="center"/>
        <w:ind w:right="3739"/>
        <w:spacing w:after="0"/>
        <w:rPr>
          <w:sz w:val="20"/>
          <w:szCs w:val="20"/>
          <w:color w:val="auto"/>
        </w:rPr>
      </w:pPr>
      <w:r>
        <w:rPr>
          <w:rFonts w:ascii="Arial" w:cs="Arial" w:eastAsia="Arial" w:hAnsi="Arial"/>
          <w:sz w:val="18"/>
          <w:szCs w:val="18"/>
          <w:color w:val="auto"/>
        </w:rPr>
        <w:t>Incorporated</w:t>
      </w:r>
    </w:p>
    <w:p>
      <w:pPr>
        <w:spacing w:after="0" w:line="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wp:posOffset>
            </wp:positionV>
            <wp:extent cx="4751070" cy="1631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751070"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Credit Suisse Securities (USA)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wp:posOffset>
            </wp:positionV>
            <wp:extent cx="4751070" cy="16319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751070"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UBS Securities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wp:posOffset>
            </wp:positionV>
            <wp:extent cx="4751070" cy="16319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751070"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Jefferies LLC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Sandler O'Neill &amp;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23495</wp:posOffset>
            </wp:positionV>
            <wp:extent cx="4751070" cy="18859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751070" cy="188595"/>
                    </a:xfrm>
                    <a:prstGeom prst="rect">
                      <a:avLst/>
                    </a:prstGeom>
                    <a:noFill/>
                  </pic:spPr>
                </pic:pic>
              </a:graphicData>
            </a:graphic>
          </wp:anchor>
        </w:drawing>
      </w:r>
    </w:p>
    <w:p>
      <w:pPr>
        <w:spacing w:after="0" w:line="7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31750</wp:posOffset>
            </wp:positionV>
            <wp:extent cx="45466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59"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underwriters are committed to purchase all the shares of Class A common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80"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The underwriters propose to offer the shares directly to the public at the initial public offering price set forth on the cover page of this prospectus and to certain dealers at that price less a concession not in excess of</w:t>
      </w:r>
    </w:p>
    <w:p>
      <w:pPr>
        <w:ind w:left="1720" w:hanging="452"/>
        <w:spacing w:after="0"/>
        <w:tabs>
          <w:tab w:leader="none" w:pos="17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per share. Any such dealers may resell shares to certain other brokers or dealers at a discount of up to</w:t>
      </w:r>
    </w:p>
    <w:p>
      <w:pPr>
        <w:spacing w:after="0" w:line="20" w:lineRule="exact"/>
        <w:rPr>
          <w:rFonts w:ascii="Arial" w:cs="Arial" w:eastAsia="Arial" w:hAnsi="Arial"/>
          <w:sz w:val="17"/>
          <w:szCs w:val="17"/>
          <w:color w:val="auto"/>
        </w:rPr>
      </w:pPr>
    </w:p>
    <w:p>
      <w:pPr>
        <w:ind w:left="1260" w:right="999" w:firstLine="8"/>
        <w:spacing w:after="0" w:line="255" w:lineRule="auto"/>
        <w:tabs>
          <w:tab w:leader="none" w:pos="171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 share from the initial public offering price. After the initial offering of the shares to the public, the offering price and the other selling terms may be changed by the underwriters. Sales of shares made outside of the United States may be made by affiliates of the underwriters.</w:t>
      </w:r>
    </w:p>
    <w:p>
      <w:pPr>
        <w:spacing w:after="0" w:line="82"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The underwriters have an option to buy up to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of Class A common stock, the underwriters will severally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70"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At our request, the underwriters have reserved for sale at the initial public offering price up to shares of our Class A common stock being offered for sale to our directors, officers, certain employees and other parties with a connection to the Company. We will offer these shares to the extent permitted under applicable regulations in the United States and in various countries. Certain employees of TWM LLC are entitled to a special bonus in recognition of their performance during calendar year 2018 and will</w:t>
      </w: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08" w:name="page209"/>
    <w:bookmarkEnd w:id="20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88" w:lineRule="auto"/>
        <w:rPr>
          <w:sz w:val="20"/>
          <w:szCs w:val="20"/>
          <w:color w:val="auto"/>
        </w:rPr>
      </w:pPr>
      <w:r>
        <w:rPr>
          <w:rFonts w:ascii="Arial" w:cs="Arial" w:eastAsia="Arial" w:hAnsi="Arial"/>
          <w:sz w:val="16"/>
          <w:szCs w:val="16"/>
          <w:color w:val="auto"/>
        </w:rPr>
        <w:t>use the special bonus to purchase reserved shares. Pursuant to the underwriting agreement, the sales will be made by the representatives through a directed share program. The number of shares of Class A common stock available for sale to the general public will be reduced to the extent that such persons purchase such reserved shares. Any reserved shares not so purchased will be offered by the underwriters to the general public on the same basis as the other shares of Class A common stock offered hereby. Each person buying shares of Class A common stock through the directed share program will be subject to a 180-day lock-up period with respect to such shares. We have agreed to indemnify the representatives in connection with the directed share program, including for the failure of any participant to pay for its shares of Class A common stock. Other than the underwriting discount described on the front cover of this prospectus, the underwriters will not be entitled to any commission with respect to shares of Class A common stock sold pursuant to the directed share program.</w:t>
      </w:r>
    </w:p>
    <w:p>
      <w:pPr>
        <w:spacing w:after="0" w:line="61"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The underwriting fee is equal to the public offering price per share of Class A common stock less the amount paid by the underwriters to us per share of Class A common stock. The following table shows the per share and total underwriting discounts and commissions to be paid to the underwriters assuming both no exercise and full exercise of the underwriters’ option to purchase additional shares of Class A common stock.</w:t>
      </w:r>
    </w:p>
    <w:p>
      <w:pPr>
        <w:spacing w:after="0" w:line="96"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No</w:t>
            </w: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Full</w:t>
            </w:r>
          </w:p>
        </w:tc>
      </w:tr>
      <w:tr>
        <w:trPr>
          <w:trHeight w:val="186"/>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exercise</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exercise</w:t>
            </w:r>
          </w:p>
        </w:tc>
      </w:tr>
      <w:tr>
        <w:trPr>
          <w:trHeight w:val="26"/>
        </w:trPr>
        <w:tc>
          <w:tcPr>
            <w:tcW w:w="51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6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57"/>
        </w:trPr>
        <w:tc>
          <w:tcPr>
            <w:tcW w:w="5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-334010</wp:posOffset>
            </wp:positionV>
            <wp:extent cx="379920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222" w:lineRule="exact"/>
        <w:rPr>
          <w:sz w:val="20"/>
          <w:szCs w:val="20"/>
          <w:color w:val="auto"/>
        </w:rPr>
      </w:pPr>
    </w:p>
    <w:p>
      <w:pPr>
        <w:ind w:left="1260" w:right="1039" w:firstLine="360"/>
        <w:spacing w:after="0" w:line="291"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 excluding the underwriting discounts and commissions, will be</w:t>
      </w:r>
    </w:p>
    <w:p>
      <w:pPr>
        <w:ind w:left="1260"/>
        <w:spacing w:after="0"/>
        <w:tabs>
          <w:tab w:leader="none" w:pos="28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w:t>
      </w:r>
    </w:p>
    <w:p>
      <w:pPr>
        <w:spacing w:after="0" w:line="103"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64" w:lineRule="exact"/>
        <w:rPr>
          <w:sz w:val="20"/>
          <w:szCs w:val="20"/>
          <w:color w:val="auto"/>
        </w:rPr>
      </w:pPr>
    </w:p>
    <w:p>
      <w:pPr>
        <w:ind w:left="1260" w:right="759" w:firstLine="360"/>
        <w:spacing w:after="0" w:line="283" w:lineRule="auto"/>
        <w:rPr>
          <w:sz w:val="20"/>
          <w:szCs w:val="20"/>
          <w:color w:val="auto"/>
        </w:rPr>
      </w:pPr>
      <w:r>
        <w:rPr>
          <w:rFonts w:ascii="Arial" w:cs="Arial" w:eastAsia="Arial" w:hAnsi="Arial"/>
          <w:sz w:val="16"/>
          <w:szCs w:val="16"/>
          <w:color w:val="auto"/>
        </w:rPr>
        <w:t>We have agreed that for a period of 180 days after the date of this prospectus, subject to certain exceptions,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Class A common stock or securities convertible into or redeemable, exchangeable or exercisable for any shares of our Class A common stock (including, without limitation, the LLC Interests), or publicly disclose the intention to make any offer, sale, pledge,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w:t>
      </w:r>
    </w:p>
    <w:p>
      <w:pPr>
        <w:spacing w:after="0" w:line="6" w:lineRule="exact"/>
        <w:rPr>
          <w:sz w:val="20"/>
          <w:szCs w:val="20"/>
          <w:color w:val="auto"/>
        </w:rPr>
      </w:pPr>
    </w:p>
    <w:p>
      <w:pPr>
        <w:jc w:val="both"/>
        <w:ind w:left="1260" w:right="939"/>
        <w:spacing w:after="0" w:line="255" w:lineRule="auto"/>
        <w:rPr>
          <w:sz w:val="20"/>
          <w:szCs w:val="20"/>
          <w:color w:val="auto"/>
        </w:rPr>
      </w:pPr>
      <w:r>
        <w:rPr>
          <w:rFonts w:ascii="Arial" w:cs="Arial" w:eastAsia="Arial" w:hAnsi="Arial"/>
          <w:sz w:val="18"/>
          <w:szCs w:val="18"/>
          <w:color w:val="auto"/>
        </w:rPr>
        <w:t>in each case without the prior written consent of , other than the shares of our Class A common stock to be sold hereunder and any shares of our Class A common stock issued upon the exercise of options granted under our existing management incentive plans.</w:t>
      </w:r>
    </w:p>
    <w:p>
      <w:pPr>
        <w:spacing w:after="0" w:line="82"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6"/>
          <w:szCs w:val="16"/>
          <w:color w:val="auto"/>
        </w:rPr>
        <w:t>Our directors and executive officers and substantially all of our other stockholders have entered into lock-up agreements with the underwriters prior to the commencement of this offering pursuant to which each of these persons or entities, with limited exceptions, for a period of 180 days after the date of this prospectus, may not,</w:t>
      </w:r>
    </w:p>
    <w:p>
      <w:pPr>
        <w:ind w:left="1260" w:right="799"/>
        <w:spacing w:after="0" w:line="252" w:lineRule="auto"/>
        <w:rPr>
          <w:sz w:val="20"/>
          <w:szCs w:val="20"/>
          <w:color w:val="auto"/>
        </w:rPr>
      </w:pPr>
      <w:r>
        <w:rPr>
          <w:rFonts w:ascii="Arial" w:cs="Arial" w:eastAsia="Arial" w:hAnsi="Arial"/>
          <w:sz w:val="18"/>
          <w:szCs w:val="18"/>
          <w:color w:val="auto"/>
        </w:rPr>
        <w:t>without the prior written consent of , (1) offer, pledge, announce the intention to sell,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redeemable, exercisable or exchangeable for our Class A common stock, including the LLC Interests (and including, without limitation, Class A common stock or such other securities which may be deemed to be beneficially owned by such directors, executive officers, managers and members in accordance with the rules and regulations of</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93" w:lineRule="auto"/>
        <w:rPr>
          <w:sz w:val="20"/>
          <w:szCs w:val="20"/>
          <w:color w:val="auto"/>
        </w:rPr>
      </w:pPr>
      <w:r>
        <w:rPr>
          <w:rFonts w:ascii="Arial" w:cs="Arial" w:eastAsia="Arial" w:hAnsi="Arial"/>
          <w:sz w:val="16"/>
          <w:szCs w:val="16"/>
          <w:color w:val="auto"/>
        </w:rPr>
        <w:t>the SEC and securities which may be issued upon exercise of a stock option) or (2) enter into any swap or other agreement that transfers, in whole or in part, any of the economic consequences of ownership of the Class A common stock or such other securities, whether any such transaction described in clause (1) or (2) 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Class A common stock.</w:t>
      </w:r>
    </w:p>
    <w:p>
      <w:pPr>
        <w:spacing w:after="0" w:line="57" w:lineRule="exact"/>
        <w:rPr>
          <w:sz w:val="20"/>
          <w:szCs w:val="20"/>
          <w:color w:val="auto"/>
        </w:rPr>
      </w:pPr>
    </w:p>
    <w:p>
      <w:pPr>
        <w:ind w:left="1260" w:right="899" w:firstLine="728"/>
        <w:spacing w:after="0" w:line="308" w:lineRule="auto"/>
        <w:tabs>
          <w:tab w:leader="none" w:pos="207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 their sole discretion, may release the Class A common stock and other securities subject to certain notice requirements in the lock-up agreements described above in whole or in part at any time.</w:t>
      </w:r>
    </w:p>
    <w:p>
      <w:pPr>
        <w:spacing w:after="0" w:line="38"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62"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We intend to apply to have our Class A common stock approved for listing on Nasdaq under the symbol “TW.”</w:t>
      </w:r>
    </w:p>
    <w:p>
      <w:pPr>
        <w:spacing w:after="0" w:line="62" w:lineRule="exact"/>
        <w:rPr>
          <w:sz w:val="20"/>
          <w:szCs w:val="20"/>
          <w:color w:val="auto"/>
        </w:rPr>
      </w:pPr>
    </w:p>
    <w:p>
      <w:pPr>
        <w:ind w:left="1260" w:right="779" w:firstLine="360"/>
        <w:spacing w:after="0" w:line="267"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the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8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discounts and commissions received by them.</w:t>
      </w:r>
    </w:p>
    <w:p>
      <w:pPr>
        <w:spacing w:after="0" w:line="85"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64"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60" w:lineRule="exact"/>
        <w:rPr>
          <w:sz w:val="20"/>
          <w:szCs w:val="20"/>
          <w:color w:val="auto"/>
        </w:rPr>
      </w:pPr>
    </w:p>
    <w:p>
      <w:pPr>
        <w:ind w:left="1980" w:hanging="352"/>
        <w:spacing w:after="0"/>
        <w:tabs>
          <w:tab w:leader="none" w:pos="1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0" w:name="page211"/>
    <w:bookmarkEnd w:id="2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84"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17" w:lineRule="exact"/>
        <w:rPr>
          <w:sz w:val="20"/>
          <w:szCs w:val="20"/>
          <w:color w:val="auto"/>
        </w:rPr>
      </w:pPr>
    </w:p>
    <w:p>
      <w:pPr>
        <w:ind w:left="1260" w:right="1219" w:firstLine="360"/>
        <w:spacing w:after="0" w:line="308"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shares, or that the shares will trade in the public market at or above the initial public offering price.</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 Other Relationships</w:t>
      </w:r>
    </w:p>
    <w:p>
      <w:pPr>
        <w:spacing w:after="0" w:line="108" w:lineRule="exact"/>
        <w:rPr>
          <w:sz w:val="20"/>
          <w:szCs w:val="20"/>
          <w:color w:val="auto"/>
        </w:rPr>
      </w:pPr>
    </w:p>
    <w:p>
      <w:pPr>
        <w:ind w:left="1260" w:right="1299" w:firstLine="360"/>
        <w:spacing w:after="0" w:line="258" w:lineRule="auto"/>
        <w:rPr>
          <w:sz w:val="20"/>
          <w:szCs w:val="20"/>
          <w:color w:val="auto"/>
        </w:rPr>
      </w:pPr>
      <w:r>
        <w:rPr>
          <w:rFonts w:ascii="Arial" w:cs="Arial" w:eastAsia="Arial" w:hAnsi="Arial"/>
          <w:sz w:val="18"/>
          <w:szCs w:val="18"/>
          <w:color w:val="auto"/>
        </w:rPr>
        <w:t>Because affiliates of are Bank Stockholders that will receive more than 5.0% of the net proceeds from this offering, is deemed to have a “conflict of interest” pursuant to FINRA</w:t>
      </w:r>
    </w:p>
    <w:p>
      <w:pPr>
        <w:spacing w:after="0" w:line="1" w:lineRule="exact"/>
        <w:rPr>
          <w:sz w:val="20"/>
          <w:szCs w:val="20"/>
          <w:color w:val="auto"/>
        </w:rPr>
      </w:pPr>
    </w:p>
    <w:p>
      <w:pPr>
        <w:ind w:left="1260" w:right="759"/>
        <w:spacing w:after="0" w:line="286" w:lineRule="auto"/>
        <w:rPr>
          <w:sz w:val="20"/>
          <w:szCs w:val="20"/>
          <w:color w:val="auto"/>
        </w:rPr>
      </w:pPr>
      <w:r>
        <w:rPr>
          <w:rFonts w:ascii="Arial" w:cs="Arial" w:eastAsia="Arial" w:hAnsi="Arial"/>
          <w:sz w:val="16"/>
          <w:szCs w:val="16"/>
          <w:color w:val="auto"/>
        </w:rPr>
        <w:t>Rule 5121(f)(5)(C)(ii). See “Use of Proceeds.” Accordingly, this offering will be made in compliance with the applicable provisions of Rule 5121. As such, any underwriter that has a conflict of interest pursuant to Rule 5121 will not confirm sales to accounts in which it exercises discretionary authority without the prior written consent of the customer. Pursuant to Rule 5121, a “qualified independent underwriter” (as defined in Rule 5121) must participate in the preparation of the prospectus and perform its usual standard of due diligence with respect to the registration statement and this prospectus. Sandler O’ Neill &amp; Partners L.P. has agreed to act as qualified independent underwriter for the offering and to undertake the legal responsibilities and liabilities of an underwriter under the Securities Act, specifically including those inherent in Section 11 of the Securities Act. We have also agreed to indemnify Sandler O’ Neill &amp; Partners L.P. against certain liabilities incurred in connection with it acting as a qualified independent underwriter in this offering, including liabilities under the Securities Act.</w:t>
      </w:r>
    </w:p>
    <w:p>
      <w:pPr>
        <w:spacing w:after="0" w:line="62" w:lineRule="exact"/>
        <w:rPr>
          <w:sz w:val="20"/>
          <w:szCs w:val="20"/>
          <w:color w:val="auto"/>
        </w:rPr>
      </w:pPr>
    </w:p>
    <w:p>
      <w:pPr>
        <w:ind w:left="1260" w:right="839" w:firstLine="360"/>
        <w:spacing w:after="0" w:line="284"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Affiliates</w:t>
      </w:r>
    </w:p>
    <w:p>
      <w:pPr>
        <w:spacing w:after="0" w:line="3" w:lineRule="exact"/>
        <w:rPr>
          <w:sz w:val="20"/>
          <w:szCs w:val="20"/>
          <w:color w:val="auto"/>
        </w:rPr>
      </w:pPr>
    </w:p>
    <w:p>
      <w:pPr>
        <w:ind w:left="1260" w:right="1159"/>
        <w:spacing w:after="0" w:line="261" w:lineRule="auto"/>
        <w:rPr>
          <w:sz w:val="20"/>
          <w:szCs w:val="20"/>
          <w:color w:val="auto"/>
        </w:rPr>
      </w:pPr>
      <w:r>
        <w:rPr>
          <w:rFonts w:ascii="Arial" w:cs="Arial" w:eastAsia="Arial" w:hAnsi="Arial"/>
          <w:sz w:val="18"/>
          <w:szCs w:val="18"/>
          <w:color w:val="auto"/>
        </w:rPr>
        <w:t>of will, and affiliates of certain other underwriters may, participate as arrangers and/or lenders under the New Revolving Credit Facility.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08" w:lineRule="exact"/>
        <w:rPr>
          <w:sz w:val="20"/>
          <w:szCs w:val="20"/>
          <w:color w:val="auto"/>
        </w:rPr>
      </w:pPr>
    </w:p>
    <w:p>
      <w:pPr>
        <w:ind w:left="1260" w:right="839" w:firstLine="360"/>
        <w:spacing w:after="0" w:line="253"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04" w:lineRule="exact"/>
        <w:rPr>
          <w:sz w:val="20"/>
          <w:szCs w:val="20"/>
          <w:color w:val="auto"/>
        </w:rPr>
      </w:pPr>
    </w:p>
    <w:p>
      <w:pPr>
        <w:jc w:val="both"/>
        <w:ind w:left="1260" w:right="999" w:firstLine="360"/>
        <w:spacing w:after="0" w:line="342" w:lineRule="auto"/>
        <w:rPr>
          <w:sz w:val="20"/>
          <w:szCs w:val="20"/>
          <w:color w:val="auto"/>
        </w:rPr>
      </w:pPr>
      <w:r>
        <w:rPr>
          <w:rFonts w:ascii="Arial" w:cs="Arial" w:eastAsia="Arial" w:hAnsi="Arial"/>
          <w:sz w:val="16"/>
          <w:szCs w:val="16"/>
          <w:color w:val="auto"/>
        </w:rPr>
        <w:t>In relation to each Member State of the European Economic Area (each, a “Relevant Member State”), no offer of shares of Class A common stock may be made to the public in that Relevant Member State other than:</w:t>
      </w:r>
    </w:p>
    <w:p>
      <w:pPr>
        <w:spacing w:after="0" w:line="83" w:lineRule="exact"/>
        <w:rPr>
          <w:sz w:val="20"/>
          <w:szCs w:val="20"/>
          <w:color w:val="auto"/>
        </w:rPr>
      </w:pPr>
    </w:p>
    <w:p>
      <w:pPr>
        <w:ind w:left="5240" w:right="2039" w:hanging="3612"/>
        <w:spacing w:after="0" w:line="606" w:lineRule="auto"/>
        <w:tabs>
          <w:tab w:leader="none" w:pos="198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683450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1" w:name="page212"/>
    <w:bookmarkEnd w:id="2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979" w:hanging="352"/>
        <w:spacing w:after="0" w:line="264"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73" w:lineRule="exact"/>
        <w:rPr>
          <w:rFonts w:ascii="Arial" w:cs="Arial" w:eastAsia="Arial" w:hAnsi="Arial"/>
          <w:sz w:val="18"/>
          <w:szCs w:val="18"/>
          <w:color w:val="auto"/>
        </w:rPr>
      </w:pPr>
    </w:p>
    <w:p>
      <w:pPr>
        <w:ind w:left="1980" w:right="759" w:hanging="352"/>
        <w:spacing w:after="0" w:line="259"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Class A common stock shall require the Company or the representatives to publish a prospectus pursuant to Article 3 of the Prospectus Directive or supplement a prospectus pursuant to Article 16 of the Prospectus Directive.</w:t>
      </w:r>
    </w:p>
    <w:p>
      <w:pPr>
        <w:spacing w:after="0" w:line="79"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Each person in a Relevant Member State who initially acquires any shares of Class A common stock or to whom any offer is made will be deemed to have represented, acknowledged and agreed that it is a “qualified investor” within the meaning of the law in that Relevant Member State implementing Article 2(1)(e) of the Prospectus Directive. In the case of any shares of Class A common stock being offered to a financial intermediary as that term is used in Article 3(2) of the Prospectus Directive,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Member State to qualified investors as so defined or in circumstances in which the prior consent of the representatives has been obtained to each such proposed offer or resale.</w:t>
      </w:r>
    </w:p>
    <w:p>
      <w:pPr>
        <w:spacing w:after="0" w:line="75"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acknowledgments and agreements.</w:t>
      </w:r>
    </w:p>
    <w:p>
      <w:pPr>
        <w:spacing w:after="0" w:line="62"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This prospectus has been prepared on the basis that any offer of shares in any Relevant Member State will be made pursuant to an exemption under the Prospectus Directive from the requirement to publish a prospectus for offers of shares of Class A common stock. Accordingly any person making or intending to make an offer in that Relevant Member State of shares of Class A common stock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of Class A common stock in circumstances in which an obligation arises for the Company or the underwriters to publish a prospectus for such offer.</w:t>
      </w:r>
    </w:p>
    <w:p>
      <w:pPr>
        <w:spacing w:after="0" w:line="74"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For the purpose of the above provisions, the expression “an offer to the public” in relation to any shares of Class A common stock in any Relevant Member State means the communication in any form and by any means of sufficient information on the terms of the offer and the shares of Class A common stock to be offered so as to enable an investor to decide to purchase or subscribe the shares of Class A common stock,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04"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81"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ectPr>
          <w:pgSz w:w="11900" w:h="16838" w:orient="portrait"/>
          <w:cols w:equalWidth="0" w:num="1">
            <w:col w:w="10219"/>
          </w:cols>
          <w:pgMar w:left="240" w:top="131" w:right="1440" w:bottom="1440" w:gutter="0" w:footer="0" w:header="0"/>
        </w:sectPr>
      </w:pP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12" w:name="page213"/>
    <w:bookmarkEnd w:id="2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04" w:lineRule="exact"/>
        <w:rPr>
          <w:sz w:val="20"/>
          <w:szCs w:val="20"/>
          <w:color w:val="auto"/>
        </w:rPr>
      </w:pPr>
    </w:p>
    <w:p>
      <w:pPr>
        <w:ind w:left="1260" w:right="1019" w:firstLine="360"/>
        <w:spacing w:after="0" w:line="273" w:lineRule="auto"/>
        <w:rPr>
          <w:sz w:val="20"/>
          <w:szCs w:val="20"/>
          <w:color w:val="auto"/>
        </w:rPr>
      </w:pPr>
      <w:r>
        <w:rPr>
          <w:rFonts w:ascii="Arial" w:cs="Arial" w:eastAsia="Arial" w:hAnsi="Arial"/>
          <w:sz w:val="17"/>
          <w:szCs w:val="17"/>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must be made in accordance with an exemption from, or in a transaction not subject to, the prospectus requirements of applicable securities laws.</w:t>
      </w:r>
    </w:p>
    <w:p>
      <w:pPr>
        <w:spacing w:after="0" w:line="70"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5"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04"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71"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04"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w:t>
      </w:r>
    </w:p>
    <w:p>
      <w:pPr>
        <w:spacing w:after="0" w:line="63" w:lineRule="exact"/>
        <w:rPr>
          <w:sz w:val="20"/>
          <w:szCs w:val="20"/>
          <w:color w:val="auto"/>
        </w:rPr>
      </w:pPr>
    </w:p>
    <w:p>
      <w:pPr>
        <w:ind w:left="1980" w:right="859" w:hanging="352"/>
        <w:spacing w:after="0" w:line="277" w:lineRule="auto"/>
        <w:tabs>
          <w:tab w:leader="none" w:pos="1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w:t>
      </w:r>
    </w:p>
    <w:p>
      <w:pPr>
        <w:spacing w:after="0" w:line="8"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899" w:hanging="352"/>
        <w:spacing w:after="0" w:line="264" w:lineRule="auto"/>
        <w:tabs>
          <w:tab w:leader="none" w:pos="1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60"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57"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77"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Act. Accordingly, the shares of common stock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77"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51" w:lineRule="exact"/>
        <w:rPr>
          <w:sz w:val="20"/>
          <w:szCs w:val="20"/>
          <w:color w:val="auto"/>
        </w:rPr>
      </w:pPr>
    </w:p>
    <w:p>
      <w:pPr>
        <w:ind w:left="1260" w:right="939" w:firstLine="360"/>
        <w:spacing w:after="0" w:line="264"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63"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3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43" w:lineRule="exact"/>
        <w:rPr>
          <w:sz w:val="20"/>
          <w:szCs w:val="20"/>
          <w:color w:val="auto"/>
        </w:rPr>
      </w:pPr>
    </w:p>
    <w:p>
      <w:pPr>
        <w:ind w:left="1980" w:right="839" w:hanging="352"/>
        <w:spacing w:after="0" w:line="264" w:lineRule="auto"/>
        <w:tabs>
          <w:tab w:leader="none" w:pos="19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0"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25" w:lineRule="exact"/>
        <w:rPr>
          <w:sz w:val="20"/>
          <w:szCs w:val="20"/>
          <w:color w:val="auto"/>
        </w:rPr>
      </w:pPr>
    </w:p>
    <w:p>
      <w:pPr>
        <w:ind w:left="1980" w:right="1259" w:hanging="352"/>
        <w:spacing w:after="0" w:line="342" w:lineRule="auto"/>
        <w:tabs>
          <w:tab w:leader="none" w:pos="19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83" w:lineRule="exact"/>
        <w:rPr>
          <w:rFonts w:ascii="Arial" w:cs="Arial" w:eastAsia="Arial" w:hAnsi="Arial"/>
          <w:sz w:val="16"/>
          <w:szCs w:val="16"/>
          <w:color w:val="auto"/>
        </w:rPr>
      </w:pPr>
    </w:p>
    <w:p>
      <w:pPr>
        <w:ind w:left="1980" w:hanging="352"/>
        <w:spacing w:after="0"/>
        <w:tabs>
          <w:tab w:leader="none" w:pos="1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1980" w:right="1419" w:hanging="352"/>
        <w:spacing w:after="0" w:line="277" w:lineRule="auto"/>
        <w:tabs>
          <w:tab w:leader="none" w:pos="1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2"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Singapore Securities and Futures Act Product Classification — Solely for the purposes of its obligations pursuant to Sections 309B(1)(a) 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The validity of the shares of Class A common stock offered hereby will be passed upon for us by Fried, Frank, Harris, Shriver &amp; Jacobson LLP, New York, New York. Legal matters in connection with this offering will be passed upon for the underwriters by Davis Polk &amp; Wardwell LLP, New York, New York.</w:t>
      </w:r>
    </w:p>
    <w:p>
      <w:pPr>
        <w:spacing w:after="0" w:line="14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108"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7"/>
          <w:szCs w:val="17"/>
          <w:color w:val="auto"/>
        </w:rPr>
        <w:t>As a result of the Refinitiv Transaction, PricewaterhouseCoopers LLP, Tradeweb Markets LLC’s independent registered public accounting firm, ceased to be independent with respect to Tradeweb Markets LLC on October 1, 2018. Accordingly, PricewaterhouseCoopers LLP was dismissed as Tradeweb Markets LLC’s independent registered public accounting firm for financial statement periods beginning subsequent to September 30, 2018. The dismissal of PricewaterhouseCoopers LLP became effective upon issuance by PricewaterhouseCoopers LLP of its report on the consolidated financial statements as of and for the nine months ended September 30, 2018 included elsewhere in this prospectus.</w:t>
      </w:r>
    </w:p>
    <w:p>
      <w:pPr>
        <w:spacing w:after="0" w:line="70"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During the years ended December 31, 2017 and 2016, and the subsequent interim period through September 30, 2018, (i) 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59"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Tradeweb Markets LLC has provided a copy of the above statements to PricewaterhouseCoopers LLP and requested that PricewaterhouseCoopers LLP furnish Tradeweb Markets LLC with a letter addressed to the SEC stating whether or not they agree with the above disclosure. A copy of that letter, dated March 7, 2019, is filed as an exhibit to the registration statement of which this prospectus is a part.</w:t>
      </w:r>
    </w:p>
    <w:p>
      <w:pPr>
        <w:spacing w:after="0" w:line="63"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On November 11, 2018, Tradeweb Markets Inc. engaged Deloitte &amp; Touche LLP as its independent registered public accounting firm, and Tradeweb Markets LLC also engaged Deloitte &amp; Touche LLP as its independent registered public accounting firm on February 6, 2019. During the fiscal years ended December 31, 2017 and 2016 and the subsequent interim period through September 30, 2018, Tradeweb Markets LLC (or any person on its behalf) did not consult with Deloitte &amp; Touche LLP regarding any of the matters described in Items 304(a)(2)(i) or 304(a)(2)(ii) of Regulation S-K.</w:t>
      </w:r>
    </w:p>
    <w:p>
      <w:pPr>
        <w:spacing w:after="0" w:line="16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The financial statement of Tradeweb Markets Inc. as of December 31, 2018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79"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The consolidated financial statements of Tradeweb Markets LLC and its subsidiaries as of December 31, 2018 and for the period from October 1, 2018 to December 31, 2018 (the “Successor Period”) included in this prospectus have been audited by Deloitte &amp; Touche LLP, an independent registered public accounting firm, as stated in their report appearing herein (which report expresses an unqualified opinion on the consolidated financial statements and includes an emphasis of matter paragraph relating to the Successor Period financial statements not being comparable to the Predecessor Period financial statements as a result of pushdown accounting). Such financial statements have been so included in reliance upon the report of such firm given upon their authority as experts in accounting and auditing.</w:t>
      </w:r>
    </w:p>
    <w:p>
      <w:pPr>
        <w:spacing w:after="0" w:line="71"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The consolidated financial statements of Tradeweb Markets LLC and its subsidiaries as of December 31, 2017 (Predecessor), and for January 1, 2018 to September 30, 2018 (Predecessor), and for each of the years ended December 31, 2017 and 2016 (Predecessor), included in this prospectus, have been so included in reliance on the report of PricewaterhouseCoopers LLP, an independent registered public accounting firm, given on the authority of such firm as experts in accounting and auditing.</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color w:val="auto"/>
        </w:rPr>
        <w:t>In connection with the Refinitiv Transaction, PricewaterhouseCoopers LLP completed an independence assessment to evaluate the services and relationships with the Investor Group entities that became affiliates of Tradeweb Markets LLC effective with the closing date of the Refinitiv Transaction that may bear on PricewaterhouseCoopers LLP’s independence under the SEC and the Public Company Accounting Oversight Board (United States) (“PCAOB”) independence rules during the performance of the audit for the audit period commencing on January 1, 2018 through September 30, 2018 (the “Closing Date Audit”). Various services provided to and relationships with entities becoming affiliates of Tradeweb Markets LLC including the investing entities of the Investor Group and sister entities under common control of Blackstone were identified that are inconsistent with the auditor independence rules provided in Rule 2-01 of Regulation S-X. For each of the services and relationships identified, PricewaterhouseCoopers LLP provided to those charged with governance for Tradeweb Markets LLC an overview of the facts and circumstances surrounding the services and relationships, including the entities affected and firms/people involved, the nature and scope of the services ongoing on the closing date of the Refinitiv Transaction that were expected to continue or commence during the performance of the Closing Date Audit, an approximation of the estimated fees to be earned related to those services during the performance of the Closing Date Audit and other relevant factors. PricewaterhouseCoopers LLP noted the business relationships and services became impermissible only as a result of the Refinitiv Transaction and that none of the impermissible services and relationships had or will have any impact on the financial statements of Tradeweb Markets LLC as of and for the period beginning January 1, 2018 through September 30, 2018 subject to PricewaterhouseCoopers LLP’s audit. At no time did PricewaterhouseCoopers LLP audit its own work in the performance of the Closing Date Audit nor did it act as management of Tradeweb Markets LLC. The services and relationships identified included: (i) the provision of tax and due diligence services under impermissible contingent fee arrangements; (ii) the provision of corporate secretarial services and other legal services including global immigration services; (iii) the provision of management functions, including bookkeeping services, loaned staff arrangements, outsourcing services, project management services and the preparation and filing of documents with non-tax authorities; (iv) business relationships (existing and proposed) with certain Blackstone portfolio companies allowing for the joint pursuit of business opportunities to provide performance improvement services and joint pursuit of business opportunities to provide information technology services; (v) an impermissible employment relationship; and (vi) impermissible financial interests by certain PricewaterhouseCoopers territory firms and covered persons not involved in the audits of Tradeweb Markets LLC.</w:t>
      </w:r>
    </w:p>
    <w:p>
      <w:pPr>
        <w:spacing w:after="0" w:line="277"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audit of Tradeweb Markets LLC’s financial statements as of and for the period from January 1, 2018 through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Class A common stock to be sold in this offering. As allowed by SEC rules, this prospectus, which constitutes a part of the registration statement, does not contain all of the information set forth in the registration statement or the exhibits and schedules that are part of the registration statement. For further information about us and our Class A common stock offered hereby, you should refer to the registration statement, including all amendments, supplements, schedules, and exhibits thereto.</w:t>
      </w:r>
    </w:p>
    <w:p>
      <w:pPr>
        <w:spacing w:after="0" w:line="57" w:lineRule="exact"/>
        <w:rPr>
          <w:sz w:val="20"/>
          <w:szCs w:val="20"/>
          <w:color w:val="auto"/>
        </w:rPr>
      </w:pPr>
    </w:p>
    <w:p>
      <w:pPr>
        <w:jc w:val="both"/>
        <w:ind w:left="1260" w:right="759" w:firstLine="360"/>
        <w:spacing w:after="0" w:line="259" w:lineRule="auto"/>
        <w:rPr>
          <w:sz w:val="20"/>
          <w:szCs w:val="20"/>
          <w:color w:val="auto"/>
        </w:rPr>
      </w:pPr>
      <w:r>
        <w:rPr>
          <w:rFonts w:ascii="Arial" w:cs="Arial" w:eastAsia="Arial" w:hAnsi="Arial"/>
          <w:sz w:val="18"/>
          <w:szCs w:val="18"/>
          <w:color w:val="auto"/>
        </w:rPr>
        <w:t>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9"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will file annual, quarterly and current reports, proxy statements and other information with the SEC.</w:t>
      </w:r>
    </w:p>
    <w:p>
      <w:pPr>
        <w:spacing w:after="0" w:line="73"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You can review the registration statement, as well as our future SEC filings, by accessing the SEC’s website at www.sec.gov. You may also request copies of those documents, at no cost to you, by contacting us at the following address:</w:t>
      </w:r>
    </w:p>
    <w:p>
      <w:pPr>
        <w:spacing w:after="0" w:line="7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(646) 430-6000</w:t>
      </w:r>
    </w:p>
    <w:p>
      <w:pPr>
        <w:spacing w:after="0" w:line="103"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We intend to furnish our stockholders with annual reports containing financial statements audited by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INDEX TO FINANCIAL STATEMENTS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Page</w:t>
            </w:r>
          </w:p>
        </w:tc>
      </w:tr>
      <w:tr>
        <w:trPr>
          <w:trHeight w:val="39"/>
        </w:trPr>
        <w:tc>
          <w:tcPr>
            <w:tcW w:w="180" w:type="dxa"/>
            <w:vAlign w:val="bottom"/>
            <w:tcBorders>
              <w:bottom w:val="single" w:sz="8" w:color="CCEEFF"/>
            </w:tcBorders>
          </w:tcPr>
          <w:p>
            <w:pPr>
              <w:spacing w:after="0"/>
              <w:rPr>
                <w:sz w:val="3"/>
                <w:szCs w:val="3"/>
                <w:color w:val="auto"/>
              </w:rPr>
            </w:pPr>
          </w:p>
        </w:tc>
        <w:tc>
          <w:tcPr>
            <w:tcW w:w="2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77"/>
        </w:trPr>
        <w:tc>
          <w:tcPr>
            <w:tcW w:w="768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Tradeweb Markets Inc. Statement of Financial Condition</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680" w:type="dxa"/>
            <w:vAlign w:val="bottom"/>
            <w:gridSpan w:val="14"/>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19">
              <w:r>
                <w:rPr>
                  <w:rFonts w:ascii="Arial" w:cs="Arial" w:eastAsia="Arial" w:hAnsi="Arial"/>
                  <w:sz w:val="18"/>
                  <w:szCs w:val="18"/>
                  <w:color w:val="0000EE"/>
                </w:rPr>
                <w:t>F-2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260" w:type="dxa"/>
            <w:vAlign w:val="bottom"/>
            <w:gridSpan w:val="6"/>
            <w:shd w:val="clear" w:color="auto" w:fill="CCEEFF"/>
          </w:tcPr>
          <w:p>
            <w:pPr>
              <w:spacing w:after="0"/>
              <w:rPr>
                <w:rFonts w:ascii="Arial" w:cs="Arial" w:eastAsia="Arial" w:hAnsi="Arial"/>
                <w:sz w:val="18"/>
                <w:szCs w:val="18"/>
                <w:color w:val="0000EE"/>
                <w:w w:val="90"/>
              </w:rPr>
            </w:pPr>
            <w:hyperlink w:anchor="page220">
              <w:r>
                <w:rPr>
                  <w:rFonts w:ascii="Arial" w:cs="Arial" w:eastAsia="Arial" w:hAnsi="Arial"/>
                  <w:sz w:val="18"/>
                  <w:szCs w:val="18"/>
                  <w:color w:val="0000EE"/>
                  <w:w w:val="90"/>
                </w:rPr>
                <w:t>Statement of Financial Condition as of December 31, 2018</w:t>
              </w:r>
            </w:hyperlink>
          </w:p>
        </w:tc>
        <w:tc>
          <w:tcPr>
            <w:tcW w:w="3420" w:type="dxa"/>
            <w:vAlign w:val="bottom"/>
            <w:gridSpan w:val="8"/>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rPr>
            </w:pPr>
            <w:hyperlink w:anchor="page220">
              <w:r>
                <w:rPr>
                  <w:rFonts w:ascii="Arial" w:cs="Arial" w:eastAsia="Arial" w:hAnsi="Arial"/>
                  <w:sz w:val="18"/>
                  <w:szCs w:val="18"/>
                  <w:color w:val="0000EE"/>
                </w:rPr>
                <w:t>F-3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4260" w:type="dxa"/>
            <w:vAlign w:val="bottom"/>
            <w:gridSpan w:val="6"/>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Notes to Statement of Financial Condition</w:t>
              </w:r>
            </w:hyperlink>
          </w:p>
        </w:tc>
        <w:tc>
          <w:tcPr>
            <w:tcW w:w="3420" w:type="dxa"/>
            <w:vAlign w:val="bottom"/>
            <w:gridSpan w:val="8"/>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21">
              <w:r>
                <w:rPr>
                  <w:rFonts w:ascii="Arial" w:cs="Arial" w:eastAsia="Arial" w:hAnsi="Arial"/>
                  <w:sz w:val="18"/>
                  <w:szCs w:val="18"/>
                  <w:color w:val="0000EE"/>
                </w:rPr>
                <w:t>F-4</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768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Tradeweb Markets LLC and Subsidiaries Consolidated Financial Statements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680" w:type="dxa"/>
            <w:vAlign w:val="bottom"/>
            <w:gridSpan w:val="14"/>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Reports of Independent Registered Public Accounting Firm</w:t>
              </w:r>
            </w:hyperlink>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23">
              <w:r>
                <w:rPr>
                  <w:rFonts w:ascii="Arial" w:cs="Arial" w:eastAsia="Arial" w:hAnsi="Arial"/>
                  <w:sz w:val="18"/>
                  <w:szCs w:val="18"/>
                  <w:color w:val="0000EE"/>
                </w:rPr>
                <w:t>F-6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gridSpan w:val="14"/>
            <w:shd w:val="clear" w:color="auto" w:fill="CCEEFF"/>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Consolidated Statements of Financial Condition as of December 31, 2018 and 2017</w:t>
              </w:r>
            </w:hyperlink>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rPr>
            </w:pPr>
            <w:hyperlink w:anchor="page224">
              <w:r>
                <w:rPr>
                  <w:rFonts w:ascii="Arial" w:cs="Arial" w:eastAsia="Arial" w:hAnsi="Arial"/>
                  <w:sz w:val="18"/>
                  <w:szCs w:val="18"/>
                  <w:color w:val="0000EE"/>
                </w:rPr>
                <w:t>F-7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6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25">
              <w:r>
                <w:rPr>
                  <w:rFonts w:ascii="Arial" w:cs="Arial" w:eastAsia="Arial" w:hAnsi="Arial"/>
                  <w:sz w:val="18"/>
                  <w:szCs w:val="18"/>
                  <w:color w:val="0000EE"/>
                  <w:w w:val="90"/>
                </w:rPr>
                <w:t>Consolidated Statements of Income for October 1, 2018 to December 31, 2018, January 1 to</w:t>
              </w:r>
            </w:hyperlink>
          </w:p>
        </w:tc>
        <w:tc>
          <w:tcPr>
            <w:tcW w:w="1020" w:type="dxa"/>
            <w:vAlign w:val="bottom"/>
            <w:gridSpan w:val="4"/>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500" w:type="dxa"/>
            <w:vAlign w:val="bottom"/>
            <w:gridSpan w:val="13"/>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September 30, 2018 and the Years Ended December 31, 2017 and 2016</w:t>
              </w:r>
            </w:hyperlink>
          </w:p>
        </w:tc>
        <w:tc>
          <w:tcPr>
            <w:tcW w:w="100" w:type="dxa"/>
            <w:vAlign w:val="bottom"/>
          </w:tcPr>
          <w:p>
            <w:pPr>
              <w:spacing w:after="0"/>
              <w:rPr>
                <w:sz w:val="17"/>
                <w:szCs w:val="17"/>
                <w:color w:val="auto"/>
              </w:rPr>
            </w:pPr>
          </w:p>
        </w:tc>
        <w:tc>
          <w:tcPr>
            <w:tcW w:w="440" w:type="dxa"/>
            <w:vAlign w:val="bottom"/>
            <w:gridSpan w:val="3"/>
          </w:tcPr>
          <w:p>
            <w:pPr>
              <w:jc w:val="right"/>
              <w:ind w:right="100"/>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F-8</w:t>
              </w:r>
            </w:hyperlink>
          </w:p>
        </w:tc>
      </w:tr>
      <w:tr>
        <w:trPr>
          <w:trHeight w:val="34"/>
        </w:trPr>
        <w:tc>
          <w:tcPr>
            <w:tcW w:w="180" w:type="dxa"/>
            <w:vAlign w:val="bottom"/>
          </w:tcPr>
          <w:p>
            <w:pPr>
              <w:spacing w:after="0"/>
              <w:rPr>
                <w:sz w:val="2"/>
                <w:szCs w:val="2"/>
                <w:color w:val="auto"/>
              </w:rPr>
            </w:pPr>
          </w:p>
        </w:tc>
        <w:tc>
          <w:tcPr>
            <w:tcW w:w="28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14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0"/>
              </w:rPr>
            </w:pPr>
            <w:hyperlink w:anchor="page226">
              <w:r>
                <w:rPr>
                  <w:rFonts w:ascii="Arial" w:cs="Arial" w:eastAsia="Arial" w:hAnsi="Arial"/>
                  <w:sz w:val="18"/>
                  <w:szCs w:val="18"/>
                  <w:color w:val="0000EE"/>
                  <w:w w:val="90"/>
                </w:rPr>
                <w:t>Consolidated Statements of Changes in Members’ Capital and Accumulated Other Comprehensive</w:t>
              </w:r>
            </w:hyperlink>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694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89"/>
              </w:rPr>
            </w:pPr>
            <w:hyperlink w:anchor="page226">
              <w:r>
                <w:rPr>
                  <w:rFonts w:ascii="Arial" w:cs="Arial" w:eastAsia="Arial" w:hAnsi="Arial"/>
                  <w:sz w:val="18"/>
                  <w:szCs w:val="18"/>
                  <w:color w:val="0000EE"/>
                  <w:w w:val="89"/>
                </w:rPr>
                <w:t>Loss for October 1, 2018 to December 31, 2018, January 1, 2018 to September 30, 2018 and the</w:t>
              </w:r>
            </w:hyperlink>
          </w:p>
        </w:tc>
        <w:tc>
          <w:tcPr>
            <w:tcW w:w="5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500" w:type="dxa"/>
            <w:vAlign w:val="bottom"/>
            <w:gridSpan w:val="13"/>
            <w:shd w:val="clear" w:color="auto" w:fill="CCEEFF"/>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Years Ended December 31, 2017 and 2016</w:t>
              </w:r>
            </w:hyperlink>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00"/>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F-9</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14"/>
          </w:tcPr>
          <w:p>
            <w:pPr>
              <w:spacing w:after="0"/>
              <w:rPr>
                <w:rFonts w:ascii="Arial" w:cs="Arial" w:eastAsia="Arial" w:hAnsi="Arial"/>
                <w:sz w:val="18"/>
                <w:szCs w:val="18"/>
                <w:color w:val="0000EE"/>
                <w:w w:val="93"/>
              </w:rPr>
            </w:pPr>
            <w:hyperlink w:anchor="page227">
              <w:r>
                <w:rPr>
                  <w:rFonts w:ascii="Arial" w:cs="Arial" w:eastAsia="Arial" w:hAnsi="Arial"/>
                  <w:sz w:val="18"/>
                  <w:szCs w:val="18"/>
                  <w:color w:val="0000EE"/>
                  <w:w w:val="93"/>
                </w:rPr>
                <w:t>Consolidated Statements of Cash Flows for October 1, 2018 to December 31, 2018, January 1, 2018 to</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2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September 30, 2018 and the Years Ended December 31, 2017 and 2016</w:t>
              </w:r>
            </w:hyperlink>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ind w:right="100"/>
              <w:spacing w:after="0" w:line="196" w:lineRule="exact"/>
              <w:rPr>
                <w:rFonts w:ascii="Arial" w:cs="Arial" w:eastAsia="Arial" w:hAnsi="Arial"/>
                <w:sz w:val="18"/>
                <w:szCs w:val="18"/>
                <w:color w:val="0000EE"/>
                <w:w w:val="86"/>
              </w:rPr>
            </w:pPr>
            <w:hyperlink w:anchor="page227">
              <w:r>
                <w:rPr>
                  <w:rFonts w:ascii="Arial" w:cs="Arial" w:eastAsia="Arial" w:hAnsi="Arial"/>
                  <w:sz w:val="18"/>
                  <w:szCs w:val="18"/>
                  <w:color w:val="0000EE"/>
                  <w:w w:val="86"/>
                </w:rPr>
                <w:t>F-10</w:t>
              </w:r>
            </w:hyperlink>
          </w:p>
        </w:tc>
      </w:tr>
      <w:tr>
        <w:trPr>
          <w:trHeight w:val="34"/>
        </w:trPr>
        <w:tc>
          <w:tcPr>
            <w:tcW w:w="180" w:type="dxa"/>
            <w:vAlign w:val="bottom"/>
          </w:tcPr>
          <w:p>
            <w:pPr>
              <w:spacing w:after="0"/>
              <w:rPr>
                <w:sz w:val="2"/>
                <w:szCs w:val="2"/>
                <w:color w:val="auto"/>
              </w:rPr>
            </w:pPr>
          </w:p>
        </w:tc>
        <w:tc>
          <w:tcPr>
            <w:tcW w:w="28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160" w:type="dxa"/>
            <w:vAlign w:val="bottom"/>
            <w:gridSpan w:val="3"/>
            <w:shd w:val="clear" w:color="auto" w:fill="CCEEFF"/>
          </w:tcPr>
          <w:p>
            <w:pPr>
              <w:spacing w:after="0"/>
              <w:rPr>
                <w:rFonts w:ascii="Arial" w:cs="Arial" w:eastAsia="Arial" w:hAnsi="Arial"/>
                <w:sz w:val="18"/>
                <w:szCs w:val="18"/>
                <w:color w:val="0000EE"/>
                <w:w w:val="89"/>
              </w:rPr>
            </w:pPr>
            <w:hyperlink w:anchor="page229">
              <w:r>
                <w:rPr>
                  <w:rFonts w:ascii="Arial" w:cs="Arial" w:eastAsia="Arial" w:hAnsi="Arial"/>
                  <w:sz w:val="18"/>
                  <w:szCs w:val="18"/>
                  <w:color w:val="0000EE"/>
                  <w:w w:val="89"/>
                </w:rPr>
                <w:t>Notes to Consolidated Financial Statements</w:t>
              </w:r>
            </w:hyperlink>
          </w:p>
        </w:tc>
        <w:tc>
          <w:tcPr>
            <w:tcW w:w="4520" w:type="dxa"/>
            <w:vAlign w:val="bottom"/>
            <w:gridSpan w:val="11"/>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w w:val="86"/>
              </w:rPr>
            </w:pPr>
            <w:hyperlink w:anchor="page229">
              <w:r>
                <w:rPr>
                  <w:rFonts w:ascii="Arial" w:cs="Arial" w:eastAsia="Arial" w:hAnsi="Arial"/>
                  <w:sz w:val="18"/>
                  <w:szCs w:val="18"/>
                  <w:color w:val="0000EE"/>
                  <w:w w:val="86"/>
                </w:rPr>
                <w:t>F-12</w:t>
              </w:r>
            </w:hyperlink>
          </w:p>
        </w:tc>
      </w:tr>
      <w:tr>
        <w:trPr>
          <w:trHeight w:val="27"/>
        </w:trPr>
        <w:tc>
          <w:tcPr>
            <w:tcW w:w="18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-2597785</wp:posOffset>
            </wp:positionV>
            <wp:extent cx="487108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Sole Shareholder of Tradeweb Markets Inc.</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w:t>
      </w:r>
    </w:p>
    <w:p>
      <w:pPr>
        <w:spacing w:after="0" w:line="108"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We have audited the accompanying statement of financial condition of Tradeweb Markets Inc. (the “Company”) as of December 31, 2018, and the related notes (collectively referred to as the “financial statement”). In our opinion, the financial statement presents fairly, in all material respects, the financial position of the Company as of December 31, 2018, in conformity with accounting principles generally accepted in the United States of America.</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1"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5, 2019</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86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Tradeweb Markets Inc.</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86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Statement of Financial Condition</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86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December 31, 2018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per share, 1,000 shares authorized, 100 issued and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498284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-874395</wp:posOffset>
            </wp:positionV>
            <wp:extent cx="498284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this financial statement.</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Tradeweb Markets Inc.</w:t>
      </w:r>
    </w:p>
    <w:p>
      <w:pPr>
        <w:spacing w:after="0" w:line="9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Statement of Financial Condition</w:t>
      </w:r>
    </w:p>
    <w:p>
      <w:pPr>
        <w:spacing w:after="0" w:line="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2018</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Tradeweb Markets Inc. (the “Corporation”) was formed as a Delaware corporation on November 7, 2018. The Corporation was formed for the purpose of completing certain reorganization transactions in order to carry on the business of Tradeweb Markets LLC and conducting a public offering. It is expected that following the completion of such reorganization transactions the Corporation will be the sole managing member of Tradeweb Markets LLC and will operate and control all of the businesses and affairs of Tradeweb Markets LLC and, through Tradeweb Markets LLC and its subsidiaries, continue to conduct the business now conducted by these subsidiaries.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The statement of financial condition is presented in accordance with accounting principles generally accepted in the United States of America. Separate statements of operations, comprehensive income, changes in stockholder’s equity and cash flows have not been presented in the financial statement because there have been no activities in this entity other than the initial capitalization.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STOCKHOLDER’S EQUITY</w:t>
      </w:r>
    </w:p>
    <w:p>
      <w:pPr>
        <w:spacing w:after="0" w:line="108"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The Corporation is authorized to issue 1,000 shares of Common Stock, par value $0.01 per share. The Chief Executive Officer of Tradeweb Markets LLC is the sole shareholder of the Corporation and contributed $100 to the Corporation on November 7, 2018 to purchase 100 shares of common stock. Holders of common stock are entitled to one vote for each share of common stock held on all matters submitted to shareholders for vote, consent or approval.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SUBSEQUENT EVENTS</w:t>
      </w:r>
    </w:p>
    <w:p>
      <w:pPr>
        <w:spacing w:after="0" w:line="108" w:lineRule="exact"/>
        <w:rPr>
          <w:sz w:val="20"/>
          <w:szCs w:val="20"/>
          <w:color w:val="auto"/>
        </w:rPr>
      </w:pPr>
    </w:p>
    <w:p>
      <w:pPr>
        <w:jc w:val="both"/>
        <w:ind w:left="1260" w:right="799" w:firstLine="360"/>
        <w:spacing w:after="0" w:line="264" w:lineRule="auto"/>
        <w:rPr>
          <w:sz w:val="20"/>
          <w:szCs w:val="20"/>
          <w:color w:val="auto"/>
        </w:rPr>
      </w:pPr>
      <w:r>
        <w:rPr>
          <w:rFonts w:ascii="Arial" w:cs="Arial" w:eastAsia="Arial" w:hAnsi="Arial"/>
          <w:sz w:val="18"/>
          <w:szCs w:val="18"/>
          <w:color w:val="auto"/>
        </w:rPr>
        <w:t>The Corporation has evaluated subsequent events through March 5, 2019, the date the statement of financial condition was issued. The Corporation did not note any subsequent events requiring disclosure or adjustments to the statement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Management and Members of Tradeweb Markets LLC</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We have audited the accompanying consolidated statement of financial condition of Tradeweb Markets LLC and subsidiaries (the “Company”) as of December 31, 2018, the related consolidated statements of income, changes in members’ capital and accumulated other comprehensive loss, and cash flows for the period from October 1, 2018 to December 31, 2018 (the “Successor Period”), and the related notes (collectively referred to as the “financial statements”). In our opinion, the financial statements present fairly, in all material respects, the financial position of the Company as of December 31, 2018, and the results of its operations and its cash flows for period from October 1, 2018 to December 31, 2018, in conformity with accounting principles generally accepted in the United States of America.</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Emphasis of a Matter</w:t>
      </w:r>
    </w:p>
    <w:p>
      <w:pPr>
        <w:spacing w:after="0" w:line="108" w:lineRule="exact"/>
        <w:rPr>
          <w:sz w:val="20"/>
          <w:szCs w:val="20"/>
          <w:color w:val="auto"/>
        </w:rPr>
      </w:pPr>
    </w:p>
    <w:p>
      <w:pPr>
        <w:ind w:left="1260" w:right="839" w:firstLine="360"/>
        <w:spacing w:after="0" w:line="297" w:lineRule="auto"/>
        <w:rPr>
          <w:sz w:val="20"/>
          <w:szCs w:val="20"/>
          <w:color w:val="auto"/>
        </w:rPr>
      </w:pPr>
      <w:r>
        <w:rPr>
          <w:rFonts w:ascii="Arial" w:cs="Arial" w:eastAsia="Arial" w:hAnsi="Arial"/>
          <w:sz w:val="16"/>
          <w:szCs w:val="16"/>
          <w:color w:val="auto"/>
        </w:rPr>
        <w:t>As discussed in Notes 1 and 3 to the financial statements, on October 1, 2018, a majority interest in King (Cayman) Holdings Ltd., was acquired by BCP York Holdings, a company owned by certain investment funds affiliated with The Blackstone Group L.P. As a result of the application of pushdown accounting, the Company’s financial statements for the Successor Period are not comparable to the Predecessor Periods, which are from January 1, 2018 to September 30, 2018, and for the years ended December 31, 2017 and 2016.</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939" w:firstLine="360"/>
        <w:spacing w:after="0" w:line="29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0"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1"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/s/Deloitte &amp; Touche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5, 2019</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429"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Management and Members of Tradeweb Markets LLC (Predecessor)</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04"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6"/>
          <w:szCs w:val="16"/>
          <w:color w:val="auto"/>
        </w:rPr>
        <w:t>We have audited the accompanying consolidated statements of financial condition of Tradeweb Markets LLC and its subsidiaries (Predecessor) (the “Company”) as of December 31, 2017 and the related consolidated statements of income, of changes in members’ capital and accumulated other comprehensive loss and of cash flows for the nine months ended September 30, 2018 and for the years ended December 31, 2017 and December 31, 2016, including the related notes (collectively referred to as the “consolidated financial statements”). In our opinion, the consolidated financial statements present fairly, in all material respects, the financial position of the Company as of December 31, 2017 and the results of its operations and its cash flows for the nine months ended September 30, 2018 and for the years ended December 31, 2017 and December 31, 2016, in conformity with accounting principles generally accepted in the United States of America.</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ind w:left="1260" w:right="919" w:firstLine="360"/>
        <w:spacing w:after="0" w:line="302"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46"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17, 2018</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6"/>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7"/>
              </w:rPr>
              <w:t>Unaudited Pro</w:t>
            </w:r>
          </w:p>
        </w:tc>
        <w:tc>
          <w:tcPr>
            <w:tcW w:w="80" w:type="dxa"/>
            <w:vAlign w:val="bottom"/>
          </w:tcPr>
          <w:p>
            <w:pPr>
              <w:spacing w:after="0"/>
              <w:rPr>
                <w:sz w:val="2"/>
                <w:szCs w:val="2"/>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79"/>
              </w:rPr>
              <w:t>Successor</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5"/>
              </w:rPr>
              <w:t>Predecessor</w:t>
            </w: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5"/>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vMerge w:val="continue"/>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8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Borders>
              <w:left w:val="single" w:sz="8" w:color="auto"/>
            </w:tcBorders>
          </w:tcPr>
          <w:p>
            <w:pPr>
              <w:spacing w:after="0"/>
              <w:rPr>
                <w:sz w:val="12"/>
                <w:szCs w:val="12"/>
                <w:color w:val="auto"/>
              </w:rPr>
            </w:pPr>
          </w:p>
        </w:tc>
        <w:tc>
          <w:tcPr>
            <w:tcW w:w="86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Forma as of</w:t>
            </w:r>
          </w:p>
        </w:tc>
        <w:tc>
          <w:tcPr>
            <w:tcW w:w="880" w:type="dxa"/>
            <w:vAlign w:val="bottom"/>
            <w:gridSpan w:val="4"/>
            <w:vMerge w:val="continue"/>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December 31, 2018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6"/>
              </w:rPr>
              <w:t>(Note 22)</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400"/>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w w:val="93"/>
              </w:rPr>
              <w:t>Cash and cash equivalents including cash deposited with related parties of $283,790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rPr>
              <w:t>$234,107 at December 31, 2018 and December 31,2017, respectively</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310,104</w:t>
            </w:r>
          </w:p>
        </w:tc>
        <w:tc>
          <w:tcPr>
            <w:tcW w:w="8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410,104</w:t>
            </w:r>
          </w:p>
        </w:tc>
        <w:tc>
          <w:tcPr>
            <w:tcW w:w="2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352,598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w w:val="97"/>
              </w:rPr>
              <w:t>Receivable from brokers and dealers and clearing organizations including receivables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rPr>
              <w:t>from related parties of $3,332 at December 31, 2018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174,591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174,591</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4,324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7"/>
              </w:rPr>
              <w:t>Deposits with clearing organizations including deposits from related parties of $500 at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December 31, 2018 and December 31, 2017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11,427</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9,926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rPr>
              <w:t>Accounts receivable, net of allowance including receivables from related parties of</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w w:val="97"/>
              </w:rPr>
              <w:t>$40,730 and $27,163 at December 31, 2018 and December 31, 2017, respectively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87,192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87,192</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69,662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Furniture, equipment, purchased software and leasehold improvements, net of</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depreciation and amortization</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38,128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38,128</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27,031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20"/>
                <w:szCs w:val="20"/>
                <w:color w:val="auto"/>
              </w:rPr>
            </w:pPr>
            <w:r>
              <w:rPr>
                <w:rFonts w:ascii="Arial" w:cs="Arial" w:eastAsia="Arial" w:hAnsi="Arial"/>
                <w:sz w:val="14"/>
                <w:szCs w:val="14"/>
                <w:color w:val="auto"/>
              </w:rPr>
              <w:t>Software development costs, net of accumulated amortization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170,582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170,582</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41,181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 of accumulated amortization</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1,380,848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1,380,848</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222,219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2,694,797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2,694,797</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563,421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Receivable from affiliates</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3,243</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200" w:type="dxa"/>
            <w:vAlign w:val="bottom"/>
          </w:tcPr>
          <w:p>
            <w:pPr>
              <w:spacing w:after="0"/>
              <w:rPr>
                <w:sz w:val="20"/>
                <w:szCs w:val="20"/>
                <w:color w:val="auto"/>
              </w:rPr>
            </w:pPr>
            <w:r>
              <w:rPr>
                <w:rFonts w:ascii="Arial" w:cs="Arial" w:eastAsia="Arial" w:hAnsi="Arial"/>
                <w:sz w:val="14"/>
                <w:szCs w:val="14"/>
                <w:color w:val="auto"/>
                <w:w w:val="95"/>
              </w:rPr>
              <w:t>Other assets including other assets from related parties of $9 and $27 at 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rPr>
              <w:t>2018 and December 31, 2017, respectively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25,027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25,027</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18,130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Pr>
          <w:p>
            <w:pPr>
              <w:ind w:left="18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4,897,139</w:t>
            </w: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4,997,139</w:t>
            </w:r>
          </w:p>
        </w:tc>
        <w:tc>
          <w:tcPr>
            <w:tcW w:w="2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1,316,887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Borders>
              <w:top w:val="single" w:sz="8" w:color="CCEEFF"/>
            </w:tcBorders>
            <w:shd w:val="clear" w:color="auto" w:fill="CCEEFF"/>
          </w:tcPr>
          <w:p>
            <w:pPr>
              <w:ind w:left="1580"/>
              <w:spacing w:after="0"/>
              <w:rPr>
                <w:sz w:val="20"/>
                <w:szCs w:val="20"/>
                <w:color w:val="auto"/>
              </w:rPr>
            </w:pPr>
            <w:r>
              <w:rPr>
                <w:rFonts w:ascii="Arial" w:cs="Arial" w:eastAsia="Arial" w:hAnsi="Arial"/>
                <w:sz w:val="14"/>
                <w:szCs w:val="14"/>
                <w:b w:val="1"/>
                <w:bCs w:val="1"/>
                <w:color w:val="auto"/>
              </w:rPr>
              <w:t>Liabilities and Members’ Capital</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5"/>
              </w:rPr>
              <w:t>Payable to brokers and dealers and clearing organizations including payables to related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parties of $2,404 at December 31, 2018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171,214</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171,214</w:t>
            </w:r>
          </w:p>
        </w:tc>
        <w:tc>
          <w:tcPr>
            <w:tcW w:w="20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4,322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Accrued compensation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120,158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120,158</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89,769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6"/>
              </w:rPr>
              <w:t>Deferred revenue including deferred revenue from related parties of $9,151 and $5,106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2018 and December 31, 2017, respectively</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27,883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27,883</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Contingent consideration payable to related parties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129,393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7"/>
              </w:rPr>
              <w:t>Accounts payable, accrued expenses and other liabilities including payables to related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parties of $2,555 at December 31, 2017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42,548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42,548</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27,364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Employee equity compensation payable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24,187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24,187</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31,019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Payable to affiliates</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5,009</w:t>
            </w:r>
          </w:p>
        </w:tc>
        <w:tc>
          <w:tcPr>
            <w:tcW w:w="4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5,578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4"/>
                <w:szCs w:val="14"/>
                <w:color w:val="auto"/>
              </w:rPr>
              <w:t>Deferred tax liability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19,627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19,627</w:t>
            </w:r>
          </w:p>
        </w:tc>
        <w:tc>
          <w:tcPr>
            <w:tcW w:w="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Total liabilities</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410,626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410,626</w:t>
            </w:r>
          </w:p>
        </w:tc>
        <w:tc>
          <w:tcPr>
            <w:tcW w:w="4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317,118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20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Commitments and contingencies (Note 17)</w:t>
            </w: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left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Mezzanine Capital</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0" w:type="dxa"/>
            <w:vAlign w:val="bottom"/>
            <w:tcBorders>
              <w:lef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4"/>
                <w:szCs w:val="14"/>
                <w:color w:val="auto"/>
              </w:rPr>
              <w:t>Class C Shares and Class P(C) Shares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14,179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14,179</w:t>
            </w:r>
          </w:p>
        </w:tc>
        <w:tc>
          <w:tcPr>
            <w:tcW w:w="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13,301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Members’ capital</w:t>
            </w:r>
          </w:p>
        </w:tc>
        <w:tc>
          <w:tcPr>
            <w:tcW w:w="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right w:val="single" w:sz="8" w:color="CCEEFF"/>
            </w:tcBorders>
            <w:shd w:val="clear" w:color="auto" w:fill="CCEEFF"/>
          </w:tcPr>
          <w:p>
            <w:pPr>
              <w:spacing w:after="0"/>
              <w:rPr>
                <w:sz w:val="24"/>
                <w:szCs w:val="24"/>
                <w:color w:val="auto"/>
              </w:rPr>
            </w:pPr>
          </w:p>
        </w:tc>
        <w:tc>
          <w:tcPr>
            <w:tcW w:w="40" w:type="dxa"/>
            <w:vAlign w:val="bottom"/>
            <w:tcBorders>
              <w:top w:val="single" w:sz="8" w:color="CCEEFF"/>
              <w:left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Members’ capital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4,473,200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4,573,200</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999,735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(866)</w:t>
            </w:r>
          </w:p>
        </w:tc>
        <w:tc>
          <w:tcPr>
            <w:tcW w:w="4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(13,267)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ind w:left="180"/>
              <w:spacing w:after="0"/>
              <w:rPr>
                <w:sz w:val="20"/>
                <w:szCs w:val="20"/>
                <w:color w:val="auto"/>
              </w:rPr>
            </w:pPr>
            <w:r>
              <w:rPr>
                <w:rFonts w:ascii="Arial" w:cs="Arial" w:eastAsia="Arial" w:hAnsi="Arial"/>
                <w:sz w:val="14"/>
                <w:szCs w:val="14"/>
                <w:b w:val="1"/>
                <w:bCs w:val="1"/>
                <w:color w:val="auto"/>
              </w:rPr>
              <w:t>Total members’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4,472,334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4,572,334</w:t>
            </w:r>
          </w:p>
        </w:tc>
        <w:tc>
          <w:tcPr>
            <w:tcW w:w="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986,468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Total liabilities and members’ capital</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4,897,139</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4,997,139</w:t>
            </w:r>
          </w:p>
        </w:tc>
        <w:tc>
          <w:tcPr>
            <w:tcW w:w="20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1,316,887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5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-231140</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-231140</wp:posOffset>
            </wp:positionV>
            <wp:extent cx="47167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-831215</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-831215</wp:posOffset>
            </wp:positionV>
            <wp:extent cx="47167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-1499870</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-1499870</wp:posOffset>
            </wp:positionV>
            <wp:extent cx="47167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Statements of Income</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Successor</w:t>
            </w:r>
          </w:p>
        </w:tc>
        <w:tc>
          <w:tcPr>
            <w:tcW w:w="20" w:type="dxa"/>
            <w:vAlign w:val="bottom"/>
          </w:tcPr>
          <w:p>
            <w:pPr>
              <w:spacing w:after="0"/>
              <w:rPr>
                <w:sz w:val="15"/>
                <w:szCs w:val="15"/>
                <w:color w:val="auto"/>
              </w:rPr>
            </w:pPr>
          </w:p>
        </w:tc>
        <w:tc>
          <w:tcPr>
            <w:tcW w:w="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60" w:type="dxa"/>
            <w:vAlign w:val="bottom"/>
          </w:tcPr>
          <w:p>
            <w:pPr>
              <w:spacing w:after="0"/>
              <w:rPr>
                <w:sz w:val="15"/>
                <w:szCs w:val="15"/>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60" w:type="dxa"/>
            <w:vAlign w:val="bottom"/>
          </w:tcPr>
          <w:p>
            <w:pPr>
              <w:spacing w:after="0"/>
              <w:rPr>
                <w:sz w:val="15"/>
                <w:szCs w:val="15"/>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43"/>
        </w:trPr>
        <w:tc>
          <w:tcPr>
            <w:tcW w:w="4700" w:type="dxa"/>
            <w:vAlign w:val="bottom"/>
          </w:tcPr>
          <w:p>
            <w:pPr>
              <w:spacing w:after="0"/>
              <w:rPr>
                <w:sz w:val="12"/>
                <w:szCs w:val="12"/>
                <w:color w:val="auto"/>
              </w:rPr>
            </w:pPr>
          </w:p>
        </w:tc>
        <w:tc>
          <w:tcPr>
            <w:tcW w:w="880" w:type="dxa"/>
            <w:vAlign w:val="bottom"/>
            <w:tcBorders>
              <w:right w:val="single" w:sz="8" w:color="auto"/>
            </w:tcBorders>
            <w:gridSpan w:val="4"/>
          </w:tcPr>
          <w:p>
            <w:pPr>
              <w:jc w:val="center"/>
              <w:ind w:right="80"/>
              <w:spacing w:after="0" w:line="143" w:lineRule="exact"/>
              <w:rPr>
                <w:sz w:val="20"/>
                <w:szCs w:val="20"/>
                <w:color w:val="auto"/>
              </w:rPr>
            </w:pPr>
            <w:r>
              <w:rPr>
                <w:rFonts w:ascii="Arial" w:cs="Arial" w:eastAsia="Arial" w:hAnsi="Arial"/>
                <w:sz w:val="14"/>
                <w:szCs w:val="14"/>
                <w:b w:val="1"/>
                <w:bCs w:val="1"/>
                <w:color w:val="auto"/>
                <w:w w:val="86"/>
              </w:rPr>
              <w:t>October 1,</w:t>
            </w:r>
          </w:p>
        </w:tc>
        <w:tc>
          <w:tcPr>
            <w:tcW w:w="20" w:type="dxa"/>
            <w:vAlign w:val="bottom"/>
          </w:tcPr>
          <w:p>
            <w:pPr>
              <w:spacing w:after="0"/>
              <w:rPr>
                <w:sz w:val="12"/>
                <w:szCs w:val="12"/>
                <w:color w:val="auto"/>
              </w:rPr>
            </w:pPr>
          </w:p>
        </w:tc>
        <w:tc>
          <w:tcPr>
            <w:tcW w:w="920" w:type="dxa"/>
            <w:vAlign w:val="bottom"/>
            <w:gridSpan w:val="5"/>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January 1,</w:t>
            </w:r>
          </w:p>
        </w:tc>
        <w:tc>
          <w:tcPr>
            <w:tcW w:w="8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7"/>
              </w:rPr>
              <w:t>Year ended</w:t>
            </w:r>
          </w:p>
        </w:tc>
        <w:tc>
          <w:tcPr>
            <w:tcW w:w="82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78"/>
              </w:rPr>
              <w:t>2018 to</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2018 to</w:t>
            </w:r>
          </w:p>
        </w:tc>
        <w:tc>
          <w:tcPr>
            <w:tcW w:w="880" w:type="dxa"/>
            <w:vAlign w:val="bottom"/>
            <w:gridSpan w:val="5"/>
            <w:vMerge w:val="continue"/>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880" w:type="dxa"/>
            <w:vAlign w:val="bottom"/>
            <w:tcBorders>
              <w:right w:val="single" w:sz="8" w:color="auto"/>
            </w:tcBorders>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92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September 30,</w:t>
            </w:r>
          </w:p>
        </w:tc>
        <w:tc>
          <w:tcPr>
            <w:tcW w:w="88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2"/>
        </w:trPr>
        <w:tc>
          <w:tcPr>
            <w:tcW w:w="47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3"/>
              </w:rPr>
              <w:t>2018</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00" w:type="dxa"/>
            <w:vAlign w:val="bottom"/>
          </w:tcPr>
          <w:p>
            <w:pPr>
              <w:ind w:left="180"/>
              <w:spacing w:after="0"/>
              <w:rPr>
                <w:sz w:val="20"/>
                <w:szCs w:val="20"/>
                <w:color w:val="auto"/>
              </w:rPr>
            </w:pPr>
            <w:r>
              <w:rPr>
                <w:rFonts w:ascii="Arial" w:cs="Arial" w:eastAsia="Arial" w:hAnsi="Arial"/>
                <w:sz w:val="14"/>
                <w:szCs w:val="14"/>
                <w:color w:val="auto"/>
              </w:rPr>
              <w:t>Transaction fees including from related parties of $59,259, $159,663,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360"/>
              <w:spacing w:after="0"/>
              <w:rPr>
                <w:sz w:val="20"/>
                <w:szCs w:val="20"/>
                <w:color w:val="auto"/>
              </w:rPr>
            </w:pPr>
            <w:r>
              <w:rPr>
                <w:rFonts w:ascii="Arial" w:cs="Arial" w:eastAsia="Arial" w:hAnsi="Arial"/>
                <w:sz w:val="14"/>
                <w:szCs w:val="14"/>
                <w:color w:val="auto"/>
              </w:rPr>
              <w:t>$151,695 and $134,231 in the period ended December 31, 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360"/>
              <w:spacing w:after="0"/>
              <w:rPr>
                <w:sz w:val="20"/>
                <w:szCs w:val="20"/>
                <w:color w:val="auto"/>
              </w:rPr>
            </w:pPr>
            <w:r>
              <w:rPr>
                <w:rFonts w:ascii="Arial" w:cs="Arial" w:eastAsia="Arial" w:hAnsi="Arial"/>
                <w:sz w:val="14"/>
                <w:szCs w:val="14"/>
                <w:color w:val="auto"/>
              </w:rPr>
              <w:t>September 30, 2018, December 31, 2017 and December 31, 2016,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97,130</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273,751</w:t>
            </w:r>
          </w:p>
        </w:tc>
        <w:tc>
          <w:tcPr>
            <w:tcW w:w="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267,020</w:t>
            </w:r>
          </w:p>
        </w:tc>
        <w:tc>
          <w:tcPr>
            <w:tcW w:w="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230,171</w:t>
            </w: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Subscription fees including from related parties of $5,718, $16,627, $37,426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2"/>
              </w:rPr>
              <w:t>and $35,169 in the period ended December 31, 2018, September 30, 2018,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December 31, 2017 and December 31, 2016, respectively</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33,052</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107,130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144,409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141,419</w:t>
            </w:r>
          </w:p>
        </w:tc>
        <w:tc>
          <w:tcPr>
            <w:tcW w:w="0" w:type="dxa"/>
            <w:vAlign w:val="bottom"/>
          </w:tcPr>
          <w:p>
            <w:pPr>
              <w:spacing w:after="0"/>
              <w:rPr>
                <w:sz w:val="1"/>
                <w:szCs w:val="1"/>
                <w:color w:val="auto"/>
              </w:rPr>
            </w:pPr>
          </w:p>
        </w:tc>
      </w:tr>
      <w:tr>
        <w:trPr>
          <w:trHeight w:val="184"/>
        </w:trPr>
        <w:tc>
          <w:tcPr>
            <w:tcW w:w="4700" w:type="dxa"/>
            <w:vAlign w:val="bottom"/>
          </w:tcPr>
          <w:p>
            <w:pPr>
              <w:ind w:left="180"/>
              <w:spacing w:after="0"/>
              <w:rPr>
                <w:sz w:val="20"/>
                <w:szCs w:val="20"/>
                <w:color w:val="auto"/>
              </w:rPr>
            </w:pPr>
            <w:r>
              <w:rPr>
                <w:rFonts w:ascii="Arial" w:cs="Arial" w:eastAsia="Arial" w:hAnsi="Arial"/>
                <w:sz w:val="14"/>
                <w:szCs w:val="14"/>
                <w:color w:val="auto"/>
                <w:w w:val="99"/>
              </w:rPr>
              <w:t>Commissions including from related parties of $12,401, $34,944, $43,315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360"/>
              <w:spacing w:after="0"/>
              <w:rPr>
                <w:sz w:val="20"/>
                <w:szCs w:val="20"/>
                <w:color w:val="auto"/>
              </w:rPr>
            </w:pPr>
            <w:r>
              <w:rPr>
                <w:rFonts w:ascii="Arial" w:cs="Arial" w:eastAsia="Arial" w:hAnsi="Arial"/>
                <w:sz w:val="14"/>
                <w:szCs w:val="14"/>
                <w:color w:val="auto"/>
                <w:w w:val="92"/>
              </w:rPr>
              <w:t>and $42,343 in the period ended December 31, 2018, September 30, 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tcPr>
          <w:p>
            <w:pPr>
              <w:ind w:left="360"/>
              <w:spacing w:after="0"/>
              <w:rPr>
                <w:sz w:val="20"/>
                <w:szCs w:val="20"/>
                <w:color w:val="auto"/>
              </w:rPr>
            </w:pPr>
            <w:r>
              <w:rPr>
                <w:rFonts w:ascii="Arial" w:cs="Arial" w:eastAsia="Arial" w:hAnsi="Arial"/>
                <w:sz w:val="14"/>
                <w:szCs w:val="14"/>
                <w:color w:val="auto"/>
              </w:rPr>
              <w:t>December 31, 2017 and December 31, 2016, respectively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32,840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79,830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96,745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91,663</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Refinitiv market data fees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13,467</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36,851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50,125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50,564</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2,148</w:t>
            </w: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8,209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4,669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4,587</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Gross revenue</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178,637</w:t>
            </w:r>
          </w:p>
        </w:tc>
        <w:tc>
          <w:tcPr>
            <w:tcW w:w="1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505,771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562,968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518,404</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4"/>
                <w:szCs w:val="14"/>
                <w:color w:val="auto"/>
              </w:rPr>
              <w:t>Contingent consideration to related parties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(26,830)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(58,520)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(26,224)</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178,637</w:t>
            </w:r>
          </w:p>
        </w:tc>
        <w:tc>
          <w:tcPr>
            <w:tcW w:w="1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478,941</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504,448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492,180</w:t>
            </w:r>
          </w:p>
        </w:tc>
        <w:tc>
          <w:tcPr>
            <w:tcW w:w="0" w:type="dxa"/>
            <w:vAlign w:val="bottom"/>
          </w:tcPr>
          <w:p>
            <w:pPr>
              <w:spacing w:after="0"/>
              <w:rPr>
                <w:sz w:val="1"/>
                <w:szCs w:val="1"/>
                <w:color w:val="auto"/>
              </w:rPr>
            </w:pPr>
          </w:p>
        </w:tc>
      </w:tr>
      <w:tr>
        <w:trPr>
          <w:trHeight w:val="277"/>
        </w:trPr>
        <w:tc>
          <w:tcPr>
            <w:tcW w:w="470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Expenses</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CCEEFF"/>
              <w:right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compensation and benefits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80,436</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209,053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248,963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228,584</w:t>
            </w:r>
          </w:p>
        </w:tc>
        <w:tc>
          <w:tcPr>
            <w:tcW w:w="0" w:type="dxa"/>
            <w:vAlign w:val="bottom"/>
          </w:tcPr>
          <w:p>
            <w:pPr>
              <w:spacing w:after="0"/>
              <w:rPr>
                <w:sz w:val="1"/>
                <w:szCs w:val="1"/>
                <w:color w:val="auto"/>
              </w:rPr>
            </w:pPr>
          </w:p>
        </w:tc>
      </w:tr>
      <w:tr>
        <w:trPr>
          <w:trHeight w:val="189"/>
        </w:trPr>
        <w:tc>
          <w:tcPr>
            <w:tcW w:w="47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33,020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48,808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68,615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80,859</w:t>
            </w: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 including from related parties of $180, $539,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7"/>
              </w:rPr>
              <w:t>$719 and $740 in the period ended December 31, 2018, September 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2018, December 31, 2017 and December 31, 2016, respectively</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11,837</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23,056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33,973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27,392</w:t>
            </w:r>
          </w:p>
        </w:tc>
        <w:tc>
          <w:tcPr>
            <w:tcW w:w="0" w:type="dxa"/>
            <w:vAlign w:val="bottom"/>
          </w:tcPr>
          <w:p>
            <w:pPr>
              <w:spacing w:after="0"/>
              <w:rPr>
                <w:sz w:val="1"/>
                <w:szCs w:val="1"/>
                <w:color w:val="auto"/>
              </w:rPr>
            </w:pPr>
          </w:p>
        </w:tc>
      </w:tr>
      <w:tr>
        <w:trPr>
          <w:trHeight w:val="184"/>
        </w:trPr>
        <w:tc>
          <w:tcPr>
            <w:tcW w:w="4700" w:type="dxa"/>
            <w:vAlign w:val="bottom"/>
          </w:tcPr>
          <w:p>
            <w:pPr>
              <w:ind w:left="180"/>
              <w:spacing w:after="0"/>
              <w:rPr>
                <w:sz w:val="20"/>
                <w:szCs w:val="20"/>
                <w:color w:val="auto"/>
              </w:rPr>
            </w:pPr>
            <w:r>
              <w:rPr>
                <w:rFonts w:ascii="Arial" w:cs="Arial" w:eastAsia="Arial" w:hAnsi="Arial"/>
                <w:sz w:val="14"/>
                <w:szCs w:val="14"/>
                <w:color w:val="auto"/>
              </w:rPr>
              <w:t>Technology and communications including from related parties of $740,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360"/>
              <w:spacing w:after="0"/>
              <w:rPr>
                <w:sz w:val="20"/>
                <w:szCs w:val="20"/>
                <w:color w:val="auto"/>
              </w:rPr>
            </w:pPr>
            <w:r>
              <w:rPr>
                <w:rFonts w:ascii="Arial" w:cs="Arial" w:eastAsia="Arial" w:hAnsi="Arial"/>
                <w:sz w:val="14"/>
                <w:szCs w:val="14"/>
                <w:color w:val="auto"/>
              </w:rPr>
              <w:t>$2,220, $2,960 and $2,960 in the period ended December 31, 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360"/>
              <w:spacing w:after="0"/>
              <w:rPr>
                <w:sz w:val="20"/>
                <w:szCs w:val="20"/>
                <w:color w:val="auto"/>
              </w:rPr>
            </w:pPr>
            <w:r>
              <w:rPr>
                <w:rFonts w:ascii="Arial" w:cs="Arial" w:eastAsia="Arial" w:hAnsi="Arial"/>
                <w:sz w:val="14"/>
                <w:szCs w:val="14"/>
                <w:color w:val="auto"/>
              </w:rPr>
              <w:t>September 30, 2018, December 31, 2017 and December 31, 2016,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9,907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26,598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30,013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28,239</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fees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8,194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20,360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19,351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18,158</w:t>
            </w:r>
          </w:p>
        </w:tc>
        <w:tc>
          <w:tcPr>
            <w:tcW w:w="0" w:type="dxa"/>
            <w:vAlign w:val="bottom"/>
          </w:tcPr>
          <w:p>
            <w:pPr>
              <w:spacing w:after="0"/>
              <w:rPr>
                <w:sz w:val="1"/>
                <w:szCs w:val="1"/>
                <w:color w:val="auto"/>
              </w:rPr>
            </w:pPr>
          </w:p>
        </w:tc>
      </w:tr>
      <w:tr>
        <w:trPr>
          <w:trHeight w:val="184"/>
        </w:trPr>
        <w:tc>
          <w:tcPr>
            <w:tcW w:w="4700" w:type="dxa"/>
            <w:vAlign w:val="bottom"/>
          </w:tcPr>
          <w:p>
            <w:pPr>
              <w:ind w:left="180"/>
              <w:spacing w:after="0"/>
              <w:rPr>
                <w:sz w:val="20"/>
                <w:szCs w:val="20"/>
                <w:color w:val="auto"/>
              </w:rPr>
            </w:pPr>
            <w:r>
              <w:rPr>
                <w:rFonts w:ascii="Arial" w:cs="Arial" w:eastAsia="Arial" w:hAnsi="Arial"/>
                <w:sz w:val="14"/>
                <w:szCs w:val="14"/>
                <w:color w:val="auto"/>
                <w:w w:val="98"/>
              </w:rPr>
              <w:t>Occupancy including from related parties of $155, $466, $621 and $600 in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360"/>
              <w:spacing w:after="0"/>
              <w:rPr>
                <w:sz w:val="20"/>
                <w:szCs w:val="20"/>
                <w:color w:val="auto"/>
              </w:rPr>
            </w:pPr>
            <w:r>
              <w:rPr>
                <w:rFonts w:ascii="Arial" w:cs="Arial" w:eastAsia="Arial" w:hAnsi="Arial"/>
                <w:sz w:val="14"/>
                <w:szCs w:val="14"/>
                <w:color w:val="auto"/>
                <w:w w:val="98"/>
              </w:rPr>
              <w:t>the period ended December 31, 2018, September 30, 2018, December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tcPr>
          <w:p>
            <w:pPr>
              <w:ind w:left="360"/>
              <w:spacing w:after="0"/>
              <w:rPr>
                <w:sz w:val="20"/>
                <w:szCs w:val="20"/>
                <w:color w:val="auto"/>
              </w:rPr>
            </w:pPr>
            <w:r>
              <w:rPr>
                <w:rFonts w:ascii="Arial" w:cs="Arial" w:eastAsia="Arial" w:hAnsi="Arial"/>
                <w:sz w:val="14"/>
                <w:szCs w:val="14"/>
                <w:color w:val="auto"/>
              </w:rPr>
              <w:t>31, 2017 and December 31, 2016, respectively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3,308</w:t>
            </w: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10,732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14,441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15,817</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Expenses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146,702</w:t>
            </w:r>
          </w:p>
        </w:tc>
        <w:tc>
          <w:tcPr>
            <w:tcW w:w="1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338,607</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415,356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399,049</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31,935</w:t>
            </w: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140,334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89,092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93,131</w:t>
            </w:r>
          </w:p>
        </w:tc>
        <w:tc>
          <w:tcPr>
            <w:tcW w:w="0" w:type="dxa"/>
            <w:vAlign w:val="bottom"/>
          </w:tcPr>
          <w:p>
            <w:pPr>
              <w:spacing w:after="0"/>
              <w:rPr>
                <w:sz w:val="1"/>
                <w:szCs w:val="1"/>
                <w:color w:val="auto"/>
              </w:rPr>
            </w:pPr>
          </w:p>
        </w:tc>
      </w:tr>
      <w:tr>
        <w:trPr>
          <w:trHeight w:val="177"/>
        </w:trPr>
        <w:tc>
          <w:tcPr>
            <w:tcW w:w="47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9"/>
              </w:rPr>
              <w:t>Interest income including from related parties of $17, $34, $40 and $80 in</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8"/>
              </w:rPr>
              <w:t>the period ended December 31, 2018, September 30, 2018, December</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31, 2017 and December 31, 2016, respectively</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787</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1,726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1,140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4"/>
                <w:szCs w:val="14"/>
                <w:color w:val="auto"/>
              </w:rPr>
              <w:t>Interest expense from related parties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(455)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Income before taxes</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32,722</w:t>
            </w:r>
          </w:p>
        </w:tc>
        <w:tc>
          <w:tcPr>
            <w:tcW w:w="1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142,060</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89,777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92,436</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(3,415)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(11,900)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(6,129)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29,307</w:t>
            </w:r>
          </w:p>
        </w:tc>
        <w:tc>
          <w:tcPr>
            <w:tcW w:w="180" w:type="dxa"/>
            <w:vAlign w:val="bottom"/>
            <w:tcBorders>
              <w:right w:val="single" w:sz="8" w:color="auto"/>
            </w:tcBorders>
            <w:shd w:val="clear" w:color="auto" w:fill="CCEEFF"/>
          </w:tcPr>
          <w:p>
            <w:pPr>
              <w:spacing w:after="0"/>
              <w:rPr>
                <w:sz w:val="15"/>
                <w:szCs w:val="15"/>
                <w:color w:val="auto"/>
              </w:rPr>
            </w:pPr>
          </w:p>
        </w:tc>
        <w:tc>
          <w:tcPr>
            <w:tcW w:w="1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130,160</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83,648</w:t>
            </w: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93,161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Net income per share</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183.17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839.42</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546.55</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613.30</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4"/>
                <w:szCs w:val="14"/>
                <w:color w:val="auto"/>
              </w:rPr>
              <w:t>Diluted</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183.16</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839.42</w:t>
            </w: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546.55</w:t>
            </w: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613.30</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shares outstanding</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w w:val="90"/>
              </w:rPr>
              <w:t>159,996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155,060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153,046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151,902</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0"/>
              </w:rPr>
              <w:t>160,012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155,060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153,046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151,902</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4"/>
                <w:szCs w:val="14"/>
                <w:color w:val="auto"/>
              </w:rPr>
              <w:t>Unaudited pro forma net income per share (Note 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Net income per share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4"/>
                <w:szCs w:val="14"/>
                <w:color w:val="auto"/>
              </w:rPr>
              <w:t>Basic</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4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4"/>
                <w:szCs w:val="14"/>
                <w:color w:val="auto"/>
              </w:rPr>
              <w:t>Weighted average number of shares outstanding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-1809115</wp:posOffset>
            </wp:positionV>
            <wp:extent cx="8572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-1809115</wp:posOffset>
            </wp:positionV>
            <wp:extent cx="19748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-1809115</wp:posOffset>
            </wp:positionV>
            <wp:extent cx="421068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-2057400</wp:posOffset>
            </wp:positionV>
            <wp:extent cx="8572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-2057400</wp:posOffset>
            </wp:positionV>
            <wp:extent cx="19748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-2057400</wp:posOffset>
            </wp:positionV>
            <wp:extent cx="421068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-2538095</wp:posOffset>
            </wp:positionV>
            <wp:extent cx="8572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-2538095</wp:posOffset>
            </wp:positionV>
            <wp:extent cx="19748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-2538095</wp:posOffset>
            </wp:positionV>
            <wp:extent cx="421068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-2795270</wp:posOffset>
            </wp:positionV>
            <wp:extent cx="8572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-2795270</wp:posOffset>
            </wp:positionV>
            <wp:extent cx="19748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-2795270</wp:posOffset>
            </wp:positionV>
            <wp:extent cx="421068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-4613275</wp:posOffset>
            </wp:positionV>
            <wp:extent cx="8572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-4613275</wp:posOffset>
            </wp:positionV>
            <wp:extent cx="19748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-4613275</wp:posOffset>
            </wp:positionV>
            <wp:extent cx="421068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-4861560</wp:posOffset>
            </wp:positionV>
            <wp:extent cx="8572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-4861560</wp:posOffset>
            </wp:positionV>
            <wp:extent cx="19748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-4861560</wp:posOffset>
            </wp:positionV>
            <wp:extent cx="421068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-6370955</wp:posOffset>
            </wp:positionV>
            <wp:extent cx="342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-6370955</wp:posOffset>
            </wp:positionV>
            <wp:extent cx="342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-6370955</wp:posOffset>
            </wp:positionV>
            <wp:extent cx="355028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Consolidated Statements of Changes in Members’ Capital and Accumulated Other Comprehensive Loss</w:t>
      </w:r>
    </w:p>
    <w:p>
      <w:pPr>
        <w:spacing w:after="0" w:line="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Members’</w:t>
            </w:r>
          </w:p>
        </w:tc>
        <w:tc>
          <w:tcPr>
            <w:tcW w:w="12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Predecessor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$1,079,417</w:t>
            </w: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 (11,473)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1,067,944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93,161</w:t>
            </w:r>
          </w:p>
        </w:tc>
        <w:tc>
          <w:tcPr>
            <w:tcW w:w="0" w:type="dxa"/>
            <w:vAlign w:val="bottom"/>
          </w:tcPr>
          <w:p>
            <w:pPr>
              <w:spacing w:after="0"/>
              <w:rPr>
                <w:sz w:val="1"/>
                <w:szCs w:val="1"/>
                <w:color w:val="auto"/>
              </w:rPr>
            </w:pPr>
          </w:p>
        </w:tc>
      </w:tr>
      <w:tr>
        <w:trPr>
          <w:trHeight w:val="24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(4,679)</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93,161</w:t>
            </w: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(4,679)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88,482</w:t>
            </w:r>
          </w:p>
        </w:tc>
        <w:tc>
          <w:tcPr>
            <w:tcW w:w="0" w:type="dxa"/>
            <w:vAlign w:val="bottom"/>
          </w:tcPr>
          <w:p>
            <w:pPr>
              <w:spacing w:after="0"/>
              <w:rPr>
                <w:sz w:val="1"/>
                <w:szCs w:val="1"/>
                <w:color w:val="auto"/>
              </w:rPr>
            </w:pPr>
          </w:p>
        </w:tc>
      </w:tr>
      <w:tr>
        <w:trPr>
          <w:trHeight w:val="215"/>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(130,000)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(130,000)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2016</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$1,040,911</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(16,152)</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1,024,759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2,885</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2,885</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contributions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(152,000)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(152,000)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2017</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999,735</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(13,267)</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(3,064)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130,160</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(3,064)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of contingent consideration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150,495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(139,350)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(139,350)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September 30, 2018</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right w:val="single" w:sz="8" w:color="CCEEFF"/>
            </w:tcBorders>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1,141,496</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(16,331)</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1,125,165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Members’</w:t>
            </w:r>
          </w:p>
        </w:tc>
        <w:tc>
          <w:tcPr>
            <w:tcW w:w="12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Successor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October 1, 2018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$4,562,154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50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4,562,154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29,307</w:t>
            </w:r>
          </w:p>
        </w:tc>
        <w:tc>
          <w:tcPr>
            <w:tcW w:w="0" w:type="dxa"/>
            <w:vAlign w:val="bottom"/>
          </w:tcPr>
          <w:p>
            <w:pPr>
              <w:spacing w:after="0"/>
              <w:rPr>
                <w:sz w:val="1"/>
                <w:szCs w:val="1"/>
                <w:color w:val="auto"/>
              </w:rPr>
            </w:pPr>
          </w:p>
        </w:tc>
      </w:tr>
      <w:tr>
        <w:trPr>
          <w:trHeight w:val="24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29,307</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(866)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28,441</w:t>
            </w:r>
          </w:p>
        </w:tc>
        <w:tc>
          <w:tcPr>
            <w:tcW w:w="0" w:type="dxa"/>
            <w:vAlign w:val="bottom"/>
          </w:tcPr>
          <w:p>
            <w:pPr>
              <w:spacing w:after="0"/>
              <w:rPr>
                <w:sz w:val="1"/>
                <w:szCs w:val="1"/>
                <w:color w:val="auto"/>
              </w:rPr>
            </w:pPr>
          </w:p>
        </w:tc>
      </w:tr>
      <w:tr>
        <w:trPr>
          <w:trHeight w:val="202"/>
        </w:trPr>
        <w:tc>
          <w:tcPr>
            <w:tcW w:w="516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180"/>
              <w:spacing w:after="0" w:line="201" w:lineRule="exact"/>
              <w:rPr>
                <w:sz w:val="20"/>
                <w:szCs w:val="20"/>
                <w:color w:val="auto"/>
              </w:rPr>
            </w:pPr>
            <w:r>
              <w:rPr>
                <w:rFonts w:ascii="Arial" w:cs="Arial" w:eastAsia="Arial" w:hAnsi="Arial"/>
                <w:sz w:val="18"/>
                <w:szCs w:val="18"/>
                <w:color w:val="auto"/>
              </w:rPr>
              <w:t>Conversion of certain cash-settled PRSUs to equity settled</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PRSUs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19,072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4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4,573,200</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(866)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4,572,334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-2555240</wp:posOffset>
            </wp:positionV>
            <wp:extent cx="469074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-3292475</wp:posOffset>
            </wp:positionV>
            <wp:extent cx="469074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-3867150</wp:posOffset>
            </wp:positionV>
            <wp:extent cx="469074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-4587240</wp:posOffset>
            </wp:positionV>
            <wp:extent cx="469074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-5161915</wp:posOffset>
            </wp:positionV>
            <wp:extent cx="469074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-6456680</wp:posOffset>
            </wp:positionV>
            <wp:extent cx="13716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-6456680</wp:posOffset>
            </wp:positionV>
            <wp:extent cx="393636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93636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-1748790</wp:posOffset>
            </wp:positionV>
            <wp:extent cx="13716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-1748790</wp:posOffset>
            </wp:positionV>
            <wp:extent cx="393636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1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7" w:name="page228"/>
    <w:bookmarkEnd w:id="227"/>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vMerge w:val="restart"/>
          </w:tcPr>
          <w:p>
            <w:pPr>
              <w:spacing w:after="0"/>
              <w:rPr>
                <w:sz w:val="3"/>
                <w:szCs w:val="3"/>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2"/>
              </w:rPr>
              <w:t>Predecessor</w:t>
            </w:r>
          </w:p>
        </w:tc>
        <w:tc>
          <w:tcPr>
            <w:tcW w:w="100" w:type="dxa"/>
            <w:vAlign w:val="bottom"/>
            <w:vMerge w:val="restart"/>
          </w:tcPr>
          <w:p>
            <w:pPr>
              <w:spacing w:after="0"/>
              <w:rPr>
                <w:sz w:val="3"/>
                <w:szCs w:val="3"/>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2"/>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60" w:type="dxa"/>
            <w:vAlign w:val="bottom"/>
            <w:tcBorders>
              <w:bottom w:val="single" w:sz="8" w:color="auto"/>
            </w:tcBorders>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October 1,</w:t>
            </w:r>
          </w:p>
        </w:tc>
        <w:tc>
          <w:tcPr>
            <w:tcW w:w="6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6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2018 to</w:t>
            </w:r>
          </w:p>
        </w:tc>
        <w:tc>
          <w:tcPr>
            <w:tcW w:w="96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c>
          <w:tcPr>
            <w:tcW w:w="90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left w:val="single" w:sz="8" w:color="auto"/>
            </w:tcBorders>
          </w:tcPr>
          <w:p>
            <w:pPr>
              <w:spacing w:after="0"/>
              <w:rPr>
                <w:sz w:val="14"/>
                <w:szCs w:val="14"/>
                <w:color w:val="auto"/>
              </w:rPr>
            </w:pPr>
          </w:p>
        </w:tc>
        <w:tc>
          <w:tcPr>
            <w:tcW w:w="10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60" w:type="dxa"/>
            <w:vAlign w:val="bottom"/>
            <w:tcBorders>
              <w:left w:val="single" w:sz="8" w:color="auto"/>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29,307</w:t>
            </w:r>
          </w:p>
        </w:tc>
        <w:tc>
          <w:tcPr>
            <w:tcW w:w="260" w:type="dxa"/>
            <w:vAlign w:val="bottom"/>
            <w:tcBorders>
              <w:left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130,160</w:t>
            </w:r>
          </w:p>
        </w:tc>
        <w:tc>
          <w:tcPr>
            <w:tcW w:w="8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83,648</w:t>
            </w:r>
          </w:p>
        </w:tc>
        <w:tc>
          <w:tcPr>
            <w:tcW w:w="10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93,161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activities: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33,020</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48,808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68,615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80,859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Contingent consideration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26,830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58,520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26,224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Vesting of P-1(C) 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(5,728)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968</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(Increase) decrease in operating assets: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Receivable from brokers and dealers and clearing</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organizations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(169,949)</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540"/>
              <w:spacing w:after="0"/>
              <w:rPr>
                <w:sz w:val="20"/>
                <w:szCs w:val="20"/>
                <w:color w:val="auto"/>
              </w:rPr>
            </w:pPr>
            <w:r>
              <w:rPr>
                <w:rFonts w:ascii="Arial" w:cs="Arial" w:eastAsia="Arial" w:hAnsi="Arial"/>
                <w:sz w:val="16"/>
                <w:szCs w:val="16"/>
                <w:color w:val="auto"/>
              </w:rPr>
              <w:t>Deposits with clearing organizations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(2,248)</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(2,311)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receivable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8,085</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(28,434)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11,196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(18,683)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540"/>
              <w:spacing w:after="0"/>
              <w:rPr>
                <w:sz w:val="20"/>
                <w:szCs w:val="20"/>
                <w:color w:val="auto"/>
              </w:rPr>
            </w:pPr>
            <w:r>
              <w:rPr>
                <w:rFonts w:ascii="Arial" w:cs="Arial" w:eastAsia="Arial" w:hAnsi="Arial"/>
                <w:sz w:val="16"/>
                <w:szCs w:val="16"/>
                <w:color w:val="auto"/>
              </w:rPr>
              <w:t>Receivable from affiliates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107</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(2,534)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(4,695)</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Increase (decrease) in operating 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Payable to brokers and dealers and clearing</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organizations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171,214</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38,368</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(7,568)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12,364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7,851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(396)</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(12,555)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tcPr>
          <w:p>
            <w:pPr>
              <w:ind w:left="540"/>
              <w:spacing w:after="0"/>
              <w:rPr>
                <w:sz w:val="20"/>
                <w:szCs w:val="20"/>
                <w:color w:val="auto"/>
              </w:rPr>
            </w:pPr>
            <w:r>
              <w:rPr>
                <w:rFonts w:ascii="Arial" w:cs="Arial" w:eastAsia="Arial" w:hAnsi="Arial"/>
                <w:sz w:val="16"/>
                <w:szCs w:val="16"/>
                <w:color w:val="auto"/>
              </w:rPr>
              <w:t>Accounts payable, accrued expenses and other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tcPr>
          <w:p>
            <w:pPr>
              <w:ind w:left="720"/>
              <w:spacing w:after="0"/>
              <w:rPr>
                <w:sz w:val="20"/>
                <w:szCs w:val="20"/>
                <w:color w:val="auto"/>
              </w:rPr>
            </w:pPr>
            <w:r>
              <w:rPr>
                <w:rFonts w:ascii="Arial" w:cs="Arial" w:eastAsia="Arial" w:hAnsi="Arial"/>
                <w:sz w:val="16"/>
                <w:szCs w:val="16"/>
                <w:color w:val="auto"/>
              </w:rPr>
              <w:t>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639</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8,793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(3,826)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2,364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Employee equity compensation payable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9,345</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2,380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540"/>
              <w:spacing w:after="0"/>
              <w:rPr>
                <w:sz w:val="20"/>
                <w:szCs w:val="20"/>
                <w:color w:val="auto"/>
              </w:rPr>
            </w:pPr>
            <w:r>
              <w:rPr>
                <w:rFonts w:ascii="Arial" w:cs="Arial" w:eastAsia="Arial" w:hAnsi="Arial"/>
                <w:sz w:val="16"/>
                <w:szCs w:val="16"/>
                <w:color w:val="auto"/>
              </w:rPr>
              <w:t>Payable to affiliates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(1,209)</w:t>
            </w:r>
          </w:p>
        </w:tc>
        <w:tc>
          <w:tcPr>
            <w:tcW w:w="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684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(1,237)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112,556</w:t>
            </w:r>
          </w:p>
        </w:tc>
        <w:tc>
          <w:tcPr>
            <w:tcW w:w="60" w:type="dxa"/>
            <w:vAlign w:val="bottom"/>
            <w:tcBorders>
              <w:lef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164,828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224,580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171,845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3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left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 furniture, equipment, software and leasehold</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improvements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(9,090)</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(13,461)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(9,998)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rPr>
                <w:sz w:val="20"/>
                <w:szCs w:val="20"/>
                <w:color w:val="auto"/>
              </w:rPr>
            </w:pPr>
            <w:r>
              <w:rPr>
                <w:rFonts w:ascii="Arial" w:cs="Arial" w:eastAsia="Arial" w:hAnsi="Arial"/>
                <w:sz w:val="16"/>
                <w:szCs w:val="16"/>
                <w:color w:val="auto"/>
              </w:rPr>
              <w:t>Capitalized software development costs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(7,156)</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(19,523)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(27,157)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(25,351)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Business acquisitions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180"/>
              <w:spacing w:after="0"/>
              <w:rPr>
                <w:sz w:val="20"/>
                <w:szCs w:val="20"/>
                <w:color w:val="auto"/>
              </w:rPr>
            </w:pPr>
            <w:r>
              <w:rPr>
                <w:rFonts w:ascii="Arial" w:cs="Arial" w:eastAsia="Arial" w:hAnsi="Arial"/>
                <w:sz w:val="16"/>
                <w:szCs w:val="16"/>
                <w:color w:val="auto"/>
              </w:rPr>
              <w:t>Purchase of investments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(16,246)</w:t>
            </w:r>
          </w:p>
        </w:tc>
        <w:tc>
          <w:tcPr>
            <w:tcW w:w="60" w:type="dxa"/>
            <w:vAlign w:val="bottom"/>
            <w:tcBorders>
              <w:lef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(25,850)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(45,552)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(50,565)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3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left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Capital distributions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(36,000)</w:t>
            </w:r>
          </w:p>
        </w:tc>
        <w:tc>
          <w:tcPr>
            <w:tcW w:w="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(139,350)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(152,000)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(130,000)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6"/>
                <w:szCs w:val="16"/>
                <w:color w:val="auto"/>
              </w:rPr>
              <w:t>Mezzanine capital contributions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Mezzanine capital distributions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60" w:type="dxa"/>
            <w:vAlign w:val="bottom"/>
            <w:tcBorders>
              <w:lef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tcPr>
          <w:p>
            <w:pPr>
              <w:ind w:left="720"/>
              <w:spacing w:after="0"/>
              <w:rPr>
                <w:sz w:val="20"/>
                <w:szCs w:val="20"/>
                <w:color w:val="auto"/>
              </w:rPr>
            </w:pPr>
            <w:r>
              <w:rPr>
                <w:rFonts w:ascii="Arial" w:cs="Arial" w:eastAsia="Arial" w:hAnsi="Arial"/>
                <w:sz w:val="16"/>
                <w:szCs w:val="16"/>
                <w:color w:val="auto"/>
              </w:rPr>
              <w:t>Net cash used in financing activities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(36,000)</w:t>
            </w:r>
          </w:p>
        </w:tc>
        <w:tc>
          <w:tcPr>
            <w:tcW w:w="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(139,350)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(153,461)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(130,521)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9"/>
              </w:rPr>
              <w:t>Effect of exchange rate changes on cash and cash</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equivalents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(389)</w:t>
            </w:r>
          </w:p>
        </w:tc>
        <w:tc>
          <w:tcPr>
            <w:tcW w:w="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720"/>
              <w:spacing w:after="0"/>
              <w:rPr>
                <w:sz w:val="20"/>
                <w:szCs w:val="20"/>
                <w:color w:val="auto"/>
              </w:rPr>
            </w:pPr>
            <w:r>
              <w:rPr>
                <w:rFonts w:ascii="Arial" w:cs="Arial" w:eastAsia="Arial" w:hAnsi="Arial"/>
                <w:sz w:val="16"/>
                <w:szCs w:val="16"/>
                <w:color w:val="auto"/>
                <w:w w:val="93"/>
              </w:rPr>
              <w:t>Net increase (decrease) in cash and cash equivalents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59,921</w:t>
            </w:r>
          </w:p>
        </w:tc>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(2,415)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28,724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(15,441)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60" w:type="dxa"/>
            <w:vAlign w:val="bottom"/>
            <w:tcBorders>
              <w:lef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16"/>
                <w:szCs w:val="16"/>
                <w:color w:val="auto"/>
              </w:rPr>
              <w:t>Beginning of period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351,383</w:t>
            </w:r>
          </w:p>
        </w:tc>
        <w:tc>
          <w:tcPr>
            <w:tcW w:w="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353,798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325,074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340,515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End of period</w:t>
            </w:r>
          </w:p>
        </w:tc>
        <w:tc>
          <w:tcPr>
            <w:tcW w:w="16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411,304</w:t>
            </w:r>
          </w:p>
        </w:tc>
        <w:tc>
          <w:tcPr>
            <w:tcW w:w="26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351,383</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353,798</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325,074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-248285</wp:posOffset>
            </wp:positionV>
            <wp:extent cx="16319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-248285</wp:posOffset>
            </wp:positionV>
            <wp:extent cx="17145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345630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-1028700</wp:posOffset>
            </wp:positionV>
            <wp:extent cx="7747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-1028700</wp:posOffset>
            </wp:positionV>
            <wp:extent cx="16319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-1028700</wp:posOffset>
            </wp:positionV>
            <wp:extent cx="17145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-1028700</wp:posOffset>
            </wp:positionV>
            <wp:extent cx="345630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-1980565</wp:posOffset>
            </wp:positionV>
            <wp:extent cx="7747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-1980565</wp:posOffset>
            </wp:positionV>
            <wp:extent cx="16319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-1980565</wp:posOffset>
            </wp:positionV>
            <wp:extent cx="17145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-1980565</wp:posOffset>
            </wp:positionV>
            <wp:extent cx="345630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-2992120</wp:posOffset>
            </wp:positionV>
            <wp:extent cx="7747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-2992120</wp:posOffset>
            </wp:positionV>
            <wp:extent cx="16319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-2992120</wp:posOffset>
            </wp:positionV>
            <wp:extent cx="17145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-2992120</wp:posOffset>
            </wp:positionV>
            <wp:extent cx="345630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-6071235</wp:posOffset>
            </wp:positionV>
            <wp:extent cx="1714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-6071235</wp:posOffset>
            </wp:positionV>
            <wp:extent cx="5143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-6071235</wp:posOffset>
            </wp:positionV>
            <wp:extent cx="5143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-6071235</wp:posOffset>
            </wp:positionV>
            <wp:extent cx="339598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2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Predecessor</w:t>
            </w:r>
          </w:p>
        </w:tc>
      </w:tr>
      <w:tr>
        <w:trPr>
          <w:trHeight w:val="200"/>
        </w:trPr>
        <w:tc>
          <w:tcPr>
            <w:tcW w:w="4460" w:type="dxa"/>
            <w:vAlign w:val="bottom"/>
          </w:tcPr>
          <w:p>
            <w:pPr>
              <w:spacing w:after="0"/>
              <w:rPr>
                <w:sz w:val="17"/>
                <w:szCs w:val="17"/>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1,</w:t>
            </w:r>
          </w:p>
        </w:tc>
        <w:tc>
          <w:tcPr>
            <w:tcW w:w="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2"/>
        </w:trPr>
        <w:tc>
          <w:tcPr>
            <w:tcW w:w="4460" w:type="dxa"/>
            <w:vAlign w:val="bottom"/>
          </w:tcPr>
          <w:p>
            <w:pPr>
              <w:spacing w:after="0"/>
              <w:rPr>
                <w:sz w:val="14"/>
                <w:szCs w:val="14"/>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right="162"/>
              <w:spacing w:after="0"/>
              <w:rPr>
                <w:sz w:val="20"/>
                <w:szCs w:val="20"/>
                <w:color w:val="auto"/>
              </w:rPr>
            </w:pPr>
            <w:r>
              <w:rPr>
                <w:rFonts w:ascii="Arial" w:cs="Arial" w:eastAsia="Arial" w:hAnsi="Arial"/>
                <w:sz w:val="14"/>
                <w:szCs w:val="14"/>
                <w:b w:val="1"/>
                <w:bCs w:val="1"/>
                <w:color w:val="auto"/>
                <w:w w:val="95"/>
              </w:rPr>
              <w:t>2018 to</w:t>
            </w:r>
          </w:p>
        </w:tc>
        <w:tc>
          <w:tcPr>
            <w:tcW w:w="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4460" w:type="dxa"/>
            <w:vAlign w:val="bottom"/>
          </w:tcPr>
          <w:p>
            <w:pPr>
              <w:spacing w:after="0"/>
              <w:rPr>
                <w:sz w:val="14"/>
                <w:szCs w:val="14"/>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4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2016</w:t>
            </w:r>
          </w:p>
        </w:tc>
      </w:tr>
      <w:tr>
        <w:trPr>
          <w:trHeight w:val="243"/>
        </w:trPr>
        <w:tc>
          <w:tcPr>
            <w:tcW w:w="4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CCEEFF"/>
          </w:tcPr>
          <w:p>
            <w:pPr>
              <w:spacing w:after="0"/>
              <w:rPr>
                <w:sz w:val="21"/>
                <w:szCs w:val="21"/>
                <w:color w:val="auto"/>
              </w:rPr>
            </w:pPr>
          </w:p>
        </w:tc>
        <w:tc>
          <w:tcPr>
            <w:tcW w:w="66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57"/>
        </w:trPr>
        <w:tc>
          <w:tcPr>
            <w:tcW w:w="4460" w:type="dxa"/>
            <w:vAlign w:val="bottom"/>
          </w:tcPr>
          <w:p>
            <w:pPr>
              <w:spacing w:after="0"/>
              <w:rPr>
                <w:sz w:val="20"/>
                <w:szCs w:val="20"/>
                <w:color w:val="auto"/>
              </w:rPr>
            </w:pPr>
            <w:r>
              <w:rPr>
                <w:rFonts w:ascii="Arial" w:cs="Arial" w:eastAsia="Arial" w:hAnsi="Arial"/>
                <w:sz w:val="16"/>
                <w:szCs w:val="16"/>
                <w:color w:val="auto"/>
              </w:rPr>
              <w:t>Interest paid</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455</w:t>
            </w:r>
          </w:p>
        </w:tc>
        <w:tc>
          <w:tcPr>
            <w:tcW w:w="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1,339</w:t>
            </w: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2,659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6,312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6,735</w:t>
            </w:r>
          </w:p>
        </w:tc>
      </w:tr>
      <w:tr>
        <w:trPr>
          <w:trHeight w:val="351"/>
        </w:trPr>
        <w:tc>
          <w:tcPr>
            <w:tcW w:w="4460" w:type="dxa"/>
            <w:vAlign w:val="bottom"/>
          </w:tcPr>
          <w:p>
            <w:pPr>
              <w:spacing w:after="0"/>
              <w:rPr>
                <w:sz w:val="20"/>
                <w:szCs w:val="20"/>
                <w:color w:val="auto"/>
              </w:rPr>
            </w:pPr>
            <w:r>
              <w:rPr>
                <w:rFonts w:ascii="Arial" w:cs="Arial" w:eastAsia="Arial" w:hAnsi="Arial"/>
                <w:sz w:val="16"/>
                <w:szCs w:val="16"/>
                <w:b w:val="1"/>
                <w:bCs w:val="1"/>
                <w:color w:val="auto"/>
                <w:w w:val="94"/>
              </w:rPr>
              <w:t>Supplemental disclosure of non-cash investing and financing</w:t>
            </w:r>
          </w:p>
        </w:tc>
        <w:tc>
          <w:tcPr>
            <w:tcW w:w="2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3"/>
        </w:trPr>
        <w:tc>
          <w:tcPr>
            <w:tcW w:w="4460" w:type="dxa"/>
            <w:vAlign w:val="bottom"/>
          </w:tcPr>
          <w:p>
            <w:pPr>
              <w:ind w:left="180"/>
              <w:spacing w:after="0"/>
              <w:rPr>
                <w:sz w:val="20"/>
                <w:szCs w:val="20"/>
                <w:color w:val="auto"/>
              </w:rPr>
            </w:pPr>
            <w:r>
              <w:rPr>
                <w:rFonts w:ascii="Arial" w:cs="Arial" w:eastAsia="Arial" w:hAnsi="Arial"/>
                <w:sz w:val="16"/>
                <w:szCs w:val="16"/>
                <w:b w:val="1"/>
                <w:bCs w:val="1"/>
                <w:color w:val="auto"/>
              </w:rPr>
              <w:t>information</w:t>
            </w:r>
          </w:p>
        </w:tc>
        <w:tc>
          <w:tcPr>
            <w:tcW w:w="2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Vesting of contingent consideration to Class P-1(A) Shares</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6"/>
              </w:rPr>
              <w:t>150,495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47"/>
        </w:trPr>
        <w:tc>
          <w:tcPr>
            <w:tcW w:w="4460" w:type="dxa"/>
            <w:vAlign w:val="bottom"/>
          </w:tcPr>
          <w:p>
            <w:pPr>
              <w:spacing w:after="0"/>
              <w:rPr>
                <w:sz w:val="20"/>
                <w:szCs w:val="20"/>
                <w:color w:val="auto"/>
              </w:rPr>
            </w:pPr>
            <w:r>
              <w:rPr>
                <w:rFonts w:ascii="Arial" w:cs="Arial" w:eastAsia="Arial" w:hAnsi="Arial"/>
                <w:sz w:val="16"/>
                <w:szCs w:val="16"/>
                <w:color w:val="auto"/>
                <w:w w:val="96"/>
              </w:rPr>
              <w:t>Conversion of convertible term note payable to Thomson Reuters</w:t>
            </w:r>
          </w:p>
        </w:tc>
        <w:tc>
          <w:tcPr>
            <w:tcW w:w="26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99"/>
        </w:trPr>
        <w:tc>
          <w:tcPr>
            <w:tcW w:w="4460" w:type="dxa"/>
            <w:vAlign w:val="bottom"/>
          </w:tcPr>
          <w:p>
            <w:pPr>
              <w:ind w:left="180"/>
              <w:spacing w:after="0"/>
              <w:rPr>
                <w:sz w:val="20"/>
                <w:szCs w:val="20"/>
                <w:color w:val="auto"/>
              </w:rPr>
            </w:pPr>
            <w:r>
              <w:rPr>
                <w:rFonts w:ascii="Arial" w:cs="Arial" w:eastAsia="Arial" w:hAnsi="Arial"/>
                <w:sz w:val="16"/>
                <w:szCs w:val="16"/>
                <w:color w:val="auto"/>
              </w:rPr>
              <w:t>to Class A Shares</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w w:val="93"/>
              </w:rPr>
              <w:t>29,285</w:t>
            </w:r>
          </w:p>
        </w:tc>
        <w:tc>
          <w:tcPr>
            <w:tcW w:w="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w w:val="94"/>
              </w:rPr>
              <w:t>Conversion of certain cash-settled PRSUs to equity settled PRSUs</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19,072</w:t>
            </w:r>
          </w:p>
        </w:tc>
        <w:tc>
          <w:tcPr>
            <w:tcW w:w="24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7"/>
        </w:trPr>
        <w:tc>
          <w:tcPr>
            <w:tcW w:w="4460" w:type="dxa"/>
            <w:vAlign w:val="bottom"/>
          </w:tcPr>
          <w:p>
            <w:pPr>
              <w:spacing w:after="0"/>
              <w:rPr>
                <w:sz w:val="20"/>
                <w:szCs w:val="20"/>
                <w:color w:val="auto"/>
              </w:rPr>
            </w:pPr>
            <w:r>
              <w:rPr>
                <w:rFonts w:ascii="Arial" w:cs="Arial" w:eastAsia="Arial" w:hAnsi="Arial"/>
                <w:sz w:val="16"/>
                <w:szCs w:val="16"/>
                <w:color w:val="auto"/>
                <w:w w:val="99"/>
              </w:rPr>
              <w:t>Fair value of assets and liabilities from application of pushdown</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6"/>
        </w:trPr>
        <w:tc>
          <w:tcPr>
            <w:tcW w:w="4460" w:type="dxa"/>
            <w:vAlign w:val="bottom"/>
          </w:tcPr>
          <w:p>
            <w:pPr>
              <w:ind w:left="180"/>
              <w:spacing w:after="0"/>
              <w:rPr>
                <w:sz w:val="20"/>
                <w:szCs w:val="20"/>
                <w:color w:val="auto"/>
              </w:rPr>
            </w:pPr>
            <w:r>
              <w:rPr>
                <w:rFonts w:ascii="Arial" w:cs="Arial" w:eastAsia="Arial" w:hAnsi="Arial"/>
                <w:sz w:val="16"/>
                <w:szCs w:val="16"/>
                <w:color w:val="auto"/>
              </w:rPr>
              <w:t>accounting (Note 3)</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-1736725</wp:posOffset>
            </wp:positionV>
            <wp:extent cx="4318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-1736725</wp:posOffset>
            </wp:positionV>
            <wp:extent cx="4318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-1736725</wp:posOffset>
            </wp:positionV>
            <wp:extent cx="343027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55" w:lineRule="exact"/>
        <w:rPr>
          <w:sz w:val="20"/>
          <w:szCs w:val="20"/>
          <w:color w:val="auto"/>
        </w:rPr>
      </w:pPr>
    </w:p>
    <w:p>
      <w:pPr>
        <w:ind w:left="1260" w:right="1119"/>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that sum to the amounts shown in the consolidated statements of cash flows: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vMerge w:val="restart"/>
          </w:tcPr>
          <w:p>
            <w:pPr>
              <w:spacing w:after="0"/>
              <w:rPr>
                <w:sz w:val="3"/>
                <w:szCs w:val="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vMerge w:val="restart"/>
          </w:tcPr>
          <w:p>
            <w:pPr>
              <w:spacing w:after="0"/>
              <w:rPr>
                <w:sz w:val="3"/>
                <w:szCs w:val="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4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96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38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October 1,</w:t>
            </w:r>
          </w:p>
        </w:tc>
        <w:tc>
          <w:tcPr>
            <w:tcW w:w="20" w:type="dxa"/>
            <w:vAlign w:val="bottom"/>
            <w:shd w:val="clear" w:color="auto" w:fill="000000"/>
          </w:tcPr>
          <w:p>
            <w:pPr>
              <w:spacing w:after="0"/>
              <w:rPr>
                <w:sz w:val="14"/>
                <w:szCs w:val="14"/>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2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center"/>
              <w:ind w:left="4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9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$ 410,104</w:t>
            </w:r>
          </w:p>
        </w:tc>
        <w:tc>
          <w:tcPr>
            <w:tcW w:w="20" w:type="dxa"/>
            <w:vAlign w:val="bottom"/>
            <w:shd w:val="clear" w:color="auto" w:fill="000000"/>
          </w:tcPr>
          <w:p>
            <w:pPr>
              <w:spacing w:after="0"/>
              <w:rPr>
                <w:sz w:val="17"/>
                <w:szCs w:val="17"/>
                <w:color w:val="auto"/>
              </w:rPr>
            </w:pP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$ 350,183</w:t>
            </w: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$ 352,598</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$ 324,074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80" w:type="dxa"/>
            <w:vAlign w:val="bottom"/>
          </w:tcPr>
          <w:p>
            <w:pPr>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1,200</w:t>
            </w:r>
          </w:p>
        </w:tc>
        <w:tc>
          <w:tcPr>
            <w:tcW w:w="20" w:type="dxa"/>
            <w:vAlign w:val="bottom"/>
            <w:shd w:val="clear" w:color="auto" w:fill="000000"/>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1,200</w:t>
            </w:r>
          </w:p>
        </w:tc>
        <w:tc>
          <w:tcPr>
            <w:tcW w:w="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and restricted cash</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$ 411,304</w:t>
            </w:r>
          </w:p>
        </w:tc>
        <w:tc>
          <w:tcPr>
            <w:tcW w:w="20" w:type="dxa"/>
            <w:vAlign w:val="bottom"/>
            <w:shd w:val="clear" w:color="auto" w:fill="000000"/>
          </w:tcPr>
          <w:p>
            <w:pPr>
              <w:spacing w:after="0"/>
              <w:rPr>
                <w:sz w:val="19"/>
                <w:szCs w:val="19"/>
                <w:color w:val="auto"/>
              </w:rPr>
            </w:pP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$ 351,383</w:t>
            </w: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$ 353,798</w:t>
            </w: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$ 325,074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-239395</wp:posOffset>
            </wp:positionV>
            <wp:extent cx="9461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-239395</wp:posOffset>
            </wp:positionV>
            <wp:extent cx="19748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-239395</wp:posOffset>
            </wp:positionV>
            <wp:extent cx="409892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09892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-522605</wp:posOffset>
            </wp:positionV>
            <wp:extent cx="1714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-522605</wp:posOffset>
            </wp:positionV>
            <wp:extent cx="5143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-522605</wp:posOffset>
            </wp:positionV>
            <wp:extent cx="5143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-522605</wp:posOffset>
            </wp:positionV>
            <wp:extent cx="339598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9" w:name="page230"/>
    <w:bookmarkEnd w:id="229"/>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Tradeweb Markets LLC (the “Company”) is a leader in building and operating electronic marketplaces for a global network of clients across the institutional, wholesale and retail client sectors. The Company, a Delaware limited liability company, is a consolidating subsidiary of BCP York Holdings (“BCP”), a company owned by certain investment funds affiliated with The Blackstone Group L.P., through BCP’s majority ownership interest in King (Cayman) Holdings Ltd. (“Refinitiv” or the “Parent”). Refinitiv owns a majority ownership in the Company. A minority interest of the Company is owned by a group of investment and commercial banks (the “Banks”).</w:t>
      </w:r>
    </w:p>
    <w:p>
      <w:pPr>
        <w:spacing w:after="0" w:line="8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A majority interest of Refinitiv (formerly the Thomson Reuters Financial &amp; Risk Business) was acquired by BCP on October 1, 2018 (the “Refinitiv Transaction”) from Thomson Reuters (“TR”). The accompanying consolidated financial statements are presented for two periods: predecessor and successor, which relate to the periods preceding and succeeding the Refinitiv Transaction, respectively. The Refinitiv Transaction results in a new basis of accounting beginning on October 1, 2018 and the financial reporting periods are presented as follows:</w:t>
      </w:r>
    </w:p>
    <w:p>
      <w:pPr>
        <w:spacing w:after="0" w:line="153" w:lineRule="exact"/>
        <w:rPr>
          <w:sz w:val="20"/>
          <w:szCs w:val="20"/>
          <w:color w:val="auto"/>
        </w:rPr>
      </w:pPr>
    </w:p>
    <w:p>
      <w:pPr>
        <w:ind w:left="1980" w:hanging="352"/>
        <w:spacing w:after="0"/>
        <w:tabs>
          <w:tab w:leader="none" w:pos="1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successor period, reflecting the Refinitiv Transaction, from October 1, 2018 to December 31, 2018.</w:t>
      </w:r>
    </w:p>
    <w:p>
      <w:pPr>
        <w:spacing w:after="0" w:line="194" w:lineRule="exact"/>
        <w:rPr>
          <w:rFonts w:ascii="Arial" w:cs="Arial" w:eastAsia="Arial" w:hAnsi="Arial"/>
          <w:sz w:val="16"/>
          <w:szCs w:val="16"/>
          <w:color w:val="auto"/>
        </w:rPr>
      </w:pPr>
    </w:p>
    <w:p>
      <w:pPr>
        <w:ind w:left="1980" w:hanging="352"/>
        <w:spacing w:after="0"/>
        <w:tabs>
          <w:tab w:leader="none" w:pos="1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predecessor period of the Company from January 1, 2018 to September 30, 2018.</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predecessor period of the Company for the year ended December 31, 2017.</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predecessor period of the Company for the year ended December 31, 2016.</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through its subsidiary Tradeweb Global LLC (“TWG”), owns:</w:t>
      </w:r>
    </w:p>
    <w:p>
      <w:pPr>
        <w:spacing w:after="0" w:line="185" w:lineRule="exact"/>
        <w:rPr>
          <w:sz w:val="20"/>
          <w:szCs w:val="20"/>
          <w:color w:val="auto"/>
        </w:rPr>
      </w:pPr>
    </w:p>
    <w:p>
      <w:pPr>
        <w:ind w:left="1980" w:right="859" w:hanging="352"/>
        <w:spacing w:after="0" w:line="259" w:lineRule="auto"/>
        <w:tabs>
          <w:tab w:leader="none" w:pos="1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32" w:lineRule="exact"/>
        <w:rPr>
          <w:rFonts w:ascii="Arial" w:cs="Arial" w:eastAsia="Arial" w:hAnsi="Arial"/>
          <w:sz w:val="18"/>
          <w:szCs w:val="18"/>
          <w:color w:val="auto"/>
        </w:rPr>
      </w:pPr>
    </w:p>
    <w:p>
      <w:pPr>
        <w:ind w:left="1980" w:right="839" w:hanging="352"/>
        <w:spacing w:after="0" w:line="264" w:lineRule="auto"/>
        <w:tabs>
          <w:tab w:leader="none" w:pos="1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27" w:lineRule="exact"/>
        <w:rPr>
          <w:rFonts w:ascii="Arial" w:cs="Arial" w:eastAsia="Arial" w:hAnsi="Arial"/>
          <w:sz w:val="18"/>
          <w:szCs w:val="18"/>
          <w:color w:val="auto"/>
        </w:rPr>
      </w:pPr>
    </w:p>
    <w:p>
      <w:pPr>
        <w:ind w:left="1980" w:hanging="352"/>
        <w:spacing w:after="0"/>
        <w:tabs>
          <w:tab w:leader="none" w:pos="1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171"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29" w:lineRule="exact"/>
        <w:rPr>
          <w:rFonts w:ascii="Arial" w:cs="Arial" w:eastAsia="Arial" w:hAnsi="Arial"/>
          <w:sz w:val="18"/>
          <w:szCs w:val="18"/>
          <w:color w:val="auto"/>
        </w:rPr>
      </w:pPr>
    </w:p>
    <w:p>
      <w:pPr>
        <w:ind w:left="1980" w:right="879" w:hanging="352"/>
        <w:spacing w:after="0" w:line="264" w:lineRule="auto"/>
        <w:tabs>
          <w:tab w:leader="none" w:pos="1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January 2019, the Company received authorization from the Dutch Authority for Financial Markets (“AFM”) to operate Tradeweb EU B.V. (“TWEU”), a Trading Venue and Approved Publication Arrangement regulated by the AFM.</w:t>
      </w:r>
    </w:p>
    <w:p>
      <w:pPr>
        <w:spacing w:after="0" w:line="7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The Company, through its subsidiary Tradeweb IDB Markets Inc. (“TWIDB”) (formerly known as Hydrogen Holdings Corporation), owns Dealerweb Inc. (“DW”) (formerly known as Hilliard Farber &amp; Co., Inc.). DW is a registered broker-dealer under the Securities Exchange Act of 1934 and a member of FINRA. DW is also registered as an introducing broker with the CFTC and NFA.</w:t>
      </w:r>
    </w:p>
    <w:p>
      <w:pPr>
        <w:spacing w:after="0" w:line="79" w:lineRule="exact"/>
        <w:rPr>
          <w:sz w:val="20"/>
          <w:szCs w:val="20"/>
          <w:color w:val="auto"/>
        </w:rPr>
      </w:pPr>
    </w:p>
    <w:p>
      <w:pPr>
        <w:ind w:left="1260" w:right="939" w:firstLine="360"/>
        <w:spacing w:after="0" w:line="312" w:lineRule="auto"/>
        <w:rPr>
          <w:sz w:val="20"/>
          <w:szCs w:val="20"/>
          <w:color w:val="auto"/>
        </w:rPr>
      </w:pPr>
      <w:r>
        <w:rPr>
          <w:rFonts w:ascii="Arial" w:cs="Arial" w:eastAsia="Arial" w:hAnsi="Arial"/>
          <w:sz w:val="16"/>
          <w:szCs w:val="16"/>
          <w:color w:val="auto"/>
        </w:rPr>
        <w:t>On October 7, 2011, the Company acquired the assets of the RaffCap business. The acquisition was accounted for as a business combination and therefore the cost of the assets acquired and liabilities assumed by the Company, which consisted of intangible assets and goodwill, were accounted for at fair value.</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both"/>
        <w:ind w:left="1260" w:right="1239" w:firstLine="360"/>
        <w:spacing w:after="0" w:line="312" w:lineRule="auto"/>
        <w:rPr>
          <w:sz w:val="20"/>
          <w:szCs w:val="20"/>
          <w:color w:val="auto"/>
        </w:rPr>
      </w:pPr>
      <w:r>
        <w:rPr>
          <w:rFonts w:ascii="Arial" w:cs="Arial" w:eastAsia="Arial" w:hAnsi="Arial"/>
          <w:sz w:val="16"/>
          <w:szCs w:val="16"/>
          <w:color w:val="auto"/>
        </w:rPr>
        <w:t>On November 1, 2013, the Company acquired BondDesk Group LLC and subsidiaries (“BondDesk”). BondDesk’s subsidiary Tradeweb Direct LLC (“TWD”) (formerly known as BondDesk Trading LLC) is a registered broker-dealer under the Securities Exchange Act of 1934 and a member of FINRA.</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Significant Accounting Policies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8" w:lineRule="exact"/>
        <w:rPr>
          <w:sz w:val="20"/>
          <w:szCs w:val="20"/>
          <w:color w:val="auto"/>
        </w:rPr>
      </w:pPr>
    </w:p>
    <w:p>
      <w:pPr>
        <w:ind w:left="1260" w:right="1379" w:firstLine="360"/>
        <w:spacing w:after="0" w:line="277" w:lineRule="auto"/>
        <w:rPr>
          <w:sz w:val="20"/>
          <w:szCs w:val="20"/>
          <w:color w:val="auto"/>
        </w:rPr>
      </w:pPr>
      <w:r>
        <w:rPr>
          <w:rFonts w:ascii="Arial" w:cs="Arial" w:eastAsia="Arial" w:hAnsi="Arial"/>
          <w:sz w:val="18"/>
          <w:szCs w:val="18"/>
          <w:color w:val="auto"/>
        </w:rPr>
        <w:t>The consolidated financial statements have been presented in conformity with accounting principles generally accepted in the United States of America.</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Consolidation</w:t>
      </w:r>
    </w:p>
    <w:p>
      <w:pPr>
        <w:spacing w:after="0" w:line="108" w:lineRule="exact"/>
        <w:rPr>
          <w:sz w:val="20"/>
          <w:szCs w:val="20"/>
          <w:color w:val="auto"/>
        </w:rPr>
      </w:pPr>
    </w:p>
    <w:p>
      <w:pPr>
        <w:ind w:left="1260" w:right="1419" w:firstLine="360"/>
        <w:spacing w:after="0" w:line="308" w:lineRule="auto"/>
        <w:rPr>
          <w:sz w:val="20"/>
          <w:szCs w:val="20"/>
          <w:color w:val="auto"/>
        </w:rPr>
      </w:pPr>
      <w:r>
        <w:rPr>
          <w:rFonts w:ascii="Arial" w:cs="Arial" w:eastAsia="Arial" w:hAnsi="Arial"/>
          <w:sz w:val="17"/>
          <w:szCs w:val="17"/>
          <w:color w:val="auto"/>
        </w:rPr>
        <w:t>The consolidated financial statements include the accounts of the Company and its subsidiaries. All intercompany transactions and balances have been eliminated in consolidation.</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less than three months.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Allowance for Doubtful Accounts</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10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Furniture, equipment, purchased software and leasehold improvements are carried at cost less accumulated depreciation. Depreciation for furniture, equipment and purchased software, including the allocated fair value of assets as a result of pushdown accounting,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 Furniture, equipment, purchased software and leasehold improvements are tested for impairment whenever events or changes in circumstances suggest that an asset’s carrying value may not be fully recoverable in accordance with Accounting Standards Codification (“ASC”) 360.</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Software Development Costs</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The Company capitalizes costs associated with the development of internal use software at the point at which the conceptual formulation, design and testing of possible software project alternatives have been completed, in accordance with ASC 350. The Company capitalizes employee compensation and related benefits and third party consulting costs incurred during the application development stage which directly</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contribute to such development. Once the product is ready for its intended use, such costs are amortized on a straight-line basis over three years. Costs capitalized as part of the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Intangible Assets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Intangible assets with a finite life are amortized over the estimated lives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undiscounted cash flows relating to the asset or asset group is less than the corresponding fair value. Intangible assets are amortized over their estimated useful lives of seven to sixteen years.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Goodwill</w:t>
      </w:r>
    </w:p>
    <w:p>
      <w:pPr>
        <w:spacing w:after="0" w:line="108"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6"/>
          <w:szCs w:val="16"/>
          <w:color w:val="auto"/>
        </w:rPr>
        <w:t>Goodwill is the excess of the fair value of the Company above the fair value accounting basis of the net assets and liabilities of the Company under pushdown accounting and is the cost of acquired companies in excess of the fair value of identifiable net assets at acquisition date. Goodwill is not amortized, but in accordance with ASC 350, goodwill is tested for impairment annually on July 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IPO Costs</w:t>
      </w:r>
    </w:p>
    <w:p>
      <w:pPr>
        <w:spacing w:after="0" w:line="108"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In 2018, the Company began incurring costs in connection with the filing of its Registration Statement on Form S-1, which are deferred in other assets in accordance with ASC 505-10-25, Equity — Recognition in the consolidated statements of financial condition. Initial public offering (“IPO”) costs consist of legal, accounting, and other costs directly related to the Company’s efforts to raise capital through an IPO. If the IPO becomes effective, these deferred costs will be offset against proceeds received from the offering and reclassified to equity on the consolidated statements of financial condition. Should the Company terminate or more than temporarily delay its planned offering, these costs will be expensed in the consolidated statements of income.</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Translation of Foreign Currency</w:t>
      </w:r>
    </w:p>
    <w:p>
      <w:pPr>
        <w:spacing w:after="0" w:line="108"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w:t>
      </w:r>
    </w:p>
    <w:p>
      <w:pPr>
        <w:spacing w:after="0" w:line="108" w:lineRule="exact"/>
        <w:rPr>
          <w:sz w:val="20"/>
          <w:szCs w:val="20"/>
          <w:color w:val="auto"/>
        </w:rPr>
      </w:pPr>
    </w:p>
    <w:p>
      <w:pPr>
        <w:jc w:val="both"/>
        <w:ind w:left="1260" w:right="979" w:firstLine="360"/>
        <w:spacing w:after="0" w:line="286" w:lineRule="auto"/>
        <w:rPr>
          <w:sz w:val="20"/>
          <w:szCs w:val="20"/>
          <w:color w:val="auto"/>
        </w:rPr>
      </w:pPr>
      <w:r>
        <w:rPr>
          <w:rFonts w:ascii="Arial" w:cs="Arial" w:eastAsia="Arial" w:hAnsi="Arial"/>
          <w:sz w:val="17"/>
          <w:szCs w:val="17"/>
          <w:color w:val="auto"/>
        </w:rPr>
        <w:t>The Company is a multiple member limited liability company which is taxed as a partnership. No income tax provision is required on the earnings of the Company as it is a partnership, and therefore the remaining tax effects of its activities accrue directly to its partners. As a partnership, the Company and</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certain subsidiaries are subject to unincorporated business taxes on income earned, or losses incurred, by conducting business in certain state and local jurisdictions and income taxes in foreign jurisdictions on certain of their operations. TWIDB and its subsidiary DW are C Corporations and therefore incur federal, state and local income tax expense. Income taxes are accounted for in accordance with ASC 740. The Company recorded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70" w:lineRule="exact"/>
        <w:rPr>
          <w:sz w:val="20"/>
          <w:szCs w:val="20"/>
          <w:color w:val="auto"/>
        </w:rPr>
      </w:pPr>
    </w:p>
    <w:p>
      <w:pPr>
        <w:ind w:left="1260" w:right="999" w:firstLine="360"/>
        <w:spacing w:after="0" w:line="276" w:lineRule="auto"/>
        <w:rPr>
          <w:sz w:val="20"/>
          <w:szCs w:val="20"/>
          <w:color w:val="auto"/>
        </w:rPr>
      </w:pPr>
      <w:r>
        <w:rPr>
          <w:rFonts w:ascii="Arial" w:cs="Arial" w:eastAsia="Arial" w:hAnsi="Arial"/>
          <w:sz w:val="17"/>
          <w:szCs w:val="17"/>
          <w:color w:val="auto"/>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64" w:lineRule="exact"/>
        <w:rPr>
          <w:sz w:val="20"/>
          <w:szCs w:val="20"/>
          <w:color w:val="auto"/>
        </w:rPr>
      </w:pPr>
    </w:p>
    <w:p>
      <w:pPr>
        <w:jc w:val="both"/>
        <w:ind w:left="1260" w:right="1159" w:firstLine="360"/>
        <w:spacing w:after="0" w:line="312" w:lineRule="auto"/>
        <w:rPr>
          <w:sz w:val="20"/>
          <w:szCs w:val="20"/>
          <w:color w:val="auto"/>
        </w:rPr>
      </w:pPr>
      <w:r>
        <w:rPr>
          <w:rFonts w:ascii="Arial" w:cs="Arial" w:eastAsia="Arial" w:hAnsi="Arial"/>
          <w:sz w:val="16"/>
          <w:szCs w:val="16"/>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3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December 22, 2017, the President signed into law the Tax Cuts and Jobs Act (“TCJA”) effective for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tax years ending after December 31, 2017. This legislation replaces the prior corporate tax rate structure with a</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flat 21% rate, effective in 2018. There were many other future impacts of the tax reform such as the repeal of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alternative minimum tax rate, tax loss carryback and carryforward limitations. This legislation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impacted the financial statements for the year ended December 31, 2017 by reducing the deferred tax asset by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$1,982,000 as a result of the revaluation of the deferred tax asset based on the reduced federal corporate tax rate.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During 2018 the Company finalized its calculations related to the impacts of the TCJA with no adjustment to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Company’s previously recorded provisional tax expense.</w:t>
      </w:r>
    </w:p>
    <w:p>
      <w:pPr>
        <w:spacing w:after="0" w:line="103"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TCJA also requires a U.S. shareholder of a controlled foreign corporation (“CFC”) to include in income, as a deemed dividend, the global intangible low-taxed income (“GILTI”) of the CFC. This provision is effective for taxable years of foreign corporations beginning after December 31, 2017, and to taxable years of United States shareholders in which or with which such taxable years of foreign corporations end. The Company has elected to treat taxes due on future U.S. inclusions in taxable income under the GILTI provision as a current period expense when incurred.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The Company earns transaction fees from transactions executed on the Company’s markets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pacing w:after="0" w:line="64" w:lineRule="exact"/>
        <w:rPr>
          <w:sz w:val="20"/>
          <w:szCs w:val="20"/>
          <w:color w:val="auto"/>
        </w:rPr>
      </w:pPr>
    </w:p>
    <w:p>
      <w:pPr>
        <w:ind w:left="1260" w:right="939" w:firstLine="360"/>
        <w:spacing w:after="0" w:line="272" w:lineRule="auto"/>
        <w:rPr>
          <w:sz w:val="20"/>
          <w:szCs w:val="20"/>
          <w:color w:val="auto"/>
        </w:rPr>
      </w:pPr>
      <w:r>
        <w:rPr>
          <w:rFonts w:ascii="Arial" w:cs="Arial" w:eastAsia="Arial" w:hAnsi="Arial"/>
          <w:sz w:val="17"/>
          <w:szCs w:val="17"/>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on the consolidated statements of income are viewer fees earned monthly from institutional investors accessing fixed income market data. The frequency of subscription fee billings varies from monthly until annually, depending on contract terms. Fees received by the Company which are not yet earned are included in deferred revenue on the consolidated statements of financial condition until the revenue recognition criteria has been met.</w:t>
      </w:r>
    </w:p>
    <w:p>
      <w:pPr>
        <w:spacing w:after="0" w:line="70" w:lineRule="exact"/>
        <w:rPr>
          <w:sz w:val="20"/>
          <w:szCs w:val="20"/>
          <w:color w:val="auto"/>
        </w:rPr>
      </w:pPr>
    </w:p>
    <w:p>
      <w:pPr>
        <w:jc w:val="both"/>
        <w:ind w:left="1260" w:right="1099" w:firstLine="360"/>
        <w:spacing w:after="0" w:line="312" w:lineRule="auto"/>
        <w:rPr>
          <w:sz w:val="20"/>
          <w:szCs w:val="20"/>
          <w:color w:val="auto"/>
        </w:rPr>
      </w:pPr>
      <w:r>
        <w:rPr>
          <w:rFonts w:ascii="Arial" w:cs="Arial" w:eastAsia="Arial" w:hAnsi="Arial"/>
          <w:sz w:val="16"/>
          <w:szCs w:val="16"/>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019"/>
        <w:spacing w:after="0" w:line="342" w:lineRule="auto"/>
        <w:rPr>
          <w:sz w:val="20"/>
          <w:szCs w:val="20"/>
          <w:color w:val="auto"/>
        </w:rPr>
      </w:pPr>
      <w:r>
        <w:rPr>
          <w:rFonts w:ascii="Arial" w:cs="Arial" w:eastAsia="Arial" w:hAnsi="Arial"/>
          <w:sz w:val="16"/>
          <w:szCs w:val="16"/>
          <w:color w:val="auto"/>
        </w:rPr>
        <w:t>related commission income for brokerage transactions are recorded on a trade-date basis, as if the transactions have settled. This income is received by the Company when the transactions settle or is billed monthly.</w:t>
      </w:r>
    </w:p>
    <w:p>
      <w:pPr>
        <w:spacing w:after="0" w:line="2" w:lineRule="exact"/>
        <w:rPr>
          <w:sz w:val="20"/>
          <w:szCs w:val="20"/>
          <w:color w:val="auto"/>
        </w:rPr>
      </w:pPr>
    </w:p>
    <w:p>
      <w:pPr>
        <w:ind w:left="1260" w:right="859" w:firstLine="360"/>
        <w:spacing w:after="0" w:line="302" w:lineRule="auto"/>
        <w:rPr>
          <w:sz w:val="20"/>
          <w:szCs w:val="20"/>
          <w:color w:val="auto"/>
        </w:rPr>
      </w:pPr>
      <w:r>
        <w:rPr>
          <w:rFonts w:ascii="Arial" w:cs="Arial" w:eastAsia="Arial" w:hAnsi="Arial"/>
          <w:sz w:val="16"/>
          <w:szCs w:val="16"/>
          <w:color w:val="auto"/>
        </w:rPr>
        <w:t>The Company earns fees from Refinitiv, formerly TR in the predecessor periods,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w:t>
      </w:r>
    </w:p>
    <w:p>
      <w:pPr>
        <w:spacing w:after="0" w:line="3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On January 1, 2018, the Company adopted ASU 2014-09, Revenue from Contracts with Customers, using the modified retrospective approach. The adoption of ASU 2014-09 did not have a material impact on the measurement or timing of recognition of revenue in any prior reporting periods. However, in the current reporting period, the Company was required to make significant judgements for the Refinitiv market data fees. Significant judgements used in accounting for this contract include:</w:t>
      </w:r>
    </w:p>
    <w:p>
      <w:pPr>
        <w:spacing w:after="0" w:line="26" w:lineRule="exact"/>
        <w:rPr>
          <w:sz w:val="20"/>
          <w:szCs w:val="20"/>
          <w:color w:val="auto"/>
        </w:rPr>
      </w:pPr>
    </w:p>
    <w:p>
      <w:pPr>
        <w:ind w:left="1980" w:right="1019" w:hanging="352"/>
        <w:spacing w:after="0" w:line="277" w:lineRule="auto"/>
        <w:tabs>
          <w:tab w:leader="none" w:pos="1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8"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8" w:lineRule="exact"/>
        <w:rPr>
          <w:rFonts w:ascii="Arial" w:cs="Arial" w:eastAsia="Arial" w:hAnsi="Arial"/>
          <w:sz w:val="18"/>
          <w:szCs w:val="18"/>
          <w:color w:val="auto"/>
        </w:rPr>
      </w:pPr>
    </w:p>
    <w:p>
      <w:pPr>
        <w:ind w:left="1980" w:right="899" w:hanging="352"/>
        <w:spacing w:after="0" w:line="312" w:lineRule="auto"/>
        <w:tabs>
          <w:tab w:leader="none" w:pos="19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25" w:lineRule="exact"/>
        <w:rPr>
          <w:sz w:val="20"/>
          <w:szCs w:val="20"/>
          <w:color w:val="auto"/>
        </w:rPr>
      </w:pPr>
    </w:p>
    <w:p>
      <w:pPr>
        <w:ind w:left="1260" w:right="799" w:firstLine="360"/>
        <w:spacing w:after="0" w:line="302" w:lineRule="auto"/>
        <w:rPr>
          <w:sz w:val="20"/>
          <w:szCs w:val="20"/>
          <w:color w:val="auto"/>
        </w:rPr>
      </w:pPr>
      <w:r>
        <w:rPr>
          <w:rFonts w:ascii="Arial" w:cs="Arial" w:eastAsia="Arial" w:hAnsi="Arial"/>
          <w:sz w:val="16"/>
          <w:szCs w:val="16"/>
          <w:color w:val="auto"/>
        </w:rPr>
        <w:t>Some commission and transaction fees earned by the Company have fixed fee components, such as monthly minimums or fixed monthly fees and variable components such as transaction based fees. The breakdown of revenues between fixed and variable revenues, in thousands, for October 1, 2018 to December 31, 2018, January 1, 2018 to September 30, 2018 and for the year ended December 31, 2017 and 2016 is as follows:</w:t>
      </w:r>
    </w:p>
    <w:p>
      <w:pPr>
        <w:spacing w:after="0" w:line="5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Predecessor</w:t>
            </w: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October 1, 2018 to</w:t>
            </w:r>
          </w:p>
        </w:tc>
        <w:tc>
          <w:tcPr>
            <w:tcW w:w="20" w:type="dxa"/>
            <w:vAlign w:val="bottom"/>
            <w:shd w:val="clear" w:color="auto" w:fill="000000"/>
          </w:tcPr>
          <w:p>
            <w:pPr>
              <w:spacing w:after="0"/>
              <w:rPr>
                <w:sz w:val="15"/>
                <w:szCs w:val="15"/>
                <w:color w:val="auto"/>
              </w:rPr>
            </w:pPr>
          </w:p>
        </w:tc>
        <w:tc>
          <w:tcPr>
            <w:tcW w:w="1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January 1, 2018 to</w:t>
            </w:r>
          </w:p>
        </w:tc>
        <w:tc>
          <w:tcPr>
            <w:tcW w:w="15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For the Year Ended</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6"/>
                <w:szCs w:val="16"/>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September 30, 2018</w:t>
            </w: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shd w:val="clear" w:color="auto" w:fill="000000"/>
          </w:tcPr>
          <w:p>
            <w:pPr>
              <w:spacing w:after="0"/>
              <w:rPr>
                <w:sz w:val="17"/>
                <w:szCs w:val="17"/>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Variable</w:t>
            </w:r>
          </w:p>
        </w:tc>
        <w:tc>
          <w:tcPr>
            <w:tcW w:w="640" w:type="dxa"/>
            <w:vAlign w:val="bottom"/>
          </w:tcPr>
          <w:p>
            <w:pPr>
              <w:jc w:val="right"/>
              <w:ind w:right="73"/>
              <w:spacing w:after="0"/>
              <w:rPr>
                <w:sz w:val="20"/>
                <w:szCs w:val="20"/>
                <w:color w:val="auto"/>
              </w:rPr>
            </w:pPr>
            <w:r>
              <w:rPr>
                <w:rFonts w:ascii="Arial" w:cs="Arial" w:eastAsia="Arial" w:hAnsi="Arial"/>
                <w:sz w:val="14"/>
                <w:szCs w:val="14"/>
                <w:b w:val="1"/>
                <w:bCs w:val="1"/>
                <w:color w:val="auto"/>
              </w:rPr>
              <w:t>Fixed</w:t>
            </w:r>
          </w:p>
        </w:tc>
        <w:tc>
          <w:tcPr>
            <w:tcW w:w="20" w:type="dxa"/>
            <w:vAlign w:val="bottom"/>
            <w:shd w:val="clear" w:color="auto" w:fill="000000"/>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Fixed</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Fixed</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26"/>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$73,800</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$23,330</w:t>
            </w:r>
          </w:p>
        </w:tc>
        <w:tc>
          <w:tcPr>
            <w:tcW w:w="20" w:type="dxa"/>
            <w:vAlign w:val="bottom"/>
            <w:shd w:val="clear" w:color="auto" w:fill="000000"/>
          </w:tcPr>
          <w:p>
            <w:pPr>
              <w:spacing w:after="0"/>
              <w:rPr>
                <w:sz w:val="21"/>
                <w:szCs w:val="21"/>
                <w:color w:val="auto"/>
              </w:rPr>
            </w:pPr>
          </w:p>
        </w:tc>
        <w:tc>
          <w:tcPr>
            <w:tcW w:w="84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65,702</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$210,198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56,822</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$176,060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54,111</w:t>
            </w:r>
          </w:p>
        </w:tc>
        <w:tc>
          <w:tcPr>
            <w:tcW w:w="0" w:type="dxa"/>
            <w:vAlign w:val="bottom"/>
          </w:tcPr>
          <w:p>
            <w:pPr>
              <w:spacing w:after="0"/>
              <w:rPr>
                <w:sz w:val="1"/>
                <w:szCs w:val="1"/>
                <w:color w:val="auto"/>
              </w:rPr>
            </w:pPr>
          </w:p>
        </w:tc>
      </w:tr>
      <w:tr>
        <w:trPr>
          <w:trHeight w:val="229"/>
        </w:trPr>
        <w:tc>
          <w:tcPr>
            <w:tcW w:w="2140" w:type="dxa"/>
            <w:vAlign w:val="bottom"/>
            <w:gridSpan w:val="2"/>
          </w:tcPr>
          <w:p>
            <w:pPr>
              <w:spacing w:after="0"/>
              <w:rPr>
                <w:sz w:val="20"/>
                <w:szCs w:val="20"/>
                <w:color w:val="auto"/>
              </w:rPr>
            </w:pPr>
            <w:r>
              <w:rPr>
                <w:rFonts w:ascii="Arial" w:cs="Arial" w:eastAsia="Arial" w:hAnsi="Arial"/>
                <w:sz w:val="18"/>
                <w:szCs w:val="18"/>
                <w:color w:val="auto"/>
                <w:w w:val="98"/>
              </w:rPr>
              <w:t>Subscription fees including</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Refinitiv market data</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fees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425</w:t>
            </w:r>
          </w:p>
        </w:tc>
        <w:tc>
          <w:tcPr>
            <w:tcW w:w="640" w:type="dxa"/>
            <w:vAlign w:val="bottom"/>
          </w:tcPr>
          <w:p>
            <w:pPr>
              <w:jc w:val="right"/>
              <w:spacing w:after="0"/>
              <w:rPr>
                <w:sz w:val="20"/>
                <w:szCs w:val="20"/>
                <w:color w:val="auto"/>
              </w:rPr>
            </w:pPr>
            <w:r>
              <w:rPr>
                <w:rFonts w:ascii="Arial" w:cs="Arial" w:eastAsia="Arial" w:hAnsi="Arial"/>
                <w:sz w:val="18"/>
                <w:szCs w:val="18"/>
                <w:color w:val="auto"/>
              </w:rPr>
              <w:t>46,094</w:t>
            </w:r>
          </w:p>
        </w:tc>
        <w:tc>
          <w:tcPr>
            <w:tcW w:w="20" w:type="dxa"/>
            <w:vAlign w:val="bottom"/>
            <w:shd w:val="clear" w:color="auto" w:fill="000000"/>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142,676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192,959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190,487</w:t>
            </w:r>
          </w:p>
        </w:tc>
        <w:tc>
          <w:tcPr>
            <w:tcW w:w="0" w:type="dxa"/>
            <w:vAlign w:val="bottom"/>
          </w:tcPr>
          <w:p>
            <w:pPr>
              <w:spacing w:after="0"/>
              <w:rPr>
                <w:sz w:val="1"/>
                <w:szCs w:val="1"/>
                <w:color w:val="auto"/>
              </w:rPr>
            </w:pPr>
          </w:p>
        </w:tc>
      </w:tr>
      <w:tr>
        <w:trPr>
          <w:trHeight w:val="263"/>
        </w:trPr>
        <w:tc>
          <w:tcPr>
            <w:tcW w:w="2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Commissions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22,608</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20" w:type="dxa"/>
            <w:vAlign w:val="bottom"/>
            <w:shd w:val="clear" w:color="auto" w:fill="000000"/>
          </w:tcPr>
          <w:p>
            <w:pPr>
              <w:spacing w:after="0"/>
              <w:rPr>
                <w:sz w:val="22"/>
                <w:szCs w:val="22"/>
                <w:color w:val="auto"/>
              </w:rPr>
            </w:pPr>
          </w:p>
        </w:tc>
        <w:tc>
          <w:tcPr>
            <w:tcW w:w="84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49,367</w:t>
            </w:r>
          </w:p>
        </w:tc>
        <w:tc>
          <w:tcPr>
            <w:tcW w:w="10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30,463</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57,118</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39,627</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54,194</w:t>
            </w: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37,469</w:t>
            </w:r>
          </w:p>
        </w:tc>
        <w:tc>
          <w:tcPr>
            <w:tcW w:w="0" w:type="dxa"/>
            <w:vAlign w:val="bottom"/>
          </w:tcPr>
          <w:p>
            <w:pPr>
              <w:spacing w:after="0"/>
              <w:rPr>
                <w:sz w:val="1"/>
                <w:szCs w:val="1"/>
                <w:color w:val="auto"/>
              </w:rPr>
            </w:pPr>
          </w:p>
        </w:tc>
      </w:tr>
      <w:tr>
        <w:trPr>
          <w:trHeight w:val="263"/>
        </w:trPr>
        <w:tc>
          <w:tcPr>
            <w:tcW w:w="2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2,148</w:t>
            </w:r>
          </w:p>
        </w:tc>
        <w:tc>
          <w:tcPr>
            <w:tcW w:w="20" w:type="dxa"/>
            <w:vAlign w:val="bottom"/>
            <w:shd w:val="clear" w:color="auto" w:fill="000000"/>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8,169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4,633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96,833</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81,804</w:t>
            </w:r>
          </w:p>
        </w:tc>
        <w:tc>
          <w:tcPr>
            <w:tcW w:w="20" w:type="dxa"/>
            <w:vAlign w:val="bottom"/>
            <w:shd w:val="clear" w:color="auto" w:fill="000000"/>
          </w:tcPr>
          <w:p>
            <w:pPr>
              <w:spacing w:after="0"/>
              <w:rPr>
                <w:sz w:val="22"/>
                <w:szCs w:val="22"/>
                <w:color w:val="auto"/>
              </w:rPr>
            </w:pPr>
          </w:p>
        </w:tc>
        <w:tc>
          <w:tcPr>
            <w:tcW w:w="84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258,761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247,010</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268,927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294,041</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231,780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286,624</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-248285</wp:posOffset>
            </wp:positionV>
            <wp:extent cx="1714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-248285</wp:posOffset>
            </wp:positionV>
            <wp:extent cx="7747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-248285</wp:posOffset>
            </wp:positionV>
            <wp:extent cx="7747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-248285</wp:posOffset>
            </wp:positionV>
            <wp:extent cx="6032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-248285</wp:posOffset>
            </wp:positionV>
            <wp:extent cx="6032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-248285</wp:posOffset>
            </wp:positionV>
            <wp:extent cx="6032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-248285</wp:posOffset>
            </wp:positionV>
            <wp:extent cx="6858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179260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-1191260</wp:posOffset>
            </wp:positionV>
            <wp:extent cx="1714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-1191260</wp:posOffset>
            </wp:positionV>
            <wp:extent cx="6858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-1191260</wp:posOffset>
            </wp:positionV>
            <wp:extent cx="6858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-1191260</wp:posOffset>
            </wp:positionV>
            <wp:extent cx="5143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-1191260</wp:posOffset>
            </wp:positionV>
            <wp:extent cx="5143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-1191260</wp:posOffset>
            </wp:positionV>
            <wp:extent cx="5143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-1191260</wp:posOffset>
            </wp:positionV>
            <wp:extent cx="6032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-1191260</wp:posOffset>
            </wp:positionV>
            <wp:extent cx="5143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-1191260</wp:posOffset>
            </wp:positionV>
            <wp:extent cx="5143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Share-Based Compensation</w:t>
      </w:r>
    </w:p>
    <w:p>
      <w:pPr>
        <w:spacing w:after="0" w:line="67" w:lineRule="exact"/>
        <w:rPr>
          <w:sz w:val="20"/>
          <w:szCs w:val="20"/>
          <w:color w:val="auto"/>
        </w:rPr>
      </w:pPr>
    </w:p>
    <w:p>
      <w:pPr>
        <w:ind w:left="1260" w:right="1079" w:firstLine="360"/>
        <w:spacing w:after="0" w:line="259" w:lineRule="auto"/>
        <w:rPr>
          <w:sz w:val="20"/>
          <w:szCs w:val="20"/>
          <w:color w:val="auto"/>
        </w:rPr>
      </w:pPr>
      <w:r>
        <w:rPr>
          <w:rFonts w:ascii="Arial" w:cs="Arial" w:eastAsia="Arial" w:hAnsi="Arial"/>
          <w:sz w:val="18"/>
          <w:szCs w:val="18"/>
          <w:color w:val="auto"/>
        </w:rPr>
        <w:t>The Company accounts for share-based compensation in accordance with ASC 718. ASC 718 focuses primarily on accounting for a transaction in which an entity obtains employee services in exchange for share-based payments. Under ASC 718, the shared-based payments received by the employees of the Company are accounted for either as equity awards or as liability awards.</w:t>
      </w:r>
    </w:p>
    <w:p>
      <w:pPr>
        <w:spacing w:after="0" w:line="65" w:lineRule="exact"/>
        <w:rPr>
          <w:sz w:val="20"/>
          <w:szCs w:val="20"/>
          <w:color w:val="auto"/>
        </w:rPr>
      </w:pPr>
    </w:p>
    <w:p>
      <w:pPr>
        <w:ind w:left="1260" w:right="1099" w:firstLine="360"/>
        <w:spacing w:after="0" w:line="259" w:lineRule="auto"/>
        <w:rPr>
          <w:sz w:val="20"/>
          <w:szCs w:val="20"/>
          <w:color w:val="auto"/>
        </w:rPr>
      </w:pPr>
      <w:r>
        <w:rPr>
          <w:rFonts w:ascii="Arial" w:cs="Arial" w:eastAsia="Arial" w:hAnsi="Arial"/>
          <w:sz w:val="18"/>
          <w:szCs w:val="18"/>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members’ capital.</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4" w:name="page235"/>
    <w:bookmarkEnd w:id="234"/>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859" w:firstLine="360"/>
        <w:spacing w:after="0" w:line="302" w:lineRule="auto"/>
        <w:rPr>
          <w:sz w:val="20"/>
          <w:szCs w:val="20"/>
          <w:color w:val="auto"/>
        </w:rPr>
      </w:pPr>
      <w:r>
        <w:rPr>
          <w:rFonts w:ascii="Arial" w:cs="Arial" w:eastAsia="Arial" w:hAnsi="Arial"/>
          <w:sz w:val="16"/>
          <w:szCs w:val="16"/>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46"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Under ASC 718, the grant-date fair value of share based awards that do not require future service (i.e., vested awards) are expensed immediately. The grant-date fair value of share-based employee awards that require future service, and are graded-vesting awards, are amortized over the relevant service period on a straight-line basis, with each tranche separately measured. The grant-date fair value of share-based employee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74"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Determining the appropriate fair value model and calculating the fair value of the share-based payment awards requires the input of highly subjective assumptions, including the expected life of the share-based payment awards and the stock price volatility. The Company uses the Black-Scholes pricing model to value some of its share-based awards. Application of alternative assumptions could produce significantly different estimates of the fair value of stock-based compensation and consequently, the related amounts recognized in the Company’s consolidated statements of income.</w:t>
      </w:r>
    </w:p>
    <w:p>
      <w:pPr>
        <w:spacing w:after="0" w:line="85"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The Company has elected to account for forfeitures when they occur. If in a reporting period a forfeiture occurs, any expenses already recognized relating to the forfeited awards in prior reporting periods are reversed in the current reporting period.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Income Per Share</w:t>
      </w:r>
    </w:p>
    <w:p>
      <w:pPr>
        <w:spacing w:after="0" w:line="108"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color w:val="auto"/>
        </w:rPr>
        <w:t>Basic net income per share is computed by dividing the net income attributable to the Company’s shares by the weighted-average number of the Company’s shares outstanding during the period. For purposes of computing diluted net income per share, the weighted-average number of the Company’s shares reflects the dilutive effect that could occur if convertible securities were converted into or exercised for the Company’s shares.</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Measurement</w:t>
      </w:r>
    </w:p>
    <w:p>
      <w:pPr>
        <w:spacing w:after="0" w:line="108"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80"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The fair value hierarchy under ASC 820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Fair Value Measurement</w:t>
      </w:r>
    </w:p>
    <w:p>
      <w:pPr>
        <w:spacing w:after="0" w:line="121" w:lineRule="exact"/>
        <w:rPr>
          <w:sz w:val="20"/>
          <w:szCs w:val="20"/>
          <w:color w:val="auto"/>
        </w:rPr>
      </w:pPr>
    </w:p>
    <w:p>
      <w:pPr>
        <w:ind w:left="2280" w:right="1439" w:hanging="647"/>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identical, unrestricted assets or liabilities;</w:t>
      </w:r>
    </w:p>
    <w:p>
      <w:pPr>
        <w:spacing w:after="0" w:line="103" w:lineRule="exact"/>
        <w:rPr>
          <w:sz w:val="20"/>
          <w:szCs w:val="20"/>
          <w:color w:val="auto"/>
        </w:rPr>
      </w:pPr>
    </w:p>
    <w:p>
      <w:pPr>
        <w:ind w:left="2280" w:right="859" w:hanging="647"/>
        <w:spacing w:after="0" w:line="277" w:lineRule="auto"/>
        <w:rPr>
          <w:sz w:val="20"/>
          <w:szCs w:val="20"/>
          <w:color w:val="auto"/>
        </w:rPr>
      </w:pPr>
      <w:r>
        <w:rPr>
          <w:rFonts w:ascii="Arial" w:cs="Arial" w:eastAsia="Arial" w:hAnsi="Arial"/>
          <w:sz w:val="18"/>
          <w:szCs w:val="18"/>
          <w:color w:val="auto"/>
        </w:rPr>
        <w:t>Level 2 Quoted prices in markets that are not considered to be active or financial instruments for which all significant inputs are observable, either directly or indirectly;</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5" w:name="page236"/>
    <w:bookmarkEnd w:id="235"/>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5" w:lineRule="exact"/>
        <w:rPr>
          <w:sz w:val="20"/>
          <w:szCs w:val="20"/>
          <w:color w:val="auto"/>
        </w:rPr>
      </w:pPr>
    </w:p>
    <w:p>
      <w:pPr>
        <w:ind w:left="2280" w:right="939" w:hanging="647"/>
        <w:spacing w:after="0" w:line="277" w:lineRule="auto"/>
        <w:rPr>
          <w:sz w:val="20"/>
          <w:szCs w:val="20"/>
          <w:color w:val="auto"/>
        </w:rPr>
      </w:pPr>
      <w:r>
        <w:rPr>
          <w:rFonts w:ascii="Arial" w:cs="Arial" w:eastAsia="Arial" w:hAnsi="Arial"/>
          <w:sz w:val="18"/>
          <w:szCs w:val="18"/>
          <w:color w:val="auto"/>
        </w:rPr>
        <w:t>Level 3 Prices or valuations that require inputs that are both significant to the fair value measurement and unobservable.</w:t>
      </w:r>
    </w:p>
    <w:p>
      <w:pPr>
        <w:spacing w:after="0" w:line="62"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In February 2016, the FASB issued ASU2016-02, Leases. This standard requires lessees to recognize a right-of-use asset and a lease liability for virtually all leases. The asset will reflect the present value of unpaid lease payments coupled with initial direct costs, prepaid lease payments, and lease incentives. The amount of the lease liability will be calculated as the present value of unpaid lease payments. ASU2016-02 will be effective for the Company in the fiscal year beginning January 1, 2019. The new standard must be adopted using a modified retrospective transition. The Company will adopt the transition method provided by ASU 2018 — 11, Leases — Targeted Improvements, in which the Company will initially apply the new lease standard on the adoption date of January 1, 2019, recognizing the cumulative-effect adjustment to members’ capital. The Company is evaluating its current lease contracts and currently intends to use the package of practical expedients allowing entities to not reassess (i) whether any expired or existing contracts are or contain leases, (ii) the lease classification for any expired or existing leases and (iii) initial direct costs for any existing leases. The Company has not quantified the impact on its consolidated financial statements, but it anticipates an increase in the recognition of right-of-use assets and lease liabilities.</w:t>
      </w:r>
    </w:p>
    <w:p>
      <w:pPr>
        <w:spacing w:after="0" w:line="80"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This standard provided new guidance for estimating credit losses on certain types of financial instruments by introducing an approach based on expected losses. This guidance will be effective in the fiscal year beginning January 1, 2020. The Company is currently evaluating the impact of this standard on the Company’s consolidated financial statements.</w:t>
      </w:r>
    </w:p>
    <w:p>
      <w:pPr>
        <w:spacing w:after="0" w:line="80"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(a consensus of the Emerging Issues Task Force). This update provides specific guidance on the eight cash flow classification and presentation issues on the statements of cash flow. ASU 2016-15 was adopted by the Company beginning on January 1, 2018. The adoption of this ASU did not have a material impact on the Company’s financial statements.</w:t>
      </w:r>
    </w:p>
    <w:p>
      <w:pPr>
        <w:spacing w:after="0" w:line="80"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In November 2016, the FASB issued ASU 2016-18, Statement of Cash Flows — Restricted Cash. This update requires that a statement of cash flows explain the change during the period in total cash, cash equivalents, and amounts generally described as restricted cash or restricted cash equivalents. The standard must be adopted using a retrospective transition method to each period presented. ASU 2016-18 was adopted by the Company beginning on January 1, 2018. The adoption resulted in the Company presenting a reconciliation of cash and cash equivalents and restricted cash that sum to the amounts shown in the consolidated statement of cash flows.</w:t>
      </w:r>
    </w:p>
    <w:p>
      <w:pPr>
        <w:spacing w:after="0" w:line="57" w:lineRule="exact"/>
        <w:rPr>
          <w:sz w:val="20"/>
          <w:szCs w:val="20"/>
          <w:color w:val="auto"/>
        </w:rPr>
      </w:pPr>
    </w:p>
    <w:p>
      <w:pPr>
        <w:ind w:left="1260" w:right="819" w:firstLine="360"/>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The ASU simplifies the quantitative goodwill impairment test by eliminating the second step of the test. Under this ASU, impairment will be measured by comparing the estimated fair value of the reporting unit with its carrying value. The ASU is applicable for the Company in the fiscal year beginning January 1, 2021. The Company does not anticipate the adoption of this ASU to have a material impact on the Company’s financial statements.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Pushdown Accounting</w:t>
      </w:r>
    </w:p>
    <w:p>
      <w:pPr>
        <w:spacing w:after="0" w:line="108" w:lineRule="exact"/>
        <w:rPr>
          <w:sz w:val="20"/>
          <w:szCs w:val="20"/>
          <w:color w:val="auto"/>
        </w:rPr>
      </w:pPr>
    </w:p>
    <w:p>
      <w:pPr>
        <w:ind w:left="1260" w:right="879" w:firstLine="360"/>
        <w:spacing w:after="0" w:line="286"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“Business Combinations” to record the fair value of the assets and liabilities of Refinitiv on the date of the Refinitiv Transaction. The Company, as a consolidating subsidiary</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6" w:name="page237"/>
    <w:bookmarkEnd w:id="236"/>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both"/>
        <w:ind w:left="1260" w:right="899"/>
        <w:spacing w:after="0" w:line="264" w:lineRule="auto"/>
        <w:rPr>
          <w:sz w:val="20"/>
          <w:szCs w:val="20"/>
          <w:color w:val="auto"/>
        </w:rPr>
      </w:pPr>
      <w:r>
        <w:rPr>
          <w:rFonts w:ascii="Arial" w:cs="Arial" w:eastAsia="Arial" w:hAnsi="Arial"/>
          <w:sz w:val="18"/>
          <w:szCs w:val="18"/>
          <w:color w:val="auto"/>
        </w:rPr>
        <w:t>of Refinitiv, accounted for the Refinitiv Transaction using pushdown accounting. Under pushdown accounting, the excess of the fair value of the Company above the fair value accounting basis of the net assets and liabilities of the Company is recorded as goodwill.</w:t>
      </w:r>
    </w:p>
    <w:p>
      <w:pPr>
        <w:spacing w:after="0" w:line="7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The fair value of assets acquired and liabilities assumed was determined based on assumptions that reasonable market participants would use in the principal (or most advantageous) market for the asset or liability. The following assumptions, the majority of which include significant unobservable inputs (Level 3), and valuation methodologies were used to determine fair value:</w:t>
      </w:r>
    </w:p>
    <w:p>
      <w:pPr>
        <w:spacing w:after="0" w:line="146" w:lineRule="exact"/>
        <w:rPr>
          <w:sz w:val="20"/>
          <w:szCs w:val="20"/>
          <w:color w:val="auto"/>
        </w:rPr>
      </w:pPr>
    </w:p>
    <w:p>
      <w:pPr>
        <w:ind w:left="1980" w:right="859" w:hanging="352"/>
        <w:spacing w:after="0" w:line="302" w:lineRule="auto"/>
        <w:tabs>
          <w:tab w:leader="none" w:pos="19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Licenses — The income approach: with or without method was used. Under this method, fair value is estimated based on income streams, such as cash flows or earnings, discounting to a present value. These discounted cash flows are calculated both with the asset and without the asset. The difference in the cash flows is discounted to the present value to determine the value of the asset.</w:t>
      </w:r>
    </w:p>
    <w:p>
      <w:pPr>
        <w:spacing w:after="0" w:line="113" w:lineRule="exact"/>
        <w:rPr>
          <w:rFonts w:ascii="Arial" w:cs="Arial" w:eastAsia="Arial" w:hAnsi="Arial"/>
          <w:sz w:val="16"/>
          <w:szCs w:val="16"/>
          <w:color w:val="auto"/>
        </w:rPr>
      </w:pPr>
    </w:p>
    <w:p>
      <w:pPr>
        <w:ind w:left="1980" w:right="779" w:hanging="352"/>
        <w:spacing w:after="0" w:line="264" w:lineRule="auto"/>
        <w:tabs>
          <w:tab w:leader="none" w:pos="1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Content and Data — The income approach: discounted cash flow method was used. Under this method, fair value is estimated based on income streams, such as cash flows or earnings, discounting to a present value.</w:t>
      </w:r>
    </w:p>
    <w:p>
      <w:pPr>
        <w:spacing w:after="0" w:line="154" w:lineRule="exact"/>
        <w:rPr>
          <w:rFonts w:ascii="Arial" w:cs="Arial" w:eastAsia="Arial" w:hAnsi="Arial"/>
          <w:sz w:val="18"/>
          <w:szCs w:val="18"/>
          <w:color w:val="auto"/>
        </w:rPr>
      </w:pPr>
    </w:p>
    <w:p>
      <w:pPr>
        <w:ind w:left="1980" w:right="939" w:hanging="352"/>
        <w:spacing w:after="0" w:line="308" w:lineRule="auto"/>
        <w:tabs>
          <w:tab w:leader="none" w:pos="19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Tradename and software development costs — The income approach: relief from royalty method was used. Under this method, the value of the asset is a function of several components:</w:t>
      </w:r>
    </w:p>
    <w:p>
      <w:pPr>
        <w:spacing w:after="0" w:line="106" w:lineRule="exact"/>
        <w:rPr>
          <w:rFonts w:ascii="Arial" w:cs="Arial" w:eastAsia="Arial" w:hAnsi="Arial"/>
          <w:sz w:val="17"/>
          <w:szCs w:val="17"/>
          <w:color w:val="auto"/>
        </w:rPr>
      </w:pPr>
    </w:p>
    <w:p>
      <w:pPr>
        <w:ind w:left="2340" w:hanging="351"/>
        <w:spacing w:after="0"/>
        <w:tabs>
          <w:tab w:leader="none" w:pos="23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projected revenue attributable to the asset.</w:t>
      </w:r>
    </w:p>
    <w:p>
      <w:pPr>
        <w:spacing w:after="0" w:line="184" w:lineRule="exact"/>
        <w:rPr>
          <w:rFonts w:ascii="Arial" w:cs="Arial" w:eastAsia="Arial" w:hAnsi="Arial"/>
          <w:sz w:val="18"/>
          <w:szCs w:val="18"/>
          <w:color w:val="auto"/>
        </w:rPr>
      </w:pPr>
    </w:p>
    <w:p>
      <w:pPr>
        <w:ind w:left="2340" w:hanging="351"/>
        <w:spacing w:after="0"/>
        <w:tabs>
          <w:tab w:leader="none" w:pos="23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expected economic life of the asset.</w:t>
      </w:r>
    </w:p>
    <w:p>
      <w:pPr>
        <w:spacing w:after="0" w:line="184" w:lineRule="exact"/>
        <w:rPr>
          <w:rFonts w:ascii="Arial" w:cs="Arial" w:eastAsia="Arial" w:hAnsi="Arial"/>
          <w:sz w:val="18"/>
          <w:szCs w:val="18"/>
          <w:color w:val="auto"/>
        </w:rPr>
      </w:pPr>
    </w:p>
    <w:p>
      <w:pPr>
        <w:ind w:left="2340" w:right="859" w:hanging="351"/>
        <w:spacing w:after="0" w:line="277" w:lineRule="auto"/>
        <w:tabs>
          <w:tab w:leader="none" w:pos="23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royalty rate, as a percentage of revenue that would hypothetically be charged by a licensor of the asset to an unrelated licensee.</w:t>
      </w:r>
    </w:p>
    <w:p>
      <w:pPr>
        <w:spacing w:after="0" w:line="143" w:lineRule="exact"/>
        <w:rPr>
          <w:rFonts w:ascii="Arial" w:cs="Arial" w:eastAsia="Arial" w:hAnsi="Arial"/>
          <w:sz w:val="18"/>
          <w:szCs w:val="18"/>
          <w:color w:val="auto"/>
        </w:rPr>
      </w:pPr>
    </w:p>
    <w:p>
      <w:pPr>
        <w:ind w:left="2340" w:right="939" w:hanging="351"/>
        <w:spacing w:after="0" w:line="277" w:lineRule="auto"/>
        <w:tabs>
          <w:tab w:leader="none" w:pos="23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 discount rate that reflects the level of risk associated with the future income attributable to the asset.</w:t>
      </w:r>
    </w:p>
    <w:p>
      <w:pPr>
        <w:spacing w:after="0" w:line="129" w:lineRule="exact"/>
        <w:rPr>
          <w:rFonts w:ascii="Arial" w:cs="Arial" w:eastAsia="Arial" w:hAnsi="Arial"/>
          <w:sz w:val="18"/>
          <w:szCs w:val="18"/>
          <w:color w:val="auto"/>
        </w:rPr>
      </w:pPr>
    </w:p>
    <w:p>
      <w:pPr>
        <w:ind w:left="1980" w:right="759" w:hanging="352"/>
        <w:spacing w:after="0" w:line="264" w:lineRule="auto"/>
        <w:tabs>
          <w:tab w:leader="none" w:pos="1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Customer relationships — The income approach: multi-period excess earnings method was used. Under this method, the economic benefit of the asset is measured indirectly by calculating the income attributable to an asset after contributory asset charges.</w:t>
      </w:r>
    </w:p>
    <w:p>
      <w:pPr>
        <w:spacing w:after="0" w:line="140" w:lineRule="exact"/>
        <w:rPr>
          <w:rFonts w:ascii="Arial" w:cs="Arial" w:eastAsia="Arial" w:hAnsi="Arial"/>
          <w:sz w:val="18"/>
          <w:szCs w:val="18"/>
          <w:color w:val="auto"/>
        </w:rPr>
      </w:pPr>
    </w:p>
    <w:p>
      <w:pPr>
        <w:ind w:left="1980" w:right="839" w:hanging="352"/>
        <w:spacing w:after="0" w:line="264" w:lineRule="auto"/>
        <w:tabs>
          <w:tab w:leader="none" w:pos="1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Leasehold improvements, furniture and purchased software — The cost approach was used. Under this method the assets are valued based on the cost to a market participant to acquire a substitute asset of comparable utility, adjusted for obsolescence.</w:t>
      </w:r>
    </w:p>
    <w:p>
      <w:pPr>
        <w:spacing w:after="0" w:line="154" w:lineRule="exact"/>
        <w:rPr>
          <w:rFonts w:ascii="Arial" w:cs="Arial" w:eastAsia="Arial" w:hAnsi="Arial"/>
          <w:sz w:val="18"/>
          <w:szCs w:val="18"/>
          <w:color w:val="auto"/>
        </w:rPr>
      </w:pPr>
    </w:p>
    <w:p>
      <w:pPr>
        <w:ind w:left="1980" w:right="999" w:hanging="352"/>
        <w:spacing w:after="0" w:line="312" w:lineRule="auto"/>
        <w:tabs>
          <w:tab w:leader="none" w:pos="19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Computer hardware and office equipment — The market approach was used. Under this method, the fair value of an asset reflects the price at which comparable assets are purchased under similar circumstances based on recent sales prices of similar assets in an arm’s-length transaction.</w:t>
      </w:r>
    </w:p>
    <w:p>
      <w:pPr>
        <w:spacing w:after="0" w:line="106" w:lineRule="exact"/>
        <w:rPr>
          <w:rFonts w:ascii="Arial" w:cs="Arial" w:eastAsia="Arial" w:hAnsi="Arial"/>
          <w:sz w:val="16"/>
          <w:szCs w:val="16"/>
          <w:color w:val="auto"/>
        </w:rPr>
      </w:pPr>
    </w:p>
    <w:p>
      <w:pPr>
        <w:ind w:left="1980" w:right="779" w:hanging="352"/>
        <w:spacing w:after="0" w:line="277" w:lineRule="auto"/>
        <w:tabs>
          <w:tab w:leader="none" w:pos="1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Leasehold interests — The income approach was used. Under this method, fair value is estimated based on cash flows, discounting to a present value.</w:t>
      </w:r>
    </w:p>
    <w:p>
      <w:pPr>
        <w:spacing w:after="0" w:line="62"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The amount and timing of future cash flows used in these approaches were based on the Company’s most recent financial forecasts as of the date of the Refinitiv Transaction. In preparing the purchase price allocations, the Company considered a report of a third-party valuation expert. The Company’s management is responsible for these internal and third-party valuations and appraisals and they are continuing to review the amounts and allocations to finalize these amounts. The Company has one year from the date of the Refinitiv Transaction to finalize these amounts.</w:t>
      </w:r>
    </w:p>
    <w:p>
      <w:pPr>
        <w:spacing w:after="0" w:line="2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allocation applying pushdown accounting is summarized in the table below (in thousands):</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Company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4,575,000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Less: fair value of the net assets and liabilities of the Company</w:t>
            </w: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(1,880,203)</w:t>
            </w:r>
          </w:p>
        </w:tc>
        <w:tc>
          <w:tcPr>
            <w:tcW w:w="0" w:type="dxa"/>
            <w:vAlign w:val="bottom"/>
          </w:tcPr>
          <w:p>
            <w:pPr>
              <w:spacing w:after="0"/>
              <w:rPr>
                <w:sz w:val="1"/>
                <w:szCs w:val="1"/>
                <w:color w:val="auto"/>
              </w:rPr>
            </w:pPr>
          </w:p>
        </w:tc>
      </w:tr>
      <w:tr>
        <w:trPr>
          <w:trHeight w:val="237"/>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2,694,797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Net assets and liabilities of the Company at October 1, 2018:</w:t>
            </w: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brokers and dealers and clearing organizations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Furniture, equipment, purchased software and leasehold improvements: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hardware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software</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Furniture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equipment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Software development costs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168,500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Tradename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and Data</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Licenses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168,800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Receivables from affiliates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20,404</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2,091,439</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82,201</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Leasehold interests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Employee equity compensation payable</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33,914</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Payable to affiliates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18,674</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211,236</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net assets and liabilities of the Company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1,880,203</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-265430</wp:posOffset>
            </wp:positionV>
            <wp:extent cx="475107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-1551305</wp:posOffset>
            </wp:positionV>
            <wp:extent cx="475107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-4819015</wp:posOffset>
            </wp:positionV>
            <wp:extent cx="475107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Restricted Cash</w:t>
      </w:r>
    </w:p>
    <w:p>
      <w:pPr>
        <w:spacing w:after="0" w:line="81"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December 31, 2018 and December 31, 2017, cash in the amount of $1,200,000 has been segregated in the PAB reserve account exceeding the requirements pursuant to SEC Rule 15c3-3.</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Receivable from and Payable to Brokers and Dealers and Clearing Organizations</w:t>
      </w:r>
    </w:p>
    <w:p>
      <w:pPr>
        <w:spacing w:after="0" w:line="81" w:lineRule="exact"/>
        <w:rPr>
          <w:sz w:val="20"/>
          <w:szCs w:val="20"/>
          <w:color w:val="auto"/>
        </w:rPr>
      </w:pPr>
    </w:p>
    <w:p>
      <w:pPr>
        <w:jc w:val="both"/>
        <w:ind w:left="1260" w:right="1019" w:firstLine="360"/>
        <w:spacing w:after="0" w:line="286" w:lineRule="auto"/>
        <w:rPr>
          <w:sz w:val="20"/>
          <w:szCs w:val="20"/>
          <w:color w:val="auto"/>
        </w:rPr>
      </w:pPr>
      <w:r>
        <w:rPr>
          <w:rFonts w:ascii="Arial" w:cs="Arial" w:eastAsia="Arial" w:hAnsi="Arial"/>
          <w:sz w:val="17"/>
          <w:szCs w:val="17"/>
          <w:color w:val="auto"/>
        </w:rPr>
        <w:t>Receivable from and payable to brokers and dealers and clearing organizations consists of proceeds from transactions which failed to settle due to the inability of a transaction party to deliver or receive the transacted security. These securities transactions are generally collateralized by those securities.</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8" w:name="page239"/>
    <w:bookmarkEnd w:id="238"/>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Deposits with Clearing Organizations</w:t>
      </w:r>
    </w:p>
    <w:p>
      <w:pPr>
        <w:spacing w:after="0" w:line="108"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Furniture, Equipment, Purchased Software and Leasehold Improvements</w:t>
      </w:r>
    </w:p>
    <w:p>
      <w:pPr>
        <w:spacing w:after="0" w:line="108" w:lineRule="exact"/>
        <w:rPr>
          <w:sz w:val="20"/>
          <w:szCs w:val="20"/>
          <w:color w:val="auto"/>
        </w:rPr>
      </w:pPr>
    </w:p>
    <w:p>
      <w:pPr>
        <w:ind w:left="1260" w:right="1579" w:firstLine="360"/>
        <w:spacing w:after="0" w:line="291" w:lineRule="auto"/>
        <w:rPr>
          <w:sz w:val="20"/>
          <w:szCs w:val="20"/>
          <w:color w:val="auto"/>
        </w:rPr>
      </w:pPr>
      <w:r>
        <w:rPr>
          <w:rFonts w:ascii="Arial" w:cs="Arial" w:eastAsia="Arial" w:hAnsi="Arial"/>
          <w:sz w:val="17"/>
          <w:szCs w:val="17"/>
          <w:color w:val="auto"/>
        </w:rPr>
        <w:t>The components of furniture, equipment, purchased software and leasehold improvements, net of accumulated depreciation and amortization are as follows (in thousands):</w:t>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6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90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6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9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5"/>
                <w:szCs w:val="15"/>
                <w:color w:val="auto"/>
              </w:rPr>
            </w:pPr>
          </w:p>
        </w:tc>
        <w:tc>
          <w:tcPr>
            <w:tcW w:w="9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940" w:type="dxa"/>
            <w:vAlign w:val="bottom"/>
            <w:gridSpan w:val="3"/>
          </w:tcPr>
          <w:p>
            <w:pPr>
              <w:jc w:val="center"/>
              <w:ind w:left="273"/>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$22,818</w:t>
            </w:r>
          </w:p>
        </w:tc>
        <w:tc>
          <w:tcPr>
            <w:tcW w:w="100" w:type="dxa"/>
            <w:vAlign w:val="bottom"/>
            <w:shd w:val="clear" w:color="auto" w:fill="CCEEFF"/>
          </w:tcPr>
          <w:p>
            <w:pPr>
              <w:spacing w:after="0"/>
              <w:rPr>
                <w:sz w:val="21"/>
                <w:szCs w:val="21"/>
                <w:color w:val="auto"/>
              </w:rPr>
            </w:pPr>
          </w:p>
        </w:tc>
        <w:tc>
          <w:tcPr>
            <w:tcW w:w="320" w:type="dxa"/>
            <w:vAlign w:val="bottom"/>
            <w:tcBorders>
              <w:lef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67,852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12,339</w:t>
            </w:r>
          </w:p>
        </w:tc>
        <w:tc>
          <w:tcPr>
            <w:tcW w:w="10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27,139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12,991</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(3,036)</w:t>
            </w:r>
          </w:p>
        </w:tc>
        <w:tc>
          <w:tcPr>
            <w:tcW w:w="10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(87,301)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6"/>
              </w:rPr>
              <w:t>Furniture, equipment, purchased software and leasehold improvements, net of</w:t>
            </w: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left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accumulated depreciation and amortization</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$38,128</w:t>
            </w:r>
          </w:p>
        </w:tc>
        <w:tc>
          <w:tcPr>
            <w:tcW w:w="100" w:type="dxa"/>
            <w:vAlign w:val="bottom"/>
          </w:tcPr>
          <w:p>
            <w:pPr>
              <w:spacing w:after="0"/>
              <w:rPr>
                <w:sz w:val="20"/>
                <w:szCs w:val="20"/>
                <w:color w:val="auto"/>
              </w:rPr>
            </w:pPr>
          </w:p>
        </w:tc>
        <w:tc>
          <w:tcPr>
            <w:tcW w:w="320" w:type="dxa"/>
            <w:vAlign w:val="bottom"/>
            <w:tcBorders>
              <w:lef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27,031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-1225550</wp:posOffset>
            </wp:positionV>
            <wp:extent cx="521398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9" w:lineRule="exact"/>
        <w:rPr>
          <w:sz w:val="20"/>
          <w:szCs w:val="20"/>
          <w:color w:val="auto"/>
        </w:rPr>
      </w:pPr>
    </w:p>
    <w:p>
      <w:pPr>
        <w:ind w:left="1260" w:right="859" w:firstLine="360"/>
        <w:spacing w:after="0" w:line="264"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depreciation and amortization expense related to these assets was $3,094,000, $9,270,000, $11,959,000 and $12,910,000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Software Development Cost</w:t>
      </w:r>
    </w:p>
    <w:p>
      <w:pPr>
        <w:spacing w:after="0" w:line="108" w:lineRule="exact"/>
        <w:rPr>
          <w:sz w:val="20"/>
          <w:szCs w:val="20"/>
          <w:color w:val="auto"/>
        </w:rPr>
      </w:pPr>
    </w:p>
    <w:p>
      <w:pPr>
        <w:ind w:left="1260" w:right="1419" w:firstLine="360"/>
        <w:spacing w:after="0" w:line="277" w:lineRule="auto"/>
        <w:rPr>
          <w:sz w:val="20"/>
          <w:szCs w:val="20"/>
          <w:color w:val="auto"/>
        </w:rPr>
      </w:pPr>
      <w:r>
        <w:rPr>
          <w:rFonts w:ascii="Arial" w:cs="Arial" w:eastAsia="Arial" w:hAnsi="Arial"/>
          <w:sz w:val="18"/>
          <w:szCs w:val="18"/>
          <w:color w:val="auto"/>
        </w:rPr>
        <w:t>The components of Software development costs, net of accumulated amortization are as follows (in thousands):</w:t>
      </w:r>
    </w:p>
    <w:p>
      <w:pPr>
        <w:spacing w:after="0" w:line="104"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Predecessor</w:t>
            </w:r>
          </w:p>
        </w:tc>
      </w:tr>
      <w:tr>
        <w:trPr>
          <w:trHeight w:val="173"/>
        </w:trPr>
        <w:tc>
          <w:tcPr>
            <w:tcW w:w="6220" w:type="dxa"/>
            <w:vAlign w:val="bottom"/>
          </w:tcPr>
          <w:p>
            <w:pPr>
              <w:spacing w:after="0"/>
              <w:rPr>
                <w:sz w:val="15"/>
                <w:szCs w:val="15"/>
                <w:color w:val="auto"/>
              </w:rPr>
            </w:pPr>
          </w:p>
        </w:tc>
        <w:tc>
          <w:tcPr>
            <w:tcW w:w="100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r>
      <w:tr>
        <w:trPr>
          <w:trHeight w:val="186"/>
        </w:trPr>
        <w:tc>
          <w:tcPr>
            <w:tcW w:w="6220" w:type="dxa"/>
            <w:vAlign w:val="bottom"/>
          </w:tcPr>
          <w:p>
            <w:pPr>
              <w:spacing w:after="0"/>
              <w:rPr>
                <w:sz w:val="16"/>
                <w:szCs w:val="16"/>
                <w:color w:val="auto"/>
              </w:rPr>
            </w:pPr>
          </w:p>
        </w:tc>
        <w:tc>
          <w:tcPr>
            <w:tcW w:w="80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r>
      <w:tr>
        <w:trPr>
          <w:trHeight w:val="26"/>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$ 175,656</w:t>
            </w:r>
          </w:p>
        </w:tc>
        <w:tc>
          <w:tcPr>
            <w:tcW w:w="120" w:type="dxa"/>
            <w:vAlign w:val="bottom"/>
            <w:tcBorders>
              <w:right w:val="single" w:sz="8" w:color="auto"/>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218,382</w:t>
            </w:r>
          </w:p>
        </w:tc>
      </w:tr>
      <w:tr>
        <w:trPr>
          <w:trHeight w:val="263"/>
        </w:trPr>
        <w:tc>
          <w:tcPr>
            <w:tcW w:w="62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(5,074)</w:t>
            </w:r>
          </w:p>
        </w:tc>
        <w:tc>
          <w:tcPr>
            <w:tcW w:w="12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(177,201)</w:t>
            </w:r>
          </w:p>
        </w:tc>
      </w:tr>
      <w:tr>
        <w:trPr>
          <w:trHeight w:val="20"/>
        </w:trPr>
        <w:tc>
          <w:tcPr>
            <w:tcW w:w="6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r>
      <w:tr>
        <w:trPr>
          <w:trHeight w:val="25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 net of accumulated amortization</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$ 170,582</w:t>
            </w:r>
          </w:p>
        </w:tc>
        <w:tc>
          <w:tcPr>
            <w:tcW w:w="8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41,181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62"/>
        </w:trPr>
        <w:tc>
          <w:tcPr>
            <w:tcW w:w="6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-248285</wp:posOffset>
            </wp:positionV>
            <wp:extent cx="521398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-591185</wp:posOffset>
            </wp:positionV>
            <wp:extent cx="521398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9"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For October 1, 2018 to December 31, 2018, January 1, 2018 to September 30, 2018 and for the years ended December 31, 2017 and 2016, software development costs totaling $7,156,000, $19,523,000, $27,157,000 and $25,351,000, respectively, were capitalized. In addition, on October 1, 2018, a fair value of $168,500,000 was assigned to software development costs of the Company as a result of the Refinitiv Transaction. Non-capitalized software costs and routine maintenance costs are expensed as incurred and are included in employee compensation and benefits and professional fees on the consolidated statements of income. For October 1, 2018 to December 31, 2018, January 1, 2018 to September 30, 2018 and for the years ended December 31, 2017 and 2016, amortization expense related to these assets was $5,074,000, $19,962,000, $25,420,000 and $26,824,000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9" w:name="page240"/>
    <w:bookmarkEnd w:id="239"/>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Intangible Assets and Goodwill</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Intangible assets and goodwill relate primarily to the allocation of purchase price associated with the Refinitiv Transaction, the acquisition by TR of Tradeweb Group LLC in 2004, the merger in 2010 of the Company with Tradeweb NewMarkets LLC (“NewMarkets”), which was a company owned by the Banks and TR (the “Merger”), the purchase of the RaffCap business in 2011 and the purchase of BondDesk in 2013. The following is a summary of goodwill (in thousands):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2"/>
              </w:rPr>
              <w:t>Predecessor</w:t>
            </w:r>
          </w:p>
        </w:tc>
        <w:tc>
          <w:tcPr>
            <w:tcW w:w="40" w:type="dxa"/>
            <w:vAlign w:val="bottom"/>
          </w:tcPr>
          <w:p>
            <w:pPr>
              <w:spacing w:after="0"/>
              <w:rPr>
                <w:sz w:val="17"/>
                <w:szCs w:val="17"/>
                <w:color w:val="auto"/>
              </w:rPr>
            </w:pPr>
          </w:p>
        </w:tc>
      </w:tr>
      <w:tr>
        <w:trPr>
          <w:trHeight w:val="173"/>
        </w:trPr>
        <w:tc>
          <w:tcPr>
            <w:tcW w:w="550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550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Refinitiv Transaction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$ 2,694,797</w:t>
            </w:r>
          </w:p>
        </w:tc>
        <w:tc>
          <w:tcPr>
            <w:tcW w:w="140" w:type="dxa"/>
            <w:vAlign w:val="bottom"/>
            <w:tcBorders>
              <w:right w:val="single" w:sz="8" w:color="auto"/>
            </w:tcBorders>
            <w:gridSpan w:val="2"/>
            <w:shd w:val="clear" w:color="auto" w:fill="CCEEFF"/>
          </w:tcPr>
          <w:p>
            <w:pPr>
              <w:spacing w:after="0"/>
              <w:rPr>
                <w:sz w:val="21"/>
                <w:szCs w:val="21"/>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TR Acquisition</w:t>
            </w: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334,185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Merger</w:t>
            </w: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66,484</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RaffCap Business</w:t>
            </w: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49,200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BondDesk</w:t>
            </w: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103,158</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64"/>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10,394</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$ 2,694,797</w:t>
            </w:r>
          </w:p>
        </w:tc>
        <w:tc>
          <w:tcPr>
            <w:tcW w:w="140" w:type="dxa"/>
            <w:vAlign w:val="bottom"/>
            <w:tcBorders>
              <w:right w:val="single" w:sz="8" w:color="auto"/>
            </w:tcBorders>
            <w:gridSpan w:val="2"/>
            <w:shd w:val="clear" w:color="auto" w:fill="CCEEFF"/>
          </w:tcPr>
          <w:p>
            <w:pPr>
              <w:spacing w:after="0"/>
              <w:rPr>
                <w:sz w:val="22"/>
                <w:szCs w:val="22"/>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563,421</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62"/>
        </w:trPr>
        <w:tc>
          <w:tcPr>
            <w:tcW w:w="55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-248285</wp:posOffset>
            </wp:positionV>
            <wp:extent cx="475107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-1242695</wp:posOffset>
            </wp:positionV>
            <wp:extent cx="1714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-1242695</wp:posOffset>
            </wp:positionV>
            <wp:extent cx="417639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summary of intangible assets which have an indefinite useful life (in thousands):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5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5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78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left="64"/>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Licences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$ 168,800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left="64"/>
              <w:spacing w:after="0"/>
              <w:rPr>
                <w:sz w:val="20"/>
                <w:szCs w:val="20"/>
                <w:color w:val="auto"/>
              </w:rPr>
            </w:pPr>
            <w:r>
              <w:rPr>
                <w:rFonts w:ascii="Arial" w:cs="Arial" w:eastAsia="Arial" w:hAnsi="Arial"/>
                <w:sz w:val="18"/>
                <w:szCs w:val="18"/>
                <w:color w:val="auto"/>
                <w:w w:val="85"/>
              </w:rPr>
              <w:t>$ 12,000</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0"/>
                <w:szCs w:val="20"/>
                <w:color w:val="auto"/>
              </w:rPr>
            </w:pPr>
            <w:r>
              <w:rPr>
                <w:rFonts w:ascii="Arial" w:cs="Arial" w:eastAsia="Arial" w:hAnsi="Arial"/>
                <w:sz w:val="18"/>
                <w:szCs w:val="18"/>
                <w:color w:val="auto"/>
              </w:rPr>
              <w:t>Tradename</w:t>
            </w: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154,300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$ 323,100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000000"/>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$ 12,000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5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-248285</wp:posOffset>
            </wp:positionV>
            <wp:extent cx="475107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-591185</wp:posOffset>
            </wp:positionV>
            <wp:extent cx="1714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-591185</wp:posOffset>
            </wp:positionV>
            <wp:extent cx="417639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182"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Intangible assets that are subject to amortization, including the related accumulated amortization, are comprised as follows (in thousands):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7"/>
          </w:tcPr>
          <w:p>
            <w:pPr>
              <w:jc w:val="center"/>
              <w:ind w:left="480"/>
              <w:spacing w:after="0"/>
              <w:rPr>
                <w:sz w:val="20"/>
                <w:szCs w:val="20"/>
                <w:color w:val="auto"/>
              </w:rPr>
            </w:pPr>
            <w:r>
              <w:rPr>
                <w:rFonts w:ascii="Arial" w:cs="Arial" w:eastAsia="Arial" w:hAnsi="Arial"/>
                <w:sz w:val="14"/>
                <w:szCs w:val="14"/>
                <w:b w:val="1"/>
                <w:bCs w:val="1"/>
                <w:color w:val="auto"/>
                <w:w w:val="91"/>
              </w:rPr>
              <w:t>December 31, 2018</w:t>
            </w:r>
          </w:p>
        </w:tc>
        <w:tc>
          <w:tcPr>
            <w:tcW w:w="660" w:type="dxa"/>
            <w:vAlign w:val="bottom"/>
            <w:tcBorders>
              <w:bottom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8"/>
          </w:tcPr>
          <w:p>
            <w:pPr>
              <w:jc w:val="center"/>
              <w:ind w:left="340"/>
              <w:spacing w:after="0"/>
              <w:rPr>
                <w:sz w:val="20"/>
                <w:szCs w:val="20"/>
                <w:color w:val="auto"/>
              </w:rPr>
            </w:pPr>
            <w:r>
              <w:rPr>
                <w:rFonts w:ascii="Arial" w:cs="Arial" w:eastAsia="Arial" w:hAnsi="Arial"/>
                <w:sz w:val="14"/>
                <w:szCs w:val="14"/>
                <w:b w:val="1"/>
                <w:bCs w:val="1"/>
                <w:color w:val="auto"/>
                <w:w w:val="91"/>
              </w:rPr>
              <w:t>December 31, 2017</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Carrying</w:t>
            </w: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Borders>
              <w:bottom w:val="single" w:sz="8" w:color="CCEEFF"/>
              <w:right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6"/>
              </w:rPr>
              <w:t>Customer relationships – Refinitiv</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12 Years</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928,200</w:t>
            </w:r>
          </w:p>
        </w:tc>
        <w:tc>
          <w:tcPr>
            <w:tcW w:w="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 (19,338)</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908,862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Content and data</w:t>
            </w:r>
          </w:p>
        </w:tc>
        <w:tc>
          <w:tcPr>
            <w:tcW w:w="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7 Years</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154,400</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(5,514)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148,886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Customer relationships – Fixed</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13 Years</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155,284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w w:val="96"/>
              </w:rPr>
              <w:t>(155,270)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Business</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Customer relationships – DW</w:t>
            </w:r>
          </w:p>
        </w:tc>
        <w:tc>
          <w:tcPr>
            <w:tcW w:w="8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11 Years</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65,000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(42,348)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22,652</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Customer relationships –</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12 Years</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17,600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(9,166)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8,434</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RaffCap</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20" w:type="dxa"/>
            <w:vAlign w:val="bottom"/>
          </w:tcPr>
          <w:p>
            <w:pPr>
              <w:spacing w:after="0" w:line="179" w:lineRule="exact"/>
              <w:rPr>
                <w:sz w:val="20"/>
                <w:szCs w:val="20"/>
                <w:color w:val="auto"/>
              </w:rPr>
            </w:pPr>
            <w:r>
              <w:rPr>
                <w:rFonts w:ascii="Arial" w:cs="Arial" w:eastAsia="Arial" w:hAnsi="Arial"/>
                <w:sz w:val="16"/>
                <w:szCs w:val="16"/>
                <w:color w:val="auto"/>
              </w:rPr>
              <w:t>Customer relationships –</w:t>
            </w:r>
          </w:p>
        </w:tc>
        <w:tc>
          <w:tcPr>
            <w:tcW w:w="80" w:type="dxa"/>
            <w:vAlign w:val="bottom"/>
          </w:tcPr>
          <w:p>
            <w:pPr>
              <w:spacing w:after="0"/>
              <w:rPr>
                <w:sz w:val="15"/>
                <w:szCs w:val="15"/>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0"/>
              </w:rPr>
              <w:t>15 Years</w:t>
            </w:r>
          </w:p>
        </w:tc>
        <w:tc>
          <w:tcPr>
            <w:tcW w:w="80" w:type="dxa"/>
            <w:vAlign w:val="bottom"/>
          </w:tcPr>
          <w:p>
            <w:pPr>
              <w:spacing w:after="0"/>
              <w:rPr>
                <w:sz w:val="15"/>
                <w:szCs w:val="15"/>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89"/>
              </w:rPr>
              <w:t>104,000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(28,806)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75,194</w:t>
            </w:r>
          </w:p>
        </w:tc>
        <w:tc>
          <w:tcPr>
            <w:tcW w:w="0" w:type="dxa"/>
            <w:vAlign w:val="bottom"/>
          </w:tcPr>
          <w:p>
            <w:pPr>
              <w:spacing w:after="0"/>
              <w:rPr>
                <w:sz w:val="1"/>
                <w:szCs w:val="1"/>
                <w:color w:val="auto"/>
              </w:rPr>
            </w:pPr>
          </w:p>
        </w:tc>
      </w:tr>
      <w:tr>
        <w:trPr>
          <w:trHeight w:val="185"/>
        </w:trPr>
        <w:tc>
          <w:tcPr>
            <w:tcW w:w="2320" w:type="dxa"/>
            <w:vAlign w:val="bottom"/>
          </w:tcPr>
          <w:p>
            <w:pPr>
              <w:ind w:left="180"/>
              <w:spacing w:after="0"/>
              <w:rPr>
                <w:sz w:val="20"/>
                <w:szCs w:val="20"/>
                <w:color w:val="auto"/>
              </w:rPr>
            </w:pPr>
            <w:r>
              <w:rPr>
                <w:rFonts w:ascii="Arial" w:cs="Arial" w:eastAsia="Arial" w:hAnsi="Arial"/>
                <w:sz w:val="16"/>
                <w:szCs w:val="16"/>
                <w:color w:val="auto"/>
              </w:rPr>
              <w:t>BondDesk</w:t>
            </w: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 Other</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10 Years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Tradenames</w:t>
            </w:r>
          </w:p>
        </w:tc>
        <w:tc>
          <w:tcPr>
            <w:tcW w:w="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10 Years</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7"/>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Liquidity contracts</w:t>
            </w: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16 Years</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185,000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(82,865)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102,135</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1,082,600</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 (24,852)</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1,057,748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529,184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(318,965)</w:t>
            </w:r>
          </w:p>
        </w:tc>
        <w:tc>
          <w:tcPr>
            <w:tcW w:w="8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210,219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-179705</wp:posOffset>
            </wp:positionV>
            <wp:extent cx="6858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-1774825</wp:posOffset>
            </wp:positionV>
            <wp:extent cx="5143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-1774825</wp:posOffset>
            </wp:positionV>
            <wp:extent cx="5143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-1774825</wp:posOffset>
            </wp:positionV>
            <wp:extent cx="6032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-1774825</wp:posOffset>
            </wp:positionV>
            <wp:extent cx="5143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-1774825</wp:posOffset>
            </wp:positionV>
            <wp:extent cx="5143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-1774825</wp:posOffset>
            </wp:positionV>
            <wp:extent cx="211836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01" w:lineRule="exact"/>
        <w:rPr>
          <w:sz w:val="20"/>
          <w:szCs w:val="20"/>
          <w:color w:val="auto"/>
        </w:rPr>
      </w:pPr>
    </w:p>
    <w:p>
      <w:pPr>
        <w:ind w:left="1260" w:right="859" w:firstLine="360"/>
        <w:spacing w:after="0" w:line="264"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amortization expense relating to these assets was $24,852,000, $19,576,000, $31,236,000 and $41,125,000, respectively.</w:t>
      </w: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0" w:name="page241"/>
    <w:bookmarkEnd w:id="240"/>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The estimated annual future amortization for existing intangibles assets through December 31, 2023 is as follows (in thousands):</w:t>
      </w:r>
    </w:p>
    <w:p>
      <w:pPr>
        <w:spacing w:after="0" w:line="68"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6"/>
        </w:trPr>
        <w:tc>
          <w:tcPr>
            <w:tcW w:w="5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top w:val="single" w:sz="8" w:color="auto"/>
            </w:tcBorders>
            <w:shd w:val="clear" w:color="auto" w:fill="CCEEFF"/>
          </w:tcPr>
          <w:p>
            <w:pPr>
              <w:jc w:val="right"/>
              <w:ind w:right="5510"/>
              <w:spacing w:after="0"/>
              <w:rPr>
                <w:sz w:val="20"/>
                <w:szCs w:val="20"/>
                <w:color w:val="auto"/>
              </w:rPr>
            </w:pPr>
            <w:r>
              <w:rPr>
                <w:rFonts w:ascii="Arial" w:cs="Arial" w:eastAsia="Arial" w:hAnsi="Arial"/>
                <w:sz w:val="18"/>
                <w:szCs w:val="18"/>
                <w:color w:val="auto"/>
                <w:w w:val="79"/>
              </w:rPr>
              <w:t>2019</w:t>
            </w:r>
          </w:p>
        </w:tc>
        <w:tc>
          <w:tcPr>
            <w:tcW w:w="2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$99,408</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99,408</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r>
        <w:trPr>
          <w:trHeight w:val="270"/>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2022</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99,408</w:t>
            </w:r>
          </w:p>
        </w:tc>
      </w:tr>
      <w:tr>
        <w:trPr>
          <w:trHeight w:val="270"/>
        </w:trPr>
        <w:tc>
          <w:tcPr>
            <w:tcW w:w="20" w:type="dxa"/>
            <w:vAlign w:val="bottom"/>
          </w:tcPr>
          <w:p>
            <w:pPr>
              <w:spacing w:after="0"/>
              <w:rPr>
                <w:sz w:val="23"/>
                <w:szCs w:val="23"/>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2023</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-840105</wp:posOffset>
            </wp:positionV>
            <wp:extent cx="13716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Deferred Revenue</w:t>
      </w:r>
    </w:p>
    <w:p>
      <w:pPr>
        <w:spacing w:after="0" w:line="108"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The Company records deferred revenue when cash payments are received or due in advance of services to be performed. The recognized revenue and remaining balance is shown below (in thousands):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line="20" w:lineRule="exact"/>
              <w:rPr>
                <w:sz w:val="1"/>
                <w:szCs w:val="1"/>
                <w:color w:val="auto"/>
              </w:rPr>
            </w:pPr>
          </w:p>
        </w:tc>
      </w:tr>
      <w:tr>
        <w:trPr>
          <w:trHeight w:val="150"/>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January 1,</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2018 to</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left w:val="single" w:sz="8" w:color="auto"/>
            </w:tcBorders>
          </w:tcPr>
          <w:p>
            <w:pPr>
              <w:spacing w:after="0"/>
              <w:rPr>
                <w:sz w:val="16"/>
                <w:szCs w:val="16"/>
                <w:color w:val="auto"/>
              </w:rPr>
            </w:pPr>
          </w:p>
        </w:tc>
        <w:tc>
          <w:tcPr>
            <w:tcW w:w="14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September 30, 2018</w:t>
            </w:r>
          </w:p>
        </w:tc>
        <w:tc>
          <w:tcPr>
            <w:tcW w:w="120" w:type="dxa"/>
            <w:vAlign w:val="bottom"/>
          </w:tcPr>
          <w:p>
            <w:pPr>
              <w:spacing w:after="0"/>
              <w:rPr>
                <w:sz w:val="16"/>
                <w:szCs w:val="16"/>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left w:val="single" w:sz="8" w:color="auto"/>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balance – beginning of period</w:t>
            </w: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$ 28,280</w:t>
            </w:r>
          </w:p>
        </w:tc>
        <w:tc>
          <w:tcPr>
            <w:tcW w:w="100" w:type="dxa"/>
            <w:vAlign w:val="bottom"/>
            <w:shd w:val="clear" w:color="auto" w:fill="CCEEFF"/>
          </w:tcPr>
          <w:p>
            <w:pPr>
              <w:spacing w:after="0"/>
              <w:rPr>
                <w:sz w:val="21"/>
                <w:szCs w:val="21"/>
                <w:color w:val="auto"/>
              </w:rPr>
            </w:pPr>
          </w:p>
        </w:tc>
        <w:tc>
          <w:tcPr>
            <w:tcW w:w="420" w:type="dxa"/>
            <w:vAlign w:val="bottom"/>
            <w:tcBorders>
              <w:left w:val="single" w:sz="8" w:color="auto"/>
            </w:tcBorders>
            <w:gridSpan w:val="3"/>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29,673</w:t>
            </w: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42,184</w:t>
            </w: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New billings</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26,609</w:t>
            </w:r>
          </w:p>
        </w:tc>
        <w:tc>
          <w:tcPr>
            <w:tcW w:w="100" w:type="dxa"/>
            <w:vAlign w:val="bottom"/>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100,091</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127,312</w:t>
            </w:r>
          </w:p>
        </w:tc>
        <w:tc>
          <w:tcPr>
            <w:tcW w:w="0" w:type="dxa"/>
            <w:vAlign w:val="bottom"/>
          </w:tcPr>
          <w:p>
            <w:pPr>
              <w:spacing w:after="0"/>
              <w:rPr>
                <w:sz w:val="1"/>
                <w:szCs w:val="1"/>
                <w:color w:val="auto"/>
              </w:rPr>
            </w:pPr>
          </w:p>
        </w:tc>
      </w:tr>
      <w:tr>
        <w:trPr>
          <w:trHeight w:val="26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480" w:type="dxa"/>
            <w:vAlign w:val="bottom"/>
            <w:gridSpan w:val="2"/>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(27,006)</w:t>
            </w:r>
          </w:p>
        </w:tc>
        <w:tc>
          <w:tcPr>
            <w:tcW w:w="100" w:type="dxa"/>
            <w:vAlign w:val="bottom"/>
            <w:shd w:val="clear" w:color="auto" w:fill="CCEEFF"/>
          </w:tcPr>
          <w:p>
            <w:pPr>
              <w:spacing w:after="0"/>
              <w:rPr>
                <w:sz w:val="22"/>
                <w:szCs w:val="22"/>
                <w:color w:val="auto"/>
              </w:rPr>
            </w:pPr>
          </w:p>
        </w:tc>
        <w:tc>
          <w:tcPr>
            <w:tcW w:w="100" w:type="dxa"/>
            <w:vAlign w:val="bottom"/>
            <w:tcBorders>
              <w:left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(101,484)</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(139,823)</w:t>
            </w: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Deferred revenue balance – end of period</w:t>
            </w:r>
          </w:p>
        </w:tc>
        <w:tc>
          <w:tcPr>
            <w:tcW w:w="480" w:type="dxa"/>
            <w:vAlign w:val="bottom"/>
            <w:gridSpan w:val="2"/>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$ 27,883</w:t>
            </w:r>
          </w:p>
        </w:tc>
        <w:tc>
          <w:tcPr>
            <w:tcW w:w="100" w:type="dxa"/>
            <w:vAlign w:val="bottom"/>
          </w:tcPr>
          <w:p>
            <w:pPr>
              <w:spacing w:after="0"/>
              <w:rPr>
                <w:sz w:val="22"/>
                <w:szCs w:val="22"/>
                <w:color w:val="auto"/>
              </w:rPr>
            </w:pPr>
          </w:p>
        </w:tc>
        <w:tc>
          <w:tcPr>
            <w:tcW w:w="420" w:type="dxa"/>
            <w:vAlign w:val="bottom"/>
            <w:tcBorders>
              <w:left w:val="single" w:sz="8" w:color="auto"/>
            </w:tcBorders>
            <w:gridSpan w:val="3"/>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28,280</w:t>
            </w:r>
          </w:p>
        </w:tc>
        <w:tc>
          <w:tcPr>
            <w:tcW w:w="26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-753745</wp:posOffset>
            </wp:positionV>
            <wp:extent cx="1714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-753745</wp:posOffset>
            </wp:positionV>
            <wp:extent cx="13716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-753745</wp:posOffset>
            </wp:positionV>
            <wp:extent cx="373062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86" w:lineRule="exact"/>
        <w:rPr>
          <w:sz w:val="20"/>
          <w:szCs w:val="20"/>
          <w:color w:val="auto"/>
        </w:rPr>
      </w:pPr>
    </w:p>
    <w:p>
      <w:pPr>
        <w:ind w:left="1620" w:hanging="352"/>
        <w:spacing w:after="0"/>
        <w:tabs>
          <w:tab w:leader="none" w:pos="162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consists of the following (in thousands):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42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38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20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420" w:type="dxa"/>
            <w:vAlign w:val="bottom"/>
            <w:gridSpan w:val="5"/>
            <w:vMerge w:val="continue"/>
          </w:tcPr>
          <w:p>
            <w:pPr>
              <w:spacing w:after="0"/>
              <w:rPr>
                <w:sz w:val="13"/>
                <w:szCs w:val="13"/>
                <w:color w:val="auto"/>
              </w:rPr>
            </w:pPr>
          </w:p>
        </w:tc>
        <w:tc>
          <w:tcPr>
            <w:tcW w:w="1380" w:type="dxa"/>
            <w:vAlign w:val="bottom"/>
            <w:gridSpan w:val="5"/>
            <w:vMerge w:val="continue"/>
          </w:tcPr>
          <w:p>
            <w:pPr>
              <w:spacing w:after="0"/>
              <w:rPr>
                <w:sz w:val="13"/>
                <w:szCs w:val="13"/>
                <w:color w:val="auto"/>
              </w:rPr>
            </w:pPr>
          </w:p>
        </w:tc>
        <w:tc>
          <w:tcPr>
            <w:tcW w:w="12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120" w:type="dxa"/>
            <w:vAlign w:val="bottom"/>
            <w:tcBorders>
              <w:left w:val="single" w:sz="8" w:color="auto"/>
            </w:tcBorders>
          </w:tcPr>
          <w:p>
            <w:pPr>
              <w:spacing w:after="0"/>
              <w:rPr>
                <w:sz w:val="15"/>
                <w:szCs w:val="15"/>
                <w:color w:val="auto"/>
              </w:rPr>
            </w:pPr>
          </w:p>
        </w:tc>
        <w:tc>
          <w:tcPr>
            <w:tcW w:w="14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January 1, 2018 to</w:t>
            </w:r>
          </w:p>
        </w:tc>
        <w:tc>
          <w:tcPr>
            <w:tcW w:w="1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6"/>
                <w:szCs w:val="16"/>
                <w:color w:val="auto"/>
              </w:rPr>
            </w:pP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September 30, 2018</w:t>
            </w:r>
          </w:p>
        </w:tc>
        <w:tc>
          <w:tcPr>
            <w:tcW w:w="13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
        </w:trPr>
        <w:tc>
          <w:tcPr>
            <w:tcW w:w="2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left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Federal</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1,235</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5,739</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4,331</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tcPr>
          <w:p>
            <w:pPr>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1,212</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3,559</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2,748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2,447</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9,298</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7,079</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Deferred – Federal</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1,085</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(5,783)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Deferred – state and local</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1,517</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40" w:type="dxa"/>
            <w:vAlign w:val="bottom"/>
          </w:tcPr>
          <w:p>
            <w:pPr>
              <w:ind w:left="180"/>
              <w:spacing w:after="0"/>
              <w:rPr>
                <w:sz w:val="20"/>
                <w:szCs w:val="20"/>
                <w:color w:val="auto"/>
              </w:rPr>
            </w:pPr>
            <w:r>
              <w:rPr>
                <w:rFonts w:ascii="Arial" w:cs="Arial" w:eastAsia="Arial" w:hAnsi="Arial"/>
                <w:sz w:val="18"/>
                <w:szCs w:val="18"/>
                <w:color w:val="auto"/>
              </w:rPr>
              <w:t>Total deferred</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2,602</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(6,323)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3,415</w:t>
            </w:r>
          </w:p>
        </w:tc>
        <w:tc>
          <w:tcPr>
            <w:tcW w:w="80" w:type="dxa"/>
            <w:vAlign w:val="bottom"/>
            <w:shd w:val="clear" w:color="auto" w:fill="CCEEFF"/>
          </w:tcPr>
          <w:p>
            <w:pPr>
              <w:spacing w:after="0"/>
              <w:rPr>
                <w:sz w:val="22"/>
                <w:szCs w:val="22"/>
                <w:color w:val="auto"/>
              </w:rPr>
            </w:pPr>
          </w:p>
        </w:tc>
        <w:tc>
          <w:tcPr>
            <w:tcW w:w="52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11,900</w:t>
            </w:r>
          </w:p>
        </w:tc>
        <w:tc>
          <w:tcPr>
            <w:tcW w:w="2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6,129</w:t>
            </w:r>
          </w:p>
        </w:tc>
        <w:tc>
          <w:tcPr>
            <w:tcW w:w="2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-248285</wp:posOffset>
            </wp:positionV>
            <wp:extent cx="20574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6482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6482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-934085</wp:posOffset>
            </wp:positionV>
            <wp:extent cx="20574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-934085</wp:posOffset>
            </wp:positionV>
            <wp:extent cx="46482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64820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-1602740</wp:posOffset>
            </wp:positionV>
            <wp:extent cx="521398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1" w:name="page242"/>
    <w:bookmarkEnd w:id="241"/>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reconciliation of the statutory tax rate to the effective rate is as follows: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4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3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2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120" w:type="dxa"/>
            <w:vAlign w:val="bottom"/>
            <w:tcBorders>
              <w:left w:val="single" w:sz="8" w:color="auto"/>
            </w:tcBorders>
          </w:tcPr>
          <w:p>
            <w:pPr>
              <w:spacing w:after="0"/>
              <w:rPr>
                <w:sz w:val="15"/>
                <w:szCs w:val="15"/>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January 1, 2018 to</w:t>
            </w: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6"/>
                <w:szCs w:val="16"/>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September 30, 2018</w:t>
            </w:r>
          </w:p>
        </w:tc>
        <w:tc>
          <w:tcPr>
            <w:tcW w:w="13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
        </w:trPr>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at statutory rate</w:t>
            </w: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1"/>
                <w:szCs w:val="21"/>
                <w:color w:val="auto"/>
              </w:rPr>
            </w:pPr>
          </w:p>
        </w:tc>
        <w:tc>
          <w:tcPr>
            <w:tcW w:w="1340" w:type="dxa"/>
            <w:vAlign w:val="bottom"/>
            <w:tcBorders>
              <w:left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w w:val="90"/>
              </w:rPr>
              <w:t>State and local taxes – net of federal</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8"/>
                <w:szCs w:val="18"/>
                <w:color w:val="auto"/>
              </w:rPr>
              <w:t>benefit</w:t>
            </w: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0"/>
                <w:szCs w:val="20"/>
                <w:color w:val="auto"/>
              </w:rPr>
            </w:pPr>
          </w:p>
        </w:tc>
        <w:tc>
          <w:tcPr>
            <w:tcW w:w="1340" w:type="dxa"/>
            <w:vAlign w:val="bottom"/>
            <w:tcBorders>
              <w:left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2"/>
                <w:szCs w:val="22"/>
                <w:color w:val="auto"/>
              </w:rPr>
            </w:pPr>
          </w:p>
        </w:tc>
        <w:tc>
          <w:tcPr>
            <w:tcW w:w="1340" w:type="dxa"/>
            <w:vAlign w:val="bottom"/>
            <w:tcBorders>
              <w:left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w w:val="97"/>
              </w:rPr>
              <w:t>Tax Cuts and Jobs Act provisional</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8"/>
                <w:szCs w:val="18"/>
                <w:color w:val="auto"/>
              </w:rPr>
              <w:t>tax charge</w:t>
            </w: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0"/>
                <w:szCs w:val="20"/>
                <w:color w:val="auto"/>
              </w:rPr>
            </w:pPr>
          </w:p>
        </w:tc>
        <w:tc>
          <w:tcPr>
            <w:tcW w:w="1340" w:type="dxa"/>
            <w:vAlign w:val="bottom"/>
            <w:tcBorders>
              <w:left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LLC flow-through structure</w:t>
            </w:r>
          </w:p>
        </w:tc>
        <w:tc>
          <w:tcPr>
            <w:tcW w:w="580" w:type="dxa"/>
            <w:vAlign w:val="bottom"/>
            <w:gridSpan w:val="2"/>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(19.0)%</w:t>
            </w:r>
          </w:p>
        </w:tc>
        <w:tc>
          <w:tcPr>
            <w:tcW w:w="80" w:type="dxa"/>
            <w:vAlign w:val="bottom"/>
            <w:shd w:val="clear" w:color="auto" w:fill="CCEEFF"/>
          </w:tcPr>
          <w:p>
            <w:pPr>
              <w:spacing w:after="0"/>
              <w:rPr>
                <w:sz w:val="23"/>
                <w:szCs w:val="23"/>
                <w:color w:val="auto"/>
              </w:rPr>
            </w:pPr>
          </w:p>
        </w:tc>
        <w:tc>
          <w:tcPr>
            <w:tcW w:w="1340" w:type="dxa"/>
            <w:vAlign w:val="bottom"/>
            <w:tcBorders>
              <w:left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6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580" w:type="dxa"/>
            <w:vAlign w:val="bottom"/>
            <w:gridSpan w:val="2"/>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2"/>
                <w:szCs w:val="22"/>
                <w:color w:val="auto"/>
              </w:rPr>
            </w:pPr>
          </w:p>
        </w:tc>
        <w:tc>
          <w:tcPr>
            <w:tcW w:w="1340" w:type="dxa"/>
            <w:vAlign w:val="bottom"/>
            <w:tcBorders>
              <w:left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2"/>
                <w:szCs w:val="22"/>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2"/>
                <w:szCs w:val="22"/>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-1354455</wp:posOffset>
            </wp:positionV>
            <wp:extent cx="1714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-1354455</wp:posOffset>
            </wp:positionV>
            <wp:extent cx="13716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-1354455</wp:posOffset>
            </wp:positionV>
            <wp:extent cx="13716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-1354455</wp:posOffset>
            </wp:positionV>
            <wp:extent cx="12890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-1354455</wp:posOffset>
            </wp:positionV>
            <wp:extent cx="180975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components of the Company’s deferred tax assets (liabilities) are as follows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6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6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6"/>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Net operating losses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$ 8,966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(28,799)</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(2,146)</w:t>
            </w:r>
          </w:p>
        </w:tc>
        <w:tc>
          <w:tcPr>
            <w:tcW w:w="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(liabilities)</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(19,627)</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$ 6,820</w:t>
            </w:r>
          </w:p>
        </w:tc>
        <w:tc>
          <w:tcPr>
            <w:tcW w:w="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-248285</wp:posOffset>
            </wp:positionV>
            <wp:extent cx="49911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991100" cy="889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-916940</wp:posOffset>
            </wp:positionV>
            <wp:extent cx="6858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-916940</wp:posOffset>
            </wp:positionV>
            <wp:extent cx="417639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209"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As of December 31, 2018, the Company has federal, New York state and New York City net operating loss carryforwards for income tax purposes of $17,196,000, $24,449,000 and $22,654,000, respectively. If not utilized, the federal net operating loss carryforwards will begin to expire in 2032 and the state and local net operating loss carryforwards will begin to expire in 2035.</w:t>
      </w:r>
    </w:p>
    <w:p>
      <w:pPr>
        <w:spacing w:after="0" w:line="79" w:lineRule="exact"/>
        <w:rPr>
          <w:sz w:val="20"/>
          <w:szCs w:val="20"/>
          <w:color w:val="auto"/>
        </w:rPr>
      </w:pPr>
    </w:p>
    <w:p>
      <w:pPr>
        <w:jc w:val="both"/>
        <w:ind w:left="1260" w:right="1139" w:firstLine="360"/>
        <w:spacing w:after="0" w:line="279" w:lineRule="auto"/>
        <w:rPr>
          <w:sz w:val="20"/>
          <w:szCs w:val="20"/>
          <w:color w:val="auto"/>
        </w:rPr>
      </w:pPr>
      <w:r>
        <w:rPr>
          <w:rFonts w:ascii="Arial" w:cs="Arial" w:eastAsia="Arial" w:hAnsi="Arial"/>
          <w:sz w:val="17"/>
          <w:szCs w:val="17"/>
          <w:color w:val="auto"/>
        </w:rPr>
        <w:t>The Company was audited by the City of New York (“NYC”) for the tax periods from 2011 – 2013 and TWG was audited for the tax periods 2009 – 2011. In 2018, NYC issued an assessment for the periods under audit. Furthermore, NYC has also requested an extension of the statute of limitations, for TWG for the years 2012 – 2014 and for the Company for 2014, as it will audit those periods as well.</w:t>
      </w:r>
    </w:p>
    <w:p>
      <w:pPr>
        <w:spacing w:after="0" w:line="63"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For October 1, 2018 to December 31, 2018 and January 1, 2018 to September 30, 2018, the Company recorded the additional tax, penalties and interest of $26,000 and $1,288,000, respectively, resulting from NYC UBT audit assessments. For the tax periods from 2012 – 2016, the Company has calculated and recorded a provision of $70,000 and $2,003,000 for October 1, 2018 to December 31, 2018 and January 1, 2018 to September 30, 2018, respectively, for the additional exposure based on the methodology from the UBT audit assessment. This provision is included in accounts payable, accrued expenses and other liabilities on the consolidated statement of financial condition and in provision for income taxes in the consolidated statement of income. This provision was made using the best estimate of the amount expected to be paid based on available information and assessment of all relevant factors. Due to the uncertainty associated with tax audits, it is possible that at some future date liabilities resulting from this audit could vary significantly from this provision. Nevertheless, based on currently enacted legislation and information currently known to us, the Company believes that the ultimate resolution of this audit will not have a material adverse impact on the Company’s financial condition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2" w:name="page243"/>
    <w:bookmarkEnd w:id="242"/>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620" w:hanging="352"/>
        <w:spacing w:after="0"/>
        <w:tabs>
          <w:tab w:leader="none" w:pos="162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94"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Company’s issued and vested shares are as follows:</w:t>
      </w:r>
    </w:p>
    <w:p>
      <w:pPr>
        <w:spacing w:after="0" w:line="172"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Predecessor</w:t>
            </w:r>
          </w:p>
        </w:tc>
      </w:tr>
      <w:tr>
        <w:trPr>
          <w:trHeight w:val="198"/>
        </w:trPr>
        <w:tc>
          <w:tcPr>
            <w:tcW w:w="496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2018</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 2017</w:t>
            </w:r>
          </w:p>
        </w:tc>
      </w:tr>
      <w:tr>
        <w:trPr>
          <w:trHeight w:val="26"/>
        </w:trPr>
        <w:tc>
          <w:tcPr>
            <w:tcW w:w="49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Vested Shares Issued</w:t>
            </w:r>
          </w:p>
        </w:tc>
        <w:tc>
          <w:tcPr>
            <w:tcW w:w="11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Class A Shares</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146,333</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146,333</w:t>
            </w:r>
          </w:p>
        </w:tc>
      </w:tr>
      <w:tr>
        <w:trPr>
          <w:trHeight w:val="25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447</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447</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Class P(A) Shares</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6,887</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6,887</w:t>
            </w:r>
          </w:p>
        </w:tc>
      </w:tr>
      <w:tr>
        <w:trPr>
          <w:trHeight w:val="27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Class P-1(A) Shares</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6,094</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w:t>
            </w:r>
          </w:p>
        </w:tc>
      </w:tr>
      <w:tr>
        <w:trPr>
          <w:trHeight w:val="284"/>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Class P-1(C) Shares</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232</w:t>
            </w: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-1191260</wp:posOffset>
            </wp:positionV>
            <wp:extent cx="475107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5"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Each outstanding Class A Share, Class P(A) Share, Class P-1(A) Share, Class C Share, Class P(C) Share and Class P-1(C) Share equally participates in the earnings of the Company. All of these shares cannot be transferred without approval by the Board of Managers of the Company, with the exception of transfers to certain related parties. Most of the Class A, Class P(A) and Class P-1(A) Shareholders have the right to appoint the members of the Board of Managers. The Class C , Class P(C) and Class P-1(C) Shareholders do not have the right to appoint members of the Board of Managers.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Share-Based Compensation Plans</w:t>
      </w:r>
    </w:p>
    <w:p>
      <w:pPr>
        <w:spacing w:after="0" w:line="108"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The Company has a share-based incentive plan which provides for the grant of performance-based restricted share units (“PRSUs”), to encourage employees of the Company to participate in the long-term success of the Company.</w:t>
      </w:r>
    </w:p>
    <w:p>
      <w:pPr>
        <w:spacing w:after="0" w:line="73" w:lineRule="exact"/>
        <w:rPr>
          <w:sz w:val="20"/>
          <w:szCs w:val="20"/>
          <w:color w:val="auto"/>
        </w:rPr>
      </w:pPr>
    </w:p>
    <w:p>
      <w:pPr>
        <w:jc w:val="both"/>
        <w:ind w:left="1260" w:right="859" w:firstLine="360"/>
        <w:spacing w:after="0" w:line="302" w:lineRule="auto"/>
        <w:rPr>
          <w:sz w:val="20"/>
          <w:szCs w:val="20"/>
          <w:color w:val="auto"/>
        </w:rPr>
      </w:pPr>
      <w:r>
        <w:rPr>
          <w:rFonts w:ascii="Arial" w:cs="Arial" w:eastAsia="Arial" w:hAnsi="Arial"/>
          <w:sz w:val="16"/>
          <w:szCs w:val="16"/>
          <w:color w:val="auto"/>
        </w:rPr>
        <w:t>The Company’s outstanding PRSUs as of December 31, 2018 vest on January 1, 2019, 2020 and 2021. The final value of the PRSUs upon vesting is determined by a performance modifier, which is adjusted as a result of the financial performance of the Company in the grant year. If an employee’s employment with the Company is terminated, with the exception of retirement, all unvested PRSUs are forfeited.</w:t>
      </w:r>
    </w:p>
    <w:p>
      <w:pPr>
        <w:spacing w:after="0" w:line="46"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On December 31, 2018, certain PRSUs, which previously were cash-settled, were converted to equity settled PRSUs. The conversion was at fair value, using a unit price consistent with the share price of the Company, and as a result of the impact of the performance modifier on PRSUs value, 1,033.2 cash-settled PRSUs were converted into the equivalent value of 1,442.2 equity settled PRSUs. Equity-settled PRSUs have vesting terms similar to the cash-settled PRSUs and are converted into shares of the Company on the February 1 following vesting. The shares received upon conversion are subject to certain selling restrictions including an underwriter’s lockup period if an IPO of the Company is effective or a restriction that the shares can only be sold to the Company in January or June, if there is not an effective IPO of the Company. As a result of the modification, which impacted 54 employees, the Company reclassified $19,072,000 from employee equity compensation payable to members’ capital.</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equity-settled PRSUs issued by the Company:</w:t>
      </w: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ind w:left="1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Average Fair</w:t>
            </w:r>
          </w:p>
        </w:tc>
      </w:tr>
      <w:tr>
        <w:trPr>
          <w:trHeight w:val="186"/>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PRSUs</w:t>
            </w: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Value of PRSUs</w:t>
            </w:r>
          </w:p>
        </w:tc>
      </w:tr>
      <w:tr>
        <w:trPr>
          <w:trHeight w:val="26"/>
        </w:trPr>
        <w:tc>
          <w:tcPr>
            <w:tcW w:w="53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5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63"/>
        </w:trPr>
        <w:tc>
          <w:tcPr>
            <w:tcW w:w="5620" w:type="dxa"/>
            <w:vAlign w:val="bottom"/>
            <w:gridSpan w:val="2"/>
          </w:tcPr>
          <w:p>
            <w:pPr>
              <w:spacing w:after="0"/>
              <w:rPr>
                <w:sz w:val="20"/>
                <w:szCs w:val="20"/>
                <w:color w:val="auto"/>
              </w:rPr>
            </w:pPr>
            <w:r>
              <w:rPr>
                <w:rFonts w:ascii="Arial" w:cs="Arial" w:eastAsia="Arial" w:hAnsi="Arial"/>
                <w:sz w:val="18"/>
                <w:szCs w:val="18"/>
                <w:color w:val="auto"/>
              </w:rPr>
              <w:t>Converted to equity settled PRSUs</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1,442.2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30,482</w:t>
            </w:r>
          </w:p>
        </w:tc>
      </w:tr>
      <w:tr>
        <w:trPr>
          <w:trHeight w:val="20"/>
        </w:trPr>
        <w:tc>
          <w:tcPr>
            <w:tcW w:w="53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5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1,442.</w:t>
            </w:r>
            <w:r>
              <w:rPr>
                <w:rFonts w:ascii="Arial" w:cs="Arial" w:eastAsia="Arial" w:hAnsi="Arial"/>
                <w:sz w:val="18"/>
                <w:szCs w:val="18"/>
                <w:u w:val="single" w:color="auto"/>
                <w:color w:val="auto"/>
                <w:w w:val="93"/>
              </w:rPr>
              <w:t>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30,482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-539750</wp:posOffset>
            </wp:positionV>
            <wp:extent cx="13716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-539750</wp:posOffset>
            </wp:positionV>
            <wp:extent cx="13716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The remaining PRSUs that are cash-settled are accounted for as liability awards. The Company measures the cost of employee services received in exchange for the award based on its current fair value. The fair value of each award is based on the fair value of the Company and the value of accumulated</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3" w:name="page244"/>
    <w:bookmarkEnd w:id="243"/>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both"/>
        <w:ind w:left="1260" w:right="1179"/>
        <w:spacing w:after="0" w:line="264" w:lineRule="auto"/>
        <w:rPr>
          <w:sz w:val="20"/>
          <w:szCs w:val="20"/>
          <w:color w:val="auto"/>
        </w:rPr>
      </w:pPr>
      <w:r>
        <w:rPr>
          <w:rFonts w:ascii="Arial" w:cs="Arial" w:eastAsia="Arial" w:hAnsi="Arial"/>
          <w:sz w:val="18"/>
          <w:szCs w:val="18"/>
          <w:color w:val="auto"/>
        </w:rPr>
        <w:t>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cash-settled PRSUs issued by the Company:</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Number of</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PRSUs</w:t>
            </w: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Value of PRSUs</w:t>
            </w:r>
          </w:p>
        </w:tc>
        <w:tc>
          <w:tcPr>
            <w:tcW w:w="0" w:type="dxa"/>
            <w:vAlign w:val="bottom"/>
          </w:tcPr>
          <w:p>
            <w:pPr>
              <w:spacing w:after="0"/>
              <w:rPr>
                <w:sz w:val="1"/>
                <w:szCs w:val="1"/>
                <w:color w:val="auto"/>
              </w:rPr>
            </w:pPr>
          </w:p>
        </w:tc>
      </w:tr>
      <w:tr>
        <w:trPr>
          <w:trHeight w:val="26"/>
        </w:trPr>
        <w:tc>
          <w:tcPr>
            <w:tcW w:w="53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512.8</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21,723</w:t>
            </w:r>
          </w:p>
        </w:tc>
        <w:tc>
          <w:tcPr>
            <w:tcW w:w="0" w:type="dxa"/>
            <w:vAlign w:val="bottom"/>
          </w:tcPr>
          <w:p>
            <w:pPr>
              <w:spacing w:after="0"/>
              <w:rPr>
                <w:sz w:val="1"/>
                <w:szCs w:val="1"/>
                <w:color w:val="auto"/>
              </w:rPr>
            </w:pPr>
          </w:p>
        </w:tc>
      </w:tr>
      <w:tr>
        <w:trPr>
          <w:trHeight w:val="26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23,170</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1,074.6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26,770</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1,577.6</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31,039</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531.9</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29,609</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32,246</w:t>
            </w: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31,130</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1,539.</w:t>
            </w:r>
            <w:r>
              <w:rPr>
                <w:rFonts w:ascii="Arial" w:cs="Arial" w:eastAsia="Arial" w:hAnsi="Arial"/>
                <w:sz w:val="18"/>
                <w:szCs w:val="18"/>
                <w:u w:val="single" w:color="auto"/>
                <w:color w:val="auto"/>
                <w:w w:val="89"/>
              </w:rPr>
              <w:t>2</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38,017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Successor</w:t>
            </w: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1,539.2</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$38,017</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42,892</w:t>
            </w:r>
          </w:p>
        </w:tc>
        <w:tc>
          <w:tcPr>
            <w:tcW w:w="0" w:type="dxa"/>
            <w:vAlign w:val="bottom"/>
          </w:tcPr>
          <w:p>
            <w:pPr>
              <w:spacing w:after="0"/>
              <w:rPr>
                <w:sz w:val="1"/>
                <w:szCs w:val="1"/>
                <w:color w:val="auto"/>
              </w:rPr>
            </w:pPr>
          </w:p>
        </w:tc>
      </w:tr>
      <w:tr>
        <w:trPr>
          <w:trHeight w:val="26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00" w:type="dxa"/>
            <w:vAlign w:val="bottom"/>
            <w:tcBorders>
              <w:right w:val="single" w:sz="8" w:color="CCEEFF"/>
            </w:tcBorders>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34,891</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Converted to equity settled PRSUs</w:t>
            </w:r>
          </w:p>
        </w:tc>
        <w:tc>
          <w:tcPr>
            <w:tcW w:w="3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(1,033.2)</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42,696</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34,221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-1371600</wp:posOffset>
            </wp:positionV>
            <wp:extent cx="475107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-2040255</wp:posOffset>
            </wp:positionV>
            <wp:extent cx="475107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-3052445</wp:posOffset>
            </wp:positionV>
            <wp:extent cx="13716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-3052445</wp:posOffset>
            </wp:positionV>
            <wp:extent cx="13716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36"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The Company maintains an Option Plan which was established to recruit and retain key employees, directors and consultants by providing such participating individuals with a proprietary interest in the performance of the Company. There are currently 13,912.7 shares reserved for issuance under the Option Plan. In October 2018, the Company made a special award of options under the Option Plan. The options have a graded vesting schedule with vesting dates of January 1, 2019, 2020, 2021 and 2022. Half of the options only vest if the Company achieves certain performance targets. All options expire ten years from the grant date.</w:t>
      </w:r>
    </w:p>
    <w:p>
      <w:pPr>
        <w:spacing w:after="0" w:line="57"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color w:val="auto"/>
        </w:rPr>
        <w:t>In accounting for the options issued under this plan, the Company measures and recognizes compensation expense for all awards based on their estimated fair values measured as of the grant date. These options are only exercisable any time following the closing of an initial public offering or during a 15-day period following a change in control of the Company. Costs related to these options will be recognized as an expense in the consolidated statements of income over the requisite service period, when exercisability is considered probable. Therefore expense will only be recognized upon the completion of an initial public offering or a change in control, over the vesting period, with an offsetting increase to members’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4" w:name="page245"/>
    <w:bookmarkEnd w:id="244"/>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280" w:firstLine="360"/>
        <w:spacing w:after="0" w:line="277" w:lineRule="auto"/>
        <w:rPr>
          <w:sz w:val="20"/>
          <w:szCs w:val="20"/>
          <w:color w:val="auto"/>
        </w:rPr>
      </w:pPr>
      <w:r>
        <w:rPr>
          <w:rFonts w:ascii="Arial" w:cs="Arial" w:eastAsia="Arial" w:hAnsi="Arial"/>
          <w:sz w:val="18"/>
          <w:szCs w:val="18"/>
          <w:color w:val="auto"/>
        </w:rPr>
        <w:t>The fair value of the options is calculated at the date of grant using the Black-Scholes model. The significant assumptions used to estimate the fair value of the options as of grant date are as follows:</w:t>
      </w:r>
    </w:p>
    <w:p>
      <w:pPr>
        <w:spacing w:after="0" w:line="8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7"/>
                <w:szCs w:val="17"/>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Weighted Average Risk Free Interest Rate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2.94%</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Weighted Average Expected Volatility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Weighted Average Expected Dividend Yield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4.02%</w:t>
            </w:r>
          </w:p>
        </w:tc>
      </w:tr>
      <w:tr>
        <w:trPr>
          <w:trHeight w:val="27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$25,657</w:t>
            </w:r>
          </w:p>
        </w:tc>
        <w:tc>
          <w:tcPr>
            <w:tcW w:w="140" w:type="dxa"/>
            <w:vAlign w:val="bottom"/>
          </w:tcPr>
          <w:p>
            <w:pPr>
              <w:spacing w:after="0"/>
              <w:rPr>
                <w:sz w:val="23"/>
                <w:szCs w:val="23"/>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Exercise Price</w:t>
            </w:r>
          </w:p>
        </w:tc>
        <w:tc>
          <w:tcPr>
            <w:tcW w:w="2580" w:type="dxa"/>
            <w:vAlign w:val="bottom"/>
            <w:gridSpan w:val="2"/>
          </w:tcPr>
          <w:p>
            <w:pPr>
              <w:jc w:val="right"/>
              <w:ind w:right="140"/>
              <w:spacing w:after="0"/>
              <w:rPr>
                <w:sz w:val="20"/>
                <w:szCs w:val="20"/>
                <w:color w:val="auto"/>
              </w:rPr>
            </w:pPr>
            <w:r>
              <w:rPr>
                <w:rFonts w:ascii="Arial" w:cs="Arial" w:eastAsia="Arial" w:hAnsi="Arial"/>
                <w:sz w:val="18"/>
                <w:szCs w:val="18"/>
                <w:color w:val="auto"/>
              </w:rPr>
              <w:t>$28,594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-685165</wp:posOffset>
            </wp:positionV>
            <wp:extent cx="4751070" cy="1714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2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options issued by the Company:</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9"/>
              </w:rPr>
              <w:t>Intrinsic</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Remaining</w:t>
            </w: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9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Contract</w:t>
            </w:r>
          </w:p>
        </w:tc>
      </w:tr>
      <w:tr>
        <w:trPr>
          <w:trHeight w:val="18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Options</w:t>
            </w:r>
          </w:p>
        </w:tc>
        <w:tc>
          <w:tcPr>
            <w:tcW w:w="9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of Options</w:t>
            </w: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Life (years)</w:t>
            </w:r>
          </w:p>
        </w:tc>
      </w:tr>
      <w:tr>
        <w:trPr>
          <w:trHeight w:val="26"/>
        </w:trPr>
        <w:tc>
          <w:tcPr>
            <w:tcW w:w="3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63"/>
        </w:trPr>
        <w:tc>
          <w:tcPr>
            <w:tcW w:w="3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13,025.8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2,569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$ 28,594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7"/>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13,025.</w:t>
            </w:r>
            <w:r>
              <w:rPr>
                <w:rFonts w:ascii="Arial" w:cs="Arial" w:eastAsia="Arial" w:hAnsi="Arial"/>
                <w:sz w:val="18"/>
                <w:szCs w:val="18"/>
                <w:u w:val="single" w:color="auto"/>
                <w:color w:val="auto"/>
                <w:w w:val="94"/>
              </w:rPr>
              <w:t>8</w:t>
            </w:r>
          </w:p>
        </w:tc>
        <w:tc>
          <w:tcPr>
            <w:tcW w:w="2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2,569</w:t>
            </w:r>
          </w:p>
        </w:tc>
        <w:tc>
          <w:tcPr>
            <w:tcW w:w="18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4,741</w:t>
            </w:r>
          </w:p>
        </w:tc>
        <w:tc>
          <w:tcPr>
            <w:tcW w:w="240" w:type="dxa"/>
            <w:vAlign w:val="bottom"/>
            <w:tcBorders>
              <w:right w:val="single" w:sz="8" w:color="CCEEFF"/>
            </w:tcBorders>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28,594</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9.</w:t>
            </w:r>
            <w:r>
              <w:rPr>
                <w:rFonts w:ascii="Arial" w:cs="Arial" w:eastAsia="Arial" w:hAnsi="Arial"/>
                <w:sz w:val="18"/>
                <w:szCs w:val="18"/>
                <w:u w:val="single" w:color="auto"/>
                <w:color w:val="auto"/>
                <w:w w:val="87"/>
              </w:rPr>
              <w:t>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-196850</wp:posOffset>
            </wp:positionV>
            <wp:extent cx="59182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-196850</wp:posOffset>
            </wp:positionV>
            <wp:extent cx="26606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-196850</wp:posOffset>
            </wp:positionV>
            <wp:extent cx="30035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300164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-539750</wp:posOffset>
            </wp:positionV>
            <wp:extent cx="13716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-539750</wp:posOffset>
            </wp:positionV>
            <wp:extent cx="13716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-539750</wp:posOffset>
            </wp:positionV>
            <wp:extent cx="12001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-539750</wp:posOffset>
            </wp:positionV>
            <wp:extent cx="12001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-539750</wp:posOffset>
            </wp:positionV>
            <wp:extent cx="12001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9" w:lineRule="exact"/>
        <w:rPr>
          <w:sz w:val="20"/>
          <w:szCs w:val="20"/>
          <w:color w:val="auto"/>
        </w:rPr>
      </w:pPr>
    </w:p>
    <w:p>
      <w:pPr>
        <w:ind w:left="1260" w:right="1340" w:firstLine="360"/>
        <w:spacing w:after="0" w:line="259" w:lineRule="auto"/>
        <w:rPr>
          <w:sz w:val="20"/>
          <w:szCs w:val="20"/>
          <w:color w:val="auto"/>
        </w:rPr>
      </w:pPr>
      <w:r>
        <w:rPr>
          <w:rFonts w:ascii="Arial" w:cs="Arial" w:eastAsia="Arial" w:hAnsi="Arial"/>
          <w:sz w:val="18"/>
          <w:szCs w:val="18"/>
          <w:color w:val="auto"/>
        </w:rPr>
        <w:t>Prior to 2015, the Company granted employees Stock Appreciation Rights (“SARs”). The SARs had graded vesting schedules with expiration dates through December 31, 2016. If an employee was terminated without cause, all unvested SARs were forfeited. All vested SARs were only exercisable during a specific period of the year and must have been exercised by 2017.</w:t>
      </w:r>
    </w:p>
    <w:p>
      <w:pPr>
        <w:spacing w:after="0" w:line="79" w:lineRule="exact"/>
        <w:rPr>
          <w:sz w:val="20"/>
          <w:szCs w:val="20"/>
          <w:color w:val="auto"/>
        </w:rPr>
      </w:pPr>
    </w:p>
    <w:p>
      <w:pPr>
        <w:ind w:left="1260" w:right="1360" w:firstLine="360"/>
        <w:spacing w:after="0" w:line="264" w:lineRule="auto"/>
        <w:rPr>
          <w:sz w:val="20"/>
          <w:szCs w:val="20"/>
          <w:color w:val="auto"/>
        </w:rPr>
      </w:pPr>
      <w:r>
        <w:rPr>
          <w:rFonts w:ascii="Arial" w:cs="Arial" w:eastAsia="Arial" w:hAnsi="Arial"/>
          <w:sz w:val="18"/>
          <w:szCs w:val="18"/>
          <w:color w:val="auto"/>
        </w:rPr>
        <w:t>The fair value of the SARs is calculated at the date of grant and remeasurement date using an appropriate valuation model such as Black-Scholes. Consequently, the fair values of these awards are based on the estimated fair value at that date.</w:t>
      </w:r>
    </w:p>
    <w:p>
      <w:pPr>
        <w:spacing w:after="0" w:line="73" w:lineRule="exact"/>
        <w:rPr>
          <w:sz w:val="20"/>
          <w:szCs w:val="20"/>
          <w:color w:val="auto"/>
        </w:rPr>
      </w:pPr>
    </w:p>
    <w:p>
      <w:pPr>
        <w:ind w:left="1260" w:right="1480" w:firstLine="360"/>
        <w:spacing w:after="0" w:line="277" w:lineRule="auto"/>
        <w:rPr>
          <w:sz w:val="20"/>
          <w:szCs w:val="20"/>
          <w:color w:val="auto"/>
        </w:rPr>
      </w:pPr>
      <w:r>
        <w:rPr>
          <w:rFonts w:ascii="Arial" w:cs="Arial" w:eastAsia="Arial" w:hAnsi="Arial"/>
          <w:sz w:val="18"/>
          <w:szCs w:val="18"/>
          <w:color w:val="auto"/>
        </w:rPr>
        <w:t>At December 31, 2016, due to the expiration of the SARs, the fair value of each award equals the intrinsic value.</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activity for the SARs issued by the Company:</w:t>
      </w: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Number of</w:t>
            </w: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Exercise Price</w:t>
            </w:r>
          </w:p>
        </w:tc>
      </w:tr>
      <w:tr>
        <w:trPr>
          <w:trHeight w:val="186"/>
        </w:trPr>
        <w:tc>
          <w:tcPr>
            <w:tcW w:w="5420" w:type="dxa"/>
            <w:vAlign w:val="bottom"/>
          </w:tcPr>
          <w:p>
            <w:pPr>
              <w:spacing w:after="0"/>
              <w:rPr>
                <w:sz w:val="20"/>
                <w:szCs w:val="20"/>
                <w:color w:val="auto"/>
              </w:rPr>
            </w:pPr>
            <w:r>
              <w:rPr>
                <w:rFonts w:ascii="Arial" w:cs="Arial" w:eastAsia="Arial" w:hAnsi="Arial"/>
                <w:sz w:val="14"/>
                <w:szCs w:val="14"/>
                <w:b w:val="1"/>
                <w:bCs w:val="1"/>
                <w:color w:val="auto"/>
              </w:rPr>
              <w:t>Predecessor</w:t>
            </w:r>
          </w:p>
        </w:tc>
        <w:tc>
          <w:tcPr>
            <w:tcW w:w="24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SARS</w:t>
            </w:r>
          </w:p>
        </w:tc>
        <w:tc>
          <w:tcPr>
            <w:tcW w:w="120" w:type="dxa"/>
            <w:vAlign w:val="bottom"/>
          </w:tcPr>
          <w:p>
            <w:pPr>
              <w:spacing w:after="0"/>
              <w:rPr>
                <w:sz w:val="16"/>
                <w:szCs w:val="16"/>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of SARs</w:t>
            </w:r>
          </w:p>
        </w:tc>
      </w:tr>
      <w:tr>
        <w:trPr>
          <w:trHeight w:val="26"/>
        </w:trPr>
        <w:tc>
          <w:tcPr>
            <w:tcW w:w="5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6,315.5</w:t>
            </w:r>
          </w:p>
        </w:tc>
        <w:tc>
          <w:tcPr>
            <w:tcW w:w="2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16,839</w:t>
            </w:r>
          </w:p>
        </w:tc>
        <w:tc>
          <w:tcPr>
            <w:tcW w:w="160" w:type="dxa"/>
            <w:vAlign w:val="bottom"/>
            <w:shd w:val="clear" w:color="auto" w:fill="CCEEFF"/>
          </w:tcPr>
          <w:p>
            <w:pPr>
              <w:spacing w:after="0"/>
              <w:rPr>
                <w:sz w:val="21"/>
                <w:szCs w:val="21"/>
                <w:color w:val="auto"/>
              </w:rPr>
            </w:pPr>
          </w:p>
        </w:tc>
      </w:tr>
      <w:tr>
        <w:trPr>
          <w:trHeight w:val="263"/>
        </w:trPr>
        <w:tc>
          <w:tcPr>
            <w:tcW w:w="5420" w:type="dxa"/>
            <w:vAlign w:val="bottom"/>
          </w:tcPr>
          <w:p>
            <w:pPr>
              <w:spacing w:after="0"/>
              <w:rPr>
                <w:sz w:val="20"/>
                <w:szCs w:val="20"/>
                <w:color w:val="auto"/>
              </w:rPr>
            </w:pPr>
            <w:r>
              <w:rPr>
                <w:rFonts w:ascii="Arial" w:cs="Arial" w:eastAsia="Arial" w:hAnsi="Arial"/>
                <w:sz w:val="18"/>
                <w:szCs w:val="18"/>
                <w:color w:val="auto"/>
              </w:rPr>
              <w:t>Forfeited</w:t>
            </w:r>
          </w:p>
        </w:tc>
        <w:tc>
          <w:tcPr>
            <w:tcW w:w="2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17,280</w:t>
            </w:r>
          </w:p>
        </w:tc>
        <w:tc>
          <w:tcPr>
            <w:tcW w:w="160" w:type="dxa"/>
            <w:vAlign w:val="bottom"/>
          </w:tcPr>
          <w:p>
            <w:pPr>
              <w:spacing w:after="0"/>
              <w:rPr>
                <w:sz w:val="22"/>
                <w:szCs w:val="22"/>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64"/>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(3,338.4)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16,389</w:t>
            </w:r>
          </w:p>
        </w:tc>
        <w:tc>
          <w:tcPr>
            <w:tcW w:w="160" w:type="dxa"/>
            <w:vAlign w:val="bottom"/>
            <w:shd w:val="clear" w:color="auto" w:fill="CCEEFF"/>
          </w:tcPr>
          <w:p>
            <w:pPr>
              <w:spacing w:after="0"/>
              <w:rPr>
                <w:sz w:val="22"/>
                <w:szCs w:val="22"/>
                <w:color w:val="auto"/>
              </w:rPr>
            </w:pPr>
          </w:p>
        </w:tc>
      </w:tr>
      <w:tr>
        <w:trPr>
          <w:trHeight w:val="257"/>
        </w:trPr>
        <w:tc>
          <w:tcPr>
            <w:tcW w:w="5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2,886.1</w:t>
            </w: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17,344</w:t>
            </w:r>
          </w:p>
        </w:tc>
        <w:tc>
          <w:tcPr>
            <w:tcW w:w="160" w:type="dxa"/>
            <w:vAlign w:val="bottom"/>
            <w:tcBorders>
              <w:top w:val="single" w:sz="8" w:color="CCEEFF"/>
            </w:tcBorders>
          </w:tcPr>
          <w:p>
            <w:pPr>
              <w:spacing w:after="0"/>
              <w:rPr>
                <w:sz w:val="22"/>
                <w:szCs w:val="22"/>
                <w:color w:val="auto"/>
              </w:rPr>
            </w:pPr>
          </w:p>
        </w:tc>
      </w:tr>
      <w:tr>
        <w:trPr>
          <w:trHeight w:val="26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(2,886.1)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17,344</w:t>
            </w:r>
          </w:p>
        </w:tc>
        <w:tc>
          <w:tcPr>
            <w:tcW w:w="160" w:type="dxa"/>
            <w:vAlign w:val="bottom"/>
            <w:shd w:val="clear" w:color="auto" w:fill="CCEEFF"/>
          </w:tcPr>
          <w:p>
            <w:pPr>
              <w:spacing w:after="0"/>
              <w:rPr>
                <w:sz w:val="22"/>
                <w:szCs w:val="22"/>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-719455</wp:posOffset>
            </wp:positionV>
            <wp:extent cx="475107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-1062990</wp:posOffset>
            </wp:positionV>
            <wp:extent cx="13716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-1062990</wp:posOffset>
            </wp:positionV>
            <wp:extent cx="13716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9" w:lineRule="exact"/>
        <w:rPr>
          <w:sz w:val="20"/>
          <w:szCs w:val="20"/>
          <w:color w:val="auto"/>
        </w:rPr>
      </w:pPr>
    </w:p>
    <w:p>
      <w:pPr>
        <w:ind w:left="1260" w:right="2000" w:firstLine="360"/>
        <w:spacing w:after="0" w:line="277" w:lineRule="auto"/>
        <w:rPr>
          <w:sz w:val="20"/>
          <w:szCs w:val="20"/>
          <w:color w:val="auto"/>
        </w:rPr>
      </w:pPr>
      <w:r>
        <w:rPr>
          <w:rFonts w:ascii="Arial" w:cs="Arial" w:eastAsia="Arial" w:hAnsi="Arial"/>
          <w:sz w:val="18"/>
          <w:szCs w:val="18"/>
          <w:color w:val="auto"/>
        </w:rPr>
        <w:t>As of December 31, 2018, total unrecognized compensation cost related to non-vested share-based compensation arrangements and the expected recognition period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Cash-Settled</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Equity Settled</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6"/>
        </w:trPr>
        <w:tc>
          <w:tcPr>
            <w:tcW w:w="16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PRSUs</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PRSUs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620" w:type="dxa"/>
            <w:vAlign w:val="bottom"/>
          </w:tcPr>
          <w:p>
            <w:pPr>
              <w:spacing w:after="0"/>
              <w:rPr>
                <w:sz w:val="16"/>
                <w:szCs w:val="16"/>
                <w:color w:val="auto"/>
              </w:rPr>
            </w:pPr>
          </w:p>
        </w:tc>
      </w:tr>
      <w:tr>
        <w:trPr>
          <w:trHeight w:val="26"/>
        </w:trPr>
        <w:tc>
          <w:tcPr>
            <w:tcW w:w="16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16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unrecognized compensation cost</w:t>
            </w:r>
          </w:p>
        </w:tc>
        <w:tc>
          <w:tcPr>
            <w:tcW w:w="204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7"/>
              </w:rPr>
              <w:t>$ 419,000</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$24,853,000</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$33,460,000</w:t>
            </w:r>
          </w:p>
        </w:tc>
        <w:tc>
          <w:tcPr>
            <w:tcW w:w="1620" w:type="dxa"/>
            <w:vAlign w:val="bottom"/>
          </w:tcPr>
          <w:p>
            <w:pPr>
              <w:spacing w:after="0"/>
              <w:rPr>
                <w:sz w:val="20"/>
                <w:szCs w:val="20"/>
                <w:color w:val="auto"/>
              </w:rPr>
            </w:pPr>
          </w:p>
        </w:tc>
      </w:tr>
      <w:tr>
        <w:trPr>
          <w:trHeight w:val="270"/>
        </w:trPr>
        <w:tc>
          <w:tcPr>
            <w:tcW w:w="4800" w:type="dxa"/>
            <w:vAlign w:val="bottom"/>
            <w:gridSpan w:val="2"/>
          </w:tcPr>
          <w:p>
            <w:pPr>
              <w:ind w:left="1620"/>
              <w:spacing w:after="0"/>
              <w:rPr>
                <w:sz w:val="20"/>
                <w:szCs w:val="20"/>
                <w:color w:val="auto"/>
              </w:rPr>
            </w:pPr>
            <w:r>
              <w:rPr>
                <w:rFonts w:ascii="Arial" w:cs="Arial" w:eastAsia="Arial" w:hAnsi="Arial"/>
                <w:sz w:val="18"/>
                <w:szCs w:val="18"/>
                <w:color w:val="auto"/>
              </w:rPr>
              <w:t>Weighted average recognition period</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1.8 years</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1.7 years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0.9 years</w:t>
            </w:r>
          </w:p>
        </w:tc>
        <w:tc>
          <w:tcPr>
            <w:tcW w:w="1620" w:type="dxa"/>
            <w:vAlign w:val="bottom"/>
          </w:tcPr>
          <w:p>
            <w:pPr>
              <w:spacing w:after="0"/>
              <w:rPr>
                <w:sz w:val="23"/>
                <w:szCs w:val="23"/>
                <w:color w:val="auto"/>
              </w:rPr>
            </w:pPr>
          </w:p>
        </w:tc>
      </w:tr>
      <w:tr>
        <w:trPr>
          <w:trHeight w:val="459"/>
        </w:trPr>
        <w:tc>
          <w:tcPr>
            <w:tcW w:w="16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60" w:type="dxa"/>
            <w:vAlign w:val="bottom"/>
            <w:gridSpan w:val="4"/>
          </w:tcPr>
          <w:p>
            <w:pPr>
              <w:ind w:left="400"/>
              <w:spacing w:after="0"/>
              <w:rPr>
                <w:sz w:val="20"/>
                <w:szCs w:val="20"/>
                <w:color w:val="auto"/>
              </w:rPr>
            </w:pPr>
            <w:r>
              <w:rPr>
                <w:rFonts w:ascii="Arial" w:cs="Arial" w:eastAsia="Arial" w:hAnsi="Arial"/>
                <w:sz w:val="18"/>
                <w:szCs w:val="18"/>
                <w:color w:val="auto"/>
              </w:rPr>
              <w:t>F-27</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-882650</wp:posOffset>
            </wp:positionV>
            <wp:extent cx="13716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-882650</wp:posOffset>
            </wp:positionV>
            <wp:extent cx="13716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-882650</wp:posOffset>
            </wp:positionV>
            <wp:extent cx="13716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45" w:name="page246"/>
    <w:bookmarkEnd w:id="245"/>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440" w:firstLine="360"/>
        <w:spacing w:after="0" w:line="277" w:lineRule="auto"/>
        <w:rPr>
          <w:sz w:val="20"/>
          <w:szCs w:val="20"/>
          <w:color w:val="auto"/>
        </w:rPr>
      </w:pPr>
      <w:r>
        <w:rPr>
          <w:rFonts w:ascii="Arial" w:cs="Arial" w:eastAsia="Arial" w:hAnsi="Arial"/>
          <w:sz w:val="18"/>
          <w:szCs w:val="18"/>
          <w:color w:val="auto"/>
        </w:rPr>
        <w:t>Certain employees acquired or vested in Class C Shares, Class P(C) Shares and Class P-1(C) Shares of the Company (collectively the “Employee Shares”).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records activity of the Employee Shares.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Class C</w:t>
            </w:r>
          </w:p>
        </w:tc>
        <w:tc>
          <w:tcPr>
            <w:tcW w:w="9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Class P(C)</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Class P-1(C)</w:t>
            </w:r>
          </w:p>
        </w:tc>
      </w:tr>
      <w:tr>
        <w:trPr>
          <w:trHeight w:val="185"/>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6"/>
                <w:szCs w:val="16"/>
                <w:color w:val="auto"/>
              </w:rPr>
            </w:pPr>
          </w:p>
        </w:tc>
        <w:tc>
          <w:tcPr>
            <w:tcW w:w="7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Shares</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2015</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528</w:t>
            </w: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Sold</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504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Purchased</w:t>
            </w: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5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Outstanding at December 31, 2017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447</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8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at September 30, 2018</w:t>
            </w: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447</w:t>
            </w: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26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232</w:t>
            </w:r>
          </w:p>
        </w:tc>
        <w:tc>
          <w:tcPr>
            <w:tcW w:w="280" w:type="dxa"/>
            <w:vAlign w:val="bottom"/>
            <w:tcBorders>
              <w:top w:val="single" w:sz="8" w:color="CCEEFF"/>
              <w:bottom w:val="single" w:sz="8" w:color="CCEEFF"/>
            </w:tcBorders>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820" w:type="dxa"/>
            <w:vAlign w:val="bottom"/>
          </w:tcPr>
          <w:p>
            <w:pPr>
              <w:spacing w:after="0" w:line="196" w:lineRule="exact"/>
              <w:rPr>
                <w:sz w:val="20"/>
                <w:szCs w:val="20"/>
                <w:color w:val="auto"/>
              </w:rPr>
            </w:pPr>
            <w:r>
              <w:rPr>
                <w:rFonts w:ascii="Arial" w:cs="Arial" w:eastAsia="Arial" w:hAnsi="Arial"/>
                <w:sz w:val="18"/>
                <w:szCs w:val="18"/>
                <w:color w:val="auto"/>
              </w:rPr>
              <w:t>Outstanding at October 1, 2018</w:t>
            </w:r>
          </w:p>
        </w:tc>
        <w:tc>
          <w:tcPr>
            <w:tcW w:w="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232</w:t>
            </w:r>
          </w:p>
        </w:tc>
        <w:tc>
          <w:tcPr>
            <w:tcW w:w="2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2018</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447</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232</w:t>
            </w:r>
          </w:p>
        </w:tc>
        <w:tc>
          <w:tcPr>
            <w:tcW w:w="280" w:type="dxa"/>
            <w:vAlign w:val="bottom"/>
            <w:tcBorders>
              <w:top w:val="single" w:sz="8" w:color="CCEEFF"/>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-1457325</wp:posOffset>
            </wp:positionV>
            <wp:extent cx="475107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-1731645</wp:posOffset>
            </wp:positionV>
            <wp:extent cx="13716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-1731645</wp:posOffset>
            </wp:positionV>
            <wp:extent cx="13716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-1731645</wp:posOffset>
            </wp:positionV>
            <wp:extent cx="13716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ind w:left="1260" w:right="1260" w:firstLine="360"/>
        <w:spacing w:after="0" w:line="254" w:lineRule="auto"/>
        <w:rPr>
          <w:sz w:val="20"/>
          <w:szCs w:val="20"/>
          <w:color w:val="auto"/>
        </w:rPr>
      </w:pPr>
      <w:r>
        <w:rPr>
          <w:rFonts w:ascii="Arial" w:cs="Arial" w:eastAsia="Arial" w:hAnsi="Arial"/>
          <w:sz w:val="18"/>
          <w:szCs w:val="18"/>
          <w:color w:val="auto"/>
        </w:rPr>
        <w:t>The Employee Shares are classified as mezzanine capital, as opposed to members’ capital, due to the right of employees to sell the shares back to the Company at fair market value upon termination of employment. Employee Shares that have been outstanding for less than six months are included in employee equity compensation payable. At December 31, 2017 there were no Employee Shares included in employee compensation payable. At December 31, 2018, $6,727,000 of vested Class P-1(C) Shares are included in employee compensation payable with any changes in the value of the shares included in compensation cost on the consolidated statements of income. Changes in the Employee Shares’ fair value included in mezzanine capital are not recognized as compensation cost.</w:t>
      </w:r>
    </w:p>
    <w:p>
      <w:pPr>
        <w:spacing w:after="0" w:line="84" w:lineRule="exact"/>
        <w:rPr>
          <w:sz w:val="20"/>
          <w:szCs w:val="20"/>
          <w:color w:val="auto"/>
        </w:rPr>
      </w:pPr>
    </w:p>
    <w:p>
      <w:pPr>
        <w:ind w:left="1260" w:right="1380" w:firstLine="360"/>
        <w:spacing w:after="0" w:line="279" w:lineRule="auto"/>
        <w:rPr>
          <w:sz w:val="20"/>
          <w:szCs w:val="20"/>
          <w:color w:val="auto"/>
        </w:rPr>
      </w:pPr>
      <w:r>
        <w:rPr>
          <w:rFonts w:ascii="Arial" w:cs="Arial" w:eastAsia="Arial" w:hAnsi="Arial"/>
          <w:sz w:val="17"/>
          <w:szCs w:val="17"/>
          <w:color w:val="auto"/>
        </w:rPr>
        <w:t>For October 1, 2018 to December 31, 2018, January 1, 2018 to September 30, 2018 and for the years ended December 31, 2017 and 2016, $9,413,000, $15,949,000, $26,100,000 and $19,032,000, respectively, has been expensed relating to PRSUs, options and shares granted to or acquired by employees and included in employee compensation and benefits in the consolidated statements of income.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Related Party Transactions</w:t>
      </w:r>
    </w:p>
    <w:p>
      <w:pPr>
        <w:spacing w:after="0" w:line="108" w:lineRule="exact"/>
        <w:rPr>
          <w:sz w:val="20"/>
          <w:szCs w:val="20"/>
          <w:color w:val="auto"/>
        </w:rPr>
      </w:pPr>
    </w:p>
    <w:p>
      <w:pPr>
        <w:jc w:val="both"/>
        <w:ind w:left="1260" w:right="1380" w:firstLine="360"/>
        <w:spacing w:after="0" w:line="264" w:lineRule="auto"/>
        <w:rPr>
          <w:sz w:val="20"/>
          <w:szCs w:val="20"/>
          <w:color w:val="auto"/>
        </w:rPr>
      </w:pPr>
      <w:r>
        <w:rPr>
          <w:rFonts w:ascii="Arial" w:cs="Arial" w:eastAsia="Arial" w:hAnsi="Arial"/>
          <w:sz w:val="18"/>
          <w:szCs w:val="18"/>
          <w:color w:val="auto"/>
        </w:rPr>
        <w:t>The Company enters into transactions with affiliates of the Banks and Refinitiv. At December 31, 2018 and December 31, 2017, the following balances with such affiliates were included in the consolidated statements of financial condition in the following line items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1260" w:type="dxa"/>
            <w:vAlign w:val="bottom"/>
          </w:tcPr>
          <w:p>
            <w:pPr>
              <w:spacing w:after="0"/>
              <w:rPr>
                <w:sz w:val="3"/>
                <w:szCs w:val="3"/>
                <w:color w:val="auto"/>
              </w:rPr>
            </w:pPr>
          </w:p>
        </w:tc>
        <w:tc>
          <w:tcPr>
            <w:tcW w:w="5660" w:type="dxa"/>
            <w:vAlign w:val="bottom"/>
          </w:tcPr>
          <w:p>
            <w:pPr>
              <w:spacing w:after="0"/>
              <w:rPr>
                <w:sz w:val="3"/>
                <w:szCs w:val="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1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Predecessor</w:t>
            </w: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1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$283,790</w:t>
            </w: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$234,107</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 from brokers and dealers and clearing organizations</w:t>
            </w:r>
          </w:p>
        </w:tc>
        <w:tc>
          <w:tcPr>
            <w:tcW w:w="11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3,332</w:t>
            </w: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40,730</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27,163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Receivable from affiliates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375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9,151</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5,106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129,393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2,555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Payable to affiliates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5,009</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5,578</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1260" w:type="dxa"/>
            <w:vAlign w:val="bottom"/>
          </w:tcPr>
          <w:p>
            <w:pPr>
              <w:spacing w:after="0"/>
              <w:rPr>
                <w:sz w:val="24"/>
                <w:szCs w:val="24"/>
                <w:color w:val="auto"/>
              </w:rPr>
            </w:pPr>
          </w:p>
        </w:tc>
        <w:tc>
          <w:tcPr>
            <w:tcW w:w="5660" w:type="dxa"/>
            <w:vAlign w:val="bottom"/>
          </w:tcPr>
          <w:p>
            <w:pPr>
              <w:ind w:left="3940"/>
              <w:spacing w:after="0"/>
              <w:rPr>
                <w:sz w:val="20"/>
                <w:szCs w:val="20"/>
                <w:color w:val="auto"/>
              </w:rPr>
            </w:pPr>
            <w:r>
              <w:rPr>
                <w:rFonts w:ascii="Arial" w:cs="Arial" w:eastAsia="Arial" w:hAnsi="Arial"/>
                <w:sz w:val="18"/>
                <w:szCs w:val="18"/>
                <w:color w:val="auto"/>
              </w:rPr>
              <w:t>F-28</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-2228850</wp:posOffset>
            </wp:positionV>
            <wp:extent cx="521398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46" w:name="page247"/>
    <w:bookmarkEnd w:id="246"/>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The Company maintains a shared services agreement with Refinitiv (TR in the predecessor periods). Under the terms of the agreement, Refinitiv provides the Company with certain real estate, payroll, benefits administration, insurance, content, financial reporting and tax support. For October 1, 2018 to December 31, 2018, January 1, 2018 to September 30, 2018 and for the years ended December 31, 2017 and 2016, the Company incurred shared services fees of $1,075,000, $3,225,000, $4,300,000 and $4,300,000 relating to this agreement, respectively. These fees are included in occupancy, technology and communications and general and administrative expenses in the consolidated statements of income.</w:t>
      </w:r>
    </w:p>
    <w:p>
      <w:pPr>
        <w:spacing w:after="0" w:line="4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Company maintains a market data license agreement with Refinitiv (TR in the predecessor periods). Under the agreement, the Company delivers to Refinitiv certain market data feeds which Refinitiv redistributes to its customers. The Company earns license fees or royalties for these feeds. For October 1, 2018 to December 31, 2018, January 1, 2018 to September 30, 2018 and for the years ended December 31, 2017 and 2016, the Company earned $13,467,000, $36,851,000, $50,125,000 and $50,564,000, respectively, of revenue under this agreement.</w:t>
      </w:r>
    </w:p>
    <w:p>
      <w:pPr>
        <w:spacing w:after="0" w:line="72"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The Company reimburses affiliates of Refinitiv (TR in the predecessor periods) for expenses paid on behalf of the Company for various services including salaries and bonuses, marketing, professional fees, communications, data costs and certain other administrative services. For October 1, 2018 to December 31, 2018, January 1, 2018 to September 30, 2018 and for the years ended December 31, 2017 and 2016, the Company reimbursed such affiliates approximately $3,837,000, $28,736,000, $38,361,000 and $34,350,000, respectively, for these expenses.</w:t>
      </w:r>
    </w:p>
    <w:p>
      <w:pPr>
        <w:spacing w:after="0" w:line="72"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color w:val="auto"/>
        </w:rPr>
        <w:t>For October 1, 2018 to December 31, 2018, January 1, 2018 to September 30, 2018 and for the years ended December 31, 2017 and 2016, the Company earned approximately $90,845,000, $211,234,000, $232,436,000 and $211,743,000, respectively, of transaction, subscription and other fees from affiliates of the Banks.</w:t>
      </w:r>
    </w:p>
    <w:p>
      <w:pPr>
        <w:spacing w:after="0" w:line="12"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the Company earned $17,000, $34,000, $40,000 and $80,000, respectively, of interest income from money market funds invested with and savings accounts deposited with affiliates of the Banks. Interest rates earned on the money market and savings accounts are comparable to rates offered to third parties.</w:t>
      </w:r>
    </w:p>
    <w:p>
      <w:pPr>
        <w:spacing w:after="0" w:line="67"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The Company borrowed $29,285,000 from a subsidiary of TR under a convertible term note. Interest charged on the outstanding borrowings is the greater of LIBOR or 150 basis points, plus 300 basis points per annum, and is reset and payable quarterly. On May 5, 2017, TR converted all outstanding borrowings into 1,835 Class A Shares at the price of $15,958 per share. During the years ended December 31, 2017 and 2016, the interest rate charged was 4.50% per annum. The Company paid and expensed interest on this note of $455,000 and $1,339,000 in the years ended December 31, 2017 and 2016, respectively.</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During 2014, the Company issued Class A Shares and unvested Class P-1(A) Shares to some of the Banks as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result of a $120,000,000 capital contribution. In connection with this investment, employees invested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$5,266,000 in the Company and were issued Class C Shares and unvested Class P-1(C) Shares. Certain Class P-</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1(A) Shares and Class P-1(C) Shares vested on July 31, 2018, based on a formula determined by the Company’s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new credit platforms’ revenues and any remaining unvested Class P-1(A) Shares and Class P-1(C) Shares were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cancelled. The value of the vested Class P-1(A) Shares which are included in members’ capital is $150,495,000</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the value of the vested P-1(C) Shares which are included in employee equity compensation payable 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$6,727,000. The Company recognized contingent consideration for January 1, 2018 to September 30, 2018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for the years ended December 31, 2017 and 2016, of $26,830,000, $58,520,000 and $26,224,000, respectively,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relating to these shares, which is included in net revenue on the consolidated statements of income. 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2017, $129,393,000 is included in contingent consideration payable on the consolidated statements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financial condition.</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Fair Value of Financial Instruments</w:t>
      </w:r>
    </w:p>
    <w:p>
      <w:pPr>
        <w:spacing w:after="0" w:line="81" w:lineRule="exact"/>
        <w:rPr>
          <w:sz w:val="20"/>
          <w:szCs w:val="20"/>
          <w:color w:val="auto"/>
        </w:rPr>
      </w:pPr>
    </w:p>
    <w:p>
      <w:pPr>
        <w:jc w:val="both"/>
        <w:ind w:left="1260" w:right="1039" w:firstLine="360"/>
        <w:spacing w:after="0" w:line="264" w:lineRule="auto"/>
        <w:rPr>
          <w:sz w:val="20"/>
          <w:szCs w:val="20"/>
          <w:color w:val="auto"/>
        </w:rPr>
      </w:pPr>
      <w:r>
        <w:rPr>
          <w:rFonts w:ascii="Arial" w:cs="Arial" w:eastAsia="Arial" w:hAnsi="Arial"/>
          <w:sz w:val="18"/>
          <w:szCs w:val="18"/>
          <w:color w:val="auto"/>
        </w:rPr>
        <w:t>Certain financial instruments that are not carried at fair value on the consolidated statements of financial condition are carried at amounts that approximate fair value. These instruments include deposits with clearing organizations and accounts receivable.</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7" w:name="page248"/>
    <w:bookmarkEnd w:id="247"/>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859" w:firstLine="360"/>
        <w:spacing w:after="0" w:line="342" w:lineRule="auto"/>
        <w:rPr>
          <w:sz w:val="20"/>
          <w:szCs w:val="20"/>
          <w:color w:val="auto"/>
        </w:rPr>
      </w:pPr>
      <w:r>
        <w:rPr>
          <w:rFonts w:ascii="Arial" w:cs="Arial" w:eastAsia="Arial" w:hAnsi="Arial"/>
          <w:sz w:val="16"/>
          <w:szCs w:val="16"/>
          <w:color w:val="auto"/>
        </w:rPr>
        <w:t>Following is a description of the fair value methodologies used for the Company’s instruments measured at fair value, as well as the general classification of such instruments pursuant to the valuation hierarchy:</w:t>
      </w:r>
    </w:p>
    <w:p>
      <w:pPr>
        <w:spacing w:after="0" w:line="16"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62"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Contingent consideration is classified within level 3 of the fair value hierarchy because the valuation requires assumptions that are both significant and unobservable. The contingent consideration valuation is determined using a monte carlo simulation, with key inputs being the standard deviation applied to the Company’s new credit platforms’ revenues, revenue multiple and discount rate. At December 31, 2017, the inputs in the valuation are as follows:</w:t>
      </w:r>
    </w:p>
    <w:p>
      <w:pPr>
        <w:spacing w:after="0" w:line="104"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Standard deviation</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40" w:type="dxa"/>
            <w:vAlign w:val="bottom"/>
          </w:tcPr>
          <w:p>
            <w:pPr>
              <w:spacing w:after="0"/>
              <w:rPr>
                <w:sz w:val="17"/>
                <w:szCs w:val="17"/>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Revenue multiple</w:t>
            </w:r>
          </w:p>
        </w:tc>
        <w:tc>
          <w:tcPr>
            <w:tcW w:w="3620" w:type="dxa"/>
            <w:vAlign w:val="bottom"/>
            <w:gridSpan w:val="2"/>
          </w:tcPr>
          <w:p>
            <w:pPr>
              <w:jc w:val="right"/>
              <w:ind w:right="140"/>
              <w:spacing w:after="0"/>
              <w:rPr>
                <w:sz w:val="20"/>
                <w:szCs w:val="20"/>
                <w:color w:val="auto"/>
              </w:rPr>
            </w:pPr>
            <w:r>
              <w:rPr>
                <w:rFonts w:ascii="Arial" w:cs="Arial" w:eastAsia="Arial" w:hAnsi="Arial"/>
                <w:sz w:val="18"/>
                <w:szCs w:val="18"/>
                <w:color w:val="auto"/>
              </w:rPr>
              <w:t>7.03x</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Discount rate</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-170815</wp:posOffset>
            </wp:positionV>
            <wp:extent cx="4751070" cy="1714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2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has no instruments that are classified within level 2 of the fair value hierarchy.</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fair value measurements are as follows (in thousands):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Quoted Prices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Markets for</w:t>
            </w: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Significant</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Indentical</w:t>
            </w: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8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9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Predecessor</w:t>
            </w: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As of December 31, 2017</w:t>
            </w: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101,154</w:t>
            </w:r>
          </w:p>
        </w:tc>
        <w:tc>
          <w:tcPr>
            <w:tcW w:w="200" w:type="dxa"/>
            <w:vAlign w:val="bottom"/>
          </w:tcPr>
          <w:p>
            <w:pPr>
              <w:spacing w:after="0"/>
              <w:rPr>
                <w:sz w:val="19"/>
                <w:szCs w:val="19"/>
                <w:color w:val="auto"/>
              </w:rPr>
            </w:pPr>
          </w:p>
        </w:tc>
        <w:tc>
          <w:tcPr>
            <w:tcW w:w="340" w:type="dxa"/>
            <w:vAlign w:val="bottom"/>
            <w:gridSpan w:val="2"/>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101,154</w:t>
            </w:r>
          </w:p>
        </w:tc>
        <w:tc>
          <w:tcPr>
            <w:tcW w:w="0" w:type="dxa"/>
            <w:vAlign w:val="bottom"/>
          </w:tcPr>
          <w:p>
            <w:pPr>
              <w:spacing w:after="0"/>
              <w:rPr>
                <w:sz w:val="1"/>
                <w:szCs w:val="1"/>
                <w:color w:val="auto"/>
              </w:rPr>
            </w:pPr>
          </w:p>
        </w:tc>
      </w:tr>
      <w:tr>
        <w:trPr>
          <w:trHeight w:val="210"/>
        </w:trPr>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101,154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i w:val="1"/>
                <w:iCs w:val="1"/>
                <w:color w:val="auto"/>
              </w:rPr>
              <w:t>Liabilities</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129,393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129,393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00" w:type="dxa"/>
            <w:vAlign w:val="bottom"/>
            <w:tcBorders>
              <w:top w:val="single" w:sz="8" w:color="CCEEFF"/>
              <w:bottom w:val="single" w:sz="8" w:color="CCEEFF"/>
            </w:tcBorders>
          </w:tcPr>
          <w:p>
            <w:pPr>
              <w:spacing w:after="0"/>
              <w:rPr>
                <w:sz w:val="21"/>
                <w:szCs w:val="21"/>
                <w:color w:val="auto"/>
              </w:rPr>
            </w:pPr>
          </w:p>
        </w:tc>
        <w:tc>
          <w:tcPr>
            <w:tcW w:w="22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129,393</w:t>
            </w:r>
          </w:p>
        </w:tc>
        <w:tc>
          <w:tcPr>
            <w:tcW w:w="8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129,393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900" w:type="dxa"/>
            <w:vAlign w:val="bottom"/>
            <w:tcBorders>
              <w:bottom w:val="single" w:sz="8" w:color="auto"/>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Successor</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88"/>
              </w:rPr>
              <w:t>As of December 31, 2018</w:t>
            </w:r>
          </w:p>
        </w:tc>
        <w:tc>
          <w:tcPr>
            <w:tcW w:w="2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127,927</w:t>
            </w: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00" w:type="dxa"/>
            <w:vAlign w:val="bottom"/>
            <w:tcBorders>
              <w:top w:val="single" w:sz="8" w:color="CCEEFF"/>
            </w:tcBorders>
          </w:tcPr>
          <w:p>
            <w:pPr>
              <w:spacing w:after="0"/>
              <w:rPr>
                <w:sz w:val="19"/>
                <w:szCs w:val="19"/>
                <w:color w:val="auto"/>
              </w:rPr>
            </w:pPr>
          </w:p>
        </w:tc>
        <w:tc>
          <w:tcPr>
            <w:tcW w:w="22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127,927</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127,927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-1517015</wp:posOffset>
            </wp:positionV>
            <wp:extent cx="19748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-1517015</wp:posOffset>
            </wp:positionV>
            <wp:extent cx="410781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4107815" cy="889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-2083435</wp:posOffset>
            </wp:positionV>
            <wp:extent cx="13716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-2083435</wp:posOffset>
            </wp:positionV>
            <wp:extent cx="13716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-2083435</wp:posOffset>
            </wp:positionV>
            <wp:extent cx="345630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Credit Risk</w:t>
      </w:r>
    </w:p>
    <w:p>
      <w:pPr>
        <w:spacing w:after="0" w:line="108"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Company may be exposed to credit risk regarding its receivables, which are primarily receivable from financial institutions, including investment managers and broker/dealers. At December 31, 2018 and December 31, 2017 the Company established an allowance for doubtful accounts of $1,169,000 and $928,000, respectively, with regard to these accounts receivable.</w:t>
      </w:r>
    </w:p>
    <w:p>
      <w:pPr>
        <w:spacing w:after="0" w:line="79"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20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8" w:name="page249"/>
    <w:bookmarkEnd w:id="248"/>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 substantial number of the Company’s transactions are collateralized and executed with, and on behalf of, a limited number of brokers and 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80" w:lineRule="exact"/>
        <w:rPr>
          <w:sz w:val="20"/>
          <w:szCs w:val="20"/>
          <w:color w:val="auto"/>
        </w:rPr>
      </w:pPr>
    </w:p>
    <w:p>
      <w:pPr>
        <w:ind w:left="1260" w:right="799" w:firstLine="360"/>
        <w:spacing w:after="0" w:line="312" w:lineRule="auto"/>
        <w:rPr>
          <w:sz w:val="20"/>
          <w:szCs w:val="20"/>
          <w:color w:val="auto"/>
        </w:rPr>
      </w:pPr>
      <w:r>
        <w:rPr>
          <w:rFonts w:ascii="Arial" w:cs="Arial" w:eastAsia="Arial" w:hAnsi="Arial"/>
          <w:sz w:val="16"/>
          <w:szCs w:val="16"/>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Commitments and Contingencies</w:t>
      </w:r>
    </w:p>
    <w:p>
      <w:pPr>
        <w:spacing w:after="0" w:line="108"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The Company is obligated under operating leases in the US and UK for office space through 2027. Minimum rent is expensed on a straight-line basis over the term of the lease. The terms of the leases require the following remaining future minimum rental payments at December 31, 2018 (in thousands):</w:t>
      </w:r>
    </w:p>
    <w:p>
      <w:pPr>
        <w:spacing w:after="0" w:line="76"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Year ending</w:t>
            </w:r>
          </w:p>
        </w:tc>
        <w:tc>
          <w:tcPr>
            <w:tcW w:w="600" w:type="dxa"/>
            <w:vAlign w:val="bottom"/>
          </w:tcPr>
          <w:p>
            <w:pPr>
              <w:spacing w:after="0"/>
              <w:rPr>
                <w:sz w:val="14"/>
                <w:szCs w:val="14"/>
                <w:color w:val="auto"/>
              </w:rPr>
            </w:pPr>
          </w:p>
        </w:tc>
      </w:tr>
      <w:tr>
        <w:trPr>
          <w:trHeight w:val="186"/>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6"/>
        </w:trPr>
        <w:tc>
          <w:tcPr>
            <w:tcW w:w="5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top w:val="single" w:sz="8" w:color="auto"/>
            </w:tcBorders>
            <w:shd w:val="clear" w:color="auto" w:fill="CCEEFF"/>
          </w:tcPr>
          <w:p>
            <w:pPr>
              <w:jc w:val="right"/>
              <w:ind w:right="5510"/>
              <w:spacing w:after="0"/>
              <w:rPr>
                <w:sz w:val="20"/>
                <w:szCs w:val="20"/>
                <w:color w:val="auto"/>
              </w:rPr>
            </w:pPr>
            <w:r>
              <w:rPr>
                <w:rFonts w:ascii="Arial" w:cs="Arial" w:eastAsia="Arial" w:hAnsi="Arial"/>
                <w:sz w:val="18"/>
                <w:szCs w:val="18"/>
                <w:color w:val="auto"/>
                <w:w w:val="79"/>
              </w:rPr>
              <w:t>2019</w:t>
            </w:r>
          </w:p>
        </w:tc>
        <w:tc>
          <w:tcPr>
            <w:tcW w:w="2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$11,393</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7,580</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2022</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4,051</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2023</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64"/>
        </w:trPr>
        <w:tc>
          <w:tcPr>
            <w:tcW w:w="61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jc w:val="right"/>
              <w:spacing w:after="0"/>
              <w:rPr>
                <w:sz w:val="20"/>
                <w:szCs w:val="20"/>
                <w:color w:val="auto"/>
              </w:rPr>
            </w:pPr>
            <w:r>
              <w:rPr>
                <w:rFonts w:ascii="Arial" w:cs="Arial" w:eastAsia="Arial" w:hAnsi="Arial"/>
                <w:sz w:val="18"/>
                <w:szCs w:val="18"/>
                <w:color w:val="auto"/>
              </w:rPr>
              <w:t>11,156</w:t>
            </w:r>
          </w:p>
        </w:tc>
      </w:tr>
      <w:tr>
        <w:trPr>
          <w:trHeight w:val="257"/>
        </w:trPr>
        <w:tc>
          <w:tcPr>
            <w:tcW w:w="20" w:type="dxa"/>
            <w:vAlign w:val="bottom"/>
          </w:tcPr>
          <w:p>
            <w:pPr>
              <w:spacing w:after="0"/>
              <w:rPr>
                <w:sz w:val="22"/>
                <w:szCs w:val="22"/>
                <w:color w:val="auto"/>
              </w:rPr>
            </w:pPr>
          </w:p>
        </w:tc>
        <w:tc>
          <w:tcPr>
            <w:tcW w:w="59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43,374</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-196850</wp:posOffset>
            </wp:positionV>
            <wp:extent cx="391922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-1191260</wp:posOffset>
            </wp:positionV>
            <wp:extent cx="13716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979" w:firstLine="360"/>
        <w:spacing w:after="0" w:line="264" w:lineRule="auto"/>
        <w:rPr>
          <w:sz w:val="20"/>
          <w:szCs w:val="20"/>
          <w:color w:val="auto"/>
        </w:rPr>
      </w:pPr>
      <w:r>
        <w:rPr>
          <w:rFonts w:ascii="Arial" w:cs="Arial" w:eastAsia="Arial" w:hAnsi="Arial"/>
          <w:sz w:val="18"/>
          <w:szCs w:val="18"/>
          <w:color w:val="auto"/>
        </w:rPr>
        <w:t>The actual rent charged to occupancy amounted to $2,733,000, $9,011,000, $11,774,000 and $13,253,000 for October 1, 2018 to December 31, 2018, January 1, 2018 to September 30, 2018 and for the years ended December 31, 2017 and 2016, respectively.</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One US lease is secured by a letter of credit in the amount of $1,200,000, which is guaranteed by Refinitiv.</w:t>
      </w:r>
    </w:p>
    <w:p>
      <w:pPr>
        <w:spacing w:after="0" w:line="140"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85" w:lineRule="exact"/>
        <w:rPr>
          <w:sz w:val="20"/>
          <w:szCs w:val="20"/>
          <w:color w:val="auto"/>
        </w:rPr>
      </w:pPr>
    </w:p>
    <w:p>
      <w:pPr>
        <w:ind w:left="1260" w:right="799" w:firstLine="360"/>
        <w:spacing w:after="0" w:line="302" w:lineRule="auto"/>
        <w:rPr>
          <w:sz w:val="20"/>
          <w:szCs w:val="20"/>
          <w:color w:val="auto"/>
        </w:rPr>
      </w:pPr>
      <w:r>
        <w:rPr>
          <w:rFonts w:ascii="Arial" w:cs="Arial" w:eastAsia="Arial" w:hAnsi="Arial"/>
          <w:sz w:val="16"/>
          <w:szCs w:val="16"/>
          <w:color w:val="auto"/>
        </w:rPr>
        <w:t>The Company was named as a defendant, along with dozens of financial institutions, in antitrust class actions (consolidated into two actions) relating to trading practices in United States Treasury securities auctions and, separately, interest rate swaps. The Company was dismissed from the interest rate swaps matter and believes it has substantial defenses to the other plaintiffs’ claims and intends to defend itself vigorously.</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Company is a co-defendant in a matter relating to the distribution of financial strength ratings over the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Company’s trading platform to one of its customers. The matter alleges that while certain business units of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client were licensed to receive the data via the Company’s platform, the data was also distributed without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authorization to certain end clients of the customer. The plaintiff claims to have suffered approximately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$80,000,000 in damages and also seeks punitive damages, attorneys’ fees and costs. The Company intends to</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continue to vigorously defend what the Company believes to be meritless and excessive claims.</w:t>
      </w:r>
    </w:p>
    <w:p>
      <w:pPr>
        <w:spacing w:after="0" w:line="2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9" w:name="page250"/>
    <w:bookmarkEnd w:id="249"/>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300" w:firstLine="360"/>
        <w:spacing w:after="0" w:line="293" w:lineRule="auto"/>
        <w:rPr>
          <w:sz w:val="20"/>
          <w:szCs w:val="20"/>
          <w:color w:val="auto"/>
        </w:rPr>
      </w:pPr>
      <w:r>
        <w:rPr>
          <w:rFonts w:ascii="Arial" w:cs="Arial" w:eastAsia="Arial" w:hAnsi="Arial"/>
          <w:sz w:val="16"/>
          <w:szCs w:val="16"/>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47" w:lineRule="exact"/>
        <w:rPr>
          <w:sz w:val="20"/>
          <w:szCs w:val="20"/>
          <w:color w:val="auto"/>
        </w:rPr>
      </w:pPr>
    </w:p>
    <w:p>
      <w:pPr>
        <w:ind w:left="1620" w:hanging="352"/>
        <w:spacing w:after="0"/>
        <w:tabs>
          <w:tab w:leader="none" w:pos="162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0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income per share:</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5"/>
                <w:szCs w:val="15"/>
                <w:color w:val="auto"/>
              </w:rPr>
            </w:pPr>
          </w:p>
        </w:tc>
        <w:tc>
          <w:tcPr>
            <w:tcW w:w="1100" w:type="dxa"/>
            <w:vAlign w:val="bottom"/>
            <w:gridSpan w:val="5"/>
          </w:tcPr>
          <w:p>
            <w:pPr>
              <w:ind w:left="80"/>
              <w:spacing w:after="0"/>
              <w:rPr>
                <w:sz w:val="20"/>
                <w:szCs w:val="20"/>
                <w:color w:val="auto"/>
              </w:rPr>
            </w:pPr>
            <w:r>
              <w:rPr>
                <w:rFonts w:ascii="Arial" w:cs="Arial" w:eastAsia="Arial" w:hAnsi="Arial"/>
                <w:sz w:val="14"/>
                <w:szCs w:val="14"/>
                <w:b w:val="1"/>
                <w:bCs w:val="1"/>
                <w:color w:val="auto"/>
              </w:rPr>
              <w:t>Predecessor</w:t>
            </w:r>
          </w:p>
        </w:tc>
        <w:tc>
          <w:tcPr>
            <w:tcW w:w="1100" w:type="dxa"/>
            <w:vAlign w:val="bottom"/>
            <w:gridSpan w:val="5"/>
          </w:tcPr>
          <w:p>
            <w:pPr>
              <w:ind w:left="80"/>
              <w:spacing w:after="0"/>
              <w:rPr>
                <w:sz w:val="20"/>
                <w:szCs w:val="20"/>
                <w:color w:val="auto"/>
              </w:rPr>
            </w:pPr>
            <w:r>
              <w:rPr>
                <w:rFonts w:ascii="Arial" w:cs="Arial" w:eastAsia="Arial" w:hAnsi="Arial"/>
                <w:sz w:val="14"/>
                <w:szCs w:val="14"/>
                <w:b w:val="1"/>
                <w:bCs w:val="1"/>
                <w:color w:val="auto"/>
              </w:rPr>
              <w:t>Predecessor</w:t>
            </w:r>
          </w:p>
        </w:tc>
        <w:tc>
          <w:tcPr>
            <w:tcW w:w="8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5"/>
              </w:rPr>
              <w:t>October 1,</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5"/>
              </w:rPr>
              <w:t>January 1,</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8"/>
              </w:rPr>
              <w:t>Year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2018 to</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96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(in thousands)</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29,307</w:t>
            </w: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86"/>
              </w:rPr>
              <w:t>130,160</w:t>
            </w: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83,648</w:t>
            </w: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87"/>
              </w:rPr>
              <w:t>93,161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Basic Weighted Average Shares 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89"/>
              </w:rPr>
              <w:t>159,996</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86"/>
              </w:rPr>
              <w:t>155,060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line="202" w:lineRule="exact"/>
              <w:rPr>
                <w:sz w:val="20"/>
                <w:szCs w:val="20"/>
                <w:color w:val="auto"/>
              </w:rPr>
            </w:pPr>
            <w:r>
              <w:rPr>
                <w:rFonts w:ascii="Arial" w:cs="Arial" w:eastAsia="Arial" w:hAnsi="Arial"/>
                <w:sz w:val="18"/>
                <w:szCs w:val="18"/>
                <w:color w:val="auto"/>
              </w:rPr>
              <w:t>153,046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spacing w:after="0" w:line="202" w:lineRule="exact"/>
              <w:rPr>
                <w:sz w:val="20"/>
                <w:szCs w:val="20"/>
                <w:color w:val="auto"/>
              </w:rPr>
            </w:pPr>
            <w:r>
              <w:rPr>
                <w:rFonts w:ascii="Arial" w:cs="Arial" w:eastAsia="Arial" w:hAnsi="Arial"/>
                <w:sz w:val="18"/>
                <w:szCs w:val="18"/>
                <w:color w:val="auto"/>
                <w:w w:val="89"/>
              </w:rPr>
              <w:t>151,902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Effect of Conversion to Equity Settled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PRSU</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160,012</w:t>
            </w: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right w:val="single" w:sz="8" w:color="auto"/>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155,060</w:t>
            </w:r>
          </w:p>
        </w:tc>
        <w:tc>
          <w:tcPr>
            <w:tcW w:w="1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153,046</w:t>
            </w:r>
          </w:p>
        </w:tc>
        <w:tc>
          <w:tcPr>
            <w:tcW w:w="1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151,902</w:t>
            </w:r>
          </w:p>
        </w:tc>
        <w:tc>
          <w:tcPr>
            <w:tcW w:w="20" w:type="dxa"/>
            <w:vAlign w:val="bottom"/>
            <w:tcBorders>
              <w:top w:val="single" w:sz="8" w:color="CCEEFF"/>
              <w:bottom w:val="single" w:sz="8" w:color="CCEEFF"/>
            </w:tcBorders>
          </w:tcPr>
          <w:p>
            <w:pPr>
              <w:spacing w:after="0"/>
              <w:rPr>
                <w:sz w:val="21"/>
                <w:szCs w:val="21"/>
                <w:color w:val="auto"/>
              </w:rPr>
            </w:pPr>
          </w:p>
        </w:tc>
        <w:tc>
          <w:tcPr>
            <w:tcW w:w="60" w:type="dxa"/>
            <w:vAlign w:val="bottom"/>
            <w:tcBorders>
              <w:top w:val="single" w:sz="8" w:color="CCEEFF"/>
              <w:bottom w:val="single" w:sz="8" w:color="CCEEFF"/>
            </w:tcBorders>
          </w:tcPr>
          <w:p>
            <w:pPr>
              <w:spacing w:after="0"/>
              <w:rPr>
                <w:sz w:val="21"/>
                <w:szCs w:val="21"/>
                <w:color w:val="auto"/>
              </w:rPr>
            </w:pPr>
          </w:p>
        </w:tc>
        <w:tc>
          <w:tcPr>
            <w:tcW w:w="4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Basic Net Income Per Share</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183.17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839.42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8"/>
                <w:szCs w:val="18"/>
                <w:color w:val="auto"/>
                <w:w w:val="83"/>
              </w:rPr>
              <w:t>546.55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8"/>
                <w:szCs w:val="18"/>
                <w:color w:val="auto"/>
                <w:w w:val="83"/>
              </w:rPr>
              <w:t>613.30</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right w:val="single" w:sz="8" w:color="auto"/>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183.16</w:t>
            </w:r>
          </w:p>
        </w:tc>
        <w:tc>
          <w:tcPr>
            <w:tcW w:w="80" w:type="dxa"/>
            <w:vAlign w:val="bottom"/>
            <w:vMerge w:val="continue"/>
          </w:tcPr>
          <w:p>
            <w:pPr>
              <w:spacing w:after="0"/>
              <w:rPr>
                <w:sz w:val="17"/>
                <w:szCs w:val="17"/>
                <w:color w:val="auto"/>
              </w:rPr>
            </w:pPr>
          </w:p>
        </w:tc>
        <w:tc>
          <w:tcPr>
            <w:tcW w:w="100" w:type="dxa"/>
            <w:vAlign w:val="bottom"/>
            <w:tcBorders>
              <w:right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839.42</w:t>
            </w: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w w:val="83"/>
              </w:rPr>
              <w:t>546.55</w:t>
            </w: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w w:val="83"/>
              </w:rPr>
              <w:t>613.30</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-1088390</wp:posOffset>
            </wp:positionV>
            <wp:extent cx="1714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-1088390</wp:posOffset>
            </wp:positionV>
            <wp:extent cx="13716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-1088390</wp:posOffset>
            </wp:positionV>
            <wp:extent cx="13716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-1088390</wp:posOffset>
            </wp:positionV>
            <wp:extent cx="325882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Shares from the convertible term note payable totaling 644 and 1,835 for the years ended December 31,</w:t>
      </w:r>
    </w:p>
    <w:p>
      <w:pPr>
        <w:spacing w:after="0" w:line="23" w:lineRule="exact"/>
        <w:rPr>
          <w:sz w:val="20"/>
          <w:szCs w:val="20"/>
          <w:color w:val="auto"/>
        </w:rPr>
      </w:pPr>
    </w:p>
    <w:p>
      <w:pPr>
        <w:jc w:val="both"/>
        <w:ind w:left="1260" w:right="1440"/>
        <w:spacing w:after="0" w:line="255" w:lineRule="auto"/>
        <w:rPr>
          <w:sz w:val="20"/>
          <w:szCs w:val="20"/>
          <w:color w:val="auto"/>
        </w:rPr>
      </w:pPr>
      <w:r>
        <w:rPr>
          <w:rFonts w:ascii="Arial" w:cs="Arial" w:eastAsia="Arial" w:hAnsi="Arial"/>
          <w:sz w:val="18"/>
          <w:szCs w:val="18"/>
          <w:color w:val="auto"/>
        </w:rPr>
        <w:t>2017 and 2016, respectively, and shares from the contingent consideration payable totaling 3,920 for January 1, 2018 to September 30, 2018 were excluded from the computation of diluted net income per share because their effect would have been anti-dilutive.</w:t>
      </w:r>
    </w:p>
    <w:p>
      <w:pPr>
        <w:spacing w:after="0" w:line="82" w:lineRule="exact"/>
        <w:rPr>
          <w:sz w:val="20"/>
          <w:szCs w:val="20"/>
          <w:color w:val="auto"/>
        </w:rPr>
      </w:pPr>
    </w:p>
    <w:p>
      <w:pPr>
        <w:ind w:left="1260" w:right="1400" w:firstLine="360"/>
        <w:spacing w:after="0" w:line="277" w:lineRule="auto"/>
        <w:rPr>
          <w:sz w:val="20"/>
          <w:szCs w:val="20"/>
          <w:color w:val="auto"/>
        </w:rPr>
      </w:pPr>
      <w:r>
        <w:rPr>
          <w:rFonts w:ascii="Arial" w:cs="Arial" w:eastAsia="Arial" w:hAnsi="Arial"/>
          <w:sz w:val="18"/>
          <w:szCs w:val="18"/>
          <w:color w:val="auto"/>
        </w:rPr>
        <w:t>Net income per share are the same for all classes of the Company’s shares since each class of share equally participates in the earnings of the Company.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19.  Regulatory Capital Requirements</w:t>
      </w:r>
    </w:p>
    <w:p>
      <w:pPr>
        <w:spacing w:after="0" w:line="108" w:lineRule="exact"/>
        <w:rPr>
          <w:sz w:val="20"/>
          <w:szCs w:val="20"/>
          <w:color w:val="auto"/>
        </w:rPr>
      </w:pPr>
    </w:p>
    <w:p>
      <w:pPr>
        <w:ind w:left="1260" w:right="1300" w:firstLine="360"/>
        <w:spacing w:after="0" w:line="264" w:lineRule="auto"/>
        <w:rPr>
          <w:sz w:val="20"/>
          <w:szCs w:val="20"/>
          <w:color w:val="auto"/>
        </w:rPr>
      </w:pPr>
      <w:r>
        <w:rPr>
          <w:rFonts w:ascii="Arial" w:cs="Arial" w:eastAsia="Arial" w:hAnsi="Arial"/>
          <w:sz w:val="18"/>
          <w:szCs w:val="18"/>
          <w:color w:val="auto"/>
        </w:rPr>
        <w:t>TWL, DW and TWD are subject to the Uniform Net Capital Rule 15c3-1 under the Securities Exchange Act of 1934. TEL is subject to certain financial resource requirements with the FCA in the UK and TWJ are subject to certain financial resource requirements with the FCA in Japan.</w:t>
      </w:r>
    </w:p>
    <w:p>
      <w:pPr>
        <w:spacing w:after="0" w:line="73" w:lineRule="exact"/>
        <w:rPr>
          <w:sz w:val="20"/>
          <w:szCs w:val="20"/>
          <w:color w:val="auto"/>
        </w:rPr>
      </w:pPr>
    </w:p>
    <w:p>
      <w:pPr>
        <w:ind w:left="1260" w:right="1480" w:firstLine="360"/>
        <w:spacing w:after="0" w:line="277" w:lineRule="auto"/>
        <w:rPr>
          <w:sz w:val="20"/>
          <w:szCs w:val="20"/>
          <w:color w:val="auto"/>
        </w:rPr>
      </w:pPr>
      <w:r>
        <w:rPr>
          <w:rFonts w:ascii="Arial" w:cs="Arial" w:eastAsia="Arial" w:hAnsi="Arial"/>
          <w:sz w:val="18"/>
          <w:szCs w:val="18"/>
          <w:color w:val="auto"/>
        </w:rPr>
        <w:t>At December 31, 2018 and December 31, 2017, the regulatory capital requirements and regulatory capital for TWL, DW, TWD, TEL and TWJ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Predecessor</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16"/>
                <w:szCs w:val="16"/>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16"/>
                <w:szCs w:val="16"/>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16"/>
                <w:szCs w:val="16"/>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TEL</w:t>
            </w:r>
          </w:p>
        </w:tc>
        <w:tc>
          <w:tcPr>
            <w:tcW w:w="10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TWJ</w:t>
            </w:r>
          </w:p>
        </w:tc>
      </w:tr>
      <w:tr>
        <w:trPr>
          <w:trHeight w:val="26"/>
        </w:trPr>
        <w:tc>
          <w:tcPr>
            <w:tcW w:w="1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61"/>
        </w:trPr>
        <w:tc>
          <w:tcPr>
            <w:tcW w:w="12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37"/>
        </w:trPr>
        <w:tc>
          <w:tcPr>
            <w:tcW w:w="1260" w:type="dxa"/>
            <w:vAlign w:val="bottom"/>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 of December 31, 2017</w:t>
            </w: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Regulatory Capital</w:t>
            </w:r>
          </w:p>
        </w:tc>
        <w:tc>
          <w:tcPr>
            <w:tcW w:w="1620" w:type="dxa"/>
            <w:vAlign w:val="bottom"/>
            <w:tcBorders>
              <w:top w:val="single" w:sz="8" w:color="CCEEFF"/>
            </w:tcBorders>
          </w:tcPr>
          <w:p>
            <w:pPr>
              <w:spacing w:after="0"/>
              <w:rPr>
                <w:sz w:val="22"/>
                <w:szCs w:val="22"/>
                <w:color w:val="auto"/>
              </w:rPr>
            </w:pPr>
          </w:p>
        </w:tc>
        <w:tc>
          <w:tcPr>
            <w:tcW w:w="2000" w:type="dxa"/>
            <w:vAlign w:val="bottom"/>
            <w:tcBorders>
              <w:top w:val="single" w:sz="8" w:color="CCEEFF"/>
            </w:tcBorders>
            <w:gridSpan w:val="6"/>
          </w:tcPr>
          <w:p>
            <w:pPr>
              <w:jc w:val="right"/>
              <w:ind w:right="120"/>
              <w:spacing w:after="0"/>
              <w:rPr>
                <w:sz w:val="20"/>
                <w:szCs w:val="20"/>
                <w:color w:val="auto"/>
              </w:rPr>
            </w:pPr>
            <w:r>
              <w:rPr>
                <w:rFonts w:ascii="Arial" w:cs="Arial" w:eastAsia="Arial" w:hAnsi="Arial"/>
                <w:sz w:val="18"/>
                <w:szCs w:val="18"/>
                <w:color w:val="auto"/>
              </w:rPr>
              <w:t>$22,551</w:t>
            </w:r>
          </w:p>
        </w:tc>
        <w:tc>
          <w:tcPr>
            <w:tcW w:w="840" w:type="dxa"/>
            <w:vAlign w:val="bottom"/>
            <w:tcBorders>
              <w:top w:val="single" w:sz="8" w:color="CCEEFF"/>
            </w:tcBorders>
            <w:gridSpan w:val="4"/>
          </w:tcPr>
          <w:p>
            <w:pPr>
              <w:jc w:val="right"/>
              <w:ind w:right="140"/>
              <w:spacing w:after="0"/>
              <w:rPr>
                <w:sz w:val="20"/>
                <w:szCs w:val="20"/>
                <w:color w:val="auto"/>
              </w:rPr>
            </w:pPr>
            <w:r>
              <w:rPr>
                <w:rFonts w:ascii="Arial" w:cs="Arial" w:eastAsia="Arial" w:hAnsi="Arial"/>
                <w:sz w:val="18"/>
                <w:szCs w:val="18"/>
                <w:color w:val="auto"/>
              </w:rPr>
              <w:t>$35,546</w:t>
            </w:r>
          </w:p>
        </w:tc>
        <w:tc>
          <w:tcPr>
            <w:tcW w:w="820" w:type="dxa"/>
            <w:vAlign w:val="bottom"/>
            <w:tcBorders>
              <w:top w:val="single" w:sz="8" w:color="CCEEFF"/>
            </w:tcBorders>
            <w:gridSpan w:val="4"/>
          </w:tcPr>
          <w:p>
            <w:pPr>
              <w:jc w:val="right"/>
              <w:ind w:right="140"/>
              <w:spacing w:after="0"/>
              <w:rPr>
                <w:sz w:val="20"/>
                <w:szCs w:val="20"/>
                <w:color w:val="auto"/>
              </w:rPr>
            </w:pPr>
            <w:r>
              <w:rPr>
                <w:rFonts w:ascii="Arial" w:cs="Arial" w:eastAsia="Arial" w:hAnsi="Arial"/>
                <w:sz w:val="18"/>
                <w:szCs w:val="18"/>
                <w:color w:val="auto"/>
              </w:rPr>
              <w:t>$16,965</w:t>
            </w:r>
          </w:p>
        </w:tc>
        <w:tc>
          <w:tcPr>
            <w:tcW w:w="820" w:type="dxa"/>
            <w:vAlign w:val="bottom"/>
            <w:tcBorders>
              <w:top w:val="single" w:sz="8" w:color="CCEEFF"/>
            </w:tcBorders>
            <w:gridSpan w:val="4"/>
          </w:tcPr>
          <w:p>
            <w:pPr>
              <w:jc w:val="right"/>
              <w:ind w:right="120"/>
              <w:spacing w:after="0"/>
              <w:rPr>
                <w:sz w:val="20"/>
                <w:szCs w:val="20"/>
                <w:color w:val="auto"/>
              </w:rPr>
            </w:pPr>
            <w:r>
              <w:rPr>
                <w:rFonts w:ascii="Arial" w:cs="Arial" w:eastAsia="Arial" w:hAnsi="Arial"/>
                <w:sz w:val="18"/>
                <w:szCs w:val="18"/>
                <w:color w:val="auto"/>
              </w:rPr>
              <w:t>$31,509</w:t>
            </w: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$5,326</w:t>
            </w:r>
          </w:p>
        </w:tc>
        <w:tc>
          <w:tcPr>
            <w:tcW w:w="126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 Requirement</w:t>
            </w:r>
          </w:p>
        </w:tc>
        <w:tc>
          <w:tcPr>
            <w:tcW w:w="9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1,612</w:t>
            </w:r>
          </w:p>
        </w:tc>
        <w:tc>
          <w:tcPr>
            <w:tcW w:w="8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8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18,034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Excess Regulatory Capital</w:t>
            </w:r>
          </w:p>
        </w:tc>
        <w:tc>
          <w:tcPr>
            <w:tcW w:w="1280" w:type="dxa"/>
            <w:vAlign w:val="bottom"/>
            <w:gridSpan w:val="3"/>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20,962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33,934</w:t>
            </w:r>
          </w:p>
        </w:tc>
        <w:tc>
          <w:tcPr>
            <w:tcW w:w="82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16,587</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13,475</w:t>
            </w:r>
          </w:p>
        </w:tc>
        <w:tc>
          <w:tcPr>
            <w:tcW w:w="1860" w:type="dxa"/>
            <w:vAlign w:val="bottom"/>
            <w:gridSpan w:val="3"/>
          </w:tcPr>
          <w:p>
            <w:pPr>
              <w:jc w:val="right"/>
              <w:ind w:right="1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4,365</w:t>
            </w:r>
          </w:p>
        </w:tc>
      </w:tr>
      <w:tr>
        <w:trPr>
          <w:trHeight w:val="20"/>
        </w:trPr>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
        </w:trPr>
        <w:tc>
          <w:tcPr>
            <w:tcW w:w="126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r>
      <w:tr>
        <w:trPr>
          <w:trHeight w:val="387"/>
        </w:trPr>
        <w:tc>
          <w:tcPr>
            <w:tcW w:w="126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24"/>
                <w:szCs w:val="24"/>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24"/>
                <w:szCs w:val="2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24"/>
                <w:szCs w:val="24"/>
                <w:color w:val="auto"/>
              </w:rPr>
            </w:pPr>
          </w:p>
        </w:tc>
        <w:tc>
          <w:tcPr>
            <w:tcW w:w="7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TEL</w:t>
            </w:r>
          </w:p>
        </w:tc>
        <w:tc>
          <w:tcPr>
            <w:tcW w:w="100" w:type="dxa"/>
            <w:vAlign w:val="bottom"/>
          </w:tcPr>
          <w:p>
            <w:pPr>
              <w:spacing w:after="0"/>
              <w:rPr>
                <w:sz w:val="24"/>
                <w:szCs w:val="24"/>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TWJ</w:t>
            </w:r>
          </w:p>
        </w:tc>
      </w:tr>
      <w:tr>
        <w:trPr>
          <w:trHeight w:val="26"/>
        </w:trPr>
        <w:tc>
          <w:tcPr>
            <w:tcW w:w="1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260" w:type="dxa"/>
            <w:vAlign w:val="bottom"/>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 of December 31, 2018</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6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Regulatory Capital</w:t>
            </w:r>
          </w:p>
        </w:tc>
        <w:tc>
          <w:tcPr>
            <w:tcW w:w="1620" w:type="dxa"/>
            <w:vAlign w:val="bottom"/>
            <w:tcBorders>
              <w:top w:val="single" w:sz="8" w:color="CCEEFF"/>
            </w:tcBorders>
          </w:tcPr>
          <w:p>
            <w:pPr>
              <w:spacing w:after="0"/>
              <w:rPr>
                <w:sz w:val="19"/>
                <w:szCs w:val="19"/>
                <w:color w:val="auto"/>
              </w:rPr>
            </w:pPr>
          </w:p>
        </w:tc>
        <w:tc>
          <w:tcPr>
            <w:tcW w:w="1880" w:type="dxa"/>
            <w:vAlign w:val="bottom"/>
            <w:tcBorders>
              <w:top w:val="single" w:sz="8" w:color="CCEEFF"/>
            </w:tcBorders>
            <w:gridSpan w:val="5"/>
          </w:tcPr>
          <w:p>
            <w:pPr>
              <w:jc w:val="right"/>
              <w:ind w:right="100"/>
              <w:spacing w:after="0"/>
              <w:rPr>
                <w:sz w:val="20"/>
                <w:szCs w:val="20"/>
                <w:color w:val="auto"/>
              </w:rPr>
            </w:pPr>
            <w:r>
              <w:rPr>
                <w:rFonts w:ascii="Arial" w:cs="Arial" w:eastAsia="Arial" w:hAnsi="Arial"/>
                <w:sz w:val="18"/>
                <w:szCs w:val="18"/>
                <w:color w:val="auto"/>
              </w:rPr>
              <w:t>$18,986</w:t>
            </w:r>
          </w:p>
        </w:tc>
        <w:tc>
          <w:tcPr>
            <w:tcW w:w="1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w w:val="89"/>
              </w:rPr>
              <w:t>$41,164</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w w:val="89"/>
              </w:rPr>
              <w:t>$24,042</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w w:val="89"/>
              </w:rPr>
              <w:t>$46,157</w:t>
            </w:r>
          </w:p>
        </w:tc>
        <w:tc>
          <w:tcPr>
            <w:tcW w:w="14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9"/>
              </w:rPr>
              <w:t>$10,592</w:t>
            </w:r>
          </w:p>
        </w:tc>
        <w:tc>
          <w:tcPr>
            <w:tcW w:w="1260" w:type="dxa"/>
            <w:vAlign w:val="bottom"/>
          </w:tcPr>
          <w:p>
            <w:pPr>
              <w:spacing w:after="0"/>
              <w:rPr>
                <w:sz w:val="19"/>
                <w:szCs w:val="19"/>
                <w:color w:val="auto"/>
              </w:rPr>
            </w:pPr>
          </w:p>
        </w:tc>
      </w:tr>
      <w:tr>
        <w:trPr>
          <w:trHeight w:val="263"/>
        </w:trPr>
        <w:tc>
          <w:tcPr>
            <w:tcW w:w="126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 Requirement</w:t>
            </w: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1,803</w:t>
            </w:r>
          </w:p>
        </w:tc>
        <w:tc>
          <w:tcPr>
            <w:tcW w:w="1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1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17,493</w:t>
            </w:r>
          </w:p>
        </w:tc>
        <w:tc>
          <w:tcPr>
            <w:tcW w:w="140" w:type="dxa"/>
            <w:vAlign w:val="bottom"/>
            <w:tcBorders>
              <w:right w:val="single" w:sz="8" w:color="CCEEFF"/>
            </w:tcBorders>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Excess Regulatory Capital</w:t>
            </w:r>
          </w:p>
        </w:tc>
        <w:tc>
          <w:tcPr>
            <w:tcW w:w="1180" w:type="dxa"/>
            <w:vAlign w:val="bottom"/>
            <w:gridSpan w:val="2"/>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16,288</w:t>
            </w:r>
          </w:p>
        </w:tc>
        <w:tc>
          <w:tcPr>
            <w:tcW w:w="12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39,361</w:t>
            </w:r>
          </w:p>
        </w:tc>
        <w:tc>
          <w:tcPr>
            <w:tcW w:w="14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23,443</w:t>
            </w:r>
          </w:p>
        </w:tc>
        <w:tc>
          <w:tcPr>
            <w:tcW w:w="14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28,664</w:t>
            </w:r>
          </w:p>
        </w:tc>
        <w:tc>
          <w:tcPr>
            <w:tcW w:w="140" w:type="dxa"/>
            <w:vAlign w:val="bottom"/>
          </w:tcPr>
          <w:p>
            <w:pPr>
              <w:spacing w:after="0"/>
              <w:rPr>
                <w:sz w:val="22"/>
                <w:szCs w:val="22"/>
                <w:color w:val="auto"/>
              </w:rPr>
            </w:pPr>
          </w:p>
        </w:tc>
        <w:tc>
          <w:tcPr>
            <w:tcW w:w="1860" w:type="dxa"/>
            <w:vAlign w:val="bottom"/>
            <w:gridSpan w:val="3"/>
          </w:tcPr>
          <w:p>
            <w:pPr>
              <w:jc w:val="right"/>
              <w:ind w:right="1260"/>
              <w:spacing w:after="0"/>
              <w:rPr>
                <w:sz w:val="20"/>
                <w:szCs w:val="20"/>
                <w:color w:val="auto"/>
              </w:rPr>
            </w:pPr>
            <w:r>
              <w:rPr>
                <w:rFonts w:ascii="Arial" w:cs="Arial" w:eastAsia="Arial" w:hAnsi="Arial"/>
                <w:sz w:val="18"/>
                <w:szCs w:val="18"/>
                <w:color w:val="auto"/>
                <w:w w:val="96"/>
              </w:rPr>
              <w:t>$ 7,179</w:t>
            </w:r>
          </w:p>
        </w:tc>
      </w:tr>
      <w:tr>
        <w:trPr>
          <w:trHeight w:val="20"/>
        </w:trPr>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07"/>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0" w:type="dxa"/>
            <w:vAlign w:val="bottom"/>
            <w:gridSpan w:val="6"/>
          </w:tcPr>
          <w:p>
            <w:pPr>
              <w:ind w:left="800"/>
              <w:spacing w:after="0"/>
              <w:rPr>
                <w:sz w:val="20"/>
                <w:szCs w:val="20"/>
                <w:color w:val="auto"/>
              </w:rPr>
            </w:pPr>
            <w:r>
              <w:rPr>
                <w:rFonts w:ascii="Arial" w:cs="Arial" w:eastAsia="Arial" w:hAnsi="Arial"/>
                <w:sz w:val="18"/>
                <w:szCs w:val="18"/>
                <w:color w:val="auto"/>
              </w:rPr>
              <w:t>F-32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-2314575</wp:posOffset>
            </wp:positionV>
            <wp:extent cx="13716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-2314575</wp:posOffset>
            </wp:positionV>
            <wp:extent cx="13716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-2314575</wp:posOffset>
            </wp:positionV>
            <wp:extent cx="13716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-2314575</wp:posOffset>
            </wp:positionV>
            <wp:extent cx="13716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-2314575</wp:posOffset>
            </wp:positionV>
            <wp:extent cx="13716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-1259840</wp:posOffset>
            </wp:positionV>
            <wp:extent cx="13716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-1259840</wp:posOffset>
            </wp:positionV>
            <wp:extent cx="13716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-1259840</wp:posOffset>
            </wp:positionV>
            <wp:extent cx="13716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-1259840</wp:posOffset>
            </wp:positionV>
            <wp:extent cx="13716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-1259840</wp:posOffset>
            </wp:positionV>
            <wp:extent cx="13716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50" w:name="page251"/>
    <w:bookmarkEnd w:id="250"/>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As SEFs, TW SEF and DW SEF are required to maintain adequate financial resources and liquid financial assets in accordance with CFTC regulations. The required and maintained financial resources and liquid financial assets at December 31, 2018 and December 31, 2017 are as follows (in thousands):</w:t>
      </w:r>
    </w:p>
    <w:p>
      <w:pPr>
        <w:spacing w:after="0" w:line="63"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4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3"/>
            <w:vMerge w:val="restart"/>
          </w:tcPr>
          <w:p>
            <w:pPr>
              <w:jc w:val="center"/>
              <w:ind w:right="13"/>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gridSpan w:val="2"/>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TW SEF</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DW SEF</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TW SEF</w:t>
            </w:r>
          </w:p>
        </w:tc>
        <w:tc>
          <w:tcPr>
            <w:tcW w:w="2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DW SEF</w:t>
            </w:r>
          </w:p>
        </w:tc>
        <w:tc>
          <w:tcPr>
            <w:tcW w:w="4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Resources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17,837</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23,349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$20,069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Required Financial Resources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10,500</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Excess Financial Resources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20,732</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12,668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12,849</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14,194</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20" w:type="dxa"/>
            <w:vAlign w:val="bottom"/>
            <w:gridSpan w:val="2"/>
          </w:tcPr>
          <w:p>
            <w:pPr>
              <w:spacing w:after="0"/>
              <w:rPr>
                <w:sz w:val="20"/>
                <w:szCs w:val="20"/>
                <w:color w:val="auto"/>
              </w:rPr>
            </w:pPr>
            <w:r>
              <w:rPr>
                <w:rFonts w:ascii="Arial" w:cs="Arial" w:eastAsia="Arial" w:hAnsi="Arial"/>
                <w:sz w:val="18"/>
                <w:szCs w:val="18"/>
                <w:color w:val="auto"/>
              </w:rPr>
              <w:t>Liquid Financial Assets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$16,662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11,888</w:t>
            </w: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14,084</w:t>
            </w:r>
          </w:p>
        </w:tc>
        <w:tc>
          <w:tcPr>
            <w:tcW w:w="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$13,865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Required Liquid Financial Assets</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gridSpan w:val="2"/>
          </w:tcPr>
          <w:p>
            <w:pPr>
              <w:spacing w:after="0"/>
              <w:rPr>
                <w:sz w:val="20"/>
                <w:szCs w:val="20"/>
                <w:color w:val="auto"/>
              </w:rPr>
            </w:pPr>
            <w:r>
              <w:rPr>
                <w:rFonts w:ascii="Arial" w:cs="Arial" w:eastAsia="Arial" w:hAnsi="Arial"/>
                <w:sz w:val="18"/>
                <w:szCs w:val="18"/>
                <w:color w:val="auto"/>
              </w:rPr>
              <w:t>Excess Liquid Financial Assets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11,412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220" w:type="dxa"/>
            <w:vAlign w:val="bottom"/>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10,972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4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-248285</wp:posOffset>
            </wp:positionV>
            <wp:extent cx="1714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-788035</wp:posOffset>
            </wp:positionV>
            <wp:extent cx="1714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-788035</wp:posOffset>
            </wp:positionV>
            <wp:extent cx="14605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-788035</wp:posOffset>
            </wp:positionV>
            <wp:extent cx="383349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3833495"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-1088390</wp:posOffset>
            </wp:positionV>
            <wp:extent cx="1714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-1088390</wp:posOffset>
            </wp:positionV>
            <wp:extent cx="13716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-1088390</wp:posOffset>
            </wp:positionV>
            <wp:extent cx="382460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  Employees Savings Plan</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Company sponsors a 401(k) savings plan for its US employees. Employees may voluntarily contribute up to 75% of their annual compensation, including bonus. The Company matches 100% of the employee’s contribution, up to 4% of their annual compensation, which vests immediately. Company’s expense for matching contributions under the plans was $738,000, $3,758,000, $4,137,000 and $4,179,000, for October 1, 2018 to December 31, 2018, January 1, 2018 to September 30, 2018 and for the years ended December 31, 2017 and 2016, respectively.</w:t>
      </w:r>
    </w:p>
    <w:p>
      <w:pPr>
        <w:spacing w:after="0" w:line="85" w:lineRule="exact"/>
        <w:rPr>
          <w:sz w:val="20"/>
          <w:szCs w:val="20"/>
          <w:color w:val="auto"/>
        </w:rPr>
      </w:pPr>
    </w:p>
    <w:p>
      <w:pPr>
        <w:ind w:left="1260" w:right="919" w:firstLine="360"/>
        <w:spacing w:after="0" w:line="312" w:lineRule="auto"/>
        <w:rPr>
          <w:sz w:val="20"/>
          <w:szCs w:val="20"/>
          <w:color w:val="auto"/>
        </w:rPr>
      </w:pPr>
      <w:r>
        <w:rPr>
          <w:rFonts w:ascii="Arial" w:cs="Arial" w:eastAsia="Arial" w:hAnsi="Arial"/>
          <w:sz w:val="16"/>
          <w:szCs w:val="16"/>
          <w:color w:val="auto"/>
        </w:rPr>
        <w:t>The Company has deferred compensation plans for its UK and Asia employees. Employer contributions to the plans were $423,000, $1,113,000, $1,242,000 and $1,181,000 for October 1, 2018 to December 31, 2018, January 1, 2018 to September 30, 2018 and for the years ended December 31, 2017 and 2016, respectively.</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21.  Business Segment and Geographic Information</w:t>
      </w:r>
    </w:p>
    <w:p>
      <w:pPr>
        <w:spacing w:after="0" w:line="108"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The Company operates electronic marketplaces for the trading of products across the rates, credit, money markets and equities asset classes and provides related pre-trade pricing and post-trade processing services. The Company’s operations constitute a single business segment because of the integrated nature of these marketplaces and services. Information regarding revenue by client sector is as follows (in thousands):</w:t>
      </w:r>
    </w:p>
    <w:p>
      <w:pPr>
        <w:spacing w:after="0" w:line="65"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vMerge w:val="restart"/>
          </w:tcPr>
          <w:p>
            <w:pPr>
              <w:spacing w:after="0"/>
              <w:rPr>
                <w:sz w:val="3"/>
                <w:szCs w:val="3"/>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vMerge w:val="restart"/>
          </w:tcPr>
          <w:p>
            <w:pPr>
              <w:spacing w:after="0"/>
              <w:rPr>
                <w:sz w:val="3"/>
                <w:szCs w:val="3"/>
                <w:color w:val="auto"/>
              </w:rPr>
            </w:pPr>
          </w:p>
        </w:tc>
        <w:tc>
          <w:tcPr>
            <w:tcW w:w="11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8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20" w:type="dxa"/>
            <w:vAlign w:val="bottom"/>
          </w:tcPr>
          <w:p>
            <w:pPr>
              <w:spacing w:after="0"/>
              <w:rPr>
                <w:sz w:val="14"/>
                <w:szCs w:val="14"/>
                <w:color w:val="auto"/>
              </w:rPr>
            </w:pPr>
          </w:p>
        </w:tc>
        <w:tc>
          <w:tcPr>
            <w:tcW w:w="12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January 1, 2018 to</w:t>
            </w:r>
          </w:p>
        </w:tc>
        <w:tc>
          <w:tcPr>
            <w:tcW w:w="1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 2018</w:t>
            </w:r>
          </w:p>
        </w:tc>
        <w:tc>
          <w:tcPr>
            <w:tcW w:w="1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Institutional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103,971</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$301,918</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318,038</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285,801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Wholesale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38,153</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99,028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118,451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109,945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57,766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70,857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67,471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 Data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16,733</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47,059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55,622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(26,830)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(58,520)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(26,224)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178,637</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478,941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504,448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492,180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146,702</w:t>
            </w:r>
          </w:p>
        </w:tc>
        <w:tc>
          <w:tcPr>
            <w:tcW w:w="10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338,607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415,356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399,049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31,935</w:t>
            </w: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140,334</w:t>
            </w: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89,092</w:t>
            </w: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93,131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-248285</wp:posOffset>
            </wp:positionV>
            <wp:extent cx="17145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-248285</wp:posOffset>
            </wp:positionV>
            <wp:extent cx="44577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-248285</wp:posOffset>
            </wp:positionV>
            <wp:extent cx="45466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283019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-548005</wp:posOffset>
            </wp:positionV>
            <wp:extent cx="17145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-548005</wp:posOffset>
            </wp:positionV>
            <wp:extent cx="44577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-548005</wp:posOffset>
            </wp:positionV>
            <wp:extent cx="45466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-548005</wp:posOffset>
            </wp:positionV>
            <wp:extent cx="283019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-1397000</wp:posOffset>
            </wp:positionV>
            <wp:extent cx="1714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-1397000</wp:posOffset>
            </wp:positionV>
            <wp:extent cx="13716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-1397000</wp:posOffset>
            </wp:positionV>
            <wp:extent cx="13716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-1397000</wp:posOffset>
            </wp:positionV>
            <wp:extent cx="12890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-1397000</wp:posOffset>
            </wp:positionV>
            <wp:extent cx="179260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1" w:name="page252"/>
    <w:bookmarkEnd w:id="251"/>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The Company operates in the U.S. and internationally, primarily in Europe and Asia. Revenues are attributed to geographic area based on the jurisdiction where the underlying transactions take place. Long-lived assets are attributed to the geographic area based on the location of the particular subsidiary. Information regarding revenue for October 1, 2018 to December 31, 2018, January 1, 2018 to September 30, 2018 and for the years ended December 31, 2017 and 2016 and long-lived assets as of December 31, 2018 and December 31, 2017 is as follows (in thousands):</w:t>
      </w:r>
    </w:p>
    <w:p>
      <w:pPr>
        <w:spacing w:after="0" w:line="2" w:lineRule="exact"/>
        <w:rPr>
          <w:sz w:val="20"/>
          <w:szCs w:val="20"/>
          <w:color w:val="auto"/>
        </w:rPr>
      </w:pPr>
    </w:p>
    <w:tbl>
      <w:tblPr>
        <w:tblLayout w:type="fixed"/>
        <w:tblInd w:w="1260" w:type="dxa"/>
        <w:tblCellMar>
          <w:top w:w="0" w:type="dxa"/>
          <w:left w:w="0" w:type="dxa"/>
          <w:bottom w:w="0" w:type="dxa"/>
          <w:right w:w="0" w:type="dxa"/>
        </w:tblCellMar>
      </w:tblP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98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300" w:type="dxa"/>
            <w:vAlign w:val="bottom"/>
            <w:gridSpan w:val="7"/>
            <w:vMerge w:val="restart"/>
          </w:tcPr>
          <w:p>
            <w:pPr>
              <w:jc w:val="center"/>
              <w:ind w:right="320"/>
              <w:spacing w:after="0"/>
              <w:rPr>
                <w:sz w:val="20"/>
                <w:szCs w:val="20"/>
                <w:color w:val="auto"/>
              </w:rPr>
            </w:pPr>
            <w:r>
              <w:rPr>
                <w:rFonts w:ascii="Arial" w:cs="Arial" w:eastAsia="Arial" w:hAnsi="Arial"/>
                <w:sz w:val="14"/>
                <w:szCs w:val="14"/>
                <w:b w:val="1"/>
                <w:bCs w:val="1"/>
                <w:color w:val="auto"/>
                <w:w w:val="87"/>
              </w:rPr>
              <w:t>Predecessor</w:t>
            </w:r>
          </w:p>
        </w:tc>
        <w:tc>
          <w:tcPr>
            <w:tcW w:w="10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90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vMerge w:val="continue"/>
          </w:tcPr>
          <w:p>
            <w:pPr>
              <w:spacing w:after="0"/>
              <w:rPr>
                <w:sz w:val="12"/>
                <w:szCs w:val="12"/>
                <w:color w:val="auto"/>
              </w:rPr>
            </w:pPr>
          </w:p>
        </w:tc>
        <w:tc>
          <w:tcPr>
            <w:tcW w:w="1300" w:type="dxa"/>
            <w:vAlign w:val="bottom"/>
            <w:gridSpan w:val="7"/>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120" w:type="dxa"/>
            <w:vAlign w:val="bottom"/>
            <w:tcBorders>
              <w:left w:val="single" w:sz="8" w:color="auto"/>
            </w:tcBorders>
          </w:tcPr>
          <w:p>
            <w:pPr>
              <w:spacing w:after="0"/>
              <w:rPr>
                <w:sz w:val="14"/>
                <w:szCs w:val="14"/>
                <w:color w:val="auto"/>
              </w:rPr>
            </w:pPr>
          </w:p>
        </w:tc>
        <w:tc>
          <w:tcPr>
            <w:tcW w:w="14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January 1, 2018 to</w:t>
            </w: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6"/>
                <w:szCs w:val="16"/>
                <w:color w:val="auto"/>
              </w:rPr>
            </w:pPr>
          </w:p>
        </w:tc>
        <w:tc>
          <w:tcPr>
            <w:tcW w:w="14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September 30, 2018</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U.S.</w:t>
            </w:r>
          </w:p>
        </w:tc>
        <w:tc>
          <w:tcPr>
            <w:tcW w:w="1320" w:type="dxa"/>
            <w:vAlign w:val="bottom"/>
            <w:gridSpan w:val="6"/>
          </w:tcPr>
          <w:p>
            <w:pPr>
              <w:jc w:val="right"/>
              <w:ind w:right="180"/>
              <w:spacing w:after="0" w:line="202" w:lineRule="exact"/>
              <w:rPr>
                <w:sz w:val="20"/>
                <w:szCs w:val="20"/>
                <w:color w:val="auto"/>
              </w:rPr>
            </w:pPr>
            <w:r>
              <w:rPr>
                <w:rFonts w:ascii="Arial" w:cs="Arial" w:eastAsia="Arial" w:hAnsi="Arial"/>
                <w:sz w:val="18"/>
                <w:szCs w:val="18"/>
                <w:color w:val="auto"/>
              </w:rPr>
              <w:t>$115,907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left w:val="single" w:sz="8" w:color="auto"/>
            </w:tcBorders>
            <w:gridSpan w:val="6"/>
          </w:tcPr>
          <w:p>
            <w:pPr>
              <w:jc w:val="right"/>
              <w:ind w:right="100"/>
              <w:spacing w:after="0" w:line="202" w:lineRule="exact"/>
              <w:rPr>
                <w:sz w:val="20"/>
                <w:szCs w:val="20"/>
                <w:color w:val="auto"/>
              </w:rPr>
            </w:pPr>
            <w:r>
              <w:rPr>
                <w:rFonts w:ascii="Arial" w:cs="Arial" w:eastAsia="Arial" w:hAnsi="Arial"/>
                <w:sz w:val="18"/>
                <w:szCs w:val="18"/>
                <w:color w:val="auto"/>
              </w:rPr>
              <w:t>$324,304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$385,176</w:t>
            </w:r>
          </w:p>
        </w:tc>
        <w:tc>
          <w:tcPr>
            <w:tcW w:w="220" w:type="dxa"/>
            <w:vAlign w:val="bottom"/>
          </w:tcPr>
          <w:p>
            <w:pPr>
              <w:spacing w:after="0"/>
              <w:rPr>
                <w:sz w:val="17"/>
                <w:szCs w:val="17"/>
                <w:color w:val="auto"/>
              </w:rPr>
            </w:pPr>
          </w:p>
        </w:tc>
        <w:tc>
          <w:tcPr>
            <w:tcW w:w="8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4"/>
              </w:rPr>
              <w:t>$ 365,308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32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62,730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left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181,467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177,792</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153,096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tcPr>
          <w:p>
            <w:pPr>
              <w:ind w:left="360"/>
              <w:spacing w:after="0" w:line="196" w:lineRule="exact"/>
              <w:rPr>
                <w:sz w:val="20"/>
                <w:szCs w:val="20"/>
                <w:color w:val="auto"/>
              </w:rPr>
            </w:pPr>
            <w:r>
              <w:rPr>
                <w:rFonts w:ascii="Arial" w:cs="Arial" w:eastAsia="Arial" w:hAnsi="Arial"/>
                <w:sz w:val="18"/>
                <w:szCs w:val="18"/>
                <w:color w:val="auto"/>
              </w:rPr>
              <w:t>Gross revenue</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178,637</w:t>
            </w: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lef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505,771</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562,968</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518,404</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Borders>
              <w:left w:val="single" w:sz="8" w:color="auto"/>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(26,830)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(58,520)</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178,637</w:t>
            </w: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lef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478,941</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504,448</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$ 492,180</w:t>
            </w: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gridSpan w:val="2"/>
          </w:tcPr>
          <w:p>
            <w:pPr>
              <w:spacing w:after="0"/>
              <w:rPr>
                <w:sz w:val="7"/>
                <w:szCs w:val="7"/>
                <w:color w:val="auto"/>
              </w:rPr>
            </w:pPr>
          </w:p>
        </w:tc>
        <w:tc>
          <w:tcPr>
            <w:tcW w:w="160" w:type="dxa"/>
            <w:vAlign w:val="bottom"/>
            <w:gridSpan w:val="2"/>
          </w:tcPr>
          <w:p>
            <w:pPr>
              <w:spacing w:after="0"/>
              <w:rPr>
                <w:sz w:val="7"/>
                <w:szCs w:val="7"/>
                <w:color w:val="auto"/>
              </w:rPr>
            </w:pPr>
          </w:p>
        </w:tc>
        <w:tc>
          <w:tcPr>
            <w:tcW w:w="12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tcPr>
          <w:p>
            <w:pPr>
              <w:spacing w:after="0"/>
              <w:rPr>
                <w:sz w:val="7"/>
                <w:szCs w:val="7"/>
                <w:color w:val="auto"/>
              </w:rPr>
            </w:pPr>
          </w:p>
        </w:tc>
        <w:tc>
          <w:tcPr>
            <w:tcW w:w="2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Long-lived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U.S.</w:t>
            </w:r>
          </w:p>
        </w:tc>
        <w:tc>
          <w:tcPr>
            <w:tcW w:w="1380" w:type="dxa"/>
            <w:vAlign w:val="bottom"/>
            <w:gridSpan w:val="7"/>
          </w:tcPr>
          <w:p>
            <w:pPr>
              <w:jc w:val="right"/>
              <w:ind w:right="60"/>
              <w:spacing w:after="0" w:line="202" w:lineRule="exact"/>
              <w:rPr>
                <w:sz w:val="20"/>
                <w:szCs w:val="20"/>
                <w:color w:val="auto"/>
              </w:rPr>
            </w:pPr>
            <w:r>
              <w:rPr>
                <w:rFonts w:ascii="Arial" w:cs="Arial" w:eastAsia="Arial" w:hAnsi="Arial"/>
                <w:sz w:val="18"/>
                <w:szCs w:val="18"/>
                <w:color w:val="auto"/>
              </w:rPr>
              <w:t>$4,276,568</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$845,599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38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right w:val="single" w:sz="8" w:color="auto"/>
            </w:tcBorders>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CCEEFF"/>
            </w:tcBorders>
            <w:gridSpan w:val="2"/>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4,284,355</w:t>
            </w: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853,586</w:t>
            </w: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-1980565</wp:posOffset>
            </wp:positionV>
            <wp:extent cx="17145"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-1980565</wp:posOffset>
            </wp:positionV>
            <wp:extent cx="13716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-1980565</wp:posOffset>
            </wp:positionV>
            <wp:extent cx="13716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-1980565</wp:posOffset>
            </wp:positionV>
            <wp:extent cx="306133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061335"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-650875</wp:posOffset>
            </wp:positionV>
            <wp:extent cx="6858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-650875</wp:posOffset>
            </wp:positionV>
            <wp:extent cx="312991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91" w:lineRule="exact"/>
        <w:rPr>
          <w:sz w:val="20"/>
          <w:szCs w:val="20"/>
          <w:color w:val="auto"/>
        </w:rPr>
      </w:pPr>
    </w:p>
    <w:p>
      <w:pPr>
        <w:ind w:left="1260" w:right="1479" w:firstLine="8"/>
        <w:spacing w:after="0" w:line="251" w:lineRule="auto"/>
        <w:tabs>
          <w:tab w:leader="none" w:pos="1665"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Statement of Financial Condition and Pro Forma Earnings Per Share Information</w:t>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Financial Condition</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Company anticipates paying capital distributions to its members of $100,000,000 prior to the consummation of Tradeweb Markets Inc.’s initial public offering (the “Special Distribution”), which are expected to be funded from cash on hand. The unaudited pro forma consolidated statement of financial condition as of December 31, 2018 reflects these distributions as if such distributions were declared and paid on December 31, 2018.</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Operations</w:t>
      </w:r>
    </w:p>
    <w:p>
      <w:pPr>
        <w:spacing w:after="0" w:line="108"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8"/>
          <w:szCs w:val="18"/>
          <w:color w:val="auto"/>
        </w:rPr>
        <w:t>Distributions declared in the year preceding an initial public offering are deemed to be in contemplation of the offering with the intention of repayment out of offering proceeds to the extent that the distributions exceed earnings during such period. In February, June, September and December 2018, the Company paid capital distributions to its members of $25,000,000, $55,000,000, $59,350,000 and $36,000,000, respectively (collectively, the “2018 Distributions”).</w:t>
      </w:r>
    </w:p>
    <w:p>
      <w:pPr>
        <w:spacing w:after="0" w:line="8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unaudited net income per share information in the consolidated statements of income has been</w:t>
      </w:r>
    </w:p>
    <w:p>
      <w:pPr>
        <w:spacing w:after="0" w:line="23" w:lineRule="exact"/>
        <w:rPr>
          <w:sz w:val="20"/>
          <w:szCs w:val="20"/>
          <w:color w:val="auto"/>
        </w:rPr>
      </w:pPr>
    </w:p>
    <w:p>
      <w:pPr>
        <w:ind w:left="1260" w:right="879"/>
        <w:spacing w:after="0" w:line="281" w:lineRule="auto"/>
        <w:rPr>
          <w:sz w:val="20"/>
          <w:szCs w:val="20"/>
          <w:color w:val="auto"/>
        </w:rPr>
      </w:pPr>
      <w:r>
        <w:rPr>
          <w:rFonts w:ascii="Arial" w:cs="Arial" w:eastAsia="Arial" w:hAnsi="Arial"/>
          <w:sz w:val="16"/>
          <w:szCs w:val="16"/>
          <w:color w:val="auto"/>
        </w:rPr>
        <w:t>computed, assuming an initial public offering price of $ per share, the midpoint of the price range set forth on the cover of the prospectus, to give effect to the number of shares whose proceeds would be necessary to pay</w:t>
      </w:r>
    </w:p>
    <w:p>
      <w:pPr>
        <w:spacing w:after="0" w:line="1" w:lineRule="exact"/>
        <w:rPr>
          <w:sz w:val="20"/>
          <w:szCs w:val="20"/>
          <w:color w:val="auto"/>
        </w:rPr>
      </w:pPr>
    </w:p>
    <w:p>
      <w:pPr>
        <w:ind w:left="1260" w:right="979" w:firstLine="8"/>
        <w:spacing w:after="0" w:line="290" w:lineRule="auto"/>
        <w:tabs>
          <w:tab w:leader="none" w:pos="147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Special Distribution and (ii) the 2018 Distributions, but only to the extent the aggregate amount of these distributions exceed the Company’s earnings for the applicable preceding twelve-month period.</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23.  Subsequent Events</w:t>
      </w:r>
    </w:p>
    <w:p>
      <w:pPr>
        <w:spacing w:after="0" w:line="108" w:lineRule="exact"/>
        <w:rPr>
          <w:sz w:val="20"/>
          <w:szCs w:val="20"/>
          <w:color w:val="auto"/>
        </w:rPr>
      </w:pPr>
    </w:p>
    <w:p>
      <w:pPr>
        <w:ind w:left="1260" w:right="779" w:firstLine="360"/>
        <w:spacing w:after="0" w:line="342" w:lineRule="auto"/>
        <w:rPr>
          <w:sz w:val="20"/>
          <w:szCs w:val="20"/>
          <w:color w:val="auto"/>
        </w:rPr>
      </w:pPr>
      <w:r>
        <w:rPr>
          <w:rFonts w:ascii="Arial" w:cs="Arial" w:eastAsia="Arial" w:hAnsi="Arial"/>
          <w:sz w:val="16"/>
          <w:szCs w:val="16"/>
          <w:color w:val="auto"/>
        </w:rPr>
        <w:t>There were no other subsequent events requiring adjustment to the financial statements or disclosure, except as disclosed in note 1, through March 5, 2019, the date that the Company’s financial statements were issued.</w:t>
      </w:r>
    </w:p>
    <w:p>
      <w:pPr>
        <w:spacing w:after="0" w:line="19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2" w:name="page253"/>
    <w:bookmarkEnd w:id="252"/>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6834505" cy="89484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34505" cy="894842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3" w:name="page254"/>
    <w:bookmarkEnd w:id="253"/>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511810</wp:posOffset>
            </wp:positionV>
            <wp:extent cx="5213985" cy="260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571500</wp:posOffset>
            </wp:positionV>
            <wp:extent cx="521398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300"/>
        <w:spacing w:after="0"/>
        <w:rPr>
          <w:sz w:val="20"/>
          <w:szCs w:val="20"/>
          <w:color w:val="auto"/>
        </w:rPr>
      </w:pPr>
      <w:r>
        <w:rPr>
          <w:rFonts w:ascii="Arial" w:cs="Arial" w:eastAsia="Arial" w:hAnsi="Arial"/>
          <w:sz w:val="25"/>
          <w:szCs w:val="25"/>
          <w:b w:val="1"/>
          <w:bCs w:val="1"/>
          <w:color w:val="auto"/>
        </w:rPr>
        <w:t>Shares</w:t>
      </w: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Tradeweb Markets Inc.</w:t>
      </w: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spacing w:after="0"/>
        <w:tabs>
          <w:tab w:leader="none" w:pos="2920" w:val="left"/>
          <w:tab w:leader="none" w:pos="4360" w:val="left"/>
          <w:tab w:leader="none" w:pos="7720" w:val="left"/>
        </w:tabs>
        <w:rPr>
          <w:sz w:val="20"/>
          <w:szCs w:val="20"/>
          <w:color w:val="auto"/>
        </w:rPr>
      </w:pPr>
      <w:r>
        <w:rPr>
          <w:rFonts w:ascii="Arial" w:cs="Arial" w:eastAsia="Arial" w:hAnsi="Arial"/>
          <w:sz w:val="25"/>
          <w:szCs w:val="25"/>
          <w:b w:val="1"/>
          <w:bCs w:val="1"/>
          <w:color w:val="auto"/>
        </w:rPr>
        <w:t>J.P. Morgan</w:t>
        <w:tab/>
        <w:t>Citigroup</w:t>
        <w:tab/>
        <w:t>Goldman Sachs &amp; Co. LLC</w:t>
      </w:r>
      <w:r>
        <w:rPr>
          <w:sz w:val="20"/>
          <w:szCs w:val="20"/>
          <w:color w:val="auto"/>
        </w:rPr>
        <w:tab/>
      </w:r>
      <w:r>
        <w:rPr>
          <w:rFonts w:ascii="Arial" w:cs="Arial" w:eastAsia="Arial" w:hAnsi="Arial"/>
          <w:sz w:val="23"/>
          <w:szCs w:val="23"/>
          <w:b w:val="1"/>
          <w:bCs w:val="1"/>
          <w:color w:val="auto"/>
        </w:rPr>
        <w:t>Morgan Stanley</w:t>
      </w:r>
    </w:p>
    <w:p>
      <w:pPr>
        <w:spacing w:after="0" w:line="200" w:lineRule="exact"/>
        <w:rPr>
          <w:sz w:val="20"/>
          <w:szCs w:val="20"/>
          <w:color w:val="auto"/>
        </w:rPr>
      </w:pPr>
    </w:p>
    <w:p>
      <w:pPr>
        <w:spacing w:after="0" w:line="264" w:lineRule="exact"/>
        <w:rPr>
          <w:sz w:val="20"/>
          <w:szCs w:val="20"/>
          <w:color w:val="auto"/>
        </w:rPr>
      </w:pPr>
    </w:p>
    <w:p>
      <w:pPr>
        <w:ind w:left="1680"/>
        <w:spacing w:after="0"/>
        <w:tabs>
          <w:tab w:leader="none" w:pos="4960" w:val="left"/>
          <w:tab w:leader="none" w:pos="7520"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19"/>
          <w:szCs w:val="19"/>
          <w:b w:val="1"/>
          <w:bCs w:val="1"/>
          <w:color w:val="auto"/>
        </w:rPr>
        <w:t>Credit Suisse</w:t>
      </w:r>
    </w:p>
    <w:p>
      <w:pPr>
        <w:spacing w:after="0" w:line="28" w:lineRule="exact"/>
        <w:rPr>
          <w:sz w:val="20"/>
          <w:szCs w:val="20"/>
          <w:color w:val="auto"/>
        </w:rPr>
      </w:pPr>
    </w:p>
    <w:p>
      <w:pPr>
        <w:ind w:left="1420"/>
        <w:spacing w:after="0"/>
        <w:tabs>
          <w:tab w:leader="none" w:pos="4320" w:val="left"/>
          <w:tab w:leader="none" w:pos="7100" w:val="left"/>
        </w:tabs>
        <w:rPr>
          <w:sz w:val="20"/>
          <w:szCs w:val="20"/>
          <w:color w:val="auto"/>
        </w:rPr>
      </w:pPr>
      <w:r>
        <w:rPr>
          <w:rFonts w:ascii="Arial" w:cs="Arial" w:eastAsia="Arial" w:hAnsi="Arial"/>
          <w:sz w:val="22"/>
          <w:szCs w:val="22"/>
          <w:b w:val="1"/>
          <w:bCs w:val="1"/>
          <w:color w:val="auto"/>
        </w:rPr>
        <w:t>Deutsche Bank Securities</w:t>
      </w:r>
      <w:r>
        <w:rPr>
          <w:sz w:val="20"/>
          <w:szCs w:val="20"/>
          <w:color w:val="auto"/>
        </w:rPr>
        <w:tab/>
      </w: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19"/>
          <w:szCs w:val="19"/>
          <w:b w:val="1"/>
          <w:bCs w:val="1"/>
          <w:color w:val="auto"/>
        </w:rPr>
        <w:t>Wells Fargo Securities</w:t>
      </w:r>
    </w:p>
    <w:p>
      <w:pPr>
        <w:spacing w:after="0" w:line="200" w:lineRule="exact"/>
        <w:rPr>
          <w:sz w:val="20"/>
          <w:szCs w:val="20"/>
          <w:color w:val="auto"/>
        </w:rPr>
      </w:pPr>
    </w:p>
    <w:p>
      <w:pPr>
        <w:spacing w:after="0" w:line="289" w:lineRule="exact"/>
        <w:rPr>
          <w:sz w:val="20"/>
          <w:szCs w:val="20"/>
          <w:color w:val="auto"/>
        </w:rPr>
      </w:pPr>
    </w:p>
    <w:p>
      <w:pPr>
        <w:ind w:left="2940"/>
        <w:spacing w:after="0"/>
        <w:tabs>
          <w:tab w:leader="none" w:pos="6240" w:val="left"/>
        </w:tabs>
        <w:rPr>
          <w:sz w:val="20"/>
          <w:szCs w:val="20"/>
          <w:color w:val="auto"/>
        </w:rPr>
      </w:pPr>
      <w:r>
        <w:rPr>
          <w:rFonts w:ascii="Arial" w:cs="Arial" w:eastAsia="Arial" w:hAnsi="Arial"/>
          <w:sz w:val="18"/>
          <w:szCs w:val="18"/>
          <w:b w:val="1"/>
          <w:bCs w:val="1"/>
          <w:color w:val="auto"/>
        </w:rPr>
        <w:t>Jefferies</w:t>
      </w:r>
      <w:r>
        <w:rPr>
          <w:sz w:val="20"/>
          <w:szCs w:val="20"/>
          <w:color w:val="auto"/>
        </w:rPr>
        <w:tab/>
      </w:r>
      <w:r>
        <w:rPr>
          <w:rFonts w:ascii="Arial" w:cs="Arial" w:eastAsia="Arial" w:hAnsi="Arial"/>
          <w:sz w:val="18"/>
          <w:szCs w:val="18"/>
          <w:b w:val="1"/>
          <w:bCs w:val="1"/>
          <w:color w:val="auto"/>
        </w:rPr>
        <w:t>Sandler O’Neill +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color w:val="auto"/>
        </w:rPr>
        <w:t>Through and including , 2019 (the 25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139700</wp:posOffset>
            </wp:positionV>
            <wp:extent cx="521398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182245</wp:posOffset>
            </wp:positionV>
            <wp:extent cx="5213985" cy="260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761365</wp:posOffset>
            </wp:positionV>
            <wp:extent cx="6834505"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54" w:name="page255"/>
    <w:bookmarkEnd w:id="254"/>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PART II.</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following table sets forth all the costs and expenses, other than underwriting discounts and commissions, payable in connection with the sale of the shares of Class A common stock being registered hereby. Except as otherwise noted, the registrant will pay all of the costs and expenses set forth in the following table. All amounts shown below are estimates, except the SEC registration fee, the FINRA filing fee and the stock exchange listing fee:</w:t>
      </w:r>
    </w:p>
    <w:p>
      <w:pPr>
        <w:spacing w:after="0" w:line="9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6"/>
        </w:trPr>
        <w:tc>
          <w:tcPr>
            <w:tcW w:w="1940" w:type="dxa"/>
            <w:vAlign w:val="bottom"/>
            <w:tcBorders>
              <w:bottom w:val="single" w:sz="8" w:color="CCEEFF"/>
            </w:tcBorders>
            <w:gridSpan w:val="2"/>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12,120</w:t>
            </w:r>
          </w:p>
        </w:tc>
      </w:tr>
      <w:tr>
        <w:trPr>
          <w:trHeight w:val="257"/>
        </w:trPr>
        <w:tc>
          <w:tcPr>
            <w:tcW w:w="7420" w:type="dxa"/>
            <w:vAlign w:val="bottom"/>
            <w:gridSpan w:val="4"/>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15,500</w:t>
            </w:r>
          </w:p>
        </w:tc>
      </w:tr>
      <w:tr>
        <w:trPr>
          <w:trHeight w:val="257"/>
        </w:trPr>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gridSpan w:val="4"/>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gridSpan w:val="4"/>
          </w:tcPr>
          <w:p>
            <w:pPr>
              <w:spacing w:after="0"/>
              <w:rPr>
                <w:sz w:val="20"/>
                <w:szCs w:val="20"/>
                <w:color w:val="auto"/>
              </w:rPr>
            </w:pPr>
            <w:r>
              <w:rPr>
                <w:rFonts w:ascii="Arial" w:cs="Arial" w:eastAsia="Arial" w:hAnsi="Arial"/>
                <w:sz w:val="18"/>
                <w:szCs w:val="18"/>
                <w:color w:val="auto"/>
              </w:rPr>
              <w:t>Transfer agent and registrar fees</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64"/>
        </w:trPr>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57"/>
        </w:trPr>
        <w:tc>
          <w:tcPr>
            <w:tcW w:w="74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4"/>
        </w:trPr>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4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5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To be filed by amendment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-2074545</wp:posOffset>
            </wp:positionV>
            <wp:extent cx="457962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8"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6"/>
          <w:szCs w:val="16"/>
          <w:color w:val="auto"/>
        </w:rPr>
        <w:t>Tradeweb Markets Inc. is incorporated under the laws of the state of Delaware. Section 102 of the Delaware General Corporation Law, as amended (the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amended and restated certificate of incorporation will contain a provision which eliminates directors’ personal liability as set forth above.</w:t>
      </w:r>
    </w:p>
    <w:p>
      <w:pPr>
        <w:spacing w:after="0" w:line="58"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Section 145 of the DGCL provides that a Delaware corporation has the power to indemnify its directors, officers, employees, and agents in certain circumstances. 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75" w:lineRule="exact"/>
        <w:rPr>
          <w:sz w:val="20"/>
          <w:szCs w:val="20"/>
          <w:color w:val="auto"/>
        </w:rPr>
      </w:pPr>
    </w:p>
    <w:p>
      <w:pPr>
        <w:ind w:left="1260" w:right="1099" w:firstLine="360"/>
        <w:spacing w:after="0" w:line="293" w:lineRule="auto"/>
        <w:rPr>
          <w:sz w:val="20"/>
          <w:szCs w:val="20"/>
          <w:color w:val="auto"/>
        </w:rPr>
      </w:pPr>
      <w:r>
        <w:rPr>
          <w:rFonts w:ascii="Arial" w:cs="Arial" w:eastAsia="Arial" w:hAnsi="Arial"/>
          <w:sz w:val="16"/>
          <w:szCs w:val="16"/>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5" w:name="page256"/>
    <w:bookmarkEnd w:id="255"/>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97" w:lineRule="auto"/>
        <w:rPr>
          <w:sz w:val="20"/>
          <w:szCs w:val="20"/>
          <w:color w:val="auto"/>
        </w:rPr>
      </w:pPr>
      <w:r>
        <w:rPr>
          <w:rFonts w:ascii="Arial" w:cs="Arial" w:eastAsia="Arial" w:hAnsi="Arial"/>
          <w:sz w:val="16"/>
          <w:szCs w:val="16"/>
          <w:color w:val="auto"/>
        </w:rPr>
        <w:t>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w:t>
      </w:r>
    </w:p>
    <w:p>
      <w:pPr>
        <w:spacing w:after="0" w:line="50" w:lineRule="exact"/>
        <w:rPr>
          <w:sz w:val="20"/>
          <w:szCs w:val="20"/>
          <w:color w:val="auto"/>
        </w:rPr>
      </w:pPr>
    </w:p>
    <w:p>
      <w:pPr>
        <w:ind w:left="1260" w:right="759" w:firstLine="360"/>
        <w:spacing w:after="0" w:line="274" w:lineRule="auto"/>
        <w:rPr>
          <w:sz w:val="20"/>
          <w:szCs w:val="20"/>
          <w:color w:val="auto"/>
        </w:rPr>
      </w:pPr>
      <w:r>
        <w:rPr>
          <w:rFonts w:ascii="Arial" w:cs="Arial" w:eastAsia="Arial" w:hAnsi="Arial"/>
          <w:sz w:val="17"/>
          <w:szCs w:val="17"/>
          <w:color w:val="auto"/>
        </w:rPr>
        <w:t>Section 145 further provides that to the extent that a present or former director or officer of a corporation has been successful in the defense of any action, suit or proceeding referred to in subsections (a) and (b) of</w:t>
      </w:r>
    </w:p>
    <w:p>
      <w:pPr>
        <w:ind w:left="1260" w:right="839"/>
        <w:spacing w:after="0" w:line="281" w:lineRule="auto"/>
        <w:rPr>
          <w:sz w:val="20"/>
          <w:szCs w:val="20"/>
          <w:color w:val="auto"/>
        </w:rPr>
      </w:pPr>
      <w:r>
        <w:rPr>
          <w:rFonts w:ascii="Arial" w:cs="Arial" w:eastAsia="Arial" w:hAnsi="Arial"/>
          <w:sz w:val="16"/>
          <w:szCs w:val="16"/>
          <w:color w:val="auto"/>
        </w:rPr>
        <w:t>Section 145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that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w:t>
      </w:r>
    </w:p>
    <w:p>
      <w:pPr>
        <w:spacing w:after="0" w:line="5" w:lineRule="exact"/>
        <w:rPr>
          <w:sz w:val="20"/>
          <w:szCs w:val="20"/>
          <w:color w:val="auto"/>
        </w:rPr>
      </w:pPr>
    </w:p>
    <w:p>
      <w:pPr>
        <w:ind w:left="1260" w:right="759" w:firstLine="8"/>
        <w:spacing w:after="0" w:line="271" w:lineRule="auto"/>
        <w:tabs>
          <w:tab w:leader="none" w:pos="151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of Section 145 is proper because the director, officer, employee or agent has met the applicable standard of conduct under such subsections shall be made by (1) a majority vote of the directors who are not parties to such action, suit or proceeding (or a committee of such directors designated by majority vote of such directors), even though less than a quorum, or (2) if there are no such directors, or if such directors so direct, by independent legal counsel in a written opinion, or (3) by the stockholders.</w:t>
      </w:r>
    </w:p>
    <w:p>
      <w:pPr>
        <w:spacing w:after="0" w:line="71"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registrant’s amended and restated certificate of incorporation and amended and restated bylaws will provide that the registrant shall indemnify its directors and officers to the extent permitted by the Delaware law. The right to indemnification conferred by the registrant’s amended and restated certificate of incorporation and amended and restated bylaws will also include the right to be paid the expenses (including attorneys’ fees) incurred by a present or former director or officer in defending any civil, criminal, administrative, or investigative action, suit, or proceeding in advance of its final disposition, provided, however, that if the Delaware law requires, an advancement of expenses incurred by a director or officer in his or her capacity as a director or officer shall be made only upon delivery to the registrant of an undertaking by or on behalf of such director or officer to repay all amounts so advanced if it is ultimately determined that such person is not entitled to be indemnified for such expenses under the registrant’s amended and restated certificate of incorporation, amended and restated bylaws, or otherwise.</w:t>
      </w:r>
    </w:p>
    <w:p>
      <w:pPr>
        <w:spacing w:after="0" w:line="75"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The registrant intends to enter into indemnification agreements with each of its directors and executive officers, a form of which will be filed as an exhibit to a pre-effective amendment to this Registration Statement. These agreements require the registrant to indemnify these individuals to the fullest extent permitted under Delaware law against liabilities that may arise by reason of their service to the registrant, and to advance expenses incurred as a result of any action, suit, or proceeding against them as to which they could be indemnified.</w:t>
      </w:r>
    </w:p>
    <w:p>
      <w:pPr>
        <w:spacing w:after="0" w:line="85"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6"/>
          <w:szCs w:val="16"/>
          <w:color w:val="auto"/>
        </w:rPr>
        <w:t>In addition, the registrant intends to maintain standard policies of insurance that provide coverage (1) to its directors and officers against loss rising from claims made by reason of breach of duty or other wrongful act and</w:t>
      </w:r>
    </w:p>
    <w:p>
      <w:pPr>
        <w:ind w:left="1260" w:right="899" w:firstLine="8"/>
        <w:spacing w:after="0" w:line="261" w:lineRule="auto"/>
        <w:tabs>
          <w:tab w:leader="none" w:pos="151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the registrant with respect to indemnification payments that the registrant may make to such directors and officers.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On November 7, 2018, in connection with its formation, the registrant issued 100 shares of common stock, par value $0.01 per share, to an officer of the registrant in exchange for $100. The issuance was exempt from registration under Section 4(a)(2) of the Securities Act as a transaction by an issuer not involving any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6" w:name="page257"/>
    <w:bookmarkEnd w:id="256"/>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in the schedules is either not applicable or is shown in the financial statements or notes thereto.</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08" w:lineRule="exact"/>
        <w:rPr>
          <w:sz w:val="20"/>
          <w:szCs w:val="20"/>
          <w:color w:val="auto"/>
        </w:rPr>
      </w:pPr>
    </w:p>
    <w:p>
      <w:pPr>
        <w:ind w:left="1260" w:right="959" w:firstLine="360"/>
        <w:spacing w:after="0" w:line="26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3"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1980" w:right="879" w:hanging="352"/>
        <w:spacing w:after="0" w:line="257" w:lineRule="auto"/>
        <w:tabs>
          <w:tab w:leader="none" w:pos="1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4"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7" w:name="page258"/>
    <w:bookmarkEnd w:id="257"/>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40" w:type="dxa"/>
            <w:vAlign w:val="bottom"/>
            <w:gridSpan w:val="9"/>
          </w:tcPr>
          <w:p>
            <w:pPr>
              <w:ind w:left="22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274"/>
        </w:trPr>
        <w:tc>
          <w:tcPr>
            <w:tcW w:w="120" w:type="dxa"/>
            <w:vAlign w:val="bottom"/>
          </w:tcPr>
          <w:p>
            <w:pPr>
              <w:spacing w:after="0"/>
              <w:rPr>
                <w:sz w:val="23"/>
                <w:szCs w:val="23"/>
                <w:color w:val="auto"/>
              </w:rPr>
            </w:pPr>
          </w:p>
        </w:tc>
        <w:tc>
          <w:tcPr>
            <w:tcW w:w="8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2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8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7"/>
              </w:rPr>
              <w:t>No.</w:t>
            </w:r>
          </w:p>
        </w:tc>
        <w:tc>
          <w:tcPr>
            <w:tcW w:w="2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20" w:type="dxa"/>
            <w:vAlign w:val="bottom"/>
            <w:gridSpan w:val="7"/>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26"/>
        </w:trPr>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42"/>
        </w:trPr>
        <w:tc>
          <w:tcPr>
            <w:tcW w:w="5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w w:val="98"/>
              </w:rPr>
              <w:t>Form of Amended and Restated Certificate of Incorporation of Tradeweb Markets Inc., to be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effective prior to or upon the closing of this offering.</w:t>
            </w:r>
          </w:p>
        </w:tc>
        <w:tc>
          <w:tcPr>
            <w:tcW w:w="0" w:type="dxa"/>
            <w:vAlign w:val="bottom"/>
          </w:tcPr>
          <w:p>
            <w:pPr>
              <w:spacing w:after="0"/>
              <w:rPr>
                <w:sz w:val="1"/>
                <w:szCs w:val="1"/>
                <w:color w:val="auto"/>
              </w:rPr>
            </w:pPr>
          </w:p>
        </w:tc>
      </w:tr>
      <w:tr>
        <w:trPr>
          <w:trHeight w:val="256"/>
        </w:trPr>
        <w:tc>
          <w:tcPr>
            <w:tcW w:w="52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w w:val="93"/>
              </w:rPr>
              <w:t>Form of Amended and Restated Bylaws of Tradeweb Markets Inc., to be effective prior to or upon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the closing of this offering.</w:t>
            </w:r>
          </w:p>
        </w:tc>
        <w:tc>
          <w:tcPr>
            <w:tcW w:w="0" w:type="dxa"/>
            <w:vAlign w:val="bottom"/>
          </w:tcPr>
          <w:p>
            <w:pPr>
              <w:spacing w:after="0"/>
              <w:rPr>
                <w:sz w:val="1"/>
                <w:szCs w:val="1"/>
                <w:color w:val="auto"/>
              </w:rPr>
            </w:pPr>
          </w:p>
        </w:tc>
      </w:tr>
      <w:tr>
        <w:trPr>
          <w:trHeight w:val="284"/>
        </w:trPr>
        <w:tc>
          <w:tcPr>
            <w:tcW w:w="52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Specimen Common Stock Certificate of Tradeweb Markets Inc.</w:t>
            </w:r>
          </w:p>
        </w:tc>
        <w:tc>
          <w:tcPr>
            <w:tcW w:w="0" w:type="dxa"/>
            <w:vAlign w:val="bottom"/>
          </w:tcPr>
          <w:p>
            <w:pPr>
              <w:spacing w:after="0"/>
              <w:rPr>
                <w:sz w:val="1"/>
                <w:szCs w:val="1"/>
                <w:color w:val="auto"/>
              </w:rPr>
            </w:pPr>
          </w:p>
        </w:tc>
      </w:tr>
      <w:tr>
        <w:trPr>
          <w:trHeight w:val="270"/>
        </w:trPr>
        <w:tc>
          <w:tcPr>
            <w:tcW w:w="52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Opinion of Fried, Frank, Harris, Shriver &amp; Jacobson LLP.</w:t>
            </w:r>
          </w:p>
        </w:tc>
        <w:tc>
          <w:tcPr>
            <w:tcW w:w="0" w:type="dxa"/>
            <w:vAlign w:val="bottom"/>
          </w:tcPr>
          <w:p>
            <w:pPr>
              <w:spacing w:after="0"/>
              <w:rPr>
                <w:sz w:val="1"/>
                <w:szCs w:val="1"/>
                <w:color w:val="auto"/>
              </w:rPr>
            </w:pPr>
          </w:p>
        </w:tc>
      </w:tr>
      <w:tr>
        <w:trPr>
          <w:trHeight w:val="270"/>
        </w:trPr>
        <w:tc>
          <w:tcPr>
            <w:tcW w:w="520" w:type="dxa"/>
            <w:vAlign w:val="bottom"/>
            <w:gridSpan w:val="3"/>
          </w:tcPr>
          <w:p>
            <w:pPr>
              <w:ind w:left="120"/>
              <w:spacing w:after="0"/>
              <w:rPr>
                <w:sz w:val="20"/>
                <w:szCs w:val="20"/>
                <w:color w:val="auto"/>
              </w:rPr>
            </w:pPr>
            <w:r>
              <w:rPr>
                <w:rFonts w:ascii="Arial" w:cs="Arial" w:eastAsia="Arial" w:hAnsi="Arial"/>
                <w:sz w:val="18"/>
                <w:szCs w:val="18"/>
                <w:color w:val="auto"/>
                <w:w w:val="90"/>
              </w:rPr>
              <w:t>10.1*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Form of Stockholders Agreement, to be effective upon the closing of the offering.</w:t>
            </w:r>
          </w:p>
        </w:tc>
        <w:tc>
          <w:tcPr>
            <w:tcW w:w="0" w:type="dxa"/>
            <w:vAlign w:val="bottom"/>
          </w:tcPr>
          <w:p>
            <w:pPr>
              <w:spacing w:after="0"/>
              <w:rPr>
                <w:sz w:val="1"/>
                <w:szCs w:val="1"/>
                <w:color w:val="auto"/>
              </w:rPr>
            </w:pPr>
          </w:p>
        </w:tc>
      </w:tr>
      <w:tr>
        <w:trPr>
          <w:trHeight w:val="270"/>
        </w:trPr>
        <w:tc>
          <w:tcPr>
            <w:tcW w:w="520" w:type="dxa"/>
            <w:vAlign w:val="bottom"/>
            <w:gridSpan w:val="3"/>
          </w:tcPr>
          <w:p>
            <w:pPr>
              <w:ind w:left="120"/>
              <w:spacing w:after="0"/>
              <w:rPr>
                <w:sz w:val="20"/>
                <w:szCs w:val="20"/>
                <w:color w:val="auto"/>
              </w:rPr>
            </w:pPr>
            <w:r>
              <w:rPr>
                <w:rFonts w:ascii="Arial" w:cs="Arial" w:eastAsia="Arial" w:hAnsi="Arial"/>
                <w:sz w:val="18"/>
                <w:szCs w:val="18"/>
                <w:color w:val="auto"/>
                <w:w w:val="90"/>
              </w:rPr>
              <w:t>10.2*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Form of Registration Rights Agreement, to be effective upon the closing of the offering.</w:t>
            </w:r>
          </w:p>
        </w:tc>
        <w:tc>
          <w:tcPr>
            <w:tcW w:w="0" w:type="dxa"/>
            <w:vAlign w:val="bottom"/>
          </w:tcPr>
          <w:p>
            <w:pPr>
              <w:spacing w:after="0"/>
              <w:rPr>
                <w:sz w:val="1"/>
                <w:szCs w:val="1"/>
                <w:color w:val="auto"/>
              </w:rPr>
            </w:pPr>
          </w:p>
        </w:tc>
      </w:tr>
      <w:tr>
        <w:trPr>
          <w:trHeight w:val="242"/>
        </w:trPr>
        <w:tc>
          <w:tcPr>
            <w:tcW w:w="520" w:type="dxa"/>
            <w:vAlign w:val="bottom"/>
            <w:gridSpan w:val="3"/>
          </w:tcPr>
          <w:p>
            <w:pPr>
              <w:ind w:left="120"/>
              <w:spacing w:after="0"/>
              <w:rPr>
                <w:sz w:val="20"/>
                <w:szCs w:val="20"/>
                <w:color w:val="auto"/>
              </w:rPr>
            </w:pPr>
            <w:r>
              <w:rPr>
                <w:rFonts w:ascii="Arial" w:cs="Arial" w:eastAsia="Arial" w:hAnsi="Arial"/>
                <w:sz w:val="18"/>
                <w:szCs w:val="18"/>
                <w:color w:val="auto"/>
                <w:w w:val="90"/>
              </w:rPr>
              <w:t>10.3*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w w:val="94"/>
              </w:rPr>
              <w:t>Form of Fifth Amended and Restated LLC Agreement of Tradeweb Markets LLC, to be effective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upon closing of this offering.</w:t>
            </w:r>
          </w:p>
        </w:tc>
        <w:tc>
          <w:tcPr>
            <w:tcW w:w="0" w:type="dxa"/>
            <w:vAlign w:val="bottom"/>
          </w:tcPr>
          <w:p>
            <w:pPr>
              <w:spacing w:after="0"/>
              <w:rPr>
                <w:sz w:val="1"/>
                <w:szCs w:val="1"/>
                <w:color w:val="auto"/>
              </w:rPr>
            </w:pPr>
          </w:p>
        </w:tc>
      </w:tr>
      <w:tr>
        <w:trPr>
          <w:trHeight w:val="297"/>
        </w:trPr>
        <w:tc>
          <w:tcPr>
            <w:tcW w:w="520" w:type="dxa"/>
            <w:vAlign w:val="bottom"/>
            <w:gridSpan w:val="3"/>
          </w:tcPr>
          <w:p>
            <w:pPr>
              <w:ind w:left="120"/>
              <w:spacing w:after="0"/>
              <w:rPr>
                <w:sz w:val="20"/>
                <w:szCs w:val="20"/>
                <w:color w:val="auto"/>
              </w:rPr>
            </w:pPr>
            <w:r>
              <w:rPr>
                <w:rFonts w:ascii="Arial" w:cs="Arial" w:eastAsia="Arial" w:hAnsi="Arial"/>
                <w:sz w:val="18"/>
                <w:szCs w:val="18"/>
                <w:color w:val="auto"/>
                <w:w w:val="90"/>
              </w:rPr>
              <w:t>10.4*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Form of Tax Receivable Agreement, to be effective upon the closing of this offering.</w:t>
            </w:r>
          </w:p>
        </w:tc>
        <w:tc>
          <w:tcPr>
            <w:tcW w:w="0" w:type="dxa"/>
            <w:vAlign w:val="bottom"/>
          </w:tcPr>
          <w:p>
            <w:pPr>
              <w:spacing w:after="0"/>
              <w:rPr>
                <w:sz w:val="1"/>
                <w:szCs w:val="1"/>
                <w:color w:val="auto"/>
              </w:rPr>
            </w:pPr>
          </w:p>
        </w:tc>
      </w:tr>
      <w:tr>
        <w:trPr>
          <w:trHeight w:val="284"/>
        </w:trPr>
        <w:tc>
          <w:tcPr>
            <w:tcW w:w="520" w:type="dxa"/>
            <w:vAlign w:val="bottom"/>
            <w:gridSpan w:val="3"/>
          </w:tcPr>
          <w:p>
            <w:pPr>
              <w:ind w:left="120"/>
              <w:spacing w:after="0"/>
              <w:rPr>
                <w:sz w:val="20"/>
                <w:szCs w:val="20"/>
                <w:color w:val="auto"/>
              </w:rPr>
            </w:pPr>
            <w:r>
              <w:rPr>
                <w:rFonts w:ascii="Arial" w:cs="Arial" w:eastAsia="Arial" w:hAnsi="Arial"/>
                <w:sz w:val="18"/>
                <w:szCs w:val="18"/>
                <w:color w:val="auto"/>
                <w:w w:val="90"/>
              </w:rPr>
              <w:t>10.5*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Form of Credit Agreement, to be effective upon the closing of this offering.</w:t>
            </w:r>
          </w:p>
        </w:tc>
        <w:tc>
          <w:tcPr>
            <w:tcW w:w="0" w:type="dxa"/>
            <w:vAlign w:val="bottom"/>
          </w:tcPr>
          <w:p>
            <w:pPr>
              <w:spacing w:after="0"/>
              <w:rPr>
                <w:sz w:val="1"/>
                <w:szCs w:val="1"/>
                <w:color w:val="auto"/>
              </w:rPr>
            </w:pPr>
          </w:p>
        </w:tc>
      </w:tr>
      <w:tr>
        <w:trPr>
          <w:trHeight w:val="327"/>
        </w:trPr>
        <w:tc>
          <w:tcPr>
            <w:tcW w:w="680" w:type="dxa"/>
            <w:vAlign w:val="bottom"/>
            <w:gridSpan w:val="5"/>
          </w:tcPr>
          <w:p>
            <w:pPr>
              <w:ind w:left="120"/>
              <w:spacing w:after="0"/>
              <w:rPr>
                <w:sz w:val="20"/>
                <w:szCs w:val="20"/>
                <w:color w:val="auto"/>
              </w:rPr>
            </w:pPr>
            <w:r>
              <w:rPr>
                <w:rFonts w:ascii="Arial" w:cs="Arial" w:eastAsia="Arial" w:hAnsi="Arial"/>
                <w:sz w:val="18"/>
                <w:szCs w:val="18"/>
                <w:color w:val="auto"/>
              </w:rPr>
              <w:t>10.6*</w:t>
            </w:r>
            <w:r>
              <w:rPr>
                <w:rFonts w:ascii="Arial" w:cs="Arial" w:eastAsia="Arial" w:hAnsi="Arial"/>
                <w:sz w:val="27"/>
                <w:szCs w:val="27"/>
                <w:color w:val="auto"/>
                <w:vertAlign w:val="superscript"/>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Employment Agreement by and between Lee Olesky and Tradeweb Markets LLC.</w:t>
            </w:r>
          </w:p>
        </w:tc>
        <w:tc>
          <w:tcPr>
            <w:tcW w:w="0" w:type="dxa"/>
            <w:vAlign w:val="bottom"/>
          </w:tcPr>
          <w:p>
            <w:pPr>
              <w:spacing w:after="0"/>
              <w:rPr>
                <w:sz w:val="1"/>
                <w:szCs w:val="1"/>
                <w:color w:val="auto"/>
              </w:rPr>
            </w:pPr>
          </w:p>
        </w:tc>
      </w:tr>
      <w:tr>
        <w:trPr>
          <w:trHeight w:val="297"/>
        </w:trPr>
        <w:tc>
          <w:tcPr>
            <w:tcW w:w="680" w:type="dxa"/>
            <w:vAlign w:val="bottom"/>
            <w:gridSpan w:val="5"/>
          </w:tcPr>
          <w:p>
            <w:pPr>
              <w:ind w:left="120"/>
              <w:spacing w:after="0" w:line="297" w:lineRule="exact"/>
              <w:rPr>
                <w:sz w:val="20"/>
                <w:szCs w:val="20"/>
                <w:color w:val="auto"/>
              </w:rPr>
            </w:pPr>
            <w:r>
              <w:rPr>
                <w:rFonts w:ascii="Arial" w:cs="Arial" w:eastAsia="Arial" w:hAnsi="Arial"/>
                <w:sz w:val="18"/>
                <w:szCs w:val="18"/>
                <w:color w:val="auto"/>
              </w:rPr>
              <w:t>10.7*</w:t>
            </w:r>
            <w:r>
              <w:rPr>
                <w:rFonts w:ascii="Arial" w:cs="Arial" w:eastAsia="Arial" w:hAnsi="Arial"/>
                <w:sz w:val="27"/>
                <w:szCs w:val="27"/>
                <w:color w:val="auto"/>
                <w:vertAlign w:val="superscript"/>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Employment Agreement by and between William Hult and Tradeweb Markets LLC.</w:t>
            </w:r>
          </w:p>
        </w:tc>
        <w:tc>
          <w:tcPr>
            <w:tcW w:w="0" w:type="dxa"/>
            <w:vAlign w:val="bottom"/>
          </w:tcPr>
          <w:p>
            <w:pPr>
              <w:spacing w:after="0"/>
              <w:rPr>
                <w:sz w:val="1"/>
                <w:szCs w:val="1"/>
                <w:color w:val="auto"/>
              </w:rPr>
            </w:pPr>
          </w:p>
        </w:tc>
      </w:tr>
      <w:tr>
        <w:trPr>
          <w:trHeight w:val="284"/>
        </w:trPr>
        <w:tc>
          <w:tcPr>
            <w:tcW w:w="680" w:type="dxa"/>
            <w:vAlign w:val="bottom"/>
            <w:gridSpan w:val="5"/>
          </w:tcPr>
          <w:p>
            <w:pPr>
              <w:ind w:left="120"/>
              <w:spacing w:after="0" w:line="284" w:lineRule="exact"/>
              <w:rPr>
                <w:sz w:val="20"/>
                <w:szCs w:val="20"/>
                <w:color w:val="auto"/>
              </w:rPr>
            </w:pPr>
            <w:r>
              <w:rPr>
                <w:rFonts w:ascii="Arial" w:cs="Arial" w:eastAsia="Arial" w:hAnsi="Arial"/>
                <w:sz w:val="18"/>
                <w:szCs w:val="18"/>
                <w:color w:val="auto"/>
              </w:rPr>
              <w:t>10.8*</w:t>
            </w:r>
            <w:r>
              <w:rPr>
                <w:rFonts w:ascii="Arial" w:cs="Arial" w:eastAsia="Arial" w:hAnsi="Arial"/>
                <w:sz w:val="27"/>
                <w:szCs w:val="27"/>
                <w:color w:val="auto"/>
                <w:vertAlign w:val="superscript"/>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Amended and Restated Tradeweb Markets Inc. 2018 Share Option Plan.</w:t>
            </w:r>
          </w:p>
        </w:tc>
        <w:tc>
          <w:tcPr>
            <w:tcW w:w="0" w:type="dxa"/>
            <w:vAlign w:val="bottom"/>
          </w:tcPr>
          <w:p>
            <w:pPr>
              <w:spacing w:after="0"/>
              <w:rPr>
                <w:sz w:val="1"/>
                <w:szCs w:val="1"/>
                <w:color w:val="auto"/>
              </w:rPr>
            </w:pPr>
          </w:p>
        </w:tc>
      </w:tr>
      <w:tr>
        <w:trPr>
          <w:trHeight w:val="240"/>
        </w:trPr>
        <w:tc>
          <w:tcPr>
            <w:tcW w:w="680" w:type="dxa"/>
            <w:vAlign w:val="bottom"/>
            <w:gridSpan w:val="5"/>
          </w:tcPr>
          <w:p>
            <w:pPr>
              <w:ind w:left="120"/>
              <w:spacing w:after="0" w:line="240" w:lineRule="exact"/>
              <w:rPr>
                <w:sz w:val="20"/>
                <w:szCs w:val="20"/>
                <w:color w:val="auto"/>
              </w:rPr>
            </w:pPr>
            <w:r>
              <w:rPr>
                <w:rFonts w:ascii="Arial" w:cs="Arial" w:eastAsia="Arial" w:hAnsi="Arial"/>
                <w:sz w:val="18"/>
                <w:szCs w:val="18"/>
                <w:color w:val="auto"/>
              </w:rPr>
              <w:t>10.9*</w:t>
            </w:r>
            <w:r>
              <w:rPr>
                <w:rFonts w:ascii="Arial" w:cs="Arial" w:eastAsia="Arial" w:hAnsi="Arial"/>
                <w:sz w:val="27"/>
                <w:szCs w:val="27"/>
                <w:color w:val="auto"/>
                <w:vertAlign w:val="superscript"/>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w w:val="93"/>
              </w:rPr>
              <w:t>Form of Option Agreement under the Amended and Restated Tradeweb Markets Inc. 2018 Share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Option Plan.</w:t>
            </w:r>
          </w:p>
        </w:tc>
        <w:tc>
          <w:tcPr>
            <w:tcW w:w="0" w:type="dxa"/>
            <w:vAlign w:val="bottom"/>
          </w:tcPr>
          <w:p>
            <w:pPr>
              <w:spacing w:after="0"/>
              <w:rPr>
                <w:sz w:val="1"/>
                <w:szCs w:val="1"/>
                <w:color w:val="auto"/>
              </w:rPr>
            </w:pPr>
          </w:p>
        </w:tc>
      </w:tr>
      <w:tr>
        <w:trPr>
          <w:trHeight w:val="327"/>
        </w:trPr>
        <w:tc>
          <w:tcPr>
            <w:tcW w:w="780" w:type="dxa"/>
            <w:vAlign w:val="bottom"/>
            <w:gridSpan w:val="6"/>
          </w:tcPr>
          <w:p>
            <w:pPr>
              <w:ind w:left="120"/>
              <w:spacing w:after="0"/>
              <w:rPr>
                <w:sz w:val="20"/>
                <w:szCs w:val="20"/>
                <w:color w:val="auto"/>
              </w:rPr>
            </w:pPr>
            <w:r>
              <w:rPr>
                <w:rFonts w:ascii="Arial" w:cs="Arial" w:eastAsia="Arial" w:hAnsi="Arial"/>
                <w:sz w:val="18"/>
                <w:szCs w:val="18"/>
                <w:color w:val="auto"/>
              </w:rPr>
              <w:t>10.10*</w:t>
            </w:r>
            <w:r>
              <w:rPr>
                <w:rFonts w:ascii="Arial" w:cs="Arial" w:eastAsia="Arial" w:hAnsi="Arial"/>
                <w:sz w:val="27"/>
                <w:szCs w:val="27"/>
                <w:color w:val="auto"/>
                <w:vertAlign w:val="superscript"/>
              </w:rPr>
              <w:t>+</w:t>
            </w:r>
          </w:p>
        </w:tc>
        <w:tc>
          <w:tcPr>
            <w:tcW w:w="20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Amended &amp; Restated Tradeweb Markets Inc. PRSU Plan.</w:t>
            </w:r>
          </w:p>
        </w:tc>
        <w:tc>
          <w:tcPr>
            <w:tcW w:w="0" w:type="dxa"/>
            <w:vAlign w:val="bottom"/>
          </w:tcPr>
          <w:p>
            <w:pPr>
              <w:spacing w:after="0"/>
              <w:rPr>
                <w:sz w:val="1"/>
                <w:szCs w:val="1"/>
                <w:color w:val="auto"/>
              </w:rPr>
            </w:pPr>
          </w:p>
        </w:tc>
      </w:tr>
      <w:tr>
        <w:trPr>
          <w:trHeight w:val="311"/>
        </w:trPr>
        <w:tc>
          <w:tcPr>
            <w:tcW w:w="780" w:type="dxa"/>
            <w:vAlign w:val="bottom"/>
            <w:gridSpan w:val="6"/>
          </w:tcPr>
          <w:p>
            <w:pPr>
              <w:ind w:left="120"/>
              <w:spacing w:after="0"/>
              <w:rPr>
                <w:sz w:val="20"/>
                <w:szCs w:val="20"/>
                <w:color w:val="auto"/>
              </w:rPr>
            </w:pPr>
            <w:r>
              <w:rPr>
                <w:rFonts w:ascii="Arial" w:cs="Arial" w:eastAsia="Arial" w:hAnsi="Arial"/>
                <w:sz w:val="18"/>
                <w:szCs w:val="18"/>
                <w:color w:val="auto"/>
              </w:rPr>
              <w:t>10.11*</w:t>
            </w:r>
            <w:r>
              <w:rPr>
                <w:rFonts w:ascii="Arial" w:cs="Arial" w:eastAsia="Arial" w:hAnsi="Arial"/>
                <w:sz w:val="27"/>
                <w:szCs w:val="27"/>
                <w:color w:val="auto"/>
                <w:vertAlign w:val="superscript"/>
              </w:rPr>
              <w:t>+</w:t>
            </w:r>
          </w:p>
        </w:tc>
        <w:tc>
          <w:tcPr>
            <w:tcW w:w="20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w w:val="95"/>
              </w:rPr>
              <w:t>Form of PRSU Agreement under the Amended &amp; Restated Tradeweb Markets Inc. PRSU Plan.</w:t>
            </w:r>
          </w:p>
        </w:tc>
        <w:tc>
          <w:tcPr>
            <w:tcW w:w="0" w:type="dxa"/>
            <w:vAlign w:val="bottom"/>
          </w:tcPr>
          <w:p>
            <w:pPr>
              <w:spacing w:after="0"/>
              <w:rPr>
                <w:sz w:val="1"/>
                <w:szCs w:val="1"/>
                <w:color w:val="auto"/>
              </w:rPr>
            </w:pPr>
          </w:p>
        </w:tc>
      </w:tr>
      <w:tr>
        <w:trPr>
          <w:trHeight w:val="297"/>
        </w:trPr>
        <w:tc>
          <w:tcPr>
            <w:tcW w:w="780" w:type="dxa"/>
            <w:vAlign w:val="bottom"/>
            <w:gridSpan w:val="6"/>
          </w:tcPr>
          <w:p>
            <w:pPr>
              <w:ind w:left="120"/>
              <w:spacing w:after="0" w:line="297" w:lineRule="exact"/>
              <w:rPr>
                <w:sz w:val="20"/>
                <w:szCs w:val="20"/>
                <w:color w:val="auto"/>
              </w:rPr>
            </w:pPr>
            <w:r>
              <w:rPr>
                <w:rFonts w:ascii="Arial" w:cs="Arial" w:eastAsia="Arial" w:hAnsi="Arial"/>
                <w:sz w:val="18"/>
                <w:szCs w:val="18"/>
                <w:color w:val="auto"/>
              </w:rPr>
              <w:t>10.12*</w:t>
            </w:r>
            <w:r>
              <w:rPr>
                <w:rFonts w:ascii="Arial" w:cs="Arial" w:eastAsia="Arial" w:hAnsi="Arial"/>
                <w:sz w:val="27"/>
                <w:szCs w:val="27"/>
                <w:color w:val="auto"/>
                <w:vertAlign w:val="superscript"/>
              </w:rPr>
              <w:t>+</w:t>
            </w:r>
          </w:p>
        </w:tc>
        <w:tc>
          <w:tcPr>
            <w:tcW w:w="20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Tradeweb Markets Inc. 2019 Omnibus Equity Incentive Plan.</w:t>
            </w:r>
          </w:p>
        </w:tc>
        <w:tc>
          <w:tcPr>
            <w:tcW w:w="0" w:type="dxa"/>
            <w:vAlign w:val="bottom"/>
          </w:tcPr>
          <w:p>
            <w:pPr>
              <w:spacing w:after="0"/>
              <w:rPr>
                <w:sz w:val="1"/>
                <w:szCs w:val="1"/>
                <w:color w:val="auto"/>
              </w:rPr>
            </w:pPr>
          </w:p>
        </w:tc>
      </w:tr>
      <w:tr>
        <w:trPr>
          <w:trHeight w:val="284"/>
        </w:trPr>
        <w:tc>
          <w:tcPr>
            <w:tcW w:w="780" w:type="dxa"/>
            <w:vAlign w:val="bottom"/>
            <w:gridSpan w:val="6"/>
          </w:tcPr>
          <w:p>
            <w:pPr>
              <w:ind w:left="120"/>
              <w:spacing w:after="0" w:line="284" w:lineRule="exact"/>
              <w:rPr>
                <w:sz w:val="20"/>
                <w:szCs w:val="20"/>
                <w:color w:val="auto"/>
              </w:rPr>
            </w:pPr>
            <w:r>
              <w:rPr>
                <w:rFonts w:ascii="Arial" w:cs="Arial" w:eastAsia="Arial" w:hAnsi="Arial"/>
                <w:sz w:val="18"/>
                <w:szCs w:val="18"/>
                <w:color w:val="auto"/>
              </w:rPr>
              <w:t>10.13*</w:t>
            </w:r>
            <w:r>
              <w:rPr>
                <w:rFonts w:ascii="Arial" w:cs="Arial" w:eastAsia="Arial" w:hAnsi="Arial"/>
                <w:sz w:val="27"/>
                <w:szCs w:val="27"/>
                <w:color w:val="auto"/>
                <w:vertAlign w:val="superscript"/>
              </w:rPr>
              <w:t>+</w:t>
            </w:r>
          </w:p>
        </w:tc>
        <w:tc>
          <w:tcPr>
            <w:tcW w:w="20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400" w:type="dxa"/>
            <w:vAlign w:val="bottom"/>
            <w:gridSpan w:val="2"/>
            <w:vMerge w:val="restart"/>
          </w:tcPr>
          <w:p>
            <w:pPr>
              <w:jc w:val="right"/>
              <w:spacing w:after="0"/>
              <w:rPr>
                <w:rFonts w:ascii="Arial" w:cs="Arial" w:eastAsia="Arial" w:hAnsi="Arial"/>
                <w:sz w:val="18"/>
                <w:szCs w:val="18"/>
                <w:color w:val="0000EE"/>
                <w:w w:val="84"/>
              </w:rPr>
            </w:pPr>
            <w:hyperlink w:anchor="page26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14</w:t>
              </w:r>
            </w:hyperlink>
          </w:p>
        </w:tc>
        <w:tc>
          <w:tcPr>
            <w:tcW w:w="60" w:type="dxa"/>
            <w:vAlign w:val="bottom"/>
            <w:tcBorders>
              <w:bottom w:val="single" w:sz="8" w:color="0000EE"/>
            </w:tcBorders>
          </w:tcPr>
          <w:p>
            <w:pPr>
              <w:spacing w:after="0"/>
              <w:rPr>
                <w:rFonts w:ascii="Arial" w:cs="Arial" w:eastAsia="Arial" w:hAnsi="Arial"/>
                <w:sz w:val="10"/>
                <w:szCs w:val="10"/>
                <w:color w:val="0000EE"/>
                <w:w w:val="71"/>
              </w:rPr>
            </w:pPr>
            <w:hyperlink w:anchor="page260">
              <w:r>
                <w:rPr>
                  <w:rFonts w:ascii="Arial" w:cs="Arial" w:eastAsia="Arial" w:hAnsi="Arial"/>
                  <w:sz w:val="10"/>
                  <w:szCs w:val="10"/>
                  <w:color w:val="0000EE"/>
                  <w:w w:val="71"/>
                </w:rPr>
                <w:t>†</w:t>
              </w:r>
            </w:hyperlink>
          </w:p>
        </w:tc>
        <w:tc>
          <w:tcPr>
            <w:tcW w:w="100" w:type="dxa"/>
            <w:vAlign w:val="bottom"/>
            <w:vMerge w:val="restart"/>
          </w:tcPr>
          <w:p>
            <w:pPr>
              <w:spacing w:after="0"/>
              <w:rPr>
                <w:sz w:val="12"/>
                <w:szCs w:val="12"/>
                <w:color w:val="auto"/>
              </w:rPr>
            </w:pPr>
          </w:p>
        </w:tc>
        <w:tc>
          <w:tcPr>
            <w:tcW w:w="300" w:type="dxa"/>
            <w:vAlign w:val="bottom"/>
            <w:gridSpan w:val="2"/>
            <w:vMerge w:val="restart"/>
          </w:tcPr>
          <w:p>
            <w:pPr>
              <w:spacing w:after="0"/>
              <w:rPr>
                <w:sz w:val="12"/>
                <w:szCs w:val="12"/>
                <w:color w:val="auto"/>
              </w:rPr>
            </w:pPr>
          </w:p>
        </w:tc>
        <w:tc>
          <w:tcPr>
            <w:tcW w:w="7240" w:type="dxa"/>
            <w:vAlign w:val="bottom"/>
            <w:gridSpan w:val="9"/>
            <w:vMerge w:val="restart"/>
          </w:tcPr>
          <w:p>
            <w:pPr>
              <w:spacing w:after="0"/>
              <w:rPr>
                <w:rFonts w:ascii="Arial" w:cs="Arial" w:eastAsia="Arial" w:hAnsi="Arial"/>
                <w:sz w:val="18"/>
                <w:szCs w:val="18"/>
                <w:color w:val="0000EE"/>
                <w:w w:val="92"/>
              </w:rPr>
            </w:pPr>
            <w:hyperlink w:anchor="page260">
              <w:r>
                <w:rPr>
                  <w:rFonts w:ascii="Arial" w:cs="Arial" w:eastAsia="Arial" w:hAnsi="Arial"/>
                  <w:sz w:val="18"/>
                  <w:szCs w:val="18"/>
                  <w:color w:val="0000EE"/>
                  <w:w w:val="92"/>
                </w:rPr>
                <w:t>Second Amended &amp; Restated Market Data Agreement, dated November 1, 2018, by and between</w:t>
              </w:r>
            </w:hyperlink>
          </w:p>
        </w:tc>
        <w:tc>
          <w:tcPr>
            <w:tcW w:w="0" w:type="dxa"/>
            <w:vAlign w:val="bottom"/>
          </w:tcPr>
          <w:p>
            <w:pPr>
              <w:spacing w:after="0"/>
              <w:rPr>
                <w:sz w:val="1"/>
                <w:szCs w:val="1"/>
                <w:color w:val="auto"/>
              </w:rPr>
            </w:pPr>
          </w:p>
        </w:tc>
      </w:tr>
      <w:tr>
        <w:trPr>
          <w:trHeight w:val="48"/>
        </w:trPr>
        <w:tc>
          <w:tcPr>
            <w:tcW w:w="12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24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60">
              <w:r>
                <w:rPr>
                  <w:rFonts w:ascii="Arial" w:cs="Arial" w:eastAsia="Arial" w:hAnsi="Arial"/>
                  <w:sz w:val="18"/>
                  <w:szCs w:val="18"/>
                  <w:color w:val="0000EE"/>
                  <w:w w:val="91"/>
                </w:rPr>
                <w:t>Tradeweb Markets LLC, Thomson Reuters (Markets) LLC and Thomson Reuters (GRC) Inc.</w:t>
              </w:r>
            </w:hyperlink>
          </w:p>
        </w:tc>
        <w:tc>
          <w:tcPr>
            <w:tcW w:w="2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20" w:type="dxa"/>
            <w:vAlign w:val="bottom"/>
            <w:gridSpan w:val="2"/>
          </w:tcPr>
          <w:p>
            <w:pPr>
              <w:ind w:left="120"/>
              <w:spacing w:after="0"/>
              <w:rPr>
                <w:rFonts w:ascii="Arial" w:cs="Arial" w:eastAsia="Arial" w:hAnsi="Arial"/>
                <w:sz w:val="18"/>
                <w:szCs w:val="18"/>
                <w:color w:val="0000EE"/>
                <w:w w:val="74"/>
              </w:rPr>
            </w:pPr>
            <w:r>
              <w:rPr>
                <w:rFonts w:ascii="Arial" w:cs="Arial" w:eastAsia="Arial" w:hAnsi="Arial"/>
                <w:sz w:val="18"/>
                <w:szCs w:val="18"/>
                <w:color w:val="0000EE"/>
                <w:w w:val="74"/>
              </w:rPr>
              <w:t>16.</w:t>
            </w:r>
            <w:hyperlink w:anchor="page356">
              <w:r>
                <w:rPr>
                  <w:rFonts w:ascii="Arial" w:cs="Arial" w:eastAsia="Arial" w:hAnsi="Arial"/>
                  <w:sz w:val="18"/>
                  <w:szCs w:val="18"/>
                  <w:u w:val="single" w:color="auto"/>
                  <w:color w:val="0000EE"/>
                  <w:w w:val="74"/>
                </w:rPr>
                <w:t>1</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9"/>
          </w:tcPr>
          <w:p>
            <w:pPr>
              <w:spacing w:after="0"/>
              <w:rPr>
                <w:rFonts w:ascii="Arial" w:cs="Arial" w:eastAsia="Arial" w:hAnsi="Arial"/>
                <w:sz w:val="18"/>
                <w:szCs w:val="18"/>
                <w:color w:val="0000EE"/>
                <w:w w:val="97"/>
              </w:rPr>
            </w:pPr>
            <w:hyperlink w:anchor="page356">
              <w:r>
                <w:rPr>
                  <w:rFonts w:ascii="Arial" w:cs="Arial" w:eastAsia="Arial" w:hAnsi="Arial"/>
                  <w:sz w:val="18"/>
                  <w:szCs w:val="18"/>
                  <w:color w:val="0000EE"/>
                  <w:w w:val="97"/>
                </w:rPr>
                <w:t>Letter of PricewaterhouseCoopers LLP, dated March 7, 2019, regarding change in Tradeweb</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56">
              <w:r>
                <w:rPr>
                  <w:rFonts w:ascii="Arial" w:cs="Arial" w:eastAsia="Arial" w:hAnsi="Arial"/>
                  <w:sz w:val="18"/>
                  <w:szCs w:val="18"/>
                  <w:color w:val="0000EE"/>
                </w:rPr>
                <w:t>Markets LLC’s independent registered public accounting firm.</w:t>
              </w:r>
            </w:hyperlink>
          </w:p>
        </w:tc>
        <w:tc>
          <w:tcPr>
            <w:tcW w:w="5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gridSpan w:val="3"/>
          </w:tcPr>
          <w:p>
            <w:pPr>
              <w:ind w:left="120"/>
              <w:spacing w:after="0"/>
              <w:rPr>
                <w:sz w:val="20"/>
                <w:szCs w:val="20"/>
                <w:color w:val="auto"/>
              </w:rPr>
            </w:pPr>
            <w:r>
              <w:rPr>
                <w:rFonts w:ascii="Arial" w:cs="Arial" w:eastAsia="Arial" w:hAnsi="Arial"/>
                <w:sz w:val="18"/>
                <w:szCs w:val="18"/>
                <w:color w:val="auto"/>
                <w:w w:val="90"/>
              </w:rPr>
              <w:t>21.1*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List of Subsidiaries of Tradeweb Markets Inc.</w:t>
            </w:r>
          </w:p>
        </w:tc>
        <w:tc>
          <w:tcPr>
            <w:tcW w:w="27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 w:type="dxa"/>
            <w:vAlign w:val="bottom"/>
            <w:gridSpan w:val="2"/>
          </w:tcPr>
          <w:p>
            <w:pPr>
              <w:ind w:left="120"/>
              <w:spacing w:after="0"/>
              <w:rPr>
                <w:rFonts w:ascii="Arial" w:cs="Arial" w:eastAsia="Arial" w:hAnsi="Arial"/>
                <w:sz w:val="18"/>
                <w:szCs w:val="18"/>
                <w:color w:val="0000EE"/>
                <w:w w:val="74"/>
              </w:rPr>
            </w:pPr>
            <w:r>
              <w:rPr>
                <w:rFonts w:ascii="Arial" w:cs="Arial" w:eastAsia="Arial" w:hAnsi="Arial"/>
                <w:sz w:val="18"/>
                <w:szCs w:val="18"/>
                <w:color w:val="0000EE"/>
                <w:w w:val="74"/>
              </w:rPr>
              <w:t>23.</w:t>
            </w:r>
            <w:hyperlink w:anchor="page358">
              <w:r>
                <w:rPr>
                  <w:rFonts w:ascii="Arial" w:cs="Arial" w:eastAsia="Arial" w:hAnsi="Arial"/>
                  <w:sz w:val="18"/>
                  <w:szCs w:val="18"/>
                  <w:u w:val="single" w:color="auto"/>
                  <w:color w:val="0000EE"/>
                  <w:w w:val="74"/>
                </w:rPr>
                <w:t>1</w:t>
              </w:r>
            </w:hyperlink>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9"/>
          </w:tcPr>
          <w:p>
            <w:pPr>
              <w:spacing w:after="0"/>
              <w:rPr>
                <w:rFonts w:ascii="Arial" w:cs="Arial" w:eastAsia="Arial" w:hAnsi="Arial"/>
                <w:sz w:val="18"/>
                <w:szCs w:val="18"/>
                <w:color w:val="0000EE"/>
              </w:rPr>
            </w:pPr>
            <w:hyperlink w:anchor="page358">
              <w:r>
                <w:rPr>
                  <w:rFonts w:ascii="Arial" w:cs="Arial" w:eastAsia="Arial" w:hAnsi="Arial"/>
                  <w:sz w:val="18"/>
                  <w:szCs w:val="18"/>
                  <w:color w:val="0000EE"/>
                </w:rPr>
                <w:t>Consent of Deloitte &amp; Touche LLP.</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0" w:type="dxa"/>
            <w:vAlign w:val="bottom"/>
            <w:gridSpan w:val="2"/>
          </w:tcPr>
          <w:p>
            <w:pPr>
              <w:ind w:left="120"/>
              <w:spacing w:after="0"/>
              <w:rPr>
                <w:rFonts w:ascii="Arial" w:cs="Arial" w:eastAsia="Arial" w:hAnsi="Arial"/>
                <w:sz w:val="18"/>
                <w:szCs w:val="18"/>
                <w:color w:val="0000EE"/>
                <w:w w:val="74"/>
              </w:rPr>
            </w:pPr>
            <w:r>
              <w:rPr>
                <w:rFonts w:ascii="Arial" w:cs="Arial" w:eastAsia="Arial" w:hAnsi="Arial"/>
                <w:sz w:val="18"/>
                <w:szCs w:val="18"/>
                <w:color w:val="0000EE"/>
                <w:w w:val="74"/>
              </w:rPr>
              <w:t>23.</w:t>
            </w:r>
            <w:hyperlink w:anchor="page359">
              <w:r>
                <w:rPr>
                  <w:rFonts w:ascii="Arial" w:cs="Arial" w:eastAsia="Arial" w:hAnsi="Arial"/>
                  <w:sz w:val="18"/>
                  <w:szCs w:val="18"/>
                  <w:u w:val="single" w:color="auto"/>
                  <w:color w:val="0000EE"/>
                  <w:w w:val="74"/>
                </w:rPr>
                <w:t>2</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9"/>
          </w:tcPr>
          <w:p>
            <w:pPr>
              <w:spacing w:after="0"/>
              <w:rPr>
                <w:rFonts w:ascii="Arial" w:cs="Arial" w:eastAsia="Arial" w:hAnsi="Arial"/>
                <w:sz w:val="18"/>
                <w:szCs w:val="18"/>
                <w:color w:val="0000EE"/>
              </w:rPr>
            </w:pPr>
            <w:hyperlink w:anchor="page359">
              <w:r>
                <w:rPr>
                  <w:rFonts w:ascii="Arial" w:cs="Arial" w:eastAsia="Arial" w:hAnsi="Arial"/>
                  <w:sz w:val="18"/>
                  <w:szCs w:val="18"/>
                  <w:color w:val="0000EE"/>
                </w:rPr>
                <w:t>Consent of Deloitte &amp; Touche LLP.</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0" w:type="dxa"/>
            <w:vAlign w:val="bottom"/>
            <w:gridSpan w:val="2"/>
          </w:tcPr>
          <w:p>
            <w:pPr>
              <w:ind w:left="120"/>
              <w:spacing w:after="0"/>
              <w:rPr>
                <w:rFonts w:ascii="Arial" w:cs="Arial" w:eastAsia="Arial" w:hAnsi="Arial"/>
                <w:sz w:val="18"/>
                <w:szCs w:val="18"/>
                <w:color w:val="0000EE"/>
                <w:w w:val="74"/>
              </w:rPr>
            </w:pPr>
            <w:r>
              <w:rPr>
                <w:rFonts w:ascii="Arial" w:cs="Arial" w:eastAsia="Arial" w:hAnsi="Arial"/>
                <w:sz w:val="18"/>
                <w:szCs w:val="18"/>
                <w:color w:val="0000EE"/>
                <w:w w:val="74"/>
              </w:rPr>
              <w:t>23.</w:t>
            </w:r>
            <w:hyperlink w:anchor="page360">
              <w:r>
                <w:rPr>
                  <w:rFonts w:ascii="Arial" w:cs="Arial" w:eastAsia="Arial" w:hAnsi="Arial"/>
                  <w:sz w:val="18"/>
                  <w:szCs w:val="18"/>
                  <w:u w:val="single" w:color="auto"/>
                  <w:color w:val="0000EE"/>
                  <w:w w:val="74"/>
                </w:rPr>
                <w:t>3</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9"/>
          </w:tcPr>
          <w:p>
            <w:pPr>
              <w:spacing w:after="0"/>
              <w:rPr>
                <w:rFonts w:ascii="Arial" w:cs="Arial" w:eastAsia="Arial" w:hAnsi="Arial"/>
                <w:sz w:val="18"/>
                <w:szCs w:val="18"/>
                <w:color w:val="0000EE"/>
              </w:rPr>
            </w:pPr>
            <w:hyperlink w:anchor="page360">
              <w:r>
                <w:rPr>
                  <w:rFonts w:ascii="Arial" w:cs="Arial" w:eastAsia="Arial" w:hAnsi="Arial"/>
                  <w:sz w:val="18"/>
                  <w:szCs w:val="18"/>
                  <w:color w:val="0000EE"/>
                </w:rPr>
                <w:t>Consent of PricewaterhouseCoopers LLP.</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3"/>
          </w:tcPr>
          <w:p>
            <w:pPr>
              <w:ind w:left="120"/>
              <w:spacing w:after="0"/>
              <w:rPr>
                <w:sz w:val="20"/>
                <w:szCs w:val="20"/>
                <w:color w:val="auto"/>
              </w:rPr>
            </w:pPr>
            <w:r>
              <w:rPr>
                <w:rFonts w:ascii="Arial" w:cs="Arial" w:eastAsia="Arial" w:hAnsi="Arial"/>
                <w:sz w:val="18"/>
                <w:szCs w:val="18"/>
                <w:color w:val="auto"/>
                <w:w w:val="90"/>
              </w:rPr>
              <w:t>23.4*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Consent of Fried, Frank, Harris, Shriver &amp; Jacobson LLP (included in Exhibit 5.1).</w:t>
            </w:r>
          </w:p>
        </w:tc>
        <w:tc>
          <w:tcPr>
            <w:tcW w:w="0" w:type="dxa"/>
            <w:vAlign w:val="bottom"/>
          </w:tcPr>
          <w:p>
            <w:pPr>
              <w:spacing w:after="0"/>
              <w:rPr>
                <w:sz w:val="1"/>
                <w:szCs w:val="1"/>
                <w:color w:val="auto"/>
              </w:rPr>
            </w:pPr>
          </w:p>
        </w:tc>
      </w:tr>
      <w:tr>
        <w:trPr>
          <w:trHeight w:val="243"/>
        </w:trPr>
        <w:tc>
          <w:tcPr>
            <w:tcW w:w="420" w:type="dxa"/>
            <w:vAlign w:val="bottom"/>
            <w:gridSpan w:val="2"/>
          </w:tcPr>
          <w:p>
            <w:pPr>
              <w:ind w:left="120"/>
              <w:spacing w:after="0"/>
              <w:rPr>
                <w:rFonts w:ascii="Arial" w:cs="Arial" w:eastAsia="Arial" w:hAnsi="Arial"/>
                <w:sz w:val="18"/>
                <w:szCs w:val="18"/>
                <w:color w:val="0000EE"/>
                <w:w w:val="74"/>
              </w:rPr>
            </w:pPr>
            <w:r>
              <w:rPr>
                <w:rFonts w:ascii="Arial" w:cs="Arial" w:eastAsia="Arial" w:hAnsi="Arial"/>
                <w:sz w:val="18"/>
                <w:szCs w:val="18"/>
                <w:color w:val="0000EE"/>
                <w:w w:val="74"/>
              </w:rPr>
              <w:t>24.</w:t>
            </w:r>
            <w:hyperlink w:anchor="page258">
              <w:r>
                <w:rPr>
                  <w:rFonts w:ascii="Arial" w:cs="Arial" w:eastAsia="Arial" w:hAnsi="Arial"/>
                  <w:sz w:val="18"/>
                  <w:szCs w:val="18"/>
                  <w:u w:val="single" w:color="auto"/>
                  <w:color w:val="0000EE"/>
                  <w:w w:val="74"/>
                </w:rPr>
                <w:t>1</w:t>
              </w:r>
            </w:hyperlink>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9"/>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Power of Attorney (included in signature pages hereto).</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0" w:type="dxa"/>
            <w:vAlign w:val="bottom"/>
            <w:gridSpan w:val="2"/>
          </w:tcPr>
          <w:p>
            <w:pPr>
              <w:ind w:left="120"/>
              <w:spacing w:after="0"/>
              <w:rPr>
                <w:rFonts w:ascii="Arial" w:cs="Arial" w:eastAsia="Arial" w:hAnsi="Arial"/>
                <w:sz w:val="18"/>
                <w:szCs w:val="18"/>
                <w:color w:val="0000EE"/>
                <w:w w:val="74"/>
              </w:rPr>
            </w:pPr>
            <w:r>
              <w:rPr>
                <w:rFonts w:ascii="Arial" w:cs="Arial" w:eastAsia="Arial" w:hAnsi="Arial"/>
                <w:sz w:val="18"/>
                <w:szCs w:val="18"/>
                <w:color w:val="0000EE"/>
                <w:w w:val="74"/>
              </w:rPr>
              <w:t>99.</w:t>
            </w:r>
            <w:hyperlink w:anchor="page361">
              <w:r>
                <w:rPr>
                  <w:rFonts w:ascii="Arial" w:cs="Arial" w:eastAsia="Arial" w:hAnsi="Arial"/>
                  <w:sz w:val="18"/>
                  <w:szCs w:val="18"/>
                  <w:u w:val="single" w:color="auto"/>
                  <w:color w:val="0000EE"/>
                  <w:w w:val="74"/>
                </w:rPr>
                <w:t>1</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9"/>
          </w:tcPr>
          <w:p>
            <w:pPr>
              <w:spacing w:after="0"/>
              <w:rPr>
                <w:rFonts w:ascii="Arial" w:cs="Arial" w:eastAsia="Arial" w:hAnsi="Arial"/>
                <w:sz w:val="18"/>
                <w:szCs w:val="18"/>
                <w:color w:val="0000EE"/>
              </w:rPr>
            </w:pPr>
            <w:hyperlink w:anchor="page361">
              <w:r>
                <w:rPr>
                  <w:rFonts w:ascii="Arial" w:cs="Arial" w:eastAsia="Arial" w:hAnsi="Arial"/>
                  <w:sz w:val="18"/>
                  <w:szCs w:val="18"/>
                  <w:color w:val="0000EE"/>
                </w:rPr>
                <w:t>Consent of William Hult to be named as a director nominee.</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197485</wp:posOffset>
            </wp:positionV>
            <wp:extent cx="123507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620" w:hanging="352"/>
        <w:spacing w:after="0"/>
        <w:tabs>
          <w:tab w:leader="none" w:pos="1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98" w:lineRule="exact"/>
        <w:rPr>
          <w:sz w:val="20"/>
          <w:szCs w:val="20"/>
          <w:color w:val="auto"/>
        </w:rPr>
      </w:pPr>
    </w:p>
    <w:p>
      <w:pPr>
        <w:ind w:left="1620" w:hanging="352"/>
        <w:spacing w:after="0"/>
        <w:tabs>
          <w:tab w:leader="none" w:pos="1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85" w:lineRule="exact"/>
        <w:rPr>
          <w:sz w:val="20"/>
          <w:szCs w:val="20"/>
          <w:color w:val="auto"/>
        </w:rPr>
      </w:pPr>
    </w:p>
    <w:p>
      <w:pPr>
        <w:ind w:left="1620" w:right="919" w:hanging="352"/>
        <w:spacing w:after="0" w:line="277" w:lineRule="auto"/>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and separately submitted to the Securities and Exchange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8" w:name="page259"/>
    <w:bookmarkEnd w:id="258"/>
    <w:p>
      <w:pPr>
        <w:spacing w:after="0"/>
        <w:rPr>
          <w:rFonts w:ascii="Arial" w:cs="Arial" w:eastAsia="Arial" w:hAnsi="Arial"/>
          <w:sz w:val="14"/>
          <w:szCs w:val="14"/>
          <w:color w:val="003366"/>
        </w:rPr>
      </w:pPr>
      <w:hyperlink w:anchor="page21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this 7</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of March, 2019.</w:t>
      </w:r>
    </w:p>
    <w:p>
      <w:pPr>
        <w:spacing w:after="0" w:line="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Tradeweb Markets Inc.</w:t>
      </w:r>
    </w:p>
    <w:p>
      <w:pPr>
        <w:spacing w:after="0" w:line="1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48895</wp:posOffset>
            </wp:positionV>
            <wp:extent cx="247015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Lee Olesky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103"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each of Lee Olesky, Robert Warshaw and Douglas Friedman, or any of them, each acting alone,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any subsequent registration statement filed pursuant to Rule 462 under the Securities Act of 1933, as amended, and to file the same, with all exhibits thereto, and other documents in connection therewith, with the Securities and Exchange Commission, granting unto said attorneys-in-fact and agents, and each of them, acting alone, full power and authority to do and perform each and every act and thing requisite and necessary to be done in connection therewith, as fully to all intents and purposes as he or she might or could do in person, and hereby ratifying and confirming all that said attorneys-in-fact and agents or any of them, or their substitute or substitutes, may lawfully do or cause to be done by virtue hereof.</w:t>
      </w:r>
    </w:p>
    <w:p>
      <w:pPr>
        <w:spacing w:after="0" w:line="72"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20" w:type="dxa"/>
            <w:vAlign w:val="bottom"/>
          </w:tcPr>
          <w:p>
            <w:pPr>
              <w:spacing w:after="0"/>
              <w:rPr>
                <w:sz w:val="16"/>
                <w:szCs w:val="16"/>
                <w:color w:val="auto"/>
              </w:rPr>
            </w:pPr>
          </w:p>
        </w:tc>
        <w:tc>
          <w:tcPr>
            <w:tcW w:w="3900" w:type="dxa"/>
            <w:vAlign w:val="bottom"/>
            <w:gridSpan w:val="2"/>
          </w:tcPr>
          <w:p>
            <w:pPr>
              <w:ind w:left="1700"/>
              <w:spacing w:after="0"/>
              <w:rPr>
                <w:sz w:val="20"/>
                <w:szCs w:val="20"/>
                <w:color w:val="auto"/>
              </w:rPr>
            </w:pPr>
            <w:r>
              <w:rPr>
                <w:rFonts w:ascii="Arial" w:cs="Arial" w:eastAsia="Arial" w:hAnsi="Arial"/>
                <w:sz w:val="14"/>
                <w:szCs w:val="14"/>
                <w:b w:val="1"/>
                <w:bCs w:val="1"/>
                <w:color w:val="auto"/>
              </w:rPr>
              <w:t>Title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2480" w:type="dxa"/>
            <w:vAlign w:val="bottom"/>
          </w:tcPr>
          <w:p>
            <w:pPr>
              <w:jc w:val="center"/>
              <w:spacing w:after="0"/>
              <w:rPr>
                <w:sz w:val="20"/>
                <w:szCs w:val="20"/>
                <w:color w:val="auto"/>
              </w:rPr>
            </w:pPr>
            <w:r>
              <w:rPr>
                <w:rFonts w:ascii="Arial" w:cs="Arial" w:eastAsia="Arial" w:hAnsi="Arial"/>
                <w:sz w:val="18"/>
                <w:szCs w:val="18"/>
                <w:color w:val="auto"/>
                <w:w w:val="91"/>
              </w:rPr>
              <w:t>/s/ Lee Olesky</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March 7, 2019</w:t>
            </w:r>
          </w:p>
        </w:tc>
        <w:tc>
          <w:tcPr>
            <w:tcW w:w="0" w:type="dxa"/>
            <w:vAlign w:val="bottom"/>
          </w:tcPr>
          <w:p>
            <w:pPr>
              <w:spacing w:after="0"/>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Officer) and Director</w:t>
            </w: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91"/>
              </w:rPr>
              <w:t>Lee Olesky</w:t>
            </w:r>
          </w:p>
        </w:tc>
        <w:tc>
          <w:tcPr>
            <w:tcW w:w="220" w:type="dxa"/>
            <w:vAlign w:val="bottom"/>
            <w:vMerge w:val="continue"/>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4"/>
        </w:trPr>
        <w:tc>
          <w:tcPr>
            <w:tcW w:w="2480" w:type="dxa"/>
            <w:vAlign w:val="bottom"/>
          </w:tcPr>
          <w:p>
            <w:pPr>
              <w:jc w:val="center"/>
              <w:spacing w:after="0"/>
              <w:rPr>
                <w:sz w:val="20"/>
                <w:szCs w:val="20"/>
                <w:color w:val="auto"/>
              </w:rPr>
            </w:pPr>
            <w:r>
              <w:rPr>
                <w:rFonts w:ascii="Arial" w:cs="Arial" w:eastAsia="Arial" w:hAnsi="Arial"/>
                <w:sz w:val="18"/>
                <w:szCs w:val="18"/>
                <w:color w:val="auto"/>
                <w:w w:val="89"/>
              </w:rPr>
              <w:t>/s/ Robert Warshaw</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March 7, 2019</w:t>
            </w:r>
          </w:p>
        </w:tc>
        <w:tc>
          <w:tcPr>
            <w:tcW w:w="0" w:type="dxa"/>
            <w:vAlign w:val="bottom"/>
          </w:tcPr>
          <w:p>
            <w:pPr>
              <w:spacing w:after="0"/>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Officer and Principal Accounting Officer)</w:t>
            </w: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9"/>
              </w:rPr>
              <w:t>Robert Warshaw</w:t>
            </w:r>
          </w:p>
        </w:tc>
        <w:tc>
          <w:tcPr>
            <w:tcW w:w="220" w:type="dxa"/>
            <w:vAlign w:val="bottom"/>
            <w:vMerge w:val="continue"/>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9" w:name="page260"/>
    <w:bookmarkEnd w:id="259"/>
    <w:p>
      <w:pPr>
        <w:ind w:left="10400"/>
        <w:spacing w:after="0"/>
        <w:rPr>
          <w:sz w:val="20"/>
          <w:szCs w:val="20"/>
          <w:color w:val="auto"/>
        </w:rPr>
      </w:pPr>
      <w:r>
        <w:rPr>
          <w:rFonts w:ascii="Arial" w:cs="Arial" w:eastAsia="Arial" w:hAnsi="Arial"/>
          <w:sz w:val="16"/>
          <w:szCs w:val="16"/>
          <w:b w:val="1"/>
          <w:bCs w:val="1"/>
          <w:color w:val="auto"/>
        </w:rPr>
        <w:t>Exhibit 10.14</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 this document, “[***]” indicates that confidential materials have been redacted from this document and filed separately with the Securities and Exchange Commission.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&amp; RESTATED MARKET DATA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SECOND AMENDED &amp; RESTATED MARKET DATA AGREEMENT (this “</w:t>
      </w:r>
      <w:r>
        <w:rPr>
          <w:rFonts w:ascii="Arial" w:cs="Arial" w:eastAsia="Arial" w:hAnsi="Arial"/>
          <w:sz w:val="18"/>
          <w:szCs w:val="18"/>
          <w:u w:val="single" w:color="auto"/>
          <w:color w:val="auto"/>
        </w:rPr>
        <w:t>Second A&amp;R Agreement</w:t>
      </w:r>
      <w:r>
        <w:rPr>
          <w:rFonts w:ascii="Arial" w:cs="Arial" w:eastAsia="Arial" w:hAnsi="Arial"/>
          <w:sz w:val="18"/>
          <w:szCs w:val="18"/>
          <w:color w:val="auto"/>
        </w:rPr>
        <w:t>”), dated November 1,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Tradeweb Markets LLC, a Delaware limited liability company, (“</w:t>
      </w:r>
      <w:r>
        <w:rPr>
          <w:rFonts w:ascii="Arial" w:cs="Arial" w:eastAsia="Arial" w:hAnsi="Arial"/>
          <w:sz w:val="18"/>
          <w:szCs w:val="18"/>
          <w:u w:val="single" w:color="auto"/>
          <w:color w:val="auto"/>
        </w:rPr>
        <w:t>Tradeweb</w:t>
      </w:r>
      <w:r>
        <w:rPr>
          <w:rFonts w:ascii="Arial" w:cs="Arial" w:eastAsia="Arial" w:hAnsi="Arial"/>
          <w:sz w:val="18"/>
          <w:szCs w:val="18"/>
          <w:color w:val="auto"/>
        </w:rPr>
        <w:t>”), Thomson Reuters (Markets) LLC, a Delaware limited liability company, (“</w:t>
      </w:r>
      <w:r>
        <w:rPr>
          <w:rFonts w:ascii="Arial" w:cs="Arial" w:eastAsia="Arial" w:hAnsi="Arial"/>
          <w:sz w:val="18"/>
          <w:szCs w:val="18"/>
          <w:u w:val="single" w:color="auto"/>
          <w:color w:val="auto"/>
        </w:rPr>
        <w:t>TRM</w:t>
      </w:r>
      <w:r>
        <w:rPr>
          <w:rFonts w:ascii="Arial" w:cs="Arial" w:eastAsia="Arial" w:hAnsi="Arial"/>
          <w:sz w:val="18"/>
          <w:szCs w:val="18"/>
          <w:color w:val="auto"/>
        </w:rPr>
        <w:t>”), and Thomson Reuters (GRC) Inc., a Delaware corporation (“</w:t>
      </w:r>
      <w:r>
        <w:rPr>
          <w:rFonts w:ascii="Arial" w:cs="Arial" w:eastAsia="Arial" w:hAnsi="Arial"/>
          <w:sz w:val="18"/>
          <w:szCs w:val="18"/>
          <w:u w:val="single" w:color="auto"/>
          <w:color w:val="auto"/>
        </w:rPr>
        <w:t>GRC</w:t>
      </w:r>
      <w:r>
        <w:rPr>
          <w:rFonts w:ascii="Arial" w:cs="Arial" w:eastAsia="Arial" w:hAnsi="Arial"/>
          <w:sz w:val="18"/>
          <w:szCs w:val="18"/>
          <w:color w:val="auto"/>
        </w:rPr>
        <w:t>”). TRM and GRC are referred to herein as the “</w:t>
      </w:r>
      <w:r>
        <w:rPr>
          <w:rFonts w:ascii="Arial" w:cs="Arial" w:eastAsia="Arial" w:hAnsi="Arial"/>
          <w:sz w:val="18"/>
          <w:szCs w:val="18"/>
          <w:u w:val="single" w:color="auto"/>
          <w:color w:val="auto"/>
        </w:rPr>
        <w:t>Refinitiv Parties</w:t>
      </w:r>
      <w:r>
        <w:rPr>
          <w:rFonts w:ascii="Arial" w:cs="Arial" w:eastAsia="Arial" w:hAnsi="Arial"/>
          <w:sz w:val="18"/>
          <w:szCs w:val="18"/>
          <w:color w:val="auto"/>
        </w:rPr>
        <w:t>”, and together with Tradeweb,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Tradeweb, TRM and Thomson Reuters Global Resources Unlimited Company (“</w:t>
      </w:r>
      <w:r>
        <w:rPr>
          <w:rFonts w:ascii="Arial" w:cs="Arial" w:eastAsia="Arial" w:hAnsi="Arial"/>
          <w:sz w:val="16"/>
          <w:szCs w:val="16"/>
          <w:u w:val="single" w:color="auto"/>
          <w:color w:val="auto"/>
        </w:rPr>
        <w:t>Global Resources</w:t>
      </w:r>
      <w:r>
        <w:rPr>
          <w:rFonts w:ascii="Arial" w:cs="Arial" w:eastAsia="Arial" w:hAnsi="Arial"/>
          <w:sz w:val="16"/>
          <w:szCs w:val="16"/>
          <w:color w:val="auto"/>
        </w:rPr>
        <w:t>”) previously executed that certain Market Data Agreement dated as of November 1, 2010, as amended by the Amendment dated as of December 12, 2011 (together,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Tradeweb, TRM and Global Resources subsequently executed the Amended &amp; Restated Market Data Agreement dated as of June 17, 2016 and effective as of November 1, 2015, as amended by the U.S. Treasuries Actives Data Addendum to the Amended &amp; Restated Market Data Agreement dated as of July 29, 2018 (the “</w:t>
      </w:r>
      <w:r>
        <w:rPr>
          <w:rFonts w:ascii="Arial" w:cs="Arial" w:eastAsia="Arial" w:hAnsi="Arial"/>
          <w:sz w:val="18"/>
          <w:szCs w:val="18"/>
          <w:u w:val="single" w:color="auto"/>
          <w:color w:val="auto"/>
        </w:rPr>
        <w:t>Addendum</w:t>
      </w:r>
      <w:r>
        <w:rPr>
          <w:rFonts w:ascii="Arial" w:cs="Arial" w:eastAsia="Arial" w:hAnsi="Arial"/>
          <w:sz w:val="18"/>
          <w:szCs w:val="18"/>
          <w:color w:val="auto"/>
        </w:rPr>
        <w:t>”) (collectively, the “</w:t>
      </w:r>
      <w:r>
        <w:rPr>
          <w:rFonts w:ascii="Arial" w:cs="Arial" w:eastAsia="Arial" w:hAnsi="Arial"/>
          <w:sz w:val="18"/>
          <w:szCs w:val="18"/>
          <w:u w:val="single" w:color="auto"/>
          <w:color w:val="auto"/>
        </w:rPr>
        <w:t>Amended Agreement</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Amended Agreement terminated the Original Agreement (except for those terms that were expressed to survive such termination as set forth therein and Section 5.1(c) of the Original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as of October 1, 2018, Global Resources assigned all of its rights and obligations contained in the Original Agreement and Amended Agreement to GRC; and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in consideration of certain mutually agreed updates and modifications, Tradeweb, TRM and GRC wish to amend and restate the Amended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it is mutually agreed that, as of the Effective Date, the Amended Agreement is deemed to be terminated (except for those terms that are expressed to survive such termination as set forth therein), and the terms thereof are replaced and superseded by the terms of this Second A&amp;R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DEFINITIONS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have the meaning set forth below:</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UST 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60" w:name="page261"/>
    <w:bookmarkEnd w:id="260"/>
    <w:p>
      <w:pPr>
        <w:jc w:val="both"/>
        <w:ind w:firstLine="56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shall mean, in respect of any specified Person, a Person that directly or indirectly, through one or more intermediaries, Controls, is Controlled by, or is under common Control with, the Person specified;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Second A&amp;R Agreement, (i) The Blackstone Group L.P. and its Affiliates (other than King (Cayman) Holdings Ltd. and its Subsidiaries), shall not be deemed to be Affiliates of any of the Parties, (ii) Tradeweb and its Subsidiaries shall not be deemed to be Affiliates of either Refinitiv Party, and (iii) the Refinitiv Parties and their respective Affiliates (other than Tradeweb and its Subsidiaries) shall not be deemed to be Affiliates of Tradeweb.</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License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 day other than a Saturday, Sunday, or any other day on which commercial banks in the State of New York are authorized or obligated to be closed.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Cancelled Subscription Fee</w:t>
      </w:r>
      <w:r>
        <w:rPr>
          <w:rFonts w:ascii="Arial" w:cs="Arial" w:eastAsia="Arial" w:hAnsi="Arial"/>
          <w:sz w:val="18"/>
          <w:szCs w:val="18"/>
          <w:color w:val="auto"/>
        </w:rPr>
        <w:t>” shall have the meaning set forth in the Original Agreement or the Amended Agreement, as applicable.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shall mean, with respect to a particular Person, the possession, directly or indirectly, of the power to direct or cause the direction of management or policies (whether through ownership of securities or partnership or other ownership interests, by contract or otherwise) of such Person.</w:t>
      </w:r>
    </w:p>
    <w:p>
      <w:pPr>
        <w:spacing w:after="0" w:line="147" w:lineRule="exact"/>
        <w:rPr>
          <w:sz w:val="20"/>
          <w:szCs w:val="20"/>
          <w:color w:val="auto"/>
        </w:rPr>
      </w:pPr>
    </w:p>
    <w:p>
      <w:pPr>
        <w:jc w:val="both"/>
        <w:ind w:firstLine="567"/>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Set</w:t>
      </w:r>
      <w:r>
        <w:rPr>
          <w:rFonts w:ascii="Arial" w:cs="Arial" w:eastAsia="Arial" w:hAnsi="Arial"/>
          <w:sz w:val="18"/>
          <w:szCs w:val="18"/>
          <w:color w:val="auto"/>
        </w:rPr>
        <w:t>” shall mean each individual set of data licensed pursuant to this Second A&amp;R Agreement that (i) for the Exclusive Licensed Market Data, is grouped at the second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grouping level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(ii) for the Non-Exclusive Licensed Market Data, is numbered as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(a) each Non-Exclusive Licensed NMDS added to the Licensed Data will be a new Data Set, and (b) each Exclusive Licensed NMDS added to the Licensed Data will either (1) if it fits within the scope of an existing Data Set, become a part of such Data Set or (2) otherwise, become a new Data Set.</w:t>
      </w:r>
    </w:p>
    <w:p>
      <w:pPr>
        <w:spacing w:after="0" w:line="203"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 Subscribers</w:t>
      </w:r>
      <w:r>
        <w:rPr>
          <w:rFonts w:ascii="Arial" w:cs="Arial" w:eastAsia="Arial" w:hAnsi="Arial"/>
          <w:sz w:val="18"/>
          <w:szCs w:val="18"/>
          <w:color w:val="auto"/>
        </w:rPr>
        <w:t>” shall mean each dealer that has entered into any electronic trading participation and subscription agreement with Tradeweb or any of its Subsidiaries, and all of the Affiliates of such dealer that participate on a Tradeweb Platform.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 User</w:t>
      </w:r>
      <w:r>
        <w:rPr>
          <w:rFonts w:ascii="Arial" w:cs="Arial" w:eastAsia="Arial" w:hAnsi="Arial"/>
          <w:sz w:val="18"/>
          <w:szCs w:val="18"/>
          <w:color w:val="auto"/>
        </w:rPr>
        <w:t>” shall mean a User at a Dealer Subscriber.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Dealerweb</w:t>
      </w:r>
      <w:r>
        <w:rPr>
          <w:rFonts w:ascii="Arial" w:cs="Arial" w:eastAsia="Arial" w:hAnsi="Arial"/>
          <w:sz w:val="18"/>
          <w:szCs w:val="18"/>
          <w:color w:val="auto"/>
        </w:rPr>
        <w:t>” shall mean Dealerweb Inc., a New York corporation and Subsidiary of Tradeweb.</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Work</w:t>
      </w:r>
      <w:r>
        <w:rPr>
          <w:rFonts w:ascii="Arial" w:cs="Arial" w:eastAsia="Arial" w:hAnsi="Arial"/>
          <w:sz w:val="18"/>
          <w:szCs w:val="18"/>
          <w:color w:val="auto"/>
        </w:rPr>
        <w:t xml:space="preserve">” shall mean a “derivative work” within the meaning of the United States Copyright Act, 17 U.S.C. Section 101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Desktop Product</w:t>
      </w:r>
      <w:r>
        <w:rPr>
          <w:rFonts w:ascii="Arial" w:cs="Arial" w:eastAsia="Arial" w:hAnsi="Arial"/>
          <w:sz w:val="16"/>
          <w:szCs w:val="16"/>
          <w:color w:val="auto"/>
        </w:rPr>
        <w:t>” shall mean any existing or future desktop offering by the Refinitiv Parties or any of their Affiliates, including Eikon and Thomson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1" w:name="page262"/>
    <w:bookmarkEnd w:id="261"/>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4.4(b)(iii)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 Resolution Matter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4.4(b)(iii)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 Resolution Process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4.4(b)(iii)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Eikon</w:t>
      </w:r>
      <w:r>
        <w:rPr>
          <w:rFonts w:ascii="Arial" w:cs="Arial" w:eastAsia="Arial" w:hAnsi="Arial"/>
          <w:sz w:val="18"/>
          <w:szCs w:val="18"/>
          <w:color w:val="auto"/>
        </w:rPr>
        <w:t>” shall mean the Desktop Product currently marketed by either Refinitiv Party or their Affiliates under the trademark EIKON.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Eikon Upgrade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5.2(b)(iii)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Entitlement System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Licensed Data</w:t>
      </w:r>
      <w:r>
        <w:rPr>
          <w:rFonts w:ascii="Arial" w:cs="Arial" w:eastAsia="Arial" w:hAnsi="Arial"/>
          <w:sz w:val="18"/>
          <w:szCs w:val="18"/>
          <w:color w:val="auto"/>
        </w:rPr>
        <w:t>” shall mean Exclusive Licensed Market Data and Licensed Trading Data.</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Licensed Market Data</w:t>
      </w:r>
      <w:r>
        <w:rPr>
          <w:rFonts w:ascii="Arial" w:cs="Arial" w:eastAsia="Arial" w:hAnsi="Arial"/>
          <w:sz w:val="18"/>
          <w:szCs w:val="18"/>
          <w:color w:val="auto"/>
        </w:rPr>
        <w:t xml:space="preserve">” shall mean the market data sets identified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(as such Schedule may be updated from time to time to include Exclusive Licensed NMDSs in accordance with this Second A&amp;R Agreement).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Licensed NMDS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NMDS Fee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4.3(a)(ii)</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Target Customers</w:t>
      </w:r>
      <w:r>
        <w:rPr>
          <w:rFonts w:ascii="Arial" w:cs="Arial" w:eastAsia="Arial" w:hAnsi="Arial"/>
          <w:sz w:val="18"/>
          <w:szCs w:val="18"/>
          <w:color w:val="auto"/>
        </w:rPr>
        <w:t>” shall mean those Multi-Dealer to Customer Platform customers of Tradeweb or any of its Subsidiaries assigned to TRM, or its designated Affiliates, under the terms of the Original Agreement.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Target User</w:t>
      </w:r>
      <w:r>
        <w:rPr>
          <w:rFonts w:ascii="Arial" w:cs="Arial" w:eastAsia="Arial" w:hAnsi="Arial"/>
          <w:sz w:val="18"/>
          <w:szCs w:val="18"/>
          <w:color w:val="auto"/>
        </w:rPr>
        <w:t>” shall mean a User at an Existing Target Customer.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Calculation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4.4(b)(i)</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shall mean collectively, all fees payable by the Refinitiv Parties to Tradeweb under this Second A&amp;R Agreement, including the Annual License Fee, and, where applicable, the Exclusive NMDS Fee Share, Non-Exclusive NMDS Fee Share, Non-Exclusive Licensed Market Data Fee Share, MiFID II Pre-Trade APA Fee Share, Eikon Upgrade Fees, and UST Subscription Fee Share.</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Per Data Set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E</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Distribution Year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4.3(a)(ii)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 Event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2" w:name="page263"/>
    <w:bookmarkEnd w:id="262"/>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Historical Market Data</w:t>
      </w:r>
      <w:r>
        <w:rPr>
          <w:rFonts w:ascii="Arial" w:cs="Arial" w:eastAsia="Arial" w:hAnsi="Arial"/>
          <w:sz w:val="18"/>
          <w:szCs w:val="18"/>
          <w:color w:val="auto"/>
        </w:rPr>
        <w:t xml:space="preserve">” shall mean a “gold copy” of the data listed on </w:t>
      </w:r>
      <w:r>
        <w:rPr>
          <w:rFonts w:ascii="Arial" w:cs="Arial" w:eastAsia="Arial" w:hAnsi="Arial"/>
          <w:sz w:val="18"/>
          <w:szCs w:val="18"/>
          <w:u w:val="single" w:color="auto"/>
          <w:color w:val="auto"/>
        </w:rPr>
        <w:t>Schedule L</w:t>
      </w:r>
      <w:r>
        <w:rPr>
          <w:rFonts w:ascii="Arial" w:cs="Arial" w:eastAsia="Arial" w:hAnsi="Arial"/>
          <w:sz w:val="18"/>
          <w:szCs w:val="18"/>
          <w:color w:val="auto"/>
        </w:rPr>
        <w:t xml:space="preserve">, including historical data for the applicable “Historical Lookback Period” (as set forth in </w:t>
      </w:r>
      <w:r>
        <w:rPr>
          <w:rFonts w:ascii="Arial" w:cs="Arial" w:eastAsia="Arial" w:hAnsi="Arial"/>
          <w:sz w:val="18"/>
          <w:szCs w:val="18"/>
          <w:u w:val="single" w:color="auto"/>
          <w:color w:val="auto"/>
        </w:rPr>
        <w:t>Schedule L</w:t>
      </w:r>
      <w:r>
        <w:rPr>
          <w:rFonts w:ascii="Arial" w:cs="Arial" w:eastAsia="Arial" w:hAnsi="Arial"/>
          <w:sz w:val="18"/>
          <w:szCs w:val="18"/>
          <w:color w:val="auto"/>
        </w:rPr>
        <w:t xml:space="preserve">) preceding each delivery to GRC in accordance with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Historical Market Data 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IDB Platform</w:t>
      </w:r>
      <w:r>
        <w:rPr>
          <w:rFonts w:ascii="Arial" w:cs="Arial" w:eastAsia="Arial" w:hAnsi="Arial"/>
          <w:sz w:val="17"/>
          <w:szCs w:val="17"/>
          <w:color w:val="auto"/>
        </w:rPr>
        <w:t>” shall mean any inter-dealer broker electronic trading platform made available by Tradeweb or any of its Subsidiaries to Users.</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Implementation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Innovative Solution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shall mean (i) all patents and patent applications, together with all reissues, continuations, continuations-in-part, divisions, revisions, extensions, and reexaminations thereof; (ii) all trademarks, service marks, trade dress, trade names, corporate names, and domain names, together with all translations, adaptations, derivations, and combinations thereof and including all goodwill associated therewith, and all applications, registrations, and renewals in connection therewith; (iii) all copyrights, and all applications, registrations, and renewals in connection therewith; (iv) all trade secrets and confidential business information (including ideas, research and development, know-how, processes and techniques, technical data, designs, drawings, specifications, customer and supplier lists, pricing and cost information, and business and marketing plans and proposals); (v) all computer software (including data and related documentation), rights in database information, and internet websites; (vi) all moral rights and rights of privacy and publicity; and (vii) all other intellectual property rights recognized by the Law of any jurisdiction.</w:t>
      </w:r>
    </w:p>
    <w:p>
      <w:pPr>
        <w:spacing w:after="0" w:line="179"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with respect to any specified Person, all foreign, federal, state, local and Self-Regulatory Organization statutes, laws, ordinances, regulations, rules, writs, injunctions, judgments, decrees and orders applicable to the specified Person or to the businesses and assets thereof, including laws relating to privacy, data protection, and the collection and use of data.</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Data</w:t>
      </w:r>
      <w:r>
        <w:rPr>
          <w:rFonts w:ascii="Arial" w:cs="Arial" w:eastAsia="Arial" w:hAnsi="Arial"/>
          <w:sz w:val="18"/>
          <w:szCs w:val="18"/>
          <w:color w:val="auto"/>
        </w:rPr>
        <w:t>” shall mean Licensed Market Data and Licensed Trading Data and any alterations thereto that are not Resultant Data.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3" w:name="page264"/>
    <w:bookmarkEnd w:id="263"/>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IDB Trading Data</w:t>
      </w:r>
      <w:r>
        <w:rPr>
          <w:rFonts w:ascii="Arial" w:cs="Arial" w:eastAsia="Arial" w:hAnsi="Arial"/>
          <w:sz w:val="18"/>
          <w:szCs w:val="18"/>
          <w:color w:val="auto"/>
        </w:rPr>
        <w:t>” shall mean Licensed Trading Data: (i) generated on an IDB Platform; or (ii) displayed or otherwise disseminated by a voice or hybrid inter-dealer broker to Users.</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Market Data</w:t>
      </w:r>
      <w:r>
        <w:rPr>
          <w:rFonts w:ascii="Arial" w:cs="Arial" w:eastAsia="Arial" w:hAnsi="Arial"/>
          <w:sz w:val="18"/>
          <w:szCs w:val="18"/>
          <w:color w:val="auto"/>
        </w:rPr>
        <w:t>” shall mean: (i) Exclusive Licensed Market Data, (ii) Non-Exclusive Licensed Market Data, (iii) Historical Market Data, and (iv) New Market Data Sets.</w:t>
      </w:r>
    </w:p>
    <w:p>
      <w:pPr>
        <w:spacing w:after="0" w:line="170"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Licensed Trading Data</w:t>
      </w:r>
      <w:r>
        <w:rPr>
          <w:rFonts w:ascii="Arial" w:cs="Arial" w:eastAsia="Arial" w:hAnsi="Arial"/>
          <w:sz w:val="16"/>
          <w:szCs w:val="16"/>
          <w:color w:val="auto"/>
        </w:rPr>
        <w:t xml:space="preserve">” shall mean all data or other information (including algorithms and calculations) other than Licensed Market Data that is necessary, as determined by GRC in its reasonable discretion in consultation with Tradeweb, to enable GRC and its Affiliates to distribute and display via Desktop Products all of the pre-trade data and information that Tradeweb provides directly to Users and to provide the same user experience to Refinitiv Subscribers as that provided to Users;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establishing the feed for any new Licensed Trading Data, Tradeweb in its reasonable discretion in consultation with GRC shall determine the form in which it provides such new Licensed Trading Data (e.g., whether to transmit a calculated value to GRC or to transmit the values required for determining such calculated value and separately provide to GRC the algorithm for determining such calculated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changes to such form once established shall be made in accordance with the change control procedures set forth in the SLA.</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TWD Trading Data</w:t>
      </w:r>
      <w:r>
        <w:rPr>
          <w:rFonts w:ascii="Arial" w:cs="Arial" w:eastAsia="Arial" w:hAnsi="Arial"/>
          <w:sz w:val="18"/>
          <w:szCs w:val="18"/>
          <w:color w:val="auto"/>
        </w:rPr>
        <w:t>” shall mean Licensed Trading Data generated on a TWD Platform.</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shall collectively mean the Market Data License, Limited Trading Data License, Additional UST License and Historical Market Data License.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Trading Data 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Leader</w:t>
      </w:r>
      <w:r>
        <w:rPr>
          <w:rFonts w:ascii="Arial" w:cs="Arial" w:eastAsia="Arial" w:hAnsi="Arial"/>
          <w:sz w:val="18"/>
          <w:szCs w:val="18"/>
          <w:color w:val="auto"/>
        </w:rPr>
        <w:t>” shall mean to offer for sale, license or distribution at a disproportionate discount level compared to other services (either Refinitiv Services or Tradeweb services, as applicable) for the specific purpose of selling these other services to the same client or client Affiliate, or maintaining client’s or client Affiliates’ subscription to such other services. This does not cover the offer of discounts for the relevant service required in order to become or remain reasonably competitive as a provider of such service.</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Data 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Marks Fees</w:t>
      </w:r>
      <w:r>
        <w:rPr>
          <w:rFonts w:ascii="Arial" w:cs="Arial" w:eastAsia="Arial" w:hAnsi="Arial"/>
          <w:sz w:val="18"/>
          <w:szCs w:val="18"/>
          <w:color w:val="auto"/>
        </w:rPr>
        <w:t xml:space="preserve">” shall have the meaning in </w:t>
      </w:r>
      <w:r>
        <w:rPr>
          <w:rFonts w:ascii="Arial" w:cs="Arial" w:eastAsia="Arial" w:hAnsi="Arial"/>
          <w:sz w:val="18"/>
          <w:szCs w:val="18"/>
          <w:u w:val="single" w:color="auto"/>
          <w:color w:val="auto"/>
        </w:rPr>
        <w:t>Schedule F</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Materials</w:t>
      </w:r>
      <w:r>
        <w:rPr>
          <w:rFonts w:ascii="Arial" w:cs="Arial" w:eastAsia="Arial" w:hAnsi="Arial"/>
          <w:sz w:val="17"/>
          <w:szCs w:val="17"/>
          <w:color w:val="auto"/>
        </w:rPr>
        <w:t>” shall mean and include, without limitation, all data, information, analytics, software, designs, materials, products, services, content, concepts, ideas, inventions, methods, processes, techniques, know-how, code, development tools, APIs, systems, documentation and other Intellectual Property of any kind (and any modifications or improvements thereto), and any and all costs (internal and external) associated with an Innovative Solution, including, without limitation, with respect to development, testing, deployment, support and maintenance of such Innovative Solution.</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MBIS</w:t>
      </w:r>
      <w:r>
        <w:rPr>
          <w:rFonts w:ascii="Arial" w:cs="Arial" w:eastAsia="Arial" w:hAnsi="Arial"/>
          <w:sz w:val="18"/>
          <w:szCs w:val="18"/>
          <w:color w:val="auto"/>
        </w:rPr>
        <w:t>” shall mean Municipal Bond Information Services LLC, a Delaware limited liability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4" w:name="page265"/>
    <w:bookmarkEnd w:id="264"/>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MD Server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MD Server Fees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F</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MiFID II Pre-Trade APA Market Data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C</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MiFID II Pre-Trade APA Fee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Multi-Dealer to Customer Platform</w:t>
      </w:r>
      <w:r>
        <w:rPr>
          <w:rFonts w:ascii="Arial" w:cs="Arial" w:eastAsia="Arial" w:hAnsi="Arial"/>
          <w:sz w:val="18"/>
          <w:szCs w:val="18"/>
          <w:color w:val="auto"/>
        </w:rPr>
        <w:t>” shall mean any multi-dealer to customer electronic trading platform made available by Tradeweb or any of its Subsidiaries to Users.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Analytics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Market Data Set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Non-Exclusive Licensed Market Data</w:t>
      </w:r>
      <w:r>
        <w:rPr>
          <w:rFonts w:ascii="Arial" w:cs="Arial" w:eastAsia="Arial" w:hAnsi="Arial"/>
          <w:sz w:val="18"/>
          <w:szCs w:val="18"/>
          <w:color w:val="auto"/>
        </w:rPr>
        <w:t xml:space="preserve">” shall mean the market data sets identified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(as such Schedule may be updated from time to time to include Non-Exclusive Licensed NMDSs in accordance with this Second A&amp;R Agreement).</w:t>
      </w:r>
    </w:p>
    <w:p>
      <w:pPr>
        <w:spacing w:after="0" w:line="170"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Non-Exclusive Licensed Market Data Distributor Fee</w:t>
      </w:r>
      <w:r>
        <w:rPr>
          <w:rFonts w:ascii="Arial" w:cs="Arial" w:eastAsia="Arial" w:hAnsi="Arial"/>
          <w:sz w:val="18"/>
          <w:szCs w:val="18"/>
          <w:color w:val="auto"/>
        </w:rPr>
        <w:t>” shall mean the standard “distributor fee” that would be charged to a third Person distributor of a Non-Exclusive Licensed Market Data set.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Non-Exclusive Licensed Market Data Fee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Non-Exclusive Licensed NMDS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Non-Exclusive NMDS Fee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4.3(b)(ii)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Non-Trading User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Non-Trading User List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5.2(a)(vii)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Non-Renewal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NTU Fee Calculation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5.2(a)(iii)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NTU Fee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5.2(a)(ii)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of Revenue Payable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4.3(a)(ii)</w:t>
      </w:r>
      <w:r>
        <w:rPr>
          <w:rFonts w:ascii="Arial" w:cs="Arial" w:eastAsia="Arial" w:hAnsi="Arial"/>
          <w:sz w:val="18"/>
          <w:szCs w:val="18"/>
          <w:color w:val="auto"/>
        </w:rPr>
        <w:t>.</w:t>
      </w:r>
    </w:p>
    <w:p>
      <w:pPr>
        <w:spacing w:after="0" w:line="225"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entity, firm, corporation, partnership, association, limited liability company, joint-stock company, trust, or unincorporated organization.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5" w:name="page266"/>
    <w:bookmarkEnd w:id="265"/>
    <w:p>
      <w:pPr>
        <w:jc w:val="both"/>
        <w:ind w:firstLine="56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Revenue</w:t>
      </w:r>
      <w:r>
        <w:rPr>
          <w:rFonts w:ascii="Arial" w:cs="Arial" w:eastAsia="Arial" w:hAnsi="Arial"/>
          <w:sz w:val="18"/>
          <w:szCs w:val="18"/>
          <w:color w:val="auto"/>
        </w:rPr>
        <w:t xml:space="preserve">” shall mean, with respect to any relevant period of time, the aggregate value of all RCM 19901 Subscription Fees for such period of time, excluding any value added, sales and/or other taxes and/or tariff duties directly levied on TP ICAP Customers in respect of the supply of RCM 19901 to them and any withholding or equivalent taxes that the TP ICAP Group is required to deduct under applicable tax laws; </w:t>
      </w:r>
      <w:r>
        <w:rPr>
          <w:rFonts w:ascii="Arial" w:cs="Arial" w:eastAsia="Arial" w:hAnsi="Arial"/>
          <w:sz w:val="18"/>
          <w:szCs w:val="18"/>
          <w:u w:val="single" w:color="auto"/>
          <w:color w:val="auto"/>
        </w:rPr>
        <w:t>provided</w:t>
      </w:r>
      <w:r>
        <w:rPr>
          <w:rFonts w:ascii="Arial" w:cs="Arial" w:eastAsia="Arial" w:hAnsi="Arial"/>
          <w:sz w:val="18"/>
          <w:szCs w:val="18"/>
          <w:color w:val="auto"/>
        </w:rPr>
        <w:t>, that if at any time the TP ICAP Group ceases to provide RCM 19901 to TP ICAP Customers, “Qualifying Revenue” shall mean the revenues directly generated by GRC and its Affiliates from the distribution by them or a third party of RCM 19901.</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RCM 19901</w:t>
      </w:r>
      <w:r>
        <w:rPr>
          <w:rFonts w:ascii="Arial" w:cs="Arial" w:eastAsia="Arial" w:hAnsi="Arial"/>
          <w:sz w:val="18"/>
          <w:szCs w:val="18"/>
          <w:color w:val="auto"/>
        </w:rPr>
        <w:t>” shall mean that certain Reuters Capital Markets 19901 service (including any replacement or successor services thereto).</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RCM 19901 Subscription Fees</w:t>
      </w:r>
      <w:r>
        <w:rPr>
          <w:rFonts w:ascii="Arial" w:cs="Arial" w:eastAsia="Arial" w:hAnsi="Arial"/>
          <w:sz w:val="18"/>
          <w:szCs w:val="18"/>
          <w:color w:val="auto"/>
        </w:rPr>
        <w:t>” shall mean, with respect to any relevant period of time, all fees charged by the TP ICAP Group to a TP ICAP Customer during such period of time for receipt and use of RCM 19901.</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Authorized Personnel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Competitor List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Delivery Mechanism</w:t>
      </w:r>
      <w:r>
        <w:rPr>
          <w:rFonts w:ascii="Arial" w:cs="Arial" w:eastAsia="Arial" w:hAnsi="Arial"/>
          <w:sz w:val="18"/>
          <w:szCs w:val="18"/>
          <w:color w:val="auto"/>
        </w:rPr>
        <w:t>” shall mean the services and facilities provided from time to time by TRM or any of its Affiliates in order to make available RCM 19901 to Subscribers.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Services</w:t>
      </w:r>
      <w:r>
        <w:rPr>
          <w:rFonts w:ascii="Arial" w:cs="Arial" w:eastAsia="Arial" w:hAnsi="Arial"/>
          <w:sz w:val="18"/>
          <w:szCs w:val="18"/>
          <w:color w:val="auto"/>
        </w:rPr>
        <w:t>” shall mean services and facilities provided from time to time by TRM or any of its Affiliates to any third Person.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Subscriber</w:t>
      </w:r>
      <w:r>
        <w:rPr>
          <w:rFonts w:ascii="Arial" w:cs="Arial" w:eastAsia="Arial" w:hAnsi="Arial"/>
          <w:sz w:val="18"/>
          <w:szCs w:val="18"/>
          <w:color w:val="auto"/>
        </w:rPr>
        <w:t>” shall mean any third Person that is an authorized recipient of any Refinitiv Services.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Limited Group</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Renewal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List</w:t>
      </w:r>
      <w:r>
        <w:rPr>
          <w:rFonts w:ascii="Arial" w:cs="Arial" w:eastAsia="Arial" w:hAnsi="Arial"/>
          <w:sz w:val="18"/>
          <w:szCs w:val="18"/>
          <w:color w:val="auto"/>
        </w:rPr>
        <w:t xml:space="preserve">” shall mean those Persons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Resultant Data</w:t>
      </w:r>
      <w:r>
        <w:rPr>
          <w:rFonts w:ascii="Arial" w:cs="Arial" w:eastAsia="Arial" w:hAnsi="Arial"/>
          <w:sz w:val="18"/>
          <w:szCs w:val="18"/>
          <w:color w:val="auto"/>
        </w:rPr>
        <w:t>” shall mean any data that is produced by Refinitiv Parties or their Affiliates by processing Licensed Data to produce data that is substantially different from the original Licensed Data and that would not allow a third party to identify (through reverse engineering or otherwise) the Licensed Data from which such Resultant Data was derived.</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A&amp;R 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Self-Regulatory Organization</w:t>
      </w:r>
      <w:r>
        <w:rPr>
          <w:rFonts w:ascii="Arial" w:cs="Arial" w:eastAsia="Arial" w:hAnsi="Arial"/>
          <w:sz w:val="18"/>
          <w:szCs w:val="18"/>
          <w:color w:val="auto"/>
        </w:rPr>
        <w:t>” means the Financial Industry Regulatory Authority, Inc., the National Futures Association, the Chicago Board of Trade, the New York Stock Exchange, any national securities exchange (as defined in the Securities Exchange Act of 1934, as amended, and the rules and regulations thereunder), any other securities exchange, futures exchange, contract market, commodities market, any other such exchange, clearinghouse or corporation or other similar federal, state or foreign self-regulatory body or organization.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6" w:name="page267"/>
    <w:bookmarkEnd w:id="266"/>
    <w:p>
      <w:pPr>
        <w:ind w:left="580"/>
        <w:spacing w:after="0"/>
        <w:rPr>
          <w:sz w:val="20"/>
          <w:szCs w:val="20"/>
          <w:color w:val="auto"/>
        </w:rPr>
      </w:pPr>
      <w:r>
        <w:rPr>
          <w:rFonts w:ascii="Arial" w:cs="Arial" w:eastAsia="Arial" w:hAnsi="Arial"/>
          <w:sz w:val="18"/>
          <w:szCs w:val="18"/>
          <w:color w:val="FF0000"/>
        </w:rPr>
        <w:t>“</w:t>
      </w:r>
      <w:r>
        <w:rPr>
          <w:rFonts w:ascii="Arial" w:cs="Arial" w:eastAsia="Arial" w:hAnsi="Arial"/>
          <w:sz w:val="18"/>
          <w:szCs w:val="18"/>
          <w:u w:val="single" w:color="auto"/>
          <w:color w:val="000000"/>
        </w:rPr>
        <w:t>SLA</w:t>
      </w:r>
      <w:r>
        <w:rPr>
          <w:rFonts w:ascii="Arial" w:cs="Arial" w:eastAsia="Arial" w:hAnsi="Arial"/>
          <w:sz w:val="18"/>
          <w:szCs w:val="18"/>
          <w:color w:val="000000"/>
        </w:rPr>
        <w:t>” shall have the meaning set forth in</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3.3</w:t>
      </w:r>
      <w:r>
        <w:rPr>
          <w:rFonts w:ascii="Arial" w:cs="Arial" w:eastAsia="Arial" w:hAnsi="Arial"/>
          <w:sz w:val="18"/>
          <w:szCs w:val="18"/>
          <w:color w:val="000000"/>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Steering Committee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Subscriber</w:t>
      </w:r>
      <w:r>
        <w:rPr>
          <w:rFonts w:ascii="Arial" w:cs="Arial" w:eastAsia="Arial" w:hAnsi="Arial"/>
          <w:sz w:val="18"/>
          <w:szCs w:val="18"/>
          <w:color w:val="auto"/>
        </w:rPr>
        <w:t>” means any third Person that subscribes from time to time to a Refinitiv Delivery Mechanism.</w:t>
      </w:r>
    </w:p>
    <w:p>
      <w:pPr>
        <w:spacing w:after="0" w:line="225"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shall mean: (i) a corporation more than fifty percent (50%) of the outstanding voting stock of which is owned, directly or indirectly, by such Person or by one or more other Subsidiaries of such Person, or by such Person and one or more other Subsidiaries thereof; or (ii)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 Solely with respect to Tradeweb for purposes of this Second A&amp;R Agreement, “Subsidiary” shall include any company formed after the Effective Date that (i) directly or indirectly holds one hundred percent (100%) of the ownership equity of Tradeweb, (ii) is part of the same ownership group as, and operates the same business as, Tradeweb and its current Subsidiaries, and (iii) is not any Person (or any such Person’s Affiliates, successors or assigns) set forth on the Refinitiv Competitor List or any Persons reasonably known to be Affiliates of such Person.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Agreement</w:t>
      </w:r>
      <w:r>
        <w:rPr>
          <w:rFonts w:ascii="Arial" w:cs="Arial" w:eastAsia="Arial" w:hAnsi="Arial"/>
          <w:sz w:val="18"/>
          <w:szCs w:val="18"/>
          <w:color w:val="auto"/>
        </w:rPr>
        <w:t>” shall mean an agreement with a third Person to which a Party is bound.</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Thomson One</w:t>
      </w:r>
      <w:r>
        <w:rPr>
          <w:rFonts w:ascii="Arial" w:cs="Arial" w:eastAsia="Arial" w:hAnsi="Arial"/>
          <w:sz w:val="17"/>
          <w:szCs w:val="17"/>
          <w:color w:val="auto"/>
        </w:rPr>
        <w:t>” shall mean the Desktop Product currently marketed by TRM or any of its Affiliates under the trademark THOMSON ONE.</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TP ICAP</w:t>
      </w:r>
      <w:r>
        <w:rPr>
          <w:rFonts w:ascii="Arial" w:cs="Arial" w:eastAsia="Arial" w:hAnsi="Arial"/>
          <w:sz w:val="18"/>
          <w:szCs w:val="18"/>
          <w:color w:val="auto"/>
        </w:rPr>
        <w:t>” shall mean Tullet Prebon Information Limited.</w:t>
      </w:r>
    </w:p>
    <w:p>
      <w:pPr>
        <w:spacing w:after="0" w:line="225"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TP ICAP Customer</w:t>
      </w:r>
      <w:r>
        <w:rPr>
          <w:rFonts w:ascii="Arial" w:cs="Arial" w:eastAsia="Arial" w:hAnsi="Arial"/>
          <w:sz w:val="18"/>
          <w:szCs w:val="18"/>
          <w:color w:val="auto"/>
        </w:rPr>
        <w:t xml:space="preserve">” shall mean any Subscriber that has executed a TP ICAP Customer Agreement with the TP ICAP Group. For the avoidance of doubt, TP ICAP Customers shall not be considered Refinitiv Subscribers by virtue of their subscription to RCM 19901,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Person may separately qualify as a Refinitiv Subscriber with respect to other Refinitiv Services.</w:t>
      </w:r>
    </w:p>
    <w:p>
      <w:pPr>
        <w:spacing w:after="0" w:line="181" w:lineRule="exact"/>
        <w:rPr>
          <w:sz w:val="20"/>
          <w:szCs w:val="20"/>
          <w:color w:val="auto"/>
        </w:rPr>
      </w:pPr>
    </w:p>
    <w:p>
      <w:pPr>
        <w:jc w:val="both"/>
        <w:ind w:right="20" w:firstLine="56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TP ICAP Customer Agreement</w:t>
      </w:r>
      <w:r>
        <w:rPr>
          <w:rFonts w:ascii="Arial" w:cs="Arial" w:eastAsia="Arial" w:hAnsi="Arial"/>
          <w:sz w:val="16"/>
          <w:szCs w:val="16"/>
          <w:color w:val="auto"/>
        </w:rPr>
        <w:t>” shall mean the TP ICAP Group’s agreement with a TP ICAP Customer from time to time setting out the terms and conditions for a TP ICAP Customer’s access to and use of RCM 19901, including the US Treasuries Actives Data via a Refinitiv Delivery Mechanism.</w:t>
      </w:r>
    </w:p>
    <w:p>
      <w:pPr>
        <w:spacing w:after="0" w:line="124" w:lineRule="exact"/>
        <w:rPr>
          <w:sz w:val="20"/>
          <w:szCs w:val="20"/>
          <w:color w:val="auto"/>
        </w:rPr>
      </w:pPr>
    </w:p>
    <w:p>
      <w:pPr>
        <w:jc w:val="both"/>
        <w:ind w:right="20" w:firstLine="56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TP ICAP Group</w:t>
      </w:r>
      <w:r>
        <w:rPr>
          <w:rFonts w:ascii="Arial" w:cs="Arial" w:eastAsia="Arial" w:hAnsi="Arial"/>
          <w:sz w:val="17"/>
          <w:szCs w:val="17"/>
          <w:color w:val="auto"/>
        </w:rPr>
        <w:t>” shall mean Tullet Prebon Information Limited plc, its Affiliates and any entity that is a successor (including without limitation, by change of name, dissolution, merger, consolidation, reorganization, sale or other disposition) to any such business entity or its business and assets.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7" w:name="page268"/>
    <w:bookmarkEnd w:id="267"/>
    <w:p>
      <w:pPr>
        <w:jc w:val="both"/>
        <w:ind w:firstLine="56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TP ICAP Loss Leader</w:t>
      </w:r>
      <w:r>
        <w:rPr>
          <w:rFonts w:ascii="Arial" w:cs="Arial" w:eastAsia="Arial" w:hAnsi="Arial"/>
          <w:sz w:val="18"/>
          <w:szCs w:val="18"/>
          <w:color w:val="auto"/>
        </w:rPr>
        <w:t>” shall mean to offer for sale at a disproportionate discount level compared to other services (either Refinitiv Services or TP ICAP Group services, as applicable) for the specific purpose of selling these other services to the same client or client Affiliate, or maintaining client’s or client Affiliates’ subscription to such other services. This does not cover the offer of discounts for RCM 19901 required in order to meet competition with respect to RCM 19901.</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Tradeweb-Entitled Trading Customer</w:t>
      </w:r>
      <w:r>
        <w:rPr>
          <w:rFonts w:ascii="Arial" w:cs="Arial" w:eastAsia="Arial" w:hAnsi="Arial"/>
          <w:sz w:val="18"/>
          <w:szCs w:val="18"/>
          <w:color w:val="auto"/>
        </w:rPr>
        <w:t>” shall mean, with respect to any set of Licensed Trading Data, the Trading Customers and Dealer Subscribers permissioned by Tradeweb or any of its Subsidiaries to have access to such Licensed Trading Data.</w:t>
      </w:r>
    </w:p>
    <w:p>
      <w:pPr>
        <w:spacing w:after="0" w:line="170"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Front-End Application</w:t>
      </w:r>
      <w:r>
        <w:rPr>
          <w:rFonts w:ascii="Arial" w:cs="Arial" w:eastAsia="Arial" w:hAnsi="Arial"/>
          <w:sz w:val="18"/>
          <w:szCs w:val="18"/>
          <w:color w:val="auto"/>
        </w:rPr>
        <w:t>” shall mean any electronic front-end application provided by Tradeweb or any of its Subsidiaries to Users (including any electronic front-end applications developed for the TWD Platform by Tradeweb or any of its Subsidiaries and white-labeled for or otherwise licensed to customers for their provision to Users), whether for view and trading access or for view only access.</w:t>
      </w:r>
    </w:p>
    <w:p>
      <w:pPr>
        <w:spacing w:after="0" w:line="18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Operating Agreement</w:t>
      </w:r>
      <w:r>
        <w:rPr>
          <w:rFonts w:ascii="Arial" w:cs="Arial" w:eastAsia="Arial" w:hAnsi="Arial"/>
          <w:sz w:val="18"/>
          <w:szCs w:val="18"/>
          <w:color w:val="auto"/>
        </w:rPr>
        <w:t>” shall mean the Fourth Amended and Restated Limited Liability Company Agreement of Tradeweb Markets LLC, dated as of June 26, 2014, as may be amended or restated from time to time.</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Platform</w:t>
      </w:r>
      <w:r>
        <w:rPr>
          <w:rFonts w:ascii="Arial" w:cs="Arial" w:eastAsia="Arial" w:hAnsi="Arial"/>
          <w:sz w:val="18"/>
          <w:szCs w:val="18"/>
          <w:color w:val="auto"/>
        </w:rPr>
        <w:t>” shall mean any electronic trading platform made available by Tradeweb or any of its Subsidiaries to Users, including: (i) any Multi-Dealer to Customer Platform; (ii) any IDB Platform; and (iii) any TWD Platform.</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Viewer</w:t>
      </w:r>
      <w:r>
        <w:rPr>
          <w:rFonts w:ascii="Arial" w:cs="Arial" w:eastAsia="Arial" w:hAnsi="Arial"/>
          <w:sz w:val="18"/>
          <w:szCs w:val="18"/>
          <w:color w:val="auto"/>
        </w:rPr>
        <w:t>” shall mean a Tradeweb Front-End Application provided by Tradeweb or any of its Subsidiaries to Users for accessing a Multi-Dealer to Customer Platform, whether for view and trading access or for view only access.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Viewer + Eikon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5.2(c)(i)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Viewer 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5.2(b)(ii)</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Activity</w:t>
      </w:r>
      <w:r>
        <w:rPr>
          <w:rFonts w:ascii="Arial" w:cs="Arial" w:eastAsia="Arial" w:hAnsi="Arial"/>
          <w:sz w:val="18"/>
          <w:szCs w:val="18"/>
          <w:color w:val="auto"/>
        </w:rPr>
        <w:t>” shall mean that portion of a User’s interaction with a Tradeweb Platform between entry of an indication of interest (via RFQ, order entry, click-to-trade or otherwise, as applicable to the relevant Tradeweb Platform) and trade execution.</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Customer</w:t>
      </w:r>
      <w:r>
        <w:rPr>
          <w:rFonts w:ascii="Arial" w:cs="Arial" w:eastAsia="Arial" w:hAnsi="Arial"/>
          <w:sz w:val="18"/>
          <w:szCs w:val="18"/>
          <w:color w:val="auto"/>
        </w:rPr>
        <w:t>” shall mean a customer of Tradeweb or any of its Subsidiaries (other than a Dealer Subscriber) that is authorized by Tradeweb or any of its Subsidiaries to trade on a Tradeweb Platform.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Customer User</w:t>
      </w:r>
      <w:r>
        <w:rPr>
          <w:rFonts w:ascii="Arial" w:cs="Arial" w:eastAsia="Arial" w:hAnsi="Arial"/>
          <w:sz w:val="18"/>
          <w:szCs w:val="18"/>
          <w:color w:val="auto"/>
        </w:rPr>
        <w:t>” shall mean a User at a Trading Customer.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Data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8" w:name="page269"/>
    <w:bookmarkEnd w:id="268"/>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TRM</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 Competitor</w:t>
      </w:r>
      <w:r>
        <w:rPr>
          <w:rFonts w:ascii="Arial" w:cs="Arial" w:eastAsia="Arial" w:hAnsi="Arial"/>
          <w:sz w:val="18"/>
          <w:szCs w:val="18"/>
          <w:color w:val="auto"/>
        </w:rPr>
        <w:t>” shall mean any trading venue (including voice brokerage) that: (i) competes with any trading venue (including voice brokerage) operated by Tradeweb or any of its Subsidiaries; and (ii) is owned or operated by any Person on the Restricted List or any Persons reasonably known to be Affiliates of such Person.</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 Per-User Product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5.2(a)(i)</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 Revenue Threshold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5.2(a)(ii)</w:t>
      </w:r>
      <w:r>
        <w:rPr>
          <w:rFonts w:ascii="Arial" w:cs="Arial" w:eastAsia="Arial" w:hAnsi="Arial"/>
          <w:sz w:val="18"/>
          <w:szCs w:val="18"/>
          <w:color w:val="auto"/>
        </w:rPr>
        <w:t>.</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TWD Platform</w:t>
      </w:r>
      <w:r>
        <w:rPr>
          <w:rFonts w:ascii="Arial" w:cs="Arial" w:eastAsia="Arial" w:hAnsi="Arial"/>
          <w:sz w:val="18"/>
          <w:szCs w:val="18"/>
          <w:color w:val="auto"/>
        </w:rPr>
        <w:t>” shall mean any electronic trading platform made available by Tradeweb or any of its Subsidiaries to Users primarily for use in connecting liquidity providers with financial advisors, RIAs, traders and buy-side investors.</w:t>
      </w:r>
    </w:p>
    <w:p>
      <w:pPr>
        <w:spacing w:after="0" w:line="170"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CPI</w:t>
      </w:r>
      <w:r>
        <w:rPr>
          <w:rFonts w:ascii="Arial" w:cs="Arial" w:eastAsia="Arial" w:hAnsi="Arial"/>
          <w:sz w:val="18"/>
          <w:szCs w:val="18"/>
          <w:color w:val="auto"/>
        </w:rPr>
        <w:t>” shall mean the Consumer Price Index as published by the Bureau of Labor Statistics of the United States Department of Labor, U.S. City Average, All Items for Urban Wage Earners and Clerical Workers (1982-1984=100). If the US CPI is hereafter converted to a different standard reference base or otherwise revised, the determination of the US CPI adjustment shall be made with the use of such conversion factor, formula or table for converting the US CPI, as may be published by the United States Bureau of Labor Statistics, or, if such bureau shall no longer publish the same, then with the use of such conversion factor, formula or table as may be published by the applicable agency of the United States, or failing such publication, by a nationally recognized publisher of similar statistical information.</w:t>
      </w:r>
    </w:p>
    <w:p>
      <w:pPr>
        <w:spacing w:after="0" w:line="193"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User</w:t>
      </w:r>
      <w:r>
        <w:rPr>
          <w:rFonts w:ascii="Arial" w:cs="Arial" w:eastAsia="Arial" w:hAnsi="Arial"/>
          <w:sz w:val="18"/>
          <w:szCs w:val="18"/>
          <w:color w:val="auto"/>
        </w:rPr>
        <w:t>” shall mean a Person authorized to trade on a Tradeweb Platform or a customer of a Tradeweb or Tradeweb Subsidiary voice or hybrid inter-dealer broker.</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UST Competitor</w:t>
      </w:r>
      <w:r>
        <w:rPr>
          <w:rFonts w:ascii="Arial" w:cs="Arial" w:eastAsia="Arial" w:hAnsi="Arial"/>
          <w:sz w:val="18"/>
          <w:szCs w:val="18"/>
          <w:color w:val="auto"/>
        </w:rPr>
        <w:t>” shall mean any trading venue that: (i) competes with Dealerweb’s lit order book; and (ii) is owned or operated by any Person listed on the UST Restricted List or any Persons reasonably known to be Affiliates of such Person.</w:t>
      </w:r>
    </w:p>
    <w:p>
      <w:pPr>
        <w:spacing w:after="0" w:line="170"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UST Distribution Agreement</w:t>
      </w:r>
      <w:r>
        <w:rPr>
          <w:rFonts w:ascii="Arial" w:cs="Arial" w:eastAsia="Arial" w:hAnsi="Arial"/>
          <w:sz w:val="17"/>
          <w:szCs w:val="17"/>
          <w:color w:val="auto"/>
        </w:rPr>
        <w:t>” shall mean that certain agreement by and between GRC or its Affiliates and a member of the TP ICAP Group with respect to the provision of US Treasuries Actives Data to the TP ICAP Group by GRC or its Affiliates in relation to the provision of RCM 19901.</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UST 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UST Restricted List</w:t>
      </w:r>
      <w:r>
        <w:rPr>
          <w:rFonts w:ascii="Arial" w:cs="Arial" w:eastAsia="Arial" w:hAnsi="Arial"/>
          <w:sz w:val="18"/>
          <w:szCs w:val="18"/>
          <w:color w:val="auto"/>
        </w:rPr>
        <w:t xml:space="preserve">” shall mean those Persons set forth on </w:t>
      </w:r>
      <w:r>
        <w:rPr>
          <w:rFonts w:ascii="Arial" w:cs="Arial" w:eastAsia="Arial" w:hAnsi="Arial"/>
          <w:sz w:val="18"/>
          <w:szCs w:val="18"/>
          <w:u w:val="single" w:color="auto"/>
          <w:color w:val="auto"/>
        </w:rPr>
        <w:t>Schedule K</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UST Subscription Fee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Treasuries Actives Data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B-1</w:t>
      </w:r>
      <w:r>
        <w:rPr>
          <w:rFonts w:ascii="Arial" w:cs="Arial" w:eastAsia="Arial" w:hAnsi="Arial"/>
          <w:sz w:val="18"/>
          <w:szCs w:val="18"/>
          <w:color w:val="auto"/>
        </w:rPr>
        <w:t>.</w:t>
      </w:r>
    </w:p>
    <w:p>
      <w:pPr>
        <w:spacing w:after="0" w:line="225"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w:t>
      </w:r>
      <w:r>
        <w:rPr>
          <w:rFonts w:ascii="Arial" w:cs="Arial" w:eastAsia="Arial" w:hAnsi="Arial"/>
          <w:sz w:val="18"/>
          <w:szCs w:val="18"/>
          <w:color w:val="auto"/>
        </w:rPr>
        <w:t>” shall mean the first consecutive twelve (12) calendar month period from the Effective Date and each subsequent consecutive twelve (12) calendar month period.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9" w:name="page270"/>
    <w:bookmarkEnd w:id="269"/>
    <w:p>
      <w:pPr>
        <w:jc w:val="both"/>
        <w:ind w:firstLine="648"/>
        <w:spacing w:after="0" w:line="271"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Construction of Certain References</w:t>
      </w:r>
      <w:r>
        <w:rPr>
          <w:rFonts w:ascii="Arial" w:cs="Arial" w:eastAsia="Arial" w:hAnsi="Arial"/>
          <w:sz w:val="17"/>
          <w:szCs w:val="17"/>
          <w:color w:val="auto"/>
        </w:rPr>
        <w:t>. References in this Second A&amp;R Agreement to any gender include references to all genders, and references to the singular include references to the plural and vice versa. The words “include,” “includes” and “including” when used in this Second A&amp;R Agreement shall be deemed to be followed by the phrase “without limitation.” Unless the context otherwise requires, references in this Second A&amp;R Agreement to Articles, Sections and Schedules shall be deemed references to Articles and Sections of, and Schedules to, this Second A&amp;R Agreement. Unless the context otherwise requires, the words “hereof,” “hereby” and “herein” and words of similar meaning when used in this Second A&amp;R Agreement refer to this Second A&amp;R Agreement in its entirety and not to any particular Article, Section or provision of this Second A&amp;R Agreement. Unless otherwise indicated, references in this Second A&amp;R Agreement to dollars are to U.S. dollars. The use of “revenue” herein shall refer to actual revenues determined in accordance with generally accepted accounting principles.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 GRANT OF LICENSES; RESTRICTIONS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License for Market Data</w:t>
      </w:r>
      <w:r>
        <w:rPr>
          <w:rFonts w:ascii="Arial" w:cs="Arial" w:eastAsia="Arial" w:hAnsi="Arial"/>
          <w:sz w:val="16"/>
          <w:szCs w:val="16"/>
          <w:color w:val="auto"/>
        </w:rPr>
        <w:t xml:space="preserve">. Subject to all of the terms and conditions of this Second A&amp;R Agreement, Tradeweb hereby grants to GRC an exclusive (except as to Non-Exclusive Licensed Market Data), perpetual and irrevocable (as to Licensed Market Data delivered pursuant to this Second A&amp;R Agreement), terminable on the terms and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Second A&amp;R Agreement, sub-licensable (subject to the same terms and conditions as set forth in this Second A&amp;R Agreement), worldwide license to use and redistribute the Exclusive Licensed Market Data for any and all purposes, including distribution to Affiliates for redistribution to end users, and further including desktop display, feeds, input for algorithmic machine trading (fuel), valuation services, archiving, and redistribution to end users, and the right to take any action reasonably associated with such uses or redistribution, including the right to sell, offer for sale, distribute, reproduce, display, format, export, import, modify, collect, store, create representations, page displays, and yield calculations, create yields spreads and price spreads between portions of such data or between such data and the data of third Persons, make improvements to, prepare Derivative Works of and Resultant Data from, and exercise all other rights in and to the Exclusive Licensed Market Data (the “</w:t>
      </w:r>
      <w:r>
        <w:rPr>
          <w:rFonts w:ascii="Arial" w:cs="Arial" w:eastAsia="Arial" w:hAnsi="Arial"/>
          <w:sz w:val="16"/>
          <w:szCs w:val="16"/>
          <w:u w:val="single" w:color="auto"/>
          <w:color w:val="auto"/>
        </w:rPr>
        <w:t>Market Data License</w:t>
      </w:r>
      <w:r>
        <w:rPr>
          <w:rFonts w:ascii="Arial" w:cs="Arial" w:eastAsia="Arial" w:hAnsi="Arial"/>
          <w:sz w:val="16"/>
          <w:szCs w:val="16"/>
          <w:color w:val="auto"/>
        </w:rPr>
        <w:t xml:space="preserve">”). The Market Data License includes Non-Exclusive Licensed Market Data;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Market Data License with respect to such data sets shall be non-exclusive. Upon termination or expiration of this Second A&amp;R Agreement, the Market Data License shall automatically become a non-exclusive license as to Licensed Data delivered pursuant to this Second A&amp;R Agreement.</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Limited License for Trading Data</w:t>
      </w:r>
      <w:r>
        <w:rPr>
          <w:rFonts w:ascii="Arial" w:cs="Arial" w:eastAsia="Arial" w:hAnsi="Arial"/>
          <w:sz w:val="17"/>
          <w:szCs w:val="17"/>
          <w:color w:val="auto"/>
        </w:rPr>
        <w:t xml:space="preserve">. Subject to all of the terms and conditions of this Second A&amp;R Agreement, Tradeweb hereby grants to GRC an exclusive, perpetual and irrevocable (as to Licensed Trading Data delivered pursuant to this Second A&amp;R Agreement), terminable on the terms and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this Second A&amp;R Agreement, sub-licensable (subject to the same terms and conditions as set forth in this Second A&amp;R Agreement), worldwide license to redistribute the Licensed Trading Data to Tradeweb-Entitled Trading Customers on a Desktop Product or through a Refinitiv Service (the “</w:t>
      </w:r>
      <w:r>
        <w:rPr>
          <w:rFonts w:ascii="Arial" w:cs="Arial" w:eastAsia="Arial" w:hAnsi="Arial"/>
          <w:sz w:val="17"/>
          <w:szCs w:val="17"/>
          <w:u w:val="single" w:color="auto"/>
          <w:color w:val="auto"/>
        </w:rPr>
        <w:t>Limited Trading Data License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GRC shall only redistribute Licensed IDB Trading Data and Licensed TWD Trading Data to Tradeweb-Entitled Trading Customers that request delivery of such data from GRC or any of its Affiliates. GRC acknowledges that Tradeweb has provided to it or its Affiliates one or more authentication APIs and may in the future provide one or more alternative or additional APIs or systems, in each case, to limit access of Licensed Trading Data to Tradeweb-Entitled Trading Customers (the “</w:t>
      </w:r>
      <w:r>
        <w:rPr>
          <w:rFonts w:ascii="Arial" w:cs="Arial" w:eastAsia="Arial" w:hAnsi="Arial"/>
          <w:sz w:val="17"/>
          <w:szCs w:val="17"/>
          <w:u w:val="single" w:color="auto"/>
          <w:color w:val="auto"/>
        </w:rPr>
        <w:t>Entitlement System</w:t>
      </w:r>
      <w:r>
        <w:rPr>
          <w:rFonts w:ascii="Arial" w:cs="Arial" w:eastAsia="Arial" w:hAnsi="Arial"/>
          <w:sz w:val="17"/>
          <w:szCs w:val="17"/>
          <w:color w:val="auto"/>
        </w:rPr>
        <w:t>”). GRC shall not, and shall cause its Affiliates not to, distribute Licensed Trading Data if the Entitlement System is not implemented, and neither it nor its Affiliates will make any changes to such Entitlement System that would impact GRC’s or its Affiliates’ compliance with such Entitlement System without the written consent of Tradeweb, not to be unreasonably withheld. Tradeweb shall provide GRC with reasonable advance notice in accordance with the SLA regarding any changes that it intends to implement with respect to the Entitlement System, including with respect to any alternative or additional APIs or systems, and in any case shall provide GRC with at least as much advance notice as it provides to other third party systems impacted by such change (e.g., ISVs, OMSs, EMSs). Upon termination or expiration of this Second A&amp;R Agreement, the Limited Trading Data License shall become a non-exclusive license as to Licensed Data delivered pursuant to this Second A&amp;R Agreement.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0" w:name="page271"/>
    <w:bookmarkEnd w:id="270"/>
    <w:p>
      <w:pPr>
        <w:jc w:val="both"/>
        <w:ind w:firstLine="648"/>
        <w:spacing w:after="0" w:line="25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Additional UST License</w:t>
      </w:r>
      <w:r>
        <w:rPr>
          <w:rFonts w:ascii="Arial" w:cs="Arial" w:eastAsia="Arial" w:hAnsi="Arial"/>
          <w:sz w:val="18"/>
          <w:szCs w:val="18"/>
          <w:color w:val="auto"/>
        </w:rPr>
        <w:t xml:space="preserve">. Without limiting the Market Data License in respect of the US Treasuries Actives Data granted to GRC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UST License</w:t>
      </w:r>
      <w:r>
        <w:rPr>
          <w:rFonts w:ascii="Arial" w:cs="Arial" w:eastAsia="Arial" w:hAnsi="Arial"/>
          <w:sz w:val="18"/>
          <w:szCs w:val="18"/>
          <w:color w:val="auto"/>
        </w:rPr>
        <w:t>”), Tradeweb grants to GRC a limited license to sublicense, or to permit its Affiliates to sublicense, GRC’s rights under the UST License to the TP ICAP Group solely: (1) to the extent necessary for the TP ICAP Group to provide RCM 19901 to TP ICAP Customers pursuant to a TP ICAP Customer Agreement (including, without limitation, for purposes of branding, marketing, promotion and demonstration of RCM 19901), and/or (2) for internal use by the TP ICAP Group (clauses (1) and (2), collectively, the “</w:t>
      </w:r>
      <w:r>
        <w:rPr>
          <w:rFonts w:ascii="Arial" w:cs="Arial" w:eastAsia="Arial" w:hAnsi="Arial"/>
          <w:sz w:val="18"/>
          <w:szCs w:val="18"/>
          <w:u w:val="single" w:color="auto"/>
          <w:color w:val="auto"/>
        </w:rPr>
        <w:t>Additional UST License</w:t>
      </w:r>
      <w:r>
        <w:rPr>
          <w:rFonts w:ascii="Arial" w:cs="Arial" w:eastAsia="Arial" w:hAnsi="Arial"/>
          <w:sz w:val="18"/>
          <w:szCs w:val="18"/>
          <w:color w:val="auto"/>
        </w:rPr>
        <w:t>”). Following January 26, 2019 (180 days after July 30, 2018), except to the extent otherwise agreed in writing by the Parties, any redistribution of the US Treasuries Actives Data by GRC or its Affiliates to the TP ICAP Group for use other than in accordance with clause (1) shall be subject to the applicable terms and conditions of this Second A&amp;R Agreement.</w:t>
      </w:r>
    </w:p>
    <w:p>
      <w:pPr>
        <w:spacing w:after="0" w:line="192" w:lineRule="exact"/>
        <w:rPr>
          <w:sz w:val="20"/>
          <w:szCs w:val="20"/>
          <w:color w:val="auto"/>
        </w:rPr>
      </w:pPr>
    </w:p>
    <w:p>
      <w:pPr>
        <w:jc w:val="both"/>
        <w:ind w:left="660" w:firstLine="645"/>
        <w:spacing w:after="0" w:line="286" w:lineRule="auto"/>
        <w:tabs>
          <w:tab w:leader="none" w:pos="157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connection with clause (1) of the Additional UST License, GRC or its Affiliates shall be permitted to provide the US Treasuries Actives Data to the TP ICAP Group to the extent necessary for the TP ICAP Group to perform calculations on the US Treasuries Actives Data and return the results thereof to GRC or its Affiliates for delivery to TP ICAP Customers via a Refinitiv Delivery Mechanism.</w:t>
      </w:r>
    </w:p>
    <w:p>
      <w:pPr>
        <w:spacing w:after="0" w:line="165" w:lineRule="exact"/>
        <w:rPr>
          <w:rFonts w:ascii="Arial" w:cs="Arial" w:eastAsia="Arial" w:hAnsi="Arial"/>
          <w:sz w:val="17"/>
          <w:szCs w:val="17"/>
          <w:color w:val="auto"/>
        </w:rPr>
      </w:pPr>
    </w:p>
    <w:p>
      <w:pPr>
        <w:jc w:val="both"/>
        <w:ind w:left="660" w:firstLine="645"/>
        <w:spacing w:after="0" w:line="287" w:lineRule="auto"/>
        <w:tabs>
          <w:tab w:leader="none" w:pos="157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In relation to the Additional UST License, GRC warrants that either it or its Affiliates shall contractually require during the term of the UST Distribution Agreement, in each case, (i) that the TP ICAP Group comply with all restrictions on the use and distribution of the US Treasuries Actives Data contained in this Second A&amp;R Agreement, (ii) promptly notify Tradeweb if it, or its Affiliates, become aware of any material breach or threatened material breach of such restrictions, and (iii) procure for the benefit of Tradeweb the rights under the Contracts (Rights of Third Parties) Act of 1999 to enforce the rights and restrictions set forth in the UST Distribution Agreement (excluding any relevant audit clause set forth in such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GRC represents that, as of the Effective Date, the UST Distribution Agreement does not include any provision that would prohibit GRC or its Affiliates notifying Tradeweb to the extent it or such Affiliate becomes aware of any material breach or threatened material breach related to the TP ICAP Group’s use and distribution of the US Treasuries Actives Data as a result of any audit). To the extent Tradeweb exercises such rights under the Contracts (Rights of Third Parties) Act of 1999, GRC or its Affiliates shall, at Tradeweb’s expense, provide such assistance to Tradeweb as it reasonably requires to enforce such rights and restrictions against TP ICAP. Neither GRC nor its Affiliates shall be responsible for any breach by the TP ICAP Group of the UST License (as sub-licensee of GRC or its Affiliates), including, without limitation, any failure to comply with the restrictions on use and distribution of the US Treasuries Actives Data contained in this Second A&amp;R Agreement.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1" w:name="page272"/>
    <w:bookmarkEnd w:id="271"/>
    <w:p>
      <w:pPr>
        <w:jc w:val="both"/>
        <w:ind w:firstLine="648"/>
        <w:spacing w:after="0" w:line="283"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Restriction on Distribution by Tradeweb</w:t>
      </w:r>
      <w:r>
        <w:rPr>
          <w:rFonts w:ascii="Arial" w:cs="Arial" w:eastAsia="Arial" w:hAnsi="Arial"/>
          <w:sz w:val="16"/>
          <w:szCs w:val="16"/>
          <w:color w:val="auto"/>
        </w:rPr>
        <w:t xml:space="preserve">. Tradeweb shall not distribute or permit any of its Subsidiaries or any third Persons to distribute any Exclusive Licensed Data electronically,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Tradeweb and its Subsidiaries shall retain the right to distribute Exclusive Licensed Data (and any Derivative Works thereof) electronically or otherwise: (a) via a Tradeweb Front-End Application or Microsoft Excel (or any other spreadsheet program) interface integrated with a Tradeweb Front-End Application; (b) via data feeds and other data distribution means to the extent necessary for Tradeweb or any of its Subsidiaries’ transactional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Tradeweb shall only market and offer Tradeweb Front-End Applications and data feeds intended primarily for trade execution (and not primarily for market data distribution or redistribution); (c) solely with respect to Licensed Trading Data, to independent software vendors (ISVs), Order Management System (OMS) providers and Execution Management System (EMS) providers solely for purposes of enabling such vendors to provide such Licensed Trading Data to Tradeweb-Entitled Trading Customers; (d) for the purpose of supporting Trading Customers and Dealer Subscribers in connection with such customers’ and dealers’ regulatory inquiries and obligations, litigation, contractual obligations with their customers relating to execution of transactions on a Tradeweb Platform, and required clearing obligations; and (e) to Trading Customers or Dealer Subscribers as an input to the following existing pre- and post-trade research products and successors thereof that do not materially alter the substance of such products by expanding the functionality of such products as a whole or the scope of the data provided therein: Transaction Cost Analysis, Best Execution, Best Execution Plus, and Liquidity Index;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Exclusive Licensed Data is used as an input to such research products, Tradeweb will not distribute such Exclusive Licensed Data independent with or from such research products. Notwithstanding the above, Tradeweb shall, and shall cause its Subsidiaries to not, under any circumstance, license or otherwise provide any Exclusive Licensed Data to any Person (or any such Person’s Affiliates, successors or assigns) set forth on </w:t>
      </w:r>
      <w:r>
        <w:rPr>
          <w:rFonts w:ascii="Arial" w:cs="Arial" w:eastAsia="Arial" w:hAnsi="Arial"/>
          <w:sz w:val="16"/>
          <w:szCs w:val="16"/>
          <w:u w:val="single" w:color="auto"/>
          <w:color w:val="auto"/>
        </w:rPr>
        <w:t>Schedule J</w:t>
      </w:r>
      <w:r>
        <w:rPr>
          <w:rFonts w:ascii="Arial" w:cs="Arial" w:eastAsia="Arial" w:hAnsi="Arial"/>
          <w:sz w:val="16"/>
          <w:szCs w:val="16"/>
          <w:color w:val="auto"/>
        </w:rPr>
        <w:t xml:space="preserve"> or any Persons reasonably known to be Affiliates of such Person (such Schedule, the “</w:t>
      </w:r>
      <w:r>
        <w:rPr>
          <w:rFonts w:ascii="Arial" w:cs="Arial" w:eastAsia="Arial" w:hAnsi="Arial"/>
          <w:sz w:val="16"/>
          <w:szCs w:val="16"/>
          <w:u w:val="single" w:color="auto"/>
          <w:color w:val="auto"/>
        </w:rPr>
        <w:t>Refinitiv Competitor List</w:t>
      </w:r>
      <w:r>
        <w:rPr>
          <w:rFonts w:ascii="Arial" w:cs="Arial" w:eastAsia="Arial" w:hAnsi="Arial"/>
          <w:sz w:val="16"/>
          <w:szCs w:val="16"/>
          <w:color w:val="auto"/>
        </w:rPr>
        <w:t xml:space="preserve">”) without the written consent of GRC;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 shall not apply with respect to Licensed Trading Data applicable to clause (c) above. GRC shall have the right to amend the Refinitiv Competitor List on ninety (90) days’ written notice, subject to Tradeweb’s approval, not to be unreasonably withheld. GRC agrees to consider, on a case-by-case basis, any reasonable requests from Tradeweb to waive or limit the application of the Refinitiv Competitor List;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GRC retains the right to reject any such request that GRC deems adverse to its commercial and business interests, or to condition its approval as it deems appropriate to preserve such interests, in each case, using its reasonable discretion. Notwithstanding anything to the contrary contained in this Second A&amp;R Agreement, Tradeweb may distribute Exclusive Licensed Market Data, including to any Person on the Refinitiv Competitor List, for the purpose of branding, marketing, promotion and demonstration of Tradeweb services, including to print, broadcasting and multimedia news outlets;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distributed Exclusive Licensed Market Data is not distributed by Tradeweb in a format that would enable the recipient to use such Exclusive Licensed Market Data as a substitute for obtaining its own subscription to such Exclusive Licensed Market Data from GRC or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Refinitiv Parties acknowledge and agree that Tradeweb may, from time to time, distribute Exclusive Licensed Market Data to news outlets for the above purposes, including to Persons on the Refinitiv Competitor List. For the avoidance of doubt, nothing 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shall restrict Tradeweb or its Affiliates from engaging in any merger, acquisition, asset sale, disposition or any other type of business combination with any Person listed on the Refinitiv Competitor List or any of their respective Affiliates (or any such Person’s or its Affiliates’ successors or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obligations 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will continue to apply during and after any such activity. Notwithstanding anything to the contrary herein, Tradeweb shall retain the right to use Exclusive Licensed Data, and any Derivative Works thereof, solely in connection with its trading activities. Tradeweb shall also ensure that any contracts entered into on or after the Effective Date for the provision of Exclusive Licensed Data (or any Derivative Works thereof) to customers over direct API connections will permit such customers to use such data solely for trade execution purposes, and for customers to directly support such trade execution purposes, and will restrict redistribution and use not in connection with a Tradeweb marketplace. In the event that a Refinitiv Party or any of its Affiliates develops an index or benchmark product using Exclusive Licensed Data that has value to customers on a Tradeweb Platform, the Parties shall negotiate in good faith (via the Steering Committee and/or otherwise) to license such product to Tradeweb pursuant to a separate distribution agreement for use as permitted under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for a reduced fee that takes into consideration the extent to which Tradeweb was a source of the data underlying such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Refinitiv Parties may determine in their sole discretion not to offer or provide any discount to Tradeweb or its Subsidiaries. Tradeweb shall, as soon as reasonably practicable, but in no event later than thirty (30) days following the execution of this Second A&amp;R Agreement, provide notice of its withdrawal and resignation as a member of MBIS, in accordance with the terms of such membership. Notwithstanding anything to the contrary herein, Tradeweb shall be permitted to continue to provide muni data to MBIS in the ordinary course pursuant to its existing agreements with MBIS until the earlier of: (i) the finalization of such withdrawal and resignation, and (ii) June 30, 2019.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2" w:name="page273"/>
    <w:bookmarkEnd w:id="272"/>
    <w:p>
      <w:pPr>
        <w:jc w:val="both"/>
        <w:ind w:firstLine="648"/>
        <w:spacing w:after="0" w:line="28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Restriction on Distribution by GRC</w:t>
      </w:r>
      <w:r>
        <w:rPr>
          <w:rFonts w:ascii="Arial" w:cs="Arial" w:eastAsia="Arial" w:hAnsi="Arial"/>
          <w:sz w:val="16"/>
          <w:szCs w:val="16"/>
          <w:color w:val="auto"/>
        </w:rPr>
        <w:t xml:space="preserve">. Notwithstanding any other provision of this Second A&amp;R Agreement, GRC shall not, and shall cause its Affiliates not to, without the prior written consent of Tradeweb: (a) distribute US Treasuries Actives Data to any UST Competitor; or (b) distribute Licensed Data (other than US Treasuries Actives Data) to any TW Competitor. In the event that Tradeweb notifies GRC in writing of its reasonable belief that (i) Licensed Data (other than US Treasuries Actives Data) has been distributed by GRC or its Affiliates to a TW Competitor to an extent not permitted by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(ii) a trading venue (including voice brokerage) owned or operated by a third Person competes with a trading venue (including voice brokerage) operated by Tradeweb or any of its Subsidiaries, but such trading venue is neither a TW Competitor as defined herein nor subject to an applicable waiver pursuant to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(whether by reason of its creation, new activities undertaken by it or by Tradeweb, previous oversight, or otherwise), then in each case GRC shall investigate such matter in cooperation with Tradeweb and, with respect to clause (i), if such distribution has been made to an extent not permitted by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GRC shall discontinue such distribution as soon as reasonably practicable unless Tradeweb grants a waiver with respect thereto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with respect to clause (ii), such trading venue (including voice brokerage) shall be added to the Restricted List upon the consent of GRC, such consent not to be unreasonably withheld or delayed. Tradeweb agrees to consider, on a case-by-case basis, any reasonable requests from GRC to waive or limit the application of the Restricted List or the UST Restricted List, such limitation or waiver not to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without limiting the generality of the foregoing, Tradeweb will not be deemed to be unreasonably withholding consent with respect thereto if Tradeweb reasonably believes that granting such limitation or waiver would create a material competitive concern for Tradeweb or its Subsidiaries. Notwithstanding anything to the contrary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 any waivers or exceptions granted by Tradeweb in respect of Section 2.4 of the Amended Agreement or the Original Agreement, as applicable, shall continue under this Second A&amp;R Agreement; and (B) if, as of the Effective Date, GRC or its Affiliates is distributing Licensed Data in contravention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but such distribution would not have been a violation of Section 2.4 of the Amended Agreement, GRC and its Affiliates shall be permitted to continue such distribution solely with respect to the Licensed Data that is part of such distribution. For the avoidance of doubt, nothing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restrict GRC or its Affiliates from engaging in any merger, acquisition, asset sale, disposition or any other type of business combination with any Person listed on the Restricted List or the UST Restricted List or any of their respective Affiliates (or any such Person’s or its Affiliates’ successors or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obligations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will continue to apply during and after any such activity. GRC shall also ensure that Licensed Data is distributed only to end users who have executed or otherwise accepted a market data subscription agreement which, among other things: (1) shall prohibit the further redistribution or sublicensing of US Treasuries Actives Data to any UST Competitor or Licensed Data (other than US Treasuries Actives Data) to any TW Competitor, as applicable; and (2) shall contain customary provisions regarding confidentiality, disclaimers of warranties and limitation of liability, and provisions ensuring that Tradeweb shall have no liability to Refinitiv Subscribers resulting from such Refinitiv Subscribers’ access via a Refinitiv Service to Licensed Data or a Tradeweb Platform. GRC shall promptly inform Tradeweb of any breach or threatened breach of any market data subscriber agreement or other sublicense agreement involving Licensed Data, and shall use commercially reasonable efforts to remedy or prevent such breach or threatened breach. A copy of the current Refinitiv Master Agreement has been separately delivered to Tradeweb. Notwithstanding anything to the contrary contained in this Second A&amp;R Agreement, provided that the Refinitiv Parties attribute Licensed Market Data in accordance with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herein, GRC may distribute, and may permit its Affiliates to distribute, Licensed Data for the purpose of branding, marketing, promotion and demonstration of Refinitiv Services, including to print, broadcasting and multimedia news outlets, and for the purpose of supporting Refinitiv Subscribers in connection with such Refinitiv Subscribers’ regulatory inquiries and obligations, litigation, contractual obligations with their customers relating to execution of transactions on a Tradeweb Platform, and required clearing obligations.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3" w:name="page274"/>
    <w:bookmarkEnd w:id="273"/>
    <w:p>
      <w:pPr>
        <w:jc w:val="both"/>
        <w:ind w:firstLine="648"/>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GRC Redistributors</w:t>
      </w:r>
      <w:r>
        <w:rPr>
          <w:rFonts w:ascii="Arial" w:cs="Arial" w:eastAsia="Arial" w:hAnsi="Arial"/>
          <w:sz w:val="18"/>
          <w:szCs w:val="18"/>
          <w:color w:val="auto"/>
        </w:rPr>
        <w:t>. GRC shall provide to Tradeweb within thirty (30) days of the Effective Date a list of all third party redistributors used by GRC or its Affiliates to redistribute Licensed Market Data. Before entering a new redistribution arrangement for Licensed Market Data after the Effective Date (other than financial services customers having typical limited rights of redistribution to their own clients), GRC shall consider in good faith any strategic concerns raised by Tradeweb concerning such new redistribution arrangement.</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New Market Data Sets</w:t>
      </w:r>
      <w:r>
        <w:rPr>
          <w:rFonts w:ascii="Arial" w:cs="Arial" w:eastAsia="Arial" w:hAnsi="Arial"/>
          <w:sz w:val="16"/>
          <w:szCs w:val="16"/>
          <w:color w:val="auto"/>
        </w:rPr>
        <w:t xml:space="preserve">. Tradeweb may from time to time (a) subject to the terms and conditions of the Tradeweb Operating Agreement, create or acquire new market data sets that are not included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and that are designed for distribution as a market data product, or (b) be obligated pursuant to </w:t>
      </w:r>
      <w:r>
        <w:rPr>
          <w:rFonts w:ascii="Arial" w:cs="Arial" w:eastAsia="Arial" w:hAnsi="Arial"/>
          <w:sz w:val="16"/>
          <w:szCs w:val="16"/>
          <w:u w:val="single" w:color="auto"/>
          <w:color w:val="auto"/>
        </w:rPr>
        <w:t>Section 3.6(d)</w:t>
      </w:r>
      <w:r>
        <w:rPr>
          <w:rFonts w:ascii="Arial" w:cs="Arial" w:eastAsia="Arial" w:hAnsi="Arial"/>
          <w:sz w:val="16"/>
          <w:szCs w:val="16"/>
          <w:color w:val="auto"/>
        </w:rPr>
        <w:t xml:space="preserve"> of the Tradeweb Operating Agreement (or alternative decision making process substituted therefor in the Tradeweb Operating Agreement from time to time) to create and distribute a new market data set as a market data product (each, a “</w:t>
      </w:r>
      <w:r>
        <w:rPr>
          <w:rFonts w:ascii="Arial" w:cs="Arial" w:eastAsia="Arial" w:hAnsi="Arial"/>
          <w:sz w:val="16"/>
          <w:szCs w:val="16"/>
          <w:u w:val="single" w:color="auto"/>
          <w:color w:val="auto"/>
        </w:rPr>
        <w:t>New Market Data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Set</w:t>
      </w:r>
      <w:r>
        <w:rPr>
          <w:rFonts w:ascii="Arial" w:cs="Arial" w:eastAsia="Arial" w:hAnsi="Arial"/>
          <w:sz w:val="16"/>
          <w:szCs w:val="16"/>
          <w:color w:val="auto"/>
        </w:rPr>
        <w:t>”). In connection with the foregoing, Tradeweb shall promptly notify GRC in writing of its intention to distribute any such New Market Data Set, including a description of the applicable New Market Data Set. If GRC or any of its Affiliates makes such New Market Data Set available over, through or by means of a Desktop Platform or other Refinitiv Service prior to the date that is the later of six (6) months from (i) the date that Tradeweb gives notice to GRC of its intention to distribute such New Market Data Set, and (ii) the date that Tradeweb provides GRC with substantially all of the API and other specifications as reasonably necessary for GRC or its Affiliates to prepare to distribute such New Market Data Set (the “</w:t>
      </w:r>
      <w:r>
        <w:rPr>
          <w:rFonts w:ascii="Arial" w:cs="Arial" w:eastAsia="Arial" w:hAnsi="Arial"/>
          <w:sz w:val="16"/>
          <w:szCs w:val="16"/>
          <w:u w:val="single" w:color="auto"/>
          <w:color w:val="auto"/>
        </w:rPr>
        <w:t>Implementation Period</w:t>
      </w:r>
      <w:r>
        <w:rPr>
          <w:rFonts w:ascii="Arial" w:cs="Arial" w:eastAsia="Arial" w:hAnsi="Arial"/>
          <w:sz w:val="16"/>
          <w:szCs w:val="16"/>
          <w:color w:val="auto"/>
        </w:rPr>
        <w:t xml:space="preserve">”) (provided that Tradeweb shall comply with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within the first two (2) months of the Implementation Period), then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shall be automatically amended to include such New Market Data Set (each, an “</w:t>
      </w:r>
      <w:r>
        <w:rPr>
          <w:rFonts w:ascii="Arial" w:cs="Arial" w:eastAsia="Arial" w:hAnsi="Arial"/>
          <w:sz w:val="16"/>
          <w:szCs w:val="16"/>
          <w:u w:val="single" w:color="auto"/>
          <w:color w:val="auto"/>
        </w:rPr>
        <w:t>Exclusive Licensed NMDS</w:t>
      </w:r>
      <w:r>
        <w:rPr>
          <w:rFonts w:ascii="Arial" w:cs="Arial" w:eastAsia="Arial" w:hAnsi="Arial"/>
          <w:sz w:val="16"/>
          <w:szCs w:val="16"/>
          <w:color w:val="auto"/>
        </w:rPr>
        <w:t xml:space="preserve">”), and such Exclusive Licensed NMDS shall become Exclusive Licensed Market Data subject to all applicable terms and conditions of this Second A&amp;R Agreement, including, but not limited to, </w:t>
      </w:r>
      <w:r>
        <w:rPr>
          <w:rFonts w:ascii="Arial" w:cs="Arial" w:eastAsia="Arial" w:hAnsi="Arial"/>
          <w:sz w:val="16"/>
          <w:szCs w:val="16"/>
          <w:u w:val="single" w:color="auto"/>
          <w:color w:val="auto"/>
        </w:rPr>
        <w:t>Section 4.3(a)</w:t>
      </w:r>
      <w:r>
        <w:rPr>
          <w:rFonts w:ascii="Arial" w:cs="Arial" w:eastAsia="Arial" w:hAnsi="Arial"/>
          <w:sz w:val="16"/>
          <w:szCs w:val="16"/>
          <w:color w:val="auto"/>
        </w:rPr>
        <w:t xml:space="preserve">. If GRC or any of its Affiliates fails to make such New Market Data Set available over, through or by means of a Desktop Platform or other Refinitiv Service prior to the end of the Implementation Period, then, unless otherwise agreed in writing by Tradeweb and GRC,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shall be automatically amended to include such New Market Data Set (each, a “</w:t>
      </w:r>
      <w:r>
        <w:rPr>
          <w:rFonts w:ascii="Arial" w:cs="Arial" w:eastAsia="Arial" w:hAnsi="Arial"/>
          <w:sz w:val="16"/>
          <w:szCs w:val="16"/>
          <w:u w:val="single" w:color="auto"/>
          <w:color w:val="auto"/>
        </w:rPr>
        <w:t>Non-Exclusive Licensed NMDS</w:t>
      </w:r>
      <w:r>
        <w:rPr>
          <w:rFonts w:ascii="Arial" w:cs="Arial" w:eastAsia="Arial" w:hAnsi="Arial"/>
          <w:sz w:val="16"/>
          <w:szCs w:val="16"/>
          <w:color w:val="auto"/>
        </w:rPr>
        <w:t xml:space="preserve">”), and such Non-Exclusive Licensed NMDS shall become Non-Exclusive Licensed Market Data subject to all applicable terms and conditions of this Second A&amp;R Agreement, including, but not limited to,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Tradeweb’s failure to comply with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within the first two (2) months of the Implementation Period shall not constitute a breach of this Second A&amp;R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Implementation Period shall be extended by the amount of time from the end of such two (2) month period until Tradeweb complies with </w:t>
      </w:r>
      <w:r>
        <w:rPr>
          <w:rFonts w:ascii="Arial" w:cs="Arial" w:eastAsia="Arial" w:hAnsi="Arial"/>
          <w:sz w:val="16"/>
          <w:szCs w:val="16"/>
          <w:u w:val="single" w:color="auto"/>
          <w:color w:val="auto"/>
        </w:rPr>
        <w:t>Section 3.8</w:t>
      </w:r>
      <w:r>
        <w:rPr>
          <w:rFonts w:ascii="Arial" w:cs="Arial" w:eastAsia="Arial" w:hAnsi="Arial"/>
          <w:sz w:val="16"/>
          <w:szCs w:val="16"/>
          <w:color w:val="auto"/>
        </w:rPr>
        <w:t>.</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License to Transaction Data</w:t>
      </w:r>
      <w:r>
        <w:rPr>
          <w:rFonts w:ascii="Arial" w:cs="Arial" w:eastAsia="Arial" w:hAnsi="Arial"/>
          <w:sz w:val="16"/>
          <w:szCs w:val="16"/>
          <w:color w:val="auto"/>
        </w:rPr>
        <w:t>. To the extent that a transaction, RFQ, or other User interaction with a Tradeweb Platform is conducted via a Refinitiv Service, and in the context of such User interaction a Refinitiv Party or Affiliate thereof provides data (including Resultant Data) to Tradeweb (“</w:t>
      </w:r>
      <w:r>
        <w:rPr>
          <w:rFonts w:ascii="Arial" w:cs="Arial" w:eastAsia="Arial" w:hAnsi="Arial"/>
          <w:sz w:val="16"/>
          <w:szCs w:val="16"/>
          <w:u w:val="single" w:color="auto"/>
          <w:color w:val="auto"/>
        </w:rPr>
        <w:t>Transaction Data</w:t>
      </w:r>
      <w:r>
        <w:rPr>
          <w:rFonts w:ascii="Arial" w:cs="Arial" w:eastAsia="Arial" w:hAnsi="Arial"/>
          <w:sz w:val="16"/>
          <w:szCs w:val="16"/>
          <w:color w:val="auto"/>
        </w:rPr>
        <w:t>”), GRC hereby grants to Tradeweb a perpetual, non-exclusive, irrevocable (as to Transaction Data provided pursuant to this Second A&amp;R Agreement) license to use and archive such Transaction Data in substantially the same manner and to substantially the same extent that Tradeweb uses and archives like information that would have been generated had such User interaction been conducted via the Tradeweb Viewer.</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License for Historical Market Data</w:t>
      </w:r>
      <w:r>
        <w:rPr>
          <w:rFonts w:ascii="Arial" w:cs="Arial" w:eastAsia="Arial" w:hAnsi="Arial"/>
          <w:sz w:val="18"/>
          <w:szCs w:val="18"/>
          <w:color w:val="auto"/>
        </w:rPr>
        <w:t xml:space="preserve">. Without limiting the Market Data License, subject to all of the terms and conditions of this Second A&amp;R Agreement, Tradeweb hereby grants to GRC an exclusive, perpetual and irrevocable, terminable on the terms and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Second A&amp;R Agreement, sub-licensable (subject to the same terms and conditions as set forth in this Second A&amp;R Agreement), worldwide license to use and redistribute the Historical Market Data for any and all purposes permitted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license shall be deemed granted only upon Tradeweb’s initial delivery of such Historical Market Data as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below (the “</w:t>
      </w:r>
      <w:r>
        <w:rPr>
          <w:rFonts w:ascii="Arial" w:cs="Arial" w:eastAsia="Arial" w:hAnsi="Arial"/>
          <w:sz w:val="18"/>
          <w:szCs w:val="18"/>
          <w:u w:val="single" w:color="auto"/>
          <w:color w:val="auto"/>
        </w:rPr>
        <w:t>Historical Market Data</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For the avoidance of doubt, the Historical Market Data License is in addition to, and shall not modify or limit in any manner, GRC’s license to Licensed Market Data granted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color w:val="auto"/>
        </w:rPr>
        <w:t>ARTICLE III. OWNERSHIP AND DELIVERY OF LICENSED DATA</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Ownership of Licensed Data</w:t>
      </w:r>
      <w:r>
        <w:rPr>
          <w:rFonts w:ascii="Arial" w:cs="Arial" w:eastAsia="Arial" w:hAnsi="Arial"/>
          <w:sz w:val="16"/>
          <w:szCs w:val="16"/>
          <w:color w:val="auto"/>
        </w:rPr>
        <w:t>. As between the Parties, Tradeweb shall own all right, title, and interest in and to all Licensed Data.</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Ownership of Resultant Data</w:t>
      </w:r>
      <w:r>
        <w:rPr>
          <w:rFonts w:ascii="Arial" w:cs="Arial" w:eastAsia="Arial" w:hAnsi="Arial"/>
          <w:sz w:val="16"/>
          <w:szCs w:val="16"/>
          <w:color w:val="auto"/>
        </w:rPr>
        <w:t>. As between the Parties, GRC shall own all right, title, and interest in and to all Resultant Data.</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Delivery of Licensed Data</w:t>
      </w:r>
      <w:r>
        <w:rPr>
          <w:rFonts w:ascii="Arial" w:cs="Arial" w:eastAsia="Arial" w:hAnsi="Arial"/>
          <w:sz w:val="17"/>
          <w:szCs w:val="17"/>
          <w:color w:val="auto"/>
        </w:rPr>
        <w:t xml:space="preserve">. It is acknowledged and agreed by the Parties that as of the Effective Date, the format and manner in which Tradeweb delivers the Licensed Market Data to the Refinitiv Parties are mutually acceptable. Prior to implementing any changes to such existing data delivery format or developing a new data delivery format for Licensed Data first provided after the Effective Date, the Parties will cooperate to develop a reasonable and mutually acceptable implementation plan for such format changes or new format in accordance with the change control procedures set forth in the service level agreement on the attached </w:t>
      </w:r>
      <w:r>
        <w:rPr>
          <w:rFonts w:ascii="Arial" w:cs="Arial" w:eastAsia="Arial" w:hAnsi="Arial"/>
          <w:sz w:val="17"/>
          <w:szCs w:val="17"/>
          <w:u w:val="single" w:color="auto"/>
          <w:color w:val="auto"/>
        </w:rPr>
        <w:t>Schedule E</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SLA</w:t>
      </w:r>
      <w:r>
        <w:rPr>
          <w:rFonts w:ascii="Arial" w:cs="Arial" w:eastAsia="Arial" w:hAnsi="Arial"/>
          <w:sz w:val="17"/>
          <w:szCs w:val="17"/>
          <w:color w:val="auto"/>
        </w:rPr>
        <w:t xml:space="preserve">”). Tradeweb shall make, or shall have made, available to GRC as of the Effective Date all Data Sets set forth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respectively, except for (a) Data Sets (or portions of existing Data Sets) that were not Licensed Market Data delivered under the Amended Agreement and are indicated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as being sourced from “Tradeweb Institutional”, which Tradeweb shall make available to GRC as soon as reasonably practicable following the Effective Date, but not later than December 31, 2018, and (b) Data Sets indicated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as being sourced from “Tradeweb Direct” and “Dealerweb”, which Tradeweb shall make available to GRC in accordance with a delivery schedule to be mutually agreed upon by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Data Sets shall be delivered not later than March 31, 2019 (unless otherwise mutually agreed in writing by the Parties). Within sixty (60) days following (i) each initial delivery date of Historical Market Data set forth on </w:t>
      </w:r>
      <w:r>
        <w:rPr>
          <w:rFonts w:ascii="Arial" w:cs="Arial" w:eastAsia="Arial" w:hAnsi="Arial"/>
          <w:sz w:val="17"/>
          <w:szCs w:val="17"/>
          <w:u w:val="single" w:color="auto"/>
          <w:color w:val="auto"/>
        </w:rPr>
        <w:t>Exhibit L</w:t>
      </w:r>
      <w:r>
        <w:rPr>
          <w:rFonts w:ascii="Arial" w:cs="Arial" w:eastAsia="Arial" w:hAnsi="Arial"/>
          <w:sz w:val="17"/>
          <w:szCs w:val="17"/>
          <w:color w:val="auto"/>
        </w:rPr>
        <w:t xml:space="preserve">, and (ii) each quarter after such initial deliver date during the Term and any Transition Period, Tradeweb shall deliver to GRC all of the applicable Historical Market Data corresponding to such initial delivery date as set forth on </w:t>
      </w:r>
      <w:r>
        <w:rPr>
          <w:rFonts w:ascii="Arial" w:cs="Arial" w:eastAsia="Arial" w:hAnsi="Arial"/>
          <w:sz w:val="17"/>
          <w:szCs w:val="17"/>
          <w:u w:val="single" w:color="auto"/>
          <w:color w:val="auto"/>
        </w:rPr>
        <w:t>Exhibit L</w:t>
      </w:r>
      <w:r>
        <w:rPr>
          <w:rFonts w:ascii="Arial" w:cs="Arial" w:eastAsia="Arial" w:hAnsi="Arial"/>
          <w:sz w:val="17"/>
          <w:szCs w:val="17"/>
          <w:color w:val="auto"/>
        </w:rPr>
        <w: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Delivery Costs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5.1(b)</w:t>
      </w:r>
      <w:r>
        <w:rPr>
          <w:rFonts w:ascii="Arial" w:cs="Arial" w:eastAsia="Arial" w:hAnsi="Arial"/>
          <w:sz w:val="18"/>
          <w:szCs w:val="18"/>
          <w:color w:val="auto"/>
        </w:rPr>
        <w:t>, each Party shall bear its own equipment costs (including hardware, software and information technology costs) associated with transmission and delivery of Licensed Data. GRC shall be responsible for all telecommunications costs relating to the delivery of Licensed Data hereunder.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Service Levels</w:t>
      </w:r>
      <w:r>
        <w:rPr>
          <w:rFonts w:ascii="Arial" w:cs="Arial" w:eastAsia="Arial" w:hAnsi="Arial"/>
          <w:sz w:val="18"/>
          <w:szCs w:val="18"/>
          <w:color w:val="auto"/>
        </w:rPr>
        <w:t>. Tradeweb shall, during the Term and the Transition Period, transmit Licensed Data to GRC on the terms and conditions and in accordance with the level of care, professional skill and service, including frequency and speed of data delivery set forth in the SLA, and any changes thereto shall be made only in accordance with the change control procedures set forth in the SLA.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5" w:name="page276"/>
    <w:bookmarkEnd w:id="275"/>
    <w:p>
      <w:pPr>
        <w:jc w:val="both"/>
        <w:ind w:firstLine="648"/>
        <w:spacing w:after="0" w:line="288"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Attribution</w:t>
      </w:r>
      <w:r>
        <w:rPr>
          <w:rFonts w:ascii="Arial" w:cs="Arial" w:eastAsia="Arial" w:hAnsi="Arial"/>
          <w:sz w:val="16"/>
          <w:szCs w:val="16"/>
          <w:color w:val="auto"/>
        </w:rPr>
        <w:t>. GRC shall ensure, and shall cause its Affiliates to ensure, that all Licensed Data displayed on a Desktop Product or provided or distributed through any other Refinitiv Service to any customer of GRC or its Affiliates clearly attributes the source of such Licensed Data to the appropriate Tradeweb business line, to the extent practicably consistent with the attribution practices of GRC and its Affiliates. The Parties agree to discuss in good faith the appropriate attribution for all Data Sets as soon as practicable following the Effective Date. For the avoidance of doubt, the Parties’ failure to have such discussions shall not relieve GRC of its attribution obligations under this section. In addition, Tradeweb and GRC hereby agree to cooperate in good faith to create, from time to time, new pages on Eikon for the display of benchmark data of Tradeweb. For the avoidance of doubt, where Licensed Data appears with data that is not Licensed Data, GRC shall ensure, and shall cause its Affiliates to ensure, to the extent practicable, that the data display indicates which data is Licensed Data (and that the applicable Tradeweb business line is the source of such data) and which data is not Licensed Data. In addition, to the extent practicable, if GRC authorizes distribution of Licensed Market Data to the media, including print, broadcasting and multimedia news outlets, GRC shall ensure that such distribution clearly attributes the applicable Tradeweb business line as the source of such data.</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Changes in Licensed Data</w:t>
      </w:r>
      <w:r>
        <w:rPr>
          <w:rFonts w:ascii="Arial" w:cs="Arial" w:eastAsia="Arial" w:hAnsi="Arial"/>
          <w:sz w:val="18"/>
          <w:szCs w:val="18"/>
          <w:color w:val="auto"/>
        </w:rPr>
        <w:t xml:space="preserve">. Subject to the SLA, Tradeweb shall provide GRC with as much advance notice as practicable regarding any changes that it intends to implement with respect to the content, format, distribution or display of Licensed Data to Users, and in any case shall provide GRC with sufficient notice and information to permit GRC and its Affiliates to prepare their systems to receive the revised Licensed Data and to implement the intended changes at substantially the same time and in substantially the same manner as such changes are being implemented by Tradeweb; </w:t>
      </w:r>
      <w:r>
        <w:rPr>
          <w:rFonts w:ascii="Arial" w:cs="Arial" w:eastAsia="Arial" w:hAnsi="Arial"/>
          <w:sz w:val="18"/>
          <w:szCs w:val="18"/>
          <w:u w:val="single" w:color="auto"/>
          <w:color w:val="auto"/>
        </w:rPr>
        <w:t>provided</w:t>
      </w:r>
      <w:r>
        <w:rPr>
          <w:rFonts w:ascii="Arial" w:cs="Arial" w:eastAsia="Arial" w:hAnsi="Arial"/>
          <w:sz w:val="18"/>
          <w:szCs w:val="18"/>
          <w:color w:val="auto"/>
        </w:rPr>
        <w:t>, that any failure by GRC and its Affiliates to implement such changes concurrently with Tradeweb shall not prevent or delay Tradeweb from implementing such changes.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Delivery of New Market Data Sets</w:t>
      </w:r>
      <w:r>
        <w:rPr>
          <w:rFonts w:ascii="Arial" w:cs="Arial" w:eastAsia="Arial" w:hAnsi="Arial"/>
          <w:sz w:val="18"/>
          <w:szCs w:val="18"/>
          <w:color w:val="auto"/>
        </w:rPr>
        <w:t xml:space="preserve">. As soon as reasonably practicable following the introduction of a New Market Data Set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Tradeweb shall provide to GRC an API and any necessary specifications for such New Market Data Set, and shall make available to GRC a live feed for such New Market Data Set.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Customer Pricing</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GRC and its Affiliates may distribute Licensed Data to third Persons at prices determined by GRC or its Affiliates in their sole discretion. Subject to </w:t>
      </w:r>
      <w:r>
        <w:rPr>
          <w:rFonts w:ascii="Arial" w:cs="Arial" w:eastAsia="Arial" w:hAnsi="Arial"/>
          <w:sz w:val="18"/>
          <w:szCs w:val="18"/>
          <w:u w:val="single" w:color="auto"/>
          <w:color w:val="auto"/>
        </w:rPr>
        <w:t>Section 4.8</w:t>
      </w:r>
      <w:r>
        <w:rPr>
          <w:rFonts w:ascii="Arial" w:cs="Arial" w:eastAsia="Arial" w:hAnsi="Arial"/>
          <w:sz w:val="18"/>
          <w:szCs w:val="18"/>
          <w:color w:val="auto"/>
        </w:rPr>
        <w:t>, Tradeweb and its Affiliates may provide TW Per-User Products to third Persons at prices determined by Tradeweb or its Affiliates in their sole discretion.</w:t>
      </w:r>
    </w:p>
    <w:p>
      <w:pPr>
        <w:spacing w:after="0" w:line="18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Third Party Rights</w:t>
      </w:r>
      <w:r>
        <w:rPr>
          <w:rFonts w:ascii="Arial" w:cs="Arial" w:eastAsia="Arial" w:hAnsi="Arial"/>
          <w:sz w:val="17"/>
          <w:szCs w:val="17"/>
          <w:color w:val="auto"/>
        </w:rPr>
        <w:t xml:space="preserve">. No rights in any Intellectual Property licensed to Tradeweb under a Third Party Agreement are granted hereunder by Tradeweb to GRC if the grant of such rights would violate the terms of the Third Party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GRC’s reasonable request, Tradeweb shall use commercially reasonable efforts to obtain approval for a grant of such rights to GRC from the relevant third Person;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GRC shall be responsible for payment of any additional royalties or fees required to obtain the grant of such rights.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6" w:name="page277"/>
    <w:bookmarkEnd w:id="276"/>
    <w:p>
      <w:pPr>
        <w:ind w:left="3180"/>
        <w:spacing w:after="0"/>
        <w:rPr>
          <w:sz w:val="20"/>
          <w:szCs w:val="20"/>
          <w:color w:val="auto"/>
        </w:rPr>
      </w:pPr>
      <w:r>
        <w:rPr>
          <w:rFonts w:ascii="Arial" w:cs="Arial" w:eastAsia="Arial" w:hAnsi="Arial"/>
          <w:sz w:val="18"/>
          <w:szCs w:val="18"/>
          <w:color w:val="auto"/>
        </w:rPr>
        <w:t>ARTICLE IV. FEES AND PAYMENT; TAXES; DOCUMENTATION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License Fees for Market Data Sets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97" w:lineRule="auto"/>
        <w:tabs>
          <w:tab w:leader="none" w:pos="155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In consideration for the grant of the Market Data License, the Limited Trading Data License and the Historical Market Data License, and in accordance with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during each Year of the Initial Term, GRC shall pay to Tradeweb the corresponding annual license fee set forth in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Annual License Fee</w:t>
      </w:r>
      <w:r>
        <w:rPr>
          <w:rFonts w:ascii="Arial" w:cs="Arial" w:eastAsia="Arial" w:hAnsi="Arial"/>
          <w:sz w:val="16"/>
          <w:szCs w:val="16"/>
          <w:color w:val="auto"/>
        </w:rPr>
        <w:t xml:space="preserve">”). Thereafter, during each Year of any Renewal Term, the Annual License Fee in effect for the prior Year will be subject to an annual price increase, effective as of November 1 of the relevant Year, equal to [***]. Except as set expressly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4.3(a)(ii)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4.3(b)(ii)</w:t>
      </w:r>
      <w:r>
        <w:rPr>
          <w:rFonts w:ascii="Arial" w:cs="Arial" w:eastAsia="Arial" w:hAnsi="Arial"/>
          <w:sz w:val="16"/>
          <w:szCs w:val="16"/>
          <w:color w:val="auto"/>
        </w:rPr>
        <w:t>, the Annual License Fee will be the sole consideration in respect of the Licenses.</w:t>
      </w:r>
    </w:p>
    <w:p>
      <w:pPr>
        <w:spacing w:after="0" w:line="158" w:lineRule="exact"/>
        <w:rPr>
          <w:rFonts w:ascii="Arial" w:cs="Arial" w:eastAsia="Arial" w:hAnsi="Arial"/>
          <w:sz w:val="16"/>
          <w:szCs w:val="16"/>
          <w:color w:val="auto"/>
        </w:rPr>
      </w:pPr>
    </w:p>
    <w:p>
      <w:pPr>
        <w:jc w:val="both"/>
        <w:ind w:left="660" w:firstLine="645"/>
        <w:spacing w:after="0" w:line="297" w:lineRule="auto"/>
        <w:tabs>
          <w:tab w:leader="none" w:pos="157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In addition to the Annual License Fee, and in accordance with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during each Year of the Term and the Transition Period, GRC shall pay to Tradeweb an amount equal to [***] of the revenue GRC and its Affiliates directly generate from the distribution of Non-Exclusive Licensed Market Data (other than as indicated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and other than in respect of MiFID II Pre-Trade APA Market Data and Non-Exclusive Licensed NMDS) to third Persons, over, through or by means of Desktop Products or other Refinitiv Services (the “</w:t>
      </w:r>
      <w:r>
        <w:rPr>
          <w:rFonts w:ascii="Arial" w:cs="Arial" w:eastAsia="Arial" w:hAnsi="Arial"/>
          <w:sz w:val="16"/>
          <w:szCs w:val="16"/>
          <w:u w:val="single" w:color="auto"/>
          <w:color w:val="auto"/>
        </w:rPr>
        <w:t>Non-Exclusive Licensed Market</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Data Fee Share</w:t>
      </w:r>
      <w:r>
        <w:rPr>
          <w:rFonts w:ascii="Arial" w:cs="Arial" w:eastAsia="Arial" w:hAnsi="Arial"/>
          <w:sz w:val="16"/>
          <w:szCs w:val="16"/>
          <w:color w:val="auto"/>
        </w:rPr>
        <w:t>”). The Parties acknowledge and agree that all Non-Exclusive Licensed Market Data Distributor Fees are [***].</w:t>
      </w:r>
    </w:p>
    <w:p>
      <w:pPr>
        <w:spacing w:after="0" w:line="158" w:lineRule="exact"/>
        <w:rPr>
          <w:rFonts w:ascii="Arial" w:cs="Arial" w:eastAsia="Arial" w:hAnsi="Arial"/>
          <w:sz w:val="16"/>
          <w:szCs w:val="16"/>
          <w:color w:val="auto"/>
        </w:rPr>
      </w:pPr>
    </w:p>
    <w:p>
      <w:pPr>
        <w:jc w:val="both"/>
        <w:ind w:left="660" w:firstLine="645"/>
        <w:spacing w:after="0" w:line="259" w:lineRule="auto"/>
        <w:tabs>
          <w:tab w:leader="none" w:pos="156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In addition to the Annual License Fee, and in accordance with </w:t>
      </w:r>
      <w:r>
        <w:rPr>
          <w:rFonts w:ascii="Arial" w:cs="Arial" w:eastAsia="Arial" w:hAnsi="Arial"/>
          <w:sz w:val="18"/>
          <w:szCs w:val="18"/>
          <w:u w:val="single" w:color="auto"/>
          <w:color w:val="auto"/>
        </w:rPr>
        <w:t>Section 4.4(b)</w:t>
      </w:r>
      <w:r>
        <w:rPr>
          <w:rFonts w:ascii="Arial" w:cs="Arial" w:eastAsia="Arial" w:hAnsi="Arial"/>
          <w:sz w:val="18"/>
          <w:szCs w:val="18"/>
          <w:color w:val="auto"/>
        </w:rPr>
        <w:t>, during each Year of the Term and the Transition Period, GRC shall pay to Tradeweb an amount equal to [***] of the revenue GRC and its Affiliates directly generate from distribution of MiFID II Pre-Trade APA Market Data to third Persons, over, through or by means of Desktop Products or other Refinitiv Services (the “</w:t>
      </w:r>
      <w:r>
        <w:rPr>
          <w:rFonts w:ascii="Arial" w:cs="Arial" w:eastAsia="Arial" w:hAnsi="Arial"/>
          <w:sz w:val="18"/>
          <w:szCs w:val="18"/>
          <w:u w:val="single" w:color="auto"/>
          <w:color w:val="auto"/>
        </w:rPr>
        <w:t>MiFID II Pre-Trade APA</w:t>
      </w:r>
      <w:r>
        <w:rPr>
          <w:rFonts w:ascii="Arial" w:cs="Arial" w:eastAsia="Arial" w:hAnsi="Arial"/>
          <w:sz w:val="18"/>
          <w:szCs w:val="18"/>
          <w:color w:val="auto"/>
        </w:rPr>
        <w:t xml:space="preserve"> </w:t>
      </w:r>
      <w:r>
        <w:rPr>
          <w:rFonts w:ascii="Arial" w:cs="Arial" w:eastAsia="Arial" w:hAnsi="Arial"/>
          <w:sz w:val="18"/>
          <w:szCs w:val="18"/>
          <w:u w:val="single" w:color="auto"/>
          <w:color w:val="auto"/>
        </w:rPr>
        <w:t>Fee Share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60" w:right="20" w:firstLine="645"/>
        <w:spacing w:after="0" w:line="279" w:lineRule="auto"/>
        <w:tabs>
          <w:tab w:leader="none" w:pos="159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In addition to the Annual License Fee, in consideration for the UST License as it relates to the provision of RCM 19901, and in accordance with </w:t>
      </w:r>
      <w:r>
        <w:rPr>
          <w:rFonts w:ascii="Arial" w:cs="Arial" w:eastAsia="Arial" w:hAnsi="Arial"/>
          <w:sz w:val="17"/>
          <w:szCs w:val="17"/>
          <w:u w:val="single" w:color="auto"/>
          <w:color w:val="auto"/>
        </w:rPr>
        <w:t>Section 4.4(b)</w:t>
      </w:r>
      <w:r>
        <w:rPr>
          <w:rFonts w:ascii="Arial" w:cs="Arial" w:eastAsia="Arial" w:hAnsi="Arial"/>
          <w:sz w:val="17"/>
          <w:szCs w:val="17"/>
          <w:color w:val="auto"/>
        </w:rPr>
        <w:t>, during each Year of the Term and the Transition Period, GRC shall pay to Tradeweb an amount equal to the greater of (i) [***] of the Qualifying Revenue for such Year, or (ii) [***] (as applicable, the “</w:t>
      </w:r>
      <w:r>
        <w:rPr>
          <w:rFonts w:ascii="Arial" w:cs="Arial" w:eastAsia="Arial" w:hAnsi="Arial"/>
          <w:sz w:val="17"/>
          <w:szCs w:val="17"/>
          <w:u w:val="single" w:color="auto"/>
          <w:color w:val="auto"/>
        </w:rPr>
        <w:t>UST Subscription Fee Share</w:t>
      </w:r>
      <w:r>
        <w:rPr>
          <w:rFonts w:ascii="Arial" w:cs="Arial" w:eastAsia="Arial" w:hAnsi="Arial"/>
          <w:sz w:val="17"/>
          <w:szCs w:val="17"/>
          <w:color w:val="auto"/>
        </w:rPr>
        <w:t>”). For the avoidance of doubt, GRC shall not owe or pay to Tradeweb the “Annual Fixed Fee” or “Optional Service Fee” contemplated by the Addendum.</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License Fee for Transition Period</w:t>
      </w:r>
      <w:r>
        <w:rPr>
          <w:rFonts w:ascii="Arial" w:cs="Arial" w:eastAsia="Arial" w:hAnsi="Arial"/>
          <w:sz w:val="17"/>
          <w:szCs w:val="17"/>
          <w:color w:val="auto"/>
        </w:rPr>
        <w:t xml:space="preserve">. If the Transition Period follows the Initial Term, the license fee for the Transition Period shall be equal to the Annual License Fee in effect for the prior Year </w:t>
      </w:r>
      <w:r>
        <w:rPr>
          <w:rFonts w:ascii="Arial" w:cs="Arial" w:eastAsia="Arial" w:hAnsi="Arial"/>
          <w:sz w:val="17"/>
          <w:szCs w:val="17"/>
          <w:i w:val="1"/>
          <w:iCs w:val="1"/>
          <w:color w:val="auto"/>
        </w:rPr>
        <w:t>plus</w:t>
      </w:r>
      <w:r>
        <w:rPr>
          <w:rFonts w:ascii="Arial" w:cs="Arial" w:eastAsia="Arial" w:hAnsi="Arial"/>
          <w:sz w:val="17"/>
          <w:szCs w:val="17"/>
          <w:color w:val="auto"/>
        </w:rPr>
        <w:t xml:space="preserve">: (a) if Tradeweb gives Notice of Non-Renewal, a price increase equal to the greater of (i) [***], and (ii) [***]; or (b) if either Refinitiv Party gives Notice of Non-Renewal, a price increase calculated based on [***]. If the Transition Period follows a Renewal Term, the license fee for the Transition Period shall equal the Annual License Fee in effect for the prior Year </w:t>
      </w:r>
      <w:r>
        <w:rPr>
          <w:rFonts w:ascii="Arial" w:cs="Arial" w:eastAsia="Arial" w:hAnsi="Arial"/>
          <w:sz w:val="17"/>
          <w:szCs w:val="17"/>
          <w:i w:val="1"/>
          <w:iCs w:val="1"/>
          <w:color w:val="auto"/>
        </w:rPr>
        <w:t>plus</w:t>
      </w:r>
      <w:r>
        <w:rPr>
          <w:rFonts w:ascii="Arial" w:cs="Arial" w:eastAsia="Arial" w:hAnsi="Arial"/>
          <w:sz w:val="17"/>
          <w:szCs w:val="17"/>
          <w:color w:val="auto"/>
        </w:rPr>
        <w:t xml:space="preserve"> a price increase calculated based on [***]. The license fee for the Transition Period shall be payable in accordance with </w:t>
      </w:r>
      <w:r>
        <w:rPr>
          <w:rFonts w:ascii="Arial" w:cs="Arial" w:eastAsia="Arial" w:hAnsi="Arial"/>
          <w:sz w:val="17"/>
          <w:szCs w:val="17"/>
          <w:u w:val="single" w:color="auto"/>
          <w:color w:val="auto"/>
        </w:rPr>
        <w:t>Section 4.4(a)</w:t>
      </w:r>
      <w:r>
        <w:rPr>
          <w:rFonts w:ascii="Arial" w:cs="Arial" w:eastAsia="Arial" w:hAnsi="Arial"/>
          <w:sz w:val="17"/>
          <w:szCs w:val="17"/>
          <w:color w:val="auto"/>
        </w:rPr>
        <w: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7" w:name="page278"/>
    <w:bookmarkEnd w:id="277"/>
    <w:p>
      <w:pPr>
        <w:spacing w:after="0"/>
        <w:tabs>
          <w:tab w:leader="none" w:pos="12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License Fee for New Market Data Sets</w:t>
      </w:r>
      <w:r>
        <w:rPr>
          <w:rFonts w:ascii="Arial" w:cs="Arial" w:eastAsia="Arial" w:hAnsi="Arial"/>
          <w:sz w:val="16"/>
          <w:szCs w:val="16"/>
          <w:color w:val="auto"/>
        </w:rPr>
        <w:t>.</w:t>
      </w:r>
    </w:p>
    <w:p>
      <w:pPr>
        <w:spacing w:after="0" w:line="225" w:lineRule="exact"/>
        <w:rPr>
          <w:sz w:val="20"/>
          <w:szCs w:val="20"/>
          <w:color w:val="auto"/>
        </w:rPr>
      </w:pPr>
    </w:p>
    <w:p>
      <w:pPr>
        <w:ind w:left="1300" w:hanging="655"/>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Exclusive Licensed NMDS</w:t>
      </w:r>
    </w:p>
    <w:p>
      <w:pPr>
        <w:spacing w:after="0" w:line="225" w:lineRule="exact"/>
        <w:rPr>
          <w:rFonts w:ascii="Arial" w:cs="Arial" w:eastAsia="Arial" w:hAnsi="Arial"/>
          <w:sz w:val="18"/>
          <w:szCs w:val="18"/>
          <w:color w:val="auto"/>
        </w:rPr>
      </w:pPr>
    </w:p>
    <w:p>
      <w:pPr>
        <w:jc w:val="both"/>
        <w:ind w:left="720" w:firstLine="654"/>
        <w:spacing w:after="0" w:line="264" w:lineRule="auto"/>
        <w:tabs>
          <w:tab w:leader="none" w:pos="1995"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Parties acknowledge and agree that the consideration for the Market Data License and Limited Trading Data License in respect of all Exclusive Licensed NMDSs distributed over, through or by means of a Desktop Product during each Year of the Term and the Transition Period shall be [***].</w:t>
      </w:r>
    </w:p>
    <w:p>
      <w:pPr>
        <w:spacing w:after="0" w:line="181" w:lineRule="exact"/>
        <w:rPr>
          <w:rFonts w:ascii="Arial" w:cs="Arial" w:eastAsia="Arial" w:hAnsi="Arial"/>
          <w:sz w:val="18"/>
          <w:szCs w:val="18"/>
          <w:color w:val="auto"/>
        </w:rPr>
      </w:pPr>
    </w:p>
    <w:p>
      <w:pPr>
        <w:jc w:val="both"/>
        <w:ind w:left="720" w:firstLine="654"/>
        <w:spacing w:after="0" w:line="254" w:lineRule="auto"/>
        <w:tabs>
          <w:tab w:leader="none" w:pos="213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In addition to the Annual License Fee, and in accordance with </w:t>
      </w:r>
      <w:r>
        <w:rPr>
          <w:rFonts w:ascii="Arial" w:cs="Arial" w:eastAsia="Arial" w:hAnsi="Arial"/>
          <w:sz w:val="18"/>
          <w:szCs w:val="18"/>
          <w:u w:val="single" w:color="auto"/>
          <w:color w:val="auto"/>
        </w:rPr>
        <w:t>Section 4.4(b)</w:t>
      </w:r>
      <w:r>
        <w:rPr>
          <w:rFonts w:ascii="Arial" w:cs="Arial" w:eastAsia="Arial" w:hAnsi="Arial"/>
          <w:sz w:val="18"/>
          <w:szCs w:val="18"/>
          <w:color w:val="auto"/>
        </w:rPr>
        <w:t>, during each Year of the Term and the Transition Period, GRC shall pay to Tradeweb an amount equal to: (A) with respect to the first year following the date such Exclusive Licensed NMDS is first made available over, through or by means of a Refinitiv Service (other than a Desktop Product)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Distribution Year</w:t>
      </w:r>
      <w:r>
        <w:rPr>
          <w:rFonts w:ascii="Arial" w:cs="Arial" w:eastAsia="Arial" w:hAnsi="Arial"/>
          <w:sz w:val="18"/>
          <w:szCs w:val="18"/>
          <w:color w:val="auto"/>
        </w:rPr>
        <w:t>”), [***] of the revenue GRC and its Affiliates directly generate from the distribution of Exclusive Licensed NMDS to third Persons over, through or by means of Refinitiv Services (other than Desktop Products); and (B) with respect to any year after the First Distribution Year, a percentage of the revenue GRC and its Affiliates directly generate from such distribution in accordance with the following table (the “</w:t>
      </w:r>
      <w:r>
        <w:rPr>
          <w:rFonts w:ascii="Arial" w:cs="Arial" w:eastAsia="Arial" w:hAnsi="Arial"/>
          <w:sz w:val="18"/>
          <w:szCs w:val="18"/>
          <w:u w:val="single" w:color="auto"/>
          <w:color w:val="auto"/>
        </w:rPr>
        <w:t>Percentage of Revenue Payable</w:t>
      </w:r>
      <w:r>
        <w:rPr>
          <w:rFonts w:ascii="Arial" w:cs="Arial" w:eastAsia="Arial" w:hAnsi="Arial"/>
          <w:sz w:val="18"/>
          <w:szCs w:val="18"/>
          <w:color w:val="auto"/>
        </w:rPr>
        <w:t>”) (the revenue share set forth in clauses (A) and (B), as applicable, the “</w:t>
      </w:r>
      <w:r>
        <w:rPr>
          <w:rFonts w:ascii="Arial" w:cs="Arial" w:eastAsia="Arial" w:hAnsi="Arial"/>
          <w:sz w:val="18"/>
          <w:szCs w:val="18"/>
          <w:u w:val="single" w:color="auto"/>
          <w:color w:val="auto"/>
        </w:rPr>
        <w:t>Exclusive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NMDS Fee Share</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Annual Revenue</w:t>
            </w:r>
          </w:p>
        </w:tc>
        <w:tc>
          <w:tcPr>
            <w:tcW w:w="220" w:type="dxa"/>
            <w:vAlign w:val="bottom"/>
            <w:tcBorders>
              <w:bottom w:val="single" w:sz="8" w:color="CCEEFF"/>
            </w:tcBorders>
          </w:tcPr>
          <w:p>
            <w:pPr>
              <w:spacing w:after="0"/>
              <w:rPr>
                <w:sz w:val="20"/>
                <w:szCs w:val="20"/>
                <w:color w:val="auto"/>
              </w:rPr>
            </w:pPr>
          </w:p>
        </w:tc>
        <w:tc>
          <w:tcPr>
            <w:tcW w:w="512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Percentage of Revenue Payable</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$1 - $1,000,000</w:t>
            </w:r>
          </w:p>
        </w:tc>
        <w:tc>
          <w:tcPr>
            <w:tcW w:w="220" w:type="dxa"/>
            <w:vAlign w:val="bottom"/>
            <w:shd w:val="clear" w:color="auto" w:fill="CCEEFF"/>
          </w:tcPr>
          <w:p>
            <w:pPr>
              <w:spacing w:after="0"/>
              <w:rPr>
                <w:sz w:val="18"/>
                <w:szCs w:val="18"/>
                <w:color w:val="auto"/>
              </w:rPr>
            </w:pPr>
          </w:p>
        </w:tc>
        <w:tc>
          <w:tcPr>
            <w:tcW w:w="5120" w:type="dxa"/>
            <w:vAlign w:val="bottom"/>
            <w:shd w:val="clear" w:color="auto" w:fill="CCEEFF"/>
          </w:tcPr>
          <w:p>
            <w:pPr>
              <w:jc w:val="right"/>
              <w:ind w:right="465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$1,000,001 - $2,000,000</w:t>
            </w:r>
          </w:p>
        </w:tc>
        <w:tc>
          <w:tcPr>
            <w:tcW w:w="5340" w:type="dxa"/>
            <w:vAlign w:val="bottom"/>
            <w:gridSpan w:val="2"/>
          </w:tcPr>
          <w:p>
            <w:pPr>
              <w:jc w:val="right"/>
              <w:ind w:right="465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$2,000,001 - $3,000,000</w:t>
            </w:r>
          </w:p>
        </w:tc>
        <w:tc>
          <w:tcPr>
            <w:tcW w:w="5340" w:type="dxa"/>
            <w:vAlign w:val="bottom"/>
            <w:gridSpan w:val="2"/>
            <w:shd w:val="clear" w:color="auto" w:fill="CCEEFF"/>
          </w:tcPr>
          <w:p>
            <w:pPr>
              <w:jc w:val="right"/>
              <w:ind w:right="465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&gt; $3 million</w:t>
            </w:r>
          </w:p>
        </w:tc>
        <w:tc>
          <w:tcPr>
            <w:tcW w:w="5340" w:type="dxa"/>
            <w:vAlign w:val="bottom"/>
            <w:gridSpan w:val="2"/>
          </w:tcPr>
          <w:p>
            <w:pPr>
              <w:jc w:val="right"/>
              <w:ind w:right="465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640"/>
        <w:spacing w:after="0" w:line="276" w:lineRule="auto"/>
        <w:rPr>
          <w:sz w:val="20"/>
          <w:szCs w:val="20"/>
          <w:color w:val="auto"/>
        </w:rPr>
      </w:pPr>
      <w:r>
        <w:rPr>
          <w:rFonts w:ascii="Arial" w:cs="Arial" w:eastAsia="Arial" w:hAnsi="Arial"/>
          <w:sz w:val="17"/>
          <w:szCs w:val="17"/>
          <w:color w:val="auto"/>
        </w:rPr>
        <w:t>For the avoidance of doubt, the Percentage of Revenue Payable with respect to an Exclusive Licensed NMDS shall apply only to the portion of revenue generated during the relevant year from the distribution of such Exclusive Licensed NMDS over, through or by means of a Refinitiv Service (other than a Desktop Product) that falls within the corresponding bucket in the foregoing table. Solely by way of example, if GRC and its Affiliates collectively generate $1,000,001 of revenue during any relevant year subsequent to the First Distribution Year, GRC shall pay Tradeweb an amount equal to [***], which is [***], for the relevant year.</w:t>
      </w:r>
    </w:p>
    <w:p>
      <w:pPr>
        <w:spacing w:after="0" w:line="38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78" w:name="page279"/>
    <w:bookmarkEnd w:id="278"/>
    <w:p>
      <w:pPr>
        <w:ind w:left="1300" w:hanging="655"/>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Non-Exclusive Licensed NMDS</w:t>
      </w:r>
    </w:p>
    <w:p>
      <w:pPr>
        <w:spacing w:after="0" w:line="225" w:lineRule="exact"/>
        <w:rPr>
          <w:rFonts w:ascii="Arial" w:cs="Arial" w:eastAsia="Arial" w:hAnsi="Arial"/>
          <w:sz w:val="18"/>
          <w:szCs w:val="18"/>
          <w:color w:val="auto"/>
        </w:rPr>
      </w:pPr>
    </w:p>
    <w:p>
      <w:pPr>
        <w:jc w:val="both"/>
        <w:ind w:left="720" w:firstLine="654"/>
        <w:spacing w:after="0" w:line="264" w:lineRule="auto"/>
        <w:tabs>
          <w:tab w:leader="none" w:pos="199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Parties acknowledge and agree that the consideration for the Market Data License and Limited Trading Data License in respect of all Non-Exclusive Licensed NMDSs distributed over, through or by means of a Desktop Product during each Year of the Term and the Transition Period shall be [***].</w:t>
      </w:r>
    </w:p>
    <w:p>
      <w:pPr>
        <w:spacing w:after="0" w:line="181" w:lineRule="exact"/>
        <w:rPr>
          <w:rFonts w:ascii="Arial" w:cs="Arial" w:eastAsia="Arial" w:hAnsi="Arial"/>
          <w:sz w:val="18"/>
          <w:szCs w:val="18"/>
          <w:color w:val="auto"/>
        </w:rPr>
      </w:pPr>
    </w:p>
    <w:p>
      <w:pPr>
        <w:jc w:val="both"/>
        <w:ind w:left="720" w:firstLine="654"/>
        <w:spacing w:after="0" w:line="259" w:lineRule="auto"/>
        <w:tabs>
          <w:tab w:leader="none" w:pos="217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In addition to the Annual License Fee, and in accordance with </w:t>
      </w:r>
      <w:r>
        <w:rPr>
          <w:rFonts w:ascii="Arial" w:cs="Arial" w:eastAsia="Arial" w:hAnsi="Arial"/>
          <w:sz w:val="18"/>
          <w:szCs w:val="18"/>
          <w:u w:val="single" w:color="auto"/>
          <w:color w:val="auto"/>
        </w:rPr>
        <w:t>Section 4.4(b)</w:t>
      </w:r>
      <w:r>
        <w:rPr>
          <w:rFonts w:ascii="Arial" w:cs="Arial" w:eastAsia="Arial" w:hAnsi="Arial"/>
          <w:sz w:val="18"/>
          <w:szCs w:val="18"/>
          <w:color w:val="auto"/>
        </w:rPr>
        <w:t>, during each Year of the Term and the Transition Period, GRC shall pay Tradeweb an amount equal to [***] of the revenue GRC and its Affiliates directly generate from the distribution of Non-Exclusive Licensed NMDS to third Persons over, through or by means of Refinitiv Services (other than Desktop Products) (the “</w:t>
      </w:r>
      <w:r>
        <w:rPr>
          <w:rFonts w:ascii="Arial" w:cs="Arial" w:eastAsia="Arial" w:hAnsi="Arial"/>
          <w:sz w:val="18"/>
          <w:szCs w:val="18"/>
          <w:u w:val="single" w:color="auto"/>
          <w:color w:val="auto"/>
        </w:rPr>
        <w:t>Non-Exclusive NMDS Fee Share</w:t>
      </w:r>
      <w:r>
        <w:rPr>
          <w:rFonts w:ascii="Arial" w:cs="Arial" w:eastAsia="Arial" w:hAnsi="Arial"/>
          <w:sz w:val="18"/>
          <w:szCs w:val="18"/>
          <w:color w:val="auto"/>
        </w:rPr>
        <w: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Payment</w:t>
      </w:r>
      <w:r>
        <w:rPr>
          <w:rFonts w:ascii="Arial" w:cs="Arial" w:eastAsia="Arial" w:hAnsi="Arial"/>
          <w:sz w:val="16"/>
          <w:szCs w:val="16"/>
          <w:color w:val="auto"/>
        </w:rPr>
        <w:t>.</w:t>
      </w:r>
    </w:p>
    <w:p>
      <w:pPr>
        <w:spacing w:after="0" w:line="225" w:lineRule="exact"/>
        <w:rPr>
          <w:sz w:val="20"/>
          <w:szCs w:val="20"/>
          <w:color w:val="auto"/>
        </w:rPr>
      </w:pPr>
    </w:p>
    <w:p>
      <w:pPr>
        <w:ind w:right="340" w:firstLine="645"/>
        <w:spacing w:after="0" w:line="280" w:lineRule="auto"/>
        <w:tabs>
          <w:tab w:leader="none" w:pos="89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GRC shall, or shall cause its Affiliates to, pay the Annual License Fee, including the Annual License Fee payable with respect to the Transition Period, as applicable, quarterly in advance on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November, February, May and August.</w:t>
      </w:r>
    </w:p>
    <w:p>
      <w:pPr>
        <w:spacing w:after="0" w:line="44" w:lineRule="exact"/>
        <w:rPr>
          <w:rFonts w:ascii="Arial" w:cs="Arial" w:eastAsia="Arial" w:hAnsi="Arial"/>
          <w:sz w:val="18"/>
          <w:szCs w:val="18"/>
          <w:color w:val="auto"/>
        </w:rPr>
      </w:pPr>
    </w:p>
    <w:p>
      <w:pPr>
        <w:jc w:val="both"/>
        <w:ind w:firstLine="645"/>
        <w:spacing w:after="0" w:line="257" w:lineRule="auto"/>
        <w:tabs>
          <w:tab w:leader="none" w:pos="9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GRC shall, or shall cause its Affiliates to, pay, as applicable, each of the Exclusive NMDS Fee Share, Non-Exclusive NMDS Fee Share, Non-Exclusive Licensed Market Data Fee Share, MiFID II Pre-Trade APA Fee Share, and UST Subscription Fee Share, quarterly in arrears in accordance with the procedures set forth in </w:t>
      </w:r>
      <w:r>
        <w:rPr>
          <w:rFonts w:ascii="Arial" w:cs="Arial" w:eastAsia="Arial" w:hAnsi="Arial"/>
          <w:sz w:val="18"/>
          <w:szCs w:val="18"/>
          <w:u w:val="single" w:color="auto"/>
          <w:color w:val="auto"/>
        </w:rPr>
        <w:t>Section 4.4(b)(i)</w:t>
      </w:r>
      <w:r>
        <w:rPr>
          <w:rFonts w:ascii="Arial" w:cs="Arial" w:eastAsia="Arial" w:hAnsi="Arial"/>
          <w:sz w:val="18"/>
          <w:szCs w:val="18"/>
          <w:color w:val="auto"/>
        </w:rPr>
        <w:t xml:space="preserve"> below. Notwithstanding anything to the contrary herein, GRC shall, or shall cause its Affiliates to, pay any amount necessary to satisfy the minimum amount of the UST Subscription Fee Share with respect to any Year as part of the final quarterly payment for such Year.</w:t>
      </w:r>
    </w:p>
    <w:p>
      <w:pPr>
        <w:spacing w:after="0" w:line="188" w:lineRule="exact"/>
        <w:rPr>
          <w:rFonts w:ascii="Arial" w:cs="Arial" w:eastAsia="Arial" w:hAnsi="Arial"/>
          <w:sz w:val="18"/>
          <w:szCs w:val="18"/>
          <w:color w:val="auto"/>
        </w:rPr>
      </w:pPr>
    </w:p>
    <w:p>
      <w:pPr>
        <w:jc w:val="both"/>
        <w:ind w:left="720" w:firstLine="654"/>
        <w:spacing w:after="0" w:line="253" w:lineRule="auto"/>
        <w:tabs>
          <w:tab w:leader="none" w:pos="202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GRC shall, within thirty (30) calendar days following the end of each quarter during the Term and the Transition Period, provide Tradeweb with: (A) a calculation of each of the Exclusive NMDS Fee Share, Non-Exclusive NMDS Fee Share, Non-Exclusive Licensed Market Data Fee Share, MiFID II Pre-Trade APA Fee Share, and UST Subscription Fee Share, in each case, as applicable, to the relevant quarter; (B) subject to applicable Laws and contractual obligations of the Refinitiv Parties or any of their Affiliates with any third Person, documentation and information reasonably required to support GRC’s calculation for each of the foregoing Fees; and (C) subject to applicable Law and contractual obligations, a list of TP ICAP Customers receiving RCM 19901 and the amount of RCM 19901 Subscription Fees attributable to each such TP ICAP Customer for the relevant quarter (collectively, the “</w:t>
      </w:r>
      <w:r>
        <w:rPr>
          <w:rFonts w:ascii="Arial" w:cs="Arial" w:eastAsia="Arial" w:hAnsi="Arial"/>
          <w:sz w:val="18"/>
          <w:szCs w:val="18"/>
          <w:u w:val="single" w:color="auto"/>
          <w:color w:val="auto"/>
        </w:rPr>
        <w:t>Fee Calculation</w:t>
      </w:r>
      <w:r>
        <w:rPr>
          <w:rFonts w:ascii="Arial" w:cs="Arial" w:eastAsia="Arial" w:hAnsi="Arial"/>
          <w:sz w:val="18"/>
          <w:szCs w:val="18"/>
          <w:color w:val="auto"/>
        </w:rPr>
        <w:t>”). GRC represents that no contractual restriction exists in the UST Distribution Agreement that would prohibit GRC from providing the information in clause (C) above.</w:t>
      </w:r>
    </w:p>
    <w:p>
      <w:pPr>
        <w:spacing w:after="0" w:line="200" w:lineRule="exact"/>
        <w:rPr>
          <w:sz w:val="20"/>
          <w:szCs w:val="20"/>
          <w:color w:val="auto"/>
        </w:rPr>
      </w:pPr>
    </w:p>
    <w:p>
      <w:pPr>
        <w:spacing w:after="0" w:line="21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79" w:name="page280"/>
    <w:bookmarkEnd w:id="279"/>
    <w:p>
      <w:pPr>
        <w:jc w:val="both"/>
        <w:ind w:left="180" w:firstLine="654"/>
        <w:spacing w:after="0" w:line="271" w:lineRule="auto"/>
        <w:tabs>
          <w:tab w:leader="none" w:pos="1472" w:val="left"/>
        </w:tabs>
        <w:numPr>
          <w:ilvl w:val="1"/>
          <w:numId w:val="161"/>
        </w:numPr>
        <w:rPr>
          <w:rFonts w:ascii="Arial" w:cs="Arial" w:eastAsia="Arial" w:hAnsi="Arial"/>
          <w:sz w:val="17"/>
          <w:szCs w:val="17"/>
          <w:color w:val="auto"/>
        </w:rPr>
      </w:pPr>
      <w:r>
        <w:rPr>
          <w:rFonts w:ascii="Arial" w:cs="Arial" w:eastAsia="Arial" w:hAnsi="Arial"/>
          <w:sz w:val="17"/>
          <w:szCs w:val="17"/>
          <w:color w:val="auto"/>
        </w:rPr>
        <w:t xml:space="preserve">Beginning on the calendar day Tradeweb receives the Fee Calculation, Tradeweb shall have twenty (20) calendar days to review such Fee Calculation and notify GRC of any disputed amount or calculation therein. During such twenty (20) calendar day period, GRC shall use commercially reasonable efforts to assist Tradeweb with any reasonable inquires relating to (A) the aggregate level of revenues, and (B) compliance with the restrictions set forth in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as applicable. Tradeweb acknowledges that GRC’s ability to provide information and assistance is, as it relates to the UST Subscription Fee Share, dependent on GRC’s ability to obtain such information and assistance from TP ICAP or its Affiliates, and neither GRC nor its Affiliates shall be responsible for any failure to provide such information or assistance to the extent such failure is attributable to TP ICAP;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GRC or its applicable Affiliate shall use commercially reasonable efforts to enforce its right to this information.</w:t>
      </w:r>
    </w:p>
    <w:p>
      <w:pPr>
        <w:spacing w:after="0" w:line="178" w:lineRule="exact"/>
        <w:rPr>
          <w:rFonts w:ascii="Arial" w:cs="Arial" w:eastAsia="Arial" w:hAnsi="Arial"/>
          <w:sz w:val="17"/>
          <w:szCs w:val="17"/>
          <w:color w:val="auto"/>
        </w:rPr>
      </w:pPr>
    </w:p>
    <w:p>
      <w:pPr>
        <w:jc w:val="both"/>
        <w:ind w:left="180" w:firstLine="654"/>
        <w:spacing w:after="0" w:line="257" w:lineRule="auto"/>
        <w:tabs>
          <w:tab w:leader="none" w:pos="154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In the event Tradeweb timely disputes any amount or calculation set forth in the Fee Calculation, Tradeweb and GRC shall attempt in good faith for a period of at least thirty (30) days to resolve such dispute between themselves, following which Tradeweb may elect by providing written notice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herein (a “</w:t>
      </w:r>
      <w:r>
        <w:rPr>
          <w:rFonts w:ascii="Arial" w:cs="Arial" w:eastAsia="Arial" w:hAnsi="Arial"/>
          <w:sz w:val="18"/>
          <w:szCs w:val="18"/>
          <w:u w:val="single" w:color="auto"/>
          <w:color w:val="auto"/>
        </w:rPr>
        <w:t>Dispute Notice</w:t>
      </w:r>
      <w:r>
        <w:rPr>
          <w:rFonts w:ascii="Arial" w:cs="Arial" w:eastAsia="Arial" w:hAnsi="Arial"/>
          <w:sz w:val="18"/>
          <w:szCs w:val="18"/>
          <w:color w:val="auto"/>
        </w:rPr>
        <w:t xml:space="preserve">”) to GRC to exercise its rights under the dispute resolution process attached hereto as </w:t>
      </w:r>
      <w:r>
        <w:rPr>
          <w:rFonts w:ascii="Arial" w:cs="Arial" w:eastAsia="Arial" w:hAnsi="Arial"/>
          <w:sz w:val="18"/>
          <w:szCs w:val="18"/>
          <w:u w:val="single" w:color="auto"/>
          <w:color w:val="auto"/>
        </w:rPr>
        <w:t>Schedule H</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Dispute Resolution Process</w:t>
      </w:r>
      <w:r>
        <w:rPr>
          <w:rFonts w:ascii="Arial" w:cs="Arial" w:eastAsia="Arial" w:hAnsi="Arial"/>
          <w:sz w:val="18"/>
          <w:szCs w:val="18"/>
          <w:color w:val="auto"/>
        </w:rPr>
        <w:t>”) to resolve the matter (which matter shall be deemed a “</w:t>
      </w:r>
      <w:r>
        <w:rPr>
          <w:rFonts w:ascii="Arial" w:cs="Arial" w:eastAsia="Arial" w:hAnsi="Arial"/>
          <w:sz w:val="18"/>
          <w:szCs w:val="18"/>
          <w:u w:val="single" w:color="auto"/>
          <w:color w:val="auto"/>
        </w:rPr>
        <w:t>Dispute Resolution Matter</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180" w:firstLine="654"/>
        <w:spacing w:after="0" w:line="291" w:lineRule="auto"/>
        <w:tabs>
          <w:tab w:leader="none" w:pos="1449"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To the extent Tradeweb fails to provide a Dispute Notice in accordance with clause (iii) above, Tradeweb shall, following the end of the relevant quarter, furnish GRC with an invoice which sets forth, as applicable, in respect of the relevant quarter, the Exclusive NMDS Fee Share, Non-Exclusive NMDS Fee Share, Non-Exclusive Licensed Market Data Fee Share, MiFID II Pre-Trade APA Fee Share, and UST Subscription Fee Share, in each case, as set forth in the Fee Calculation. GRC shall pay, or shall ensure that its designated Affiliate pays, the invoiced amount to Tradeweb no later than sixty (60) days after the delivery of such invoice. To the extent Tradeweb provides a Dispute Notice in accordance with clause (iii) above, GRC shall, or shall cause its Affiliates to, pay Tradeweb any Fees due and owing pursuant to the Dispute Resolution Process within thirty (30) days of the completion thereof.</w:t>
      </w:r>
    </w:p>
    <w:p>
      <w:pPr>
        <w:spacing w:after="0" w:line="167" w:lineRule="exact"/>
        <w:rPr>
          <w:rFonts w:ascii="Arial" w:cs="Arial" w:eastAsia="Arial" w:hAnsi="Arial"/>
          <w:sz w:val="16"/>
          <w:szCs w:val="16"/>
          <w:color w:val="auto"/>
        </w:rPr>
      </w:pPr>
    </w:p>
    <w:p>
      <w:pPr>
        <w:jc w:val="both"/>
        <w:ind w:left="-540" w:firstLine="645"/>
        <w:spacing w:after="0" w:line="293" w:lineRule="auto"/>
        <w:tabs>
          <w:tab w:leader="none" w:pos="37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Tradeweb shall, following the end of each calendar month during the Term and the Transition Period, furnish TRM with an invoice which sets forth, in respect of such calendar month, the Eikon Upgrade Fees due and payable by TRM, or its designated Affiliate, with respect thereto. TRM shall pay, or shall ensure that its designated Affiliate pays, the undisputed portion of the invoiced amount to Tradeweb no later than sixty (60) days after the delivery of such invoice. If TRM shall dispute any amount invoiced hereunder, TRM and Tradeweb shall attempt in good faith for a period of at least thirty (30) days to resolve such dispute between themselves, following which TRM may provide a Dispute Notice to Tradeweb to exercise its rights under the Dispute Resolution Process to resolve the matter (such matter to be deemed a Dispute Resolution Matter).</w:t>
      </w:r>
    </w:p>
    <w:p>
      <w:pPr>
        <w:spacing w:after="0" w:line="38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80" w:name="page281"/>
    <w:bookmarkEnd w:id="280"/>
    <w:p>
      <w:pPr>
        <w:jc w:val="both"/>
        <w:ind w:firstLine="648"/>
        <w:spacing w:after="0" w:line="276"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Taxes</w:t>
      </w:r>
      <w:r>
        <w:rPr>
          <w:rFonts w:ascii="Arial" w:cs="Arial" w:eastAsia="Arial" w:hAnsi="Arial"/>
          <w:sz w:val="17"/>
          <w:szCs w:val="17"/>
          <w:color w:val="auto"/>
        </w:rPr>
        <w:t>. The Refinitiv Parties shall be responsible for any fees or charges payable to any government, regulatory organization or other body in connection with the Licenses, and any sales, use, value added, property, duties or other taxes arising in relation thereto under this Second A&amp;R Agreement, but excluding any taxes on the net income of Tradeweb. The Refinitiv Parties shall be permitted to withhold from Fees any present or future taxes, duties, assessments, fees or other governmental charges that are the responsibility of Tradeweb as required by Law. If any such withholding is required, Tradeweb shall be treated as if it had received all Fees without such withholding.</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No Fees for Distribution of Resultant Data</w:t>
      </w:r>
      <w:r>
        <w:rPr>
          <w:rFonts w:ascii="Arial" w:cs="Arial" w:eastAsia="Arial" w:hAnsi="Arial"/>
          <w:sz w:val="18"/>
          <w:szCs w:val="18"/>
          <w:color w:val="auto"/>
        </w:rPr>
        <w:t>. GRC and its Affiliates shall not be required to pay any additional fees for distribution or use of Resultant Data.</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Refinitiv Pricing</w:t>
      </w:r>
      <w:r>
        <w:rPr>
          <w:rFonts w:ascii="Arial" w:cs="Arial" w:eastAsia="Arial" w:hAnsi="Arial"/>
          <w:sz w:val="17"/>
          <w:szCs w:val="17"/>
          <w:color w:val="auto"/>
        </w:rPr>
        <w:t>. With respect to each of the Exclusive NMDS Fee Share, Non-Exclusive NMDS Fee Share, Non-Exclusive Licensed Market Data Fee Share, and MiFID II Pre-Trade APA Fee Share, respectively, GRC shall not, and shall cause its Affiliates not to, license: (a) Exclusive Licensed NMDS, (b) Non-Exclusive Licensed NMDS, (c) Non-Exclusive Licensed Market Data, or (d) MiFID II Pre-Trade APA Market Data, as applicable, to third Persons as a Loss Leader. Where GRC and its Affiliates are responsible for determining the price at which RCM 19901 is distributed to third Persons, GRC agrees that neither it nor its Affiliates shall license RCM 19901 as a TP ICAP Loss Leader. Where the TP ICAP Group is responsible for determining the price at which RCM 19901 is distributed to third parties, GRC warrants that either it or its Affiliates shall contractually require during the term of the UST Distribution Agreement, that the TP ICAP Group shall not license RCM 19901 as a TP ICAP Loss Leader, and GRC agrees to use commercially reasonable efforts to include substantially similar contractual requirements in any future arrangement (with the TP ICAP Group or another third Person) with respect to distribution of RCM 19901.</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Tradeweb Pricing</w:t>
      </w:r>
      <w:r>
        <w:rPr>
          <w:rFonts w:ascii="Arial" w:cs="Arial" w:eastAsia="Arial" w:hAnsi="Arial"/>
          <w:sz w:val="18"/>
          <w:szCs w:val="18"/>
          <w:color w:val="auto"/>
        </w:rPr>
        <w:t>. With respect to the NTU Fee Share, Tradeweb shall not, and shall cause its Affiliates not to, license TW Per-User Products to Non-Trading Users as a Loss Leader.</w:t>
      </w:r>
    </w:p>
    <w:p>
      <w:pPr>
        <w:spacing w:after="0" w:line="170"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ARTICLE V. CUSTOMER, JOINT MARKETING AND DEVELOPMENT EFFORTS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Market Data Access Arrangements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64" w:lineRule="auto"/>
        <w:tabs>
          <w:tab w:leader="none" w:pos="206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Tradeweb shall, and shall cause its Subsidiaries to, provide Licensed Market Data via Tradeweb’s server (the “</w:t>
      </w:r>
      <w:r>
        <w:rPr>
          <w:rFonts w:ascii="Arial" w:cs="Arial" w:eastAsia="Arial" w:hAnsi="Arial"/>
          <w:sz w:val="18"/>
          <w:szCs w:val="18"/>
          <w:u w:val="single" w:color="auto"/>
          <w:color w:val="auto"/>
        </w:rPr>
        <w:t>MD Server</w:t>
      </w:r>
      <w:r>
        <w:rPr>
          <w:rFonts w:ascii="Arial" w:cs="Arial" w:eastAsia="Arial" w:hAnsi="Arial"/>
          <w:sz w:val="18"/>
          <w:szCs w:val="18"/>
          <w:color w:val="auto"/>
        </w:rPr>
        <w:t>” and files from https://md-us.tradeweb.com/marks) to certain customers of TRM or its Affiliates during the Term and the Transition Period, as requested by TRM, or its designated Affiliate.</w:t>
      </w:r>
    </w:p>
    <w:p>
      <w:pPr>
        <w:spacing w:after="0" w:line="181" w:lineRule="exact"/>
        <w:rPr>
          <w:rFonts w:ascii="Arial" w:cs="Arial" w:eastAsia="Arial" w:hAnsi="Arial"/>
          <w:sz w:val="18"/>
          <w:szCs w:val="18"/>
          <w:color w:val="auto"/>
        </w:rPr>
      </w:pPr>
    </w:p>
    <w:p>
      <w:pPr>
        <w:ind w:left="660" w:firstLine="645"/>
        <w:spacing w:after="0" w:line="277" w:lineRule="auto"/>
        <w:tabs>
          <w:tab w:leader="none" w:pos="22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In consideration of Tradeweb’s undertakings under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above, TRM shall, or shall cause its Affiliates to, pay to Tradeweb the MD Server Fees and Marks Fees specified in </w:t>
      </w:r>
      <w:r>
        <w:rPr>
          <w:rFonts w:ascii="Arial" w:cs="Arial" w:eastAsia="Arial" w:hAnsi="Arial"/>
          <w:sz w:val="18"/>
          <w:szCs w:val="18"/>
          <w:u w:val="single" w:color="auto"/>
          <w:color w:val="auto"/>
        </w:rPr>
        <w:t>Schedule 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5"/>
        <w:spacing w:after="0" w:line="272" w:lineRule="auto"/>
        <w:tabs>
          <w:tab w:leader="none" w:pos="2167"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Tradeweb shall, and shall cause its Subsidiaries to: (i) use commercially reasonable efforts to assist TRM in migrating such customers from the existing Tradeweb infrastructure to TRM or TRM Affiliate infrastructure and, where applicable, from legacy Tradeweb contracts to TRM or TRM Affiliate contracts; and (ii) promptly upon request by TRM or its designated Affiliate, cease to provide Exclusive Licensed Data via such Tradeweb infrastructure to any such customer of TRM or its Affiliates as notified (including via email) to Tradeweb by TRM or its designated Affiliate; </w:t>
      </w:r>
      <w:r>
        <w:rPr>
          <w:rFonts w:ascii="Arial" w:cs="Arial" w:eastAsia="Arial" w:hAnsi="Arial"/>
          <w:sz w:val="17"/>
          <w:szCs w:val="17"/>
          <w:u w:val="single" w:color="auto"/>
          <w:color w:val="auto"/>
        </w:rPr>
        <w:t>provided</w:t>
      </w:r>
      <w:r>
        <w:rPr>
          <w:rFonts w:ascii="Arial" w:cs="Arial" w:eastAsia="Arial" w:hAnsi="Arial"/>
          <w:sz w:val="17"/>
          <w:szCs w:val="17"/>
          <w:color w:val="auto"/>
        </w:rPr>
        <w:t>, that where applicable, prior to terminating access to the relevant Exclusive Licensed Data, Tradeweb and TRM shall work together in good faith to resolve any issues relating to such customer, including, but not limited to, providing such customer with a cure period consistent with such customer’s contract with TRM or its Affiliate.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1" w:name="page282"/>
    <w:bookmarkEnd w:id="281"/>
    <w:p>
      <w:pPr>
        <w:spacing w:after="0"/>
        <w:tabs>
          <w:tab w:leader="none" w:pos="12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Joint Efforts</w:t>
      </w:r>
      <w:r>
        <w:rPr>
          <w:rFonts w:ascii="Arial" w:cs="Arial" w:eastAsia="Arial" w:hAnsi="Arial"/>
          <w:sz w:val="16"/>
          <w:szCs w:val="16"/>
          <w:color w:val="auto"/>
        </w:rPr>
        <w:t>.</w:t>
      </w:r>
    </w:p>
    <w:p>
      <w:pPr>
        <w:spacing w:after="0" w:line="225" w:lineRule="exact"/>
        <w:rPr>
          <w:sz w:val="20"/>
          <w:szCs w:val="20"/>
          <w:color w:val="auto"/>
        </w:rPr>
      </w:pPr>
    </w:p>
    <w:p>
      <w:pPr>
        <w:ind w:left="880" w:hanging="235"/>
        <w:spacing w:after="0"/>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Non-Trading User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20" w:firstLine="654"/>
        <w:spacing w:after="0" w:line="269" w:lineRule="auto"/>
        <w:tabs>
          <w:tab w:leader="none" w:pos="2015" w:val="left"/>
        </w:tabs>
        <w:numPr>
          <w:ilvl w:val="2"/>
          <w:numId w:val="164"/>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Non-Trading User</w:t>
      </w:r>
      <w:r>
        <w:rPr>
          <w:rFonts w:ascii="Arial" w:cs="Arial" w:eastAsia="Arial" w:hAnsi="Arial"/>
          <w:sz w:val="17"/>
          <w:szCs w:val="17"/>
          <w:color w:val="auto"/>
        </w:rPr>
        <w:t>” is a User of a product on a Tradeweb Platform (A) where such product corresponds to data in the Exclusive Licensed Market Data, and (B) for which per-User access fees are applicable (each, a “</w:t>
      </w:r>
      <w:r>
        <w:rPr>
          <w:rFonts w:ascii="Arial" w:cs="Arial" w:eastAsia="Arial" w:hAnsi="Arial"/>
          <w:sz w:val="17"/>
          <w:szCs w:val="17"/>
          <w:u w:val="single" w:color="auto"/>
          <w:color w:val="auto"/>
        </w:rPr>
        <w:t>TW Per-User Product</w:t>
      </w:r>
      <w:r>
        <w:rPr>
          <w:rFonts w:ascii="Arial" w:cs="Arial" w:eastAsia="Arial" w:hAnsi="Arial"/>
          <w:sz w:val="17"/>
          <w:szCs w:val="17"/>
          <w:color w:val="auto"/>
        </w:rPr>
        <w:t>”), who receives his or her User identifier and password for the Tradeweb Viewer or other Tradeweb Front-End Application on or after the Effective Date, and who in any continuous six (6) month period thereafter fails to trade or send a trade inquiry or otherwise make a documented effort to trade on any Tradeweb Platform, and at the conclusion of such six month period either (1) is not actively (which, for the avoidance of doubt, does not mean continuously) using the Tradeweb Viewer or other Tradeweb Front-End Applications to provide technical support, or (2) is not deemed by Tradeweb, in its sole, reasonable discretion after consulting with TRM, to be a strategic trade execution prospect. A User shall remain a Non-Trading User effective as of the end of such six (6) month period until such time as such User executes a trade, sends a trade inquiry or otherwise makes a documented effort to trade, at which time such User shall cease being a Non-Trading User until such date he or she meets the criteria set forth in the above definition. Tradeweb represents that it provided User identifiers and passwords for the Tradeweb Viewer and other Tradeweb Front-End Applications in the ordinary course of business for the period of October 1, 2018 to October 31, 2018.</w:t>
      </w:r>
    </w:p>
    <w:p>
      <w:pPr>
        <w:spacing w:after="0" w:line="179" w:lineRule="exact"/>
        <w:rPr>
          <w:rFonts w:ascii="Arial" w:cs="Arial" w:eastAsia="Arial" w:hAnsi="Arial"/>
          <w:sz w:val="17"/>
          <w:szCs w:val="17"/>
          <w:color w:val="auto"/>
        </w:rPr>
      </w:pPr>
    </w:p>
    <w:p>
      <w:pPr>
        <w:jc w:val="both"/>
        <w:ind w:left="720" w:firstLine="654"/>
        <w:spacing w:after="0" w:line="288" w:lineRule="auto"/>
        <w:tabs>
          <w:tab w:leader="none" w:pos="2092" w:val="left"/>
        </w:tabs>
        <w:numPr>
          <w:ilvl w:val="2"/>
          <w:numId w:val="164"/>
        </w:numPr>
        <w:rPr>
          <w:rFonts w:ascii="Arial" w:cs="Arial" w:eastAsia="Arial" w:hAnsi="Arial"/>
          <w:sz w:val="16"/>
          <w:szCs w:val="16"/>
          <w:color w:val="auto"/>
        </w:rPr>
      </w:pPr>
      <w:r>
        <w:rPr>
          <w:rFonts w:ascii="Arial" w:cs="Arial" w:eastAsia="Arial" w:hAnsi="Arial"/>
          <w:sz w:val="16"/>
          <w:szCs w:val="16"/>
          <w:color w:val="auto"/>
        </w:rPr>
        <w:t>Tradeweb shall not owe or pay the Refinitiv Parties any fee or charges in respect of the first [***] of revenue it or its Affiliates directly generate in respect of Non-Trading Users’ access to TW Per-User Products (the “</w:t>
      </w:r>
      <w:r>
        <w:rPr>
          <w:rFonts w:ascii="Arial" w:cs="Arial" w:eastAsia="Arial" w:hAnsi="Arial"/>
          <w:sz w:val="16"/>
          <w:szCs w:val="16"/>
          <w:u w:val="single" w:color="auto"/>
          <w:color w:val="auto"/>
        </w:rPr>
        <w:t>TW Revenue Threshold</w:t>
      </w:r>
      <w:r>
        <w:rPr>
          <w:rFonts w:ascii="Arial" w:cs="Arial" w:eastAsia="Arial" w:hAnsi="Arial"/>
          <w:sz w:val="16"/>
          <w:szCs w:val="16"/>
          <w:color w:val="auto"/>
        </w:rPr>
        <w:t>”). During each Year of the Term and the Transition Period, and in accordance with clauses (iii)-(v) below, Tradeweb shall pay to TRM an amount equal to</w:t>
      </w:r>
    </w:p>
    <w:p>
      <w:pPr>
        <w:jc w:val="both"/>
        <w:ind w:left="720" w:firstLine="6"/>
        <w:spacing w:after="0" w:line="290" w:lineRule="auto"/>
        <w:tabs>
          <w:tab w:leader="none" w:pos="117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of the revenue Tradeweb and its Affiliates directly generate in respect of Non-Trading Users’ access to TW Per-User Products in excess of the one-time TW Revenue Threshold (the “</w:t>
      </w:r>
      <w:r>
        <w:rPr>
          <w:rFonts w:ascii="Arial" w:cs="Arial" w:eastAsia="Arial" w:hAnsi="Arial"/>
          <w:sz w:val="16"/>
          <w:szCs w:val="16"/>
          <w:u w:val="single" w:color="auto"/>
          <w:color w:val="auto"/>
        </w:rPr>
        <w:t>NTU Fee Share</w:t>
      </w:r>
      <w:r>
        <w:rPr>
          <w:rFonts w:ascii="Arial" w:cs="Arial" w:eastAsia="Arial" w:hAnsi="Arial"/>
          <w:sz w:val="16"/>
          <w:szCs w:val="16"/>
          <w:color w:val="auto"/>
        </w:rPr>
        <w:t>”). Tradeweb shall pay the NTU Fee Share annually in arrears in accordance with the below. By way of example, if Tradeweb and its Affiliates directly generate [***] of revenue in respect of Non-Trading Users’ access to TW Per-User Products during the first Year of the Term, then the NTU Fee Share payable shall equal the product of [***], which equals [***], and any other NTU Fee Share due and owing in respect of any subsequent Year during the Term and the Transition Period shall equal [***] of the revenue (starting from dollar one ($1)) generated by Tradeweb and its Affiliates during such Year.</w:t>
      </w:r>
    </w:p>
    <w:p>
      <w:pPr>
        <w:spacing w:after="0" w:line="38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82" w:name="page283"/>
    <w:bookmarkEnd w:id="282"/>
    <w:p>
      <w:pPr>
        <w:jc w:val="both"/>
        <w:ind w:left="180" w:firstLine="654"/>
        <w:spacing w:after="0" w:line="259" w:lineRule="auto"/>
        <w:tabs>
          <w:tab w:leader="none" w:pos="160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Tradeweb shall, within thirty (30) calendar days following the end of each Year during the Term and the Transition Period, provide the Refinitiv Parties with: (A) a calculation of the NTU Fee Share applicable to the relevant Year; and (B) subject to applicable Laws and Tradeweb’s contractual obligations with any third Person, documentation and information reasonably required to support Tradeweb’s calculation of the NTU Fee Share (the “</w:t>
      </w:r>
      <w:r>
        <w:rPr>
          <w:rFonts w:ascii="Arial" w:cs="Arial" w:eastAsia="Arial" w:hAnsi="Arial"/>
          <w:sz w:val="18"/>
          <w:szCs w:val="18"/>
          <w:u w:val="single" w:color="auto"/>
          <w:color w:val="auto"/>
        </w:rPr>
        <w:t>NTU Fee Calculation</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180" w:firstLine="654"/>
        <w:spacing w:after="0" w:line="257" w:lineRule="auto"/>
        <w:tabs>
          <w:tab w:leader="none" w:pos="15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Beginning on the calendar day the Refinitiv Parties receive the NTU Fee Calculation, the Refinitiv Parties shall have twenty (20) calendar days to review such NTU Fee Calculation and notify Tradeweb of any disputed amount or calculation therein. During such twenty (20) calendar day period, Tradeweb shall use commercially reasonable efforts to assist the Refinitiv Parties with any reasonable inquires relating to: (A) the aggregate level of revenue; and/or (B) compliance with the restrictions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 as applicable.</w:t>
      </w:r>
    </w:p>
    <w:p>
      <w:pPr>
        <w:spacing w:after="0" w:line="188" w:lineRule="exact"/>
        <w:rPr>
          <w:rFonts w:ascii="Arial" w:cs="Arial" w:eastAsia="Arial" w:hAnsi="Arial"/>
          <w:sz w:val="18"/>
          <w:szCs w:val="18"/>
          <w:color w:val="auto"/>
        </w:rPr>
      </w:pPr>
    </w:p>
    <w:p>
      <w:pPr>
        <w:jc w:val="both"/>
        <w:ind w:left="180" w:firstLine="654"/>
        <w:spacing w:after="0" w:line="259" w:lineRule="auto"/>
        <w:tabs>
          <w:tab w:leader="none" w:pos="150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event TRM timely disputes any amount or calculation set forth in the NTU Fee Calculation, Tradeweb and TRM shall attempt in good faith for a period of at least thirty (30) days to resolve such dispute between themselves, following which TRM may elect by providing a Dispute Notice to TRM to exercise its rights under the Dispute Resolution Process to resolve the matter (such matter to be deemed a Dispute Resolution Matter).</w:t>
      </w:r>
    </w:p>
    <w:p>
      <w:pPr>
        <w:spacing w:after="0" w:line="186" w:lineRule="exact"/>
        <w:rPr>
          <w:rFonts w:ascii="Arial" w:cs="Arial" w:eastAsia="Arial" w:hAnsi="Arial"/>
          <w:sz w:val="18"/>
          <w:szCs w:val="18"/>
          <w:color w:val="auto"/>
        </w:rPr>
      </w:pPr>
    </w:p>
    <w:p>
      <w:pPr>
        <w:jc w:val="both"/>
        <w:ind w:left="180" w:firstLine="654"/>
        <w:spacing w:after="0" w:line="276" w:lineRule="auto"/>
        <w:tabs>
          <w:tab w:leader="none" w:pos="159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If TRM fails to provide a Dispute Notice in accordance with clause (v) above, TRM shall, following the end of the relevant Year, furnish Tradeweb with an invoice which sets forth, in respect of the relevant Year, the NTU Fee Share as set forth in the NTU Fee Calculation. Tradeweb shall pay the invoiced amount to TRM no later than sixty (60) days after the delivery of such invoice. If TRM provides a Dispute Notice in accordance with clause (v) above, Tradeweb shall pay to TRM any NTU Fee Share due and owing pursuant to the Dispute Resolution Process within thirty (30) days of the completion thereof.</w:t>
      </w:r>
    </w:p>
    <w:p>
      <w:pPr>
        <w:spacing w:after="0" w:line="172" w:lineRule="exact"/>
        <w:rPr>
          <w:rFonts w:ascii="Arial" w:cs="Arial" w:eastAsia="Arial" w:hAnsi="Arial"/>
          <w:sz w:val="17"/>
          <w:szCs w:val="17"/>
          <w:color w:val="auto"/>
        </w:rPr>
      </w:pPr>
    </w:p>
    <w:p>
      <w:pPr>
        <w:jc w:val="both"/>
        <w:ind w:left="180" w:firstLine="654"/>
        <w:spacing w:after="0" w:line="279" w:lineRule="auto"/>
        <w:tabs>
          <w:tab w:leader="none" w:pos="156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Subject to applicable Laws and Tradeweb’s contractual obligations with any third Person, Tradeweb shall, during the Term and the Transition Period, provide the Refinitiv Parties a list of all then-existing Non-Trading Users, including, in each case, the name and address of the relevant Tradeweb customers under which the Non-Trading Users are authorized (the “</w:t>
      </w:r>
      <w:r>
        <w:rPr>
          <w:rFonts w:ascii="Arial" w:cs="Arial" w:eastAsia="Arial" w:hAnsi="Arial"/>
          <w:sz w:val="17"/>
          <w:szCs w:val="17"/>
          <w:u w:val="single" w:color="auto"/>
          <w:color w:val="auto"/>
        </w:rPr>
        <w:t>Non-Trading User List</w:t>
      </w:r>
      <w:r>
        <w:rPr>
          <w:rFonts w:ascii="Arial" w:cs="Arial" w:eastAsia="Arial" w:hAnsi="Arial"/>
          <w:sz w:val="17"/>
          <w:szCs w:val="17"/>
          <w:color w:val="auto"/>
        </w:rPr>
        <w:t>”) within thirty (30) days of the end of each quarter following the initial six (6) month period beginning on the Effective Date.</w:t>
      </w:r>
    </w:p>
    <w:p>
      <w:pPr>
        <w:spacing w:after="0" w:line="171" w:lineRule="exact"/>
        <w:rPr>
          <w:rFonts w:ascii="Arial" w:cs="Arial" w:eastAsia="Arial" w:hAnsi="Arial"/>
          <w:sz w:val="17"/>
          <w:szCs w:val="17"/>
          <w:color w:val="auto"/>
        </w:rPr>
      </w:pPr>
    </w:p>
    <w:p>
      <w:pPr>
        <w:jc w:val="both"/>
        <w:ind w:left="180" w:firstLine="654"/>
        <w:spacing w:after="0" w:line="264" w:lineRule="auto"/>
        <w:tabs>
          <w:tab w:leader="none" w:pos="149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Notwithstanding anything set forth herein, and for the avoidance of doubt, the Parties expressly acknowledge and agree that neither Refinitiv Party nor their Affiliates shall be liable for, or owe to Tradeweb, any Eikon Upgrade Fee with respect to any Non-Trading User.</w:t>
      </w:r>
    </w:p>
    <w:p>
      <w:pPr>
        <w:spacing w:after="0" w:line="39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83" w:name="page284"/>
    <w:bookmarkEnd w:id="283"/>
    <w:p>
      <w:pPr>
        <w:ind w:left="760" w:hanging="655"/>
        <w:spacing w:after="0"/>
        <w:tabs>
          <w:tab w:leader="none" w:pos="7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Existing Target Customers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654"/>
        <w:spacing w:after="0" w:line="279" w:lineRule="auto"/>
        <w:tabs>
          <w:tab w:leader="none" w:pos="1495"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Tradeweb shall, and shall cause its Subsidiaries to, use commercially reasonable efforts to, where applicable, assist TRM in migrating Existing Target Customers onto a Desktop Product or other Refinitiv Service from the Tradeweb Viewer and from legacy Tradeweb contracts to TRM or TRM Affiliate contracts until the earlier of: (A) January 1, 2020; or (B) the date on which TRM and its designated Affiliates have completed migration of all such Existing Target Customers in such manner.</w:t>
      </w:r>
    </w:p>
    <w:p>
      <w:pPr>
        <w:spacing w:after="0" w:line="171" w:lineRule="exact"/>
        <w:rPr>
          <w:rFonts w:ascii="Arial" w:cs="Arial" w:eastAsia="Arial" w:hAnsi="Arial"/>
          <w:sz w:val="17"/>
          <w:szCs w:val="17"/>
          <w:color w:val="auto"/>
        </w:rPr>
      </w:pPr>
    </w:p>
    <w:p>
      <w:pPr>
        <w:jc w:val="both"/>
        <w:ind w:left="180" w:firstLine="654"/>
        <w:spacing w:after="0" w:line="293" w:lineRule="auto"/>
        <w:tabs>
          <w:tab w:leader="none" w:pos="1566" w:val="left"/>
        </w:tabs>
        <w:numPr>
          <w:ilvl w:val="1"/>
          <w:numId w:val="166"/>
        </w:numPr>
        <w:rPr>
          <w:rFonts w:ascii="Arial" w:cs="Arial" w:eastAsia="Arial" w:hAnsi="Arial"/>
          <w:sz w:val="16"/>
          <w:szCs w:val="16"/>
          <w:color w:val="auto"/>
        </w:rPr>
      </w:pPr>
      <w:r>
        <w:rPr>
          <w:rFonts w:ascii="Arial" w:cs="Arial" w:eastAsia="Arial" w:hAnsi="Arial"/>
          <w:sz w:val="16"/>
          <w:szCs w:val="16"/>
          <w:color w:val="auto"/>
        </w:rPr>
        <w:t>Until the earlier of: (A) January 1, 2020; or (B) the date on which TRM and its designated Affiliates have completed migration of all Existing Target Customers onto a Desktop Product or Refinitiv Service from the Tradeweb Viewer and from legacy Tradeweb contracts to TRM or TRM Affiliate contracts: (1) Tradeweb, or a Tradeweb Subsidiary, as applicable, shall continue to perform any obligations under such Existing Target Customer agreements; and (2) Tradeweb hereby grants to GRC a non-exclusive license sublicensable by GRC to TRM (or to those TRM Affiliates to which an Existing Target Customer agreement was assigned pursuant to the Original Agreement) for each Existing Target User, to use and access the Tradeweb Viewer (the “</w:t>
      </w:r>
      <w:r>
        <w:rPr>
          <w:rFonts w:ascii="Arial" w:cs="Arial" w:eastAsia="Arial" w:hAnsi="Arial"/>
          <w:sz w:val="16"/>
          <w:szCs w:val="16"/>
          <w:u w:val="single" w:color="auto"/>
          <w:color w:val="auto"/>
        </w:rPr>
        <w:t>Tradeweb Viewer License</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left="180" w:firstLine="654"/>
        <w:spacing w:after="0" w:line="290" w:lineRule="auto"/>
        <w:tabs>
          <w:tab w:leader="none" w:pos="1469" w:val="left"/>
        </w:tabs>
        <w:numPr>
          <w:ilvl w:val="1"/>
          <w:numId w:val="166"/>
        </w:numPr>
        <w:rPr>
          <w:rFonts w:ascii="Arial" w:cs="Arial" w:eastAsia="Arial" w:hAnsi="Arial"/>
          <w:sz w:val="16"/>
          <w:szCs w:val="16"/>
          <w:color w:val="auto"/>
        </w:rPr>
      </w:pPr>
      <w:r>
        <w:rPr>
          <w:rFonts w:ascii="Arial" w:cs="Arial" w:eastAsia="Arial" w:hAnsi="Arial"/>
          <w:sz w:val="16"/>
          <w:szCs w:val="16"/>
          <w:color w:val="auto"/>
        </w:rPr>
        <w:t>During the Term, TRM shall, or shall cause its Affiliates to, pay to Tradeweb an amount equal to [***] in respect of each Existing Target User that subscribes to Eikon or other applicable Desktop Products following the Effective Date (an “</w:t>
      </w:r>
      <w:r>
        <w:rPr>
          <w:rFonts w:ascii="Arial" w:cs="Arial" w:eastAsia="Arial" w:hAnsi="Arial"/>
          <w:sz w:val="16"/>
          <w:szCs w:val="16"/>
          <w:u w:val="single" w:color="auto"/>
          <w:color w:val="auto"/>
        </w:rPr>
        <w:t>Eikon Upgrade</w:t>
      </w:r>
      <w:r>
        <w:rPr>
          <w:rFonts w:ascii="Arial" w:cs="Arial" w:eastAsia="Arial" w:hAnsi="Arial"/>
          <w:sz w:val="16"/>
          <w:szCs w:val="16"/>
          <w:color w:val="auto"/>
        </w:rPr>
        <w:t xml:space="preserve"> </w:t>
      </w:r>
      <w:r>
        <w:rPr>
          <w:rFonts w:ascii="Arial" w:cs="Arial" w:eastAsia="Arial" w:hAnsi="Arial"/>
          <w:sz w:val="16"/>
          <w:szCs w:val="16"/>
          <w:u w:val="single" w:color="auto"/>
          <w:color w:val="auto"/>
        </w:rPr>
        <w:t>Fee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Dealer Users, the Refinitiv Parties, or their Affiliate, shall pay the Eikon Upgrade Fee only if: (A) such Dealer User logged into a Tradeweb Viewer during the ninety (90) days preceding such upgrade; and (B) such subscription to Eikon was the result of a sale to a specific group or trading desk at the Dealer Subscriber, as opposed to an enterprise-wide or other sale by TRM or its Affiliates covering multiple trading desks at a Dealer Subscriber at least one trading desk of which does not trade on a Tradeweb Platform. For the avoidance of doubt, neither TRM nor its Affiliates shall pay Tradeweb an Eikon Upgrade Fee for Existing Target Users that upgrade or otherwise transfer from one Desktop Product to another Desktop Product.</w:t>
      </w:r>
    </w:p>
    <w:p>
      <w:pPr>
        <w:spacing w:after="0" w:line="166" w:lineRule="exact"/>
        <w:rPr>
          <w:rFonts w:ascii="Arial" w:cs="Arial" w:eastAsia="Arial" w:hAnsi="Arial"/>
          <w:sz w:val="16"/>
          <w:szCs w:val="16"/>
          <w:color w:val="auto"/>
        </w:rPr>
      </w:pPr>
    </w:p>
    <w:p>
      <w:pPr>
        <w:jc w:val="both"/>
        <w:ind w:left="180" w:firstLine="654"/>
        <w:spacing w:after="0" w:line="257" w:lineRule="auto"/>
        <w:tabs>
          <w:tab w:leader="none" w:pos="172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TRM shall remain obligated to pay any Cancelled Subscription Fees incurred during the term of the Amended Agreement or the Original Agreement, as if such Amended Agreement or Original Agreement remained in effect until all such fees have been paid in full,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Refinitiv Parties will not incur and will not be obligated to pay any Cancelled Subscription Fees in respect of any Trading Customer User or Dealer User that after the Effective Date terminates a Tradeweb Front-End Application subscription as a result of upgrading to Eikon or another Desktop Product.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84" w:name="page285"/>
    <w:bookmarkEnd w:id="284"/>
    <w:p>
      <w:pPr>
        <w:ind w:left="760" w:hanging="655"/>
        <w:spacing w:after="0"/>
        <w:tabs>
          <w:tab w:leader="none" w:pos="76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Eikon Products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654"/>
        <w:spacing w:after="0" w:line="273" w:lineRule="auto"/>
        <w:tabs>
          <w:tab w:leader="none" w:pos="1532"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Tradeweb and TRM shall cooperate in good faith with respect to all Trading Customers and, at TRM’s request, Dealer Subscriber upgrades from the Tradeweb Viewer or other Tradeweb Front-End Application used by their respective Trading Customer Users and Dealer Users to a combination offering in which such Trading Customer Users and Dealer Users access Licensed Data via Eikon or other Desktop Product designated by TRM, and conduct all Trading Activity via a Tradeweb Viewer or other Tradeweb Front-End Application designated by Tradeweb (such combination offering, “</w:t>
      </w:r>
      <w:r>
        <w:rPr>
          <w:rFonts w:ascii="Arial" w:cs="Arial" w:eastAsia="Arial" w:hAnsi="Arial"/>
          <w:sz w:val="17"/>
          <w:szCs w:val="17"/>
          <w:u w:val="single" w:color="auto"/>
          <w:color w:val="auto"/>
        </w:rPr>
        <w:t>Tradeweb Viewer + Eikon</w:t>
      </w:r>
      <w:r>
        <w:rPr>
          <w:rFonts w:ascii="Arial" w:cs="Arial" w:eastAsia="Arial" w:hAnsi="Arial"/>
          <w:sz w:val="17"/>
          <w:szCs w:val="17"/>
          <w:color w:val="auto"/>
        </w:rPr>
        <w:t>”). Tradeweb and TRM shall take all reasonable steps to facilitate such upgrade, including the following:</w:t>
      </w:r>
    </w:p>
    <w:p>
      <w:pPr>
        <w:spacing w:after="0" w:line="178" w:lineRule="exact"/>
        <w:rPr>
          <w:rFonts w:ascii="Arial" w:cs="Arial" w:eastAsia="Arial" w:hAnsi="Arial"/>
          <w:sz w:val="17"/>
          <w:szCs w:val="17"/>
          <w:color w:val="auto"/>
        </w:rPr>
      </w:pPr>
    </w:p>
    <w:p>
      <w:pPr>
        <w:jc w:val="both"/>
        <w:ind w:left="760" w:firstLine="641"/>
        <w:spacing w:after="0" w:line="264" w:lineRule="auto"/>
        <w:tabs>
          <w:tab w:leader="none" w:pos="2199"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Tradeweb shall use commercially reasonable efforts to upgrade Tradeweb Front-End Applications to support side-by-side Eikon integration for all Trading Customer Users and Dealer Users. TRM shall use commercially reasonable efforts to provide all relevant assistance in connection with such integration.</w:t>
      </w:r>
    </w:p>
    <w:p>
      <w:pPr>
        <w:spacing w:after="0" w:line="181" w:lineRule="exact"/>
        <w:rPr>
          <w:rFonts w:ascii="Arial" w:cs="Arial" w:eastAsia="Arial" w:hAnsi="Arial"/>
          <w:sz w:val="18"/>
          <w:szCs w:val="18"/>
          <w:color w:val="auto"/>
        </w:rPr>
      </w:pPr>
    </w:p>
    <w:p>
      <w:pPr>
        <w:jc w:val="both"/>
        <w:ind w:left="760" w:firstLine="641"/>
        <w:spacing w:after="0" w:line="302" w:lineRule="auto"/>
        <w:tabs>
          <w:tab w:leader="none" w:pos="2096" w:val="left"/>
        </w:tabs>
        <w:numPr>
          <w:ilvl w:val="2"/>
          <w:numId w:val="167"/>
        </w:numPr>
        <w:rPr>
          <w:rFonts w:ascii="Arial" w:cs="Arial" w:eastAsia="Arial" w:hAnsi="Arial"/>
          <w:sz w:val="16"/>
          <w:szCs w:val="16"/>
          <w:color w:val="auto"/>
        </w:rPr>
      </w:pPr>
      <w:r>
        <w:rPr>
          <w:rFonts w:ascii="Arial" w:cs="Arial" w:eastAsia="Arial" w:hAnsi="Arial"/>
          <w:sz w:val="16"/>
          <w:szCs w:val="16"/>
          <w:color w:val="auto"/>
        </w:rPr>
        <w:t>Tradeweb shall use commercially reasonable efforts to provide reasonably necessary information and assistance to TRM to enable TRM, in Eikon and other applicable Desktop Products, to display Licensed Data, implement pre-trade functionality of at least the same quality as Tradeweb makes available to Trading Customer Users and Dealer Users via a Tradeweb Viewer, and transfer Trading Customer Users and Dealer Users to Tradeweb’s environment to conduct Trading Activity.</w:t>
      </w:r>
    </w:p>
    <w:p>
      <w:pPr>
        <w:spacing w:after="0" w:line="154" w:lineRule="exact"/>
        <w:rPr>
          <w:rFonts w:ascii="Arial" w:cs="Arial" w:eastAsia="Arial" w:hAnsi="Arial"/>
          <w:sz w:val="16"/>
          <w:szCs w:val="16"/>
          <w:color w:val="auto"/>
        </w:rPr>
      </w:pPr>
    </w:p>
    <w:p>
      <w:pPr>
        <w:jc w:val="both"/>
        <w:ind w:left="760" w:firstLine="641"/>
        <w:spacing w:after="0" w:line="269" w:lineRule="auto"/>
        <w:tabs>
          <w:tab w:leader="none" w:pos="2193" w:val="left"/>
        </w:tabs>
        <w:numPr>
          <w:ilvl w:val="2"/>
          <w:numId w:val="167"/>
        </w:numPr>
        <w:rPr>
          <w:rFonts w:ascii="Arial" w:cs="Arial" w:eastAsia="Arial" w:hAnsi="Arial"/>
          <w:sz w:val="17"/>
          <w:szCs w:val="17"/>
          <w:color w:val="auto"/>
        </w:rPr>
      </w:pPr>
      <w:r>
        <w:rPr>
          <w:rFonts w:ascii="Arial" w:cs="Arial" w:eastAsia="Arial" w:hAnsi="Arial"/>
          <w:sz w:val="17"/>
          <w:szCs w:val="17"/>
          <w:color w:val="auto"/>
        </w:rPr>
        <w:t xml:space="preserve">In addition to the foregoing, and for the purpose of enabling TRM and its Affiliates to integrate and support integration between Eikon and the Tradeweb Multi-Dealer to Customer Platform to its trading users for transactions in fixed-income securities or instruments, Tradeweb will make available to TRM or its Affiliates all available APIs that Tradeweb uses to facilitate access to the Tradeweb Multi-Dealer to Customer Platform;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all trade execution via the API-integrated service shall occur exclusively on the Tradeweb Multi-Dealer to Customer Platform pursuant to the published trading protocols established by Tradeweb. Tradeweb will provide reasonable assistance to TRM and its Affiliates in connection with the foregoing API implementation; </w:t>
      </w:r>
      <w:r>
        <w:rPr>
          <w:rFonts w:ascii="Arial" w:cs="Arial" w:eastAsia="Arial" w:hAnsi="Arial"/>
          <w:sz w:val="17"/>
          <w:szCs w:val="17"/>
          <w:u w:val="single" w:color="auto"/>
          <w:color w:val="auto"/>
        </w:rPr>
        <w:t>provided</w:t>
      </w:r>
      <w:r>
        <w:rPr>
          <w:rFonts w:ascii="Arial" w:cs="Arial" w:eastAsia="Arial" w:hAnsi="Arial"/>
          <w:sz w:val="17"/>
          <w:szCs w:val="17"/>
          <w:color w:val="auto"/>
        </w:rPr>
        <w:t>, that TRM acknowledges that Tradeweb may not have resources necessary to support integration of all available APIs at one time, and, as such, the Parties agree that they will work together in good faith to agree on a reasonable project plan with respect to integration of such APIs into Eikon. In connection with the foregoing integration, TRM will bear all costs associated with any development work in Eikon, and Tradeweb will bear all costs associated with its development and support of its APIs.</w:t>
      </w:r>
    </w:p>
    <w:p>
      <w:pPr>
        <w:spacing w:after="0" w:line="39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85" w:name="page286"/>
    <w:bookmarkEnd w:id="285"/>
    <w:p>
      <w:pPr>
        <w:jc w:val="both"/>
        <w:ind w:left="660" w:firstLine="645"/>
        <w:spacing w:after="0" w:line="297" w:lineRule="auto"/>
        <w:tabs>
          <w:tab w:leader="none" w:pos="2009"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Redistribution of Dealer-Attributed Data</w:t>
      </w:r>
      <w:r>
        <w:rPr>
          <w:rFonts w:ascii="Arial" w:cs="Arial" w:eastAsia="Arial" w:hAnsi="Arial"/>
          <w:sz w:val="16"/>
          <w:szCs w:val="16"/>
          <w:color w:val="auto"/>
        </w:rPr>
        <w:t xml:space="preserve">. In connection with Exclusive Licensed Market Data, to the extent such data is based on Dealer Subscriber quotes that Tradeweb is authorized to display on a dealer-attributed basis, Tradeweb agrees to use reasonable efforts to assist TRM and its Affiliates in its efforts to obtain consent from such Dealer Subscribers for TRM and its Affiliates to redistribute such attributed quotes to users at customers of TRM or its Affiliates that are entitled to receive the quotes by the applicable Dealer Subscribers;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Tradeweb shall not be required to take any action that is prohibited by Tradeweb’s contractual obligations to any applicable Dealer Subscriber.</w:t>
      </w:r>
    </w:p>
    <w:p>
      <w:pPr>
        <w:spacing w:after="0" w:line="158" w:lineRule="exact"/>
        <w:rPr>
          <w:rFonts w:ascii="Arial" w:cs="Arial" w:eastAsia="Arial" w:hAnsi="Arial"/>
          <w:sz w:val="16"/>
          <w:szCs w:val="16"/>
          <w:color w:val="auto"/>
        </w:rPr>
      </w:pPr>
    </w:p>
    <w:p>
      <w:pPr>
        <w:jc w:val="both"/>
        <w:ind w:left="660" w:firstLine="645"/>
        <w:spacing w:after="0" w:line="257" w:lineRule="auto"/>
        <w:tabs>
          <w:tab w:leader="none" w:pos="1999"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Joint Marketing</w:t>
      </w:r>
      <w:r>
        <w:rPr>
          <w:rFonts w:ascii="Arial" w:cs="Arial" w:eastAsia="Arial" w:hAnsi="Arial"/>
          <w:sz w:val="18"/>
          <w:szCs w:val="18"/>
          <w:color w:val="auto"/>
        </w:rPr>
        <w:t xml:space="preserve">. Tradeweb and TRM shall cooperate in good faith to establish and implement a joint marketing plan with respect to the availability of Licensed Data over Desktop Products and other Refinitiv Services, which shall include marketing to customers of Tradeweb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to the contrary herein, in no event will Tradeweb be required to provide to the Refinitiv Parties or their Affiliates any list of former, current or prospective customers or any personally-identifiable or financial information regarding such Persons where such disclosure would violate applicable privacy Law.</w:t>
      </w:r>
    </w:p>
    <w:p>
      <w:pPr>
        <w:spacing w:after="0" w:line="188" w:lineRule="exact"/>
        <w:rPr>
          <w:rFonts w:ascii="Arial" w:cs="Arial" w:eastAsia="Arial" w:hAnsi="Arial"/>
          <w:sz w:val="18"/>
          <w:szCs w:val="18"/>
          <w:color w:val="auto"/>
        </w:rPr>
      </w:pPr>
    </w:p>
    <w:p>
      <w:pPr>
        <w:jc w:val="both"/>
        <w:ind w:left="660" w:firstLine="645"/>
        <w:spacing w:after="0" w:line="257" w:lineRule="auto"/>
        <w:tabs>
          <w:tab w:leader="none" w:pos="199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Joint Training Sessions</w:t>
      </w:r>
      <w:r>
        <w:rPr>
          <w:rFonts w:ascii="Arial" w:cs="Arial" w:eastAsia="Arial" w:hAnsi="Arial"/>
          <w:sz w:val="18"/>
          <w:szCs w:val="18"/>
          <w:color w:val="auto"/>
        </w:rPr>
        <w:t>. Tradeweb and TRM agree to (i) semi-annually conduct joint training sessions on a mutually agreed upon date for TRM’s sales personnel and customers, and (ii) periodically jointly market, sponsor and/or publish thought leadership related to the transactions contemplated hereby and the services and products offered, sold or otherwise distributed by the Parties. For the avoidance of doubt, the above agreement regarding thought leadership shall not serve as a prohibition on any Party individually marketing, sponsoring or publishing thought leadership.</w:t>
      </w:r>
    </w:p>
    <w:p>
      <w:pPr>
        <w:spacing w:after="0" w:line="188" w:lineRule="exact"/>
        <w:rPr>
          <w:rFonts w:ascii="Arial" w:cs="Arial" w:eastAsia="Arial" w:hAnsi="Arial"/>
          <w:sz w:val="18"/>
          <w:szCs w:val="18"/>
          <w:color w:val="auto"/>
        </w:rPr>
      </w:pPr>
    </w:p>
    <w:p>
      <w:pPr>
        <w:jc w:val="both"/>
        <w:ind w:left="660" w:firstLine="645"/>
        <w:spacing w:after="0" w:line="255" w:lineRule="auto"/>
        <w:tabs>
          <w:tab w:leader="none" w:pos="2198"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Publicity</w:t>
      </w:r>
      <w:r>
        <w:rPr>
          <w:rFonts w:ascii="Arial" w:cs="Arial" w:eastAsia="Arial" w:hAnsi="Arial"/>
          <w:sz w:val="18"/>
          <w:szCs w:val="18"/>
          <w:color w:val="auto"/>
        </w:rPr>
        <w:t xml:space="preserve">. Except as expressly provided for herein, no Party shall issue any press release or other public announcements or statements of any kind concerning this Second A&amp;R Agreement or the relationship with the Parties under this Second A&amp;R Agreement without the prior approval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the Parties shall cooperate in good faith to issue a joint press release announcing the consummation of the relationship established by this Second A&amp;R Agreement at a mutually agreeable time following the Effective Date. For the avoidance of doubt, nothing herein is intended to prohibit or shall prohibit the Refinitiv Parties or their Affiliates from promoting or marketing the availability of Licensed Data over Refinitiv Services.</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Steering Committee</w:t>
      </w:r>
      <w:r>
        <w:rPr>
          <w:rFonts w:ascii="Arial" w:cs="Arial" w:eastAsia="Arial" w:hAnsi="Arial"/>
          <w:sz w:val="17"/>
          <w:szCs w:val="17"/>
          <w:color w:val="auto"/>
        </w:rPr>
        <w:t>. Tradeweb and TRM agree to create a joint committee (the “</w:t>
      </w:r>
      <w:r>
        <w:rPr>
          <w:rFonts w:ascii="Arial" w:cs="Arial" w:eastAsia="Arial" w:hAnsi="Arial"/>
          <w:sz w:val="17"/>
          <w:szCs w:val="17"/>
          <w:u w:val="single" w:color="auto"/>
          <w:color w:val="auto"/>
        </w:rPr>
        <w:t>Steering Committee</w:t>
      </w:r>
      <w:r>
        <w:rPr>
          <w:rFonts w:ascii="Arial" w:cs="Arial" w:eastAsia="Arial" w:hAnsi="Arial"/>
          <w:sz w:val="17"/>
          <w:szCs w:val="17"/>
          <w:color w:val="auto"/>
        </w:rPr>
        <w:t>”), comprised of two (2) representatives designated by TRM and two (2) representatives designated by Tradeweb that will meet quarterly, on dates and times to be agreed upon by the Parties, to (a) discuss, among other things, progress towards developing New Market Data Sets and new premium pre- and post-trade research products and other innovative solutions targeting artificial intellectual and machine learning that use or are based on Materials contributed by the Refinitiv Parties or any of their Affiliates, on the one hand, and by Tradeweb or any of its Subsidiaries, on the other hand (each such product or solution, an “</w:t>
      </w:r>
      <w:r>
        <w:rPr>
          <w:rFonts w:ascii="Arial" w:cs="Arial" w:eastAsia="Arial" w:hAnsi="Arial"/>
          <w:sz w:val="17"/>
          <w:szCs w:val="17"/>
          <w:u w:val="single" w:color="auto"/>
          <w:color w:val="auto"/>
        </w:rPr>
        <w:t>Innovative Solution</w:t>
      </w:r>
      <w:r>
        <w:rPr>
          <w:rFonts w:ascii="Arial" w:cs="Arial" w:eastAsia="Arial" w:hAnsi="Arial"/>
          <w:sz w:val="17"/>
          <w:szCs w:val="17"/>
          <w:color w:val="auto"/>
        </w:rPr>
        <w:t>”) that will be distributed over, through or by means of Desktop Products or other Refinitiv Services, (b) define and prioritize development of such Innovation Solutions, (c) work together in good faith to agree in writing as to the ownership of the Intellectual Property, distribution rights, and licenses to (both during and, if applicable, after the Term or the Transition Period of this Second A&amp;R Agreement), division of revenue and fees generated from, or royalty payments relating to, and other material commercial and technical terms relating to, such Innovative Solutions, and (d) resolve any outstanding issues amongst the Parties. Such Steering Committee will provide the leadership of each Party an executive summary promptly following each meeting thereof. The Parties shall also, through the Steering Committee, collaborate in good faith on offering new products, package and/or services based on correlation, regression and scenario analyses as well as calculations for the rates (UST, MBS, ITS), money markets and credit asset classes or other analyses created by Refinitiv Parties or their Affiliates, in each case, as mutually agreed (“</w:t>
      </w:r>
      <w:r>
        <w:rPr>
          <w:rFonts w:ascii="Arial" w:cs="Arial" w:eastAsia="Arial" w:hAnsi="Arial"/>
          <w:sz w:val="17"/>
          <w:szCs w:val="17"/>
          <w:u w:val="single" w:color="auto"/>
          <w:color w:val="auto"/>
        </w:rPr>
        <w:t>New Analytics</w:t>
      </w:r>
      <w:r>
        <w:rPr>
          <w:rFonts w:ascii="Arial" w:cs="Arial" w:eastAsia="Arial" w:hAnsi="Arial"/>
          <w:sz w:val="17"/>
          <w:szCs w:val="17"/>
          <w:color w:val="auto"/>
        </w:rPr>
        <w:t>”). The Parties shall work together in good faith to agree in writing on those terms contemplated above with respect to each such New Analytic.</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6" w:name="page287"/>
    <w:bookmarkEnd w:id="286"/>
    <w:p>
      <w:pPr>
        <w:jc w:val="both"/>
        <w:ind w:right="20" w:firstLine="648"/>
        <w:spacing w:after="0" w:line="288"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Next Generation Innovative Solutions</w:t>
      </w:r>
      <w:r>
        <w:rPr>
          <w:rFonts w:ascii="Arial" w:cs="Arial" w:eastAsia="Arial" w:hAnsi="Arial"/>
          <w:sz w:val="16"/>
          <w:szCs w:val="16"/>
          <w:color w:val="auto"/>
        </w:rPr>
        <w:t xml:space="preserve">. Notwithstanding the foregoing, the Parties agree the following terms shall constitute the default terms with respect to each Innovative Solution;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such terms may be modified with respect to any Innovative Solution by mutual written agreement: (a) GRC shall have an exclusive license to each Innovative Solution, (b) GRC shall not license any Innovative Solution as a Loss Leader,</w:t>
      </w:r>
    </w:p>
    <w:p>
      <w:pPr>
        <w:jc w:val="both"/>
        <w:ind w:firstLine="8"/>
        <w:spacing w:after="0" w:line="267" w:lineRule="auto"/>
        <w:tabs>
          <w:tab w:leader="none" w:pos="2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GRC shall, or shall cause its Affiliates to, pay Tradeweb in accordance with </w:t>
      </w:r>
      <w:r>
        <w:rPr>
          <w:rFonts w:ascii="Arial" w:cs="Arial" w:eastAsia="Arial" w:hAnsi="Arial"/>
          <w:sz w:val="17"/>
          <w:szCs w:val="17"/>
          <w:u w:val="single" w:color="auto"/>
          <w:color w:val="auto"/>
        </w:rPr>
        <w:t>Section 4.4(b)</w:t>
      </w:r>
      <w:r>
        <w:rPr>
          <w:rFonts w:ascii="Arial" w:cs="Arial" w:eastAsia="Arial" w:hAnsi="Arial"/>
          <w:sz w:val="17"/>
          <w:szCs w:val="17"/>
          <w:color w:val="auto"/>
        </w:rPr>
        <w:t xml:space="preserve"> an amount equal to [***] of the revenue it or its Affiliates directly generate from the distribution over, through or by means of Desktop Products or other Refinitiv Services of each Innovative Solution to third Persons for which the value of Materials contributed therein by the Refinitiv Parties or any of their Affiliates, on one hand, and by Tradeweb or its Subsidiaries, on the other hand, are not materially disproportionate, (d) Exclusive Licensed Data and any Derivative Works thereof that are components of an Innovative Solution shall be deemed to be Materials contributed by the Refinitiv Parties or their Affiliates, and (e) as between the Parties, each Party will retain all rights to Intellectual Property in and to any Materials owned, licensed from a third party or developed by such Party prior to the development of such Innovative Solution. For the avoidance of doubt, nothing herein will prohibit either Party from developing new pre- and post-trade research products and other innovative solutions that do not make use of any other Party’s Materials;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the foregoing, Exclusive Licensed Data and any Derivative Works thereof shall be deemed to be Materials of the Refinitiv Parties or their Affiliates and Tradeweb’s rights to use Exclusive Licensed Data and any Derivative Works thereof shall be solely as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 The Parties agree to negotiate in good faith an appropriate fee arrangement with respect to distribution over, through or by means of Desktop Products and other Refinitiv Services of any Innovative Solution to third Persons for which the value of Materials contributed therein by the Refinitiv Parties or their Affiliates on one hand, and by Tradeweb or its Subsidiaries, on the other hand, are materially disproportionate.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 TERM AND TERMINATION</w:t>
      </w:r>
    </w:p>
    <w:p>
      <w:pPr>
        <w:spacing w:after="0" w:line="22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Term</w:t>
      </w:r>
      <w:r>
        <w:rPr>
          <w:rFonts w:ascii="Arial" w:cs="Arial" w:eastAsia="Arial" w:hAnsi="Arial"/>
          <w:sz w:val="18"/>
          <w:szCs w:val="18"/>
          <w:color w:val="auto"/>
        </w:rPr>
        <w:t>. This Second A&amp;R Agreement shall commence on the Effective Date and shall continue until the fifth (5</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Effective 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and shall automatically renew for successive three (3) Year periods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and, collectively with the Initial Term, the “</w:t>
      </w:r>
      <w:r>
        <w:rPr>
          <w:rFonts w:ascii="Arial" w:cs="Arial" w:eastAsia="Arial" w:hAnsi="Arial"/>
          <w:sz w:val="18"/>
          <w:szCs w:val="18"/>
          <w:u w:val="single" w:color="auto"/>
          <w:color w:val="auto"/>
        </w:rPr>
        <w:t>Term</w:t>
      </w:r>
      <w:r>
        <w:rPr>
          <w:rFonts w:ascii="Arial" w:cs="Arial" w:eastAsia="Arial" w:hAnsi="Arial"/>
          <w:sz w:val="18"/>
          <w:szCs w:val="18"/>
          <w:color w:val="auto"/>
        </w:rPr>
        <w:t>”), unless either Party gives written notice to the other Party at least one (1) day prior to the end of the Initial Term or the then current Renewal Term, as applicable, of its intent not to renew this Second A&amp;R Agreement after the expiration of the Initial Term or then current Renewal Term, as applicable (a “</w:t>
      </w:r>
      <w:r>
        <w:rPr>
          <w:rFonts w:ascii="Arial" w:cs="Arial" w:eastAsia="Arial" w:hAnsi="Arial"/>
          <w:sz w:val="18"/>
          <w:szCs w:val="18"/>
          <w:u w:val="single" w:color="auto"/>
          <w:color w:val="auto"/>
        </w:rPr>
        <w:t>Notice of Non-Renewal</w:t>
      </w:r>
      <w:r>
        <w:rPr>
          <w:rFonts w:ascii="Arial" w:cs="Arial" w:eastAsia="Arial" w:hAnsi="Arial"/>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7" w:name="page288"/>
    <w:bookmarkEnd w:id="287"/>
    <w:p>
      <w:pPr>
        <w:jc w:val="both"/>
        <w:ind w:firstLine="648"/>
        <w:spacing w:after="0" w:line="273"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Transition Period</w:t>
      </w:r>
      <w:r>
        <w:rPr>
          <w:rFonts w:ascii="Arial" w:cs="Arial" w:eastAsia="Arial" w:hAnsi="Arial"/>
          <w:sz w:val="17"/>
          <w:szCs w:val="17"/>
          <w:color w:val="auto"/>
        </w:rPr>
        <w:t>. If either Party provides a Notice of Non-Renewal, the terms and conditions of this Second A&amp;R Agreement shall continue in full force and effect for an additional twelve (12) months following the date of expiration of the Term (the “</w:t>
      </w:r>
      <w:r>
        <w:rPr>
          <w:rFonts w:ascii="Arial" w:cs="Arial" w:eastAsia="Arial" w:hAnsi="Arial"/>
          <w:sz w:val="17"/>
          <w:szCs w:val="17"/>
          <w:u w:val="single" w:color="auto"/>
          <w:color w:val="auto"/>
        </w:rPr>
        <w:t>Transition Period</w:t>
      </w:r>
      <w:r>
        <w:rPr>
          <w:rFonts w:ascii="Arial" w:cs="Arial" w:eastAsia="Arial" w:hAnsi="Arial"/>
          <w:sz w:val="17"/>
          <w:szCs w:val="17"/>
          <w:color w:val="auto"/>
        </w:rPr>
        <w:t>”) to allow for an orderly transition of the market data distribution arrangements contemplated hereunder. During the Transition Period, the exclusivity element of the Licenses shall not apply with respect to Tradeweb’s use or distribution of Exclusive Licensed Data to third party distribution channels or direct users for evaluation, testing and development purposes only. For the avoidance of doubt, Tradeweb may not license such third parties to use or redistribute Exclusive Licensed Data for any other purposes until the earlier of expiration of the Transition Period or termination of this Second A&amp;R Agreement.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Termination by the Parties</w:t>
      </w:r>
      <w:r>
        <w:rPr>
          <w:rFonts w:ascii="Arial" w:cs="Arial" w:eastAsia="Arial" w:hAnsi="Arial"/>
          <w:sz w:val="18"/>
          <w:szCs w:val="18"/>
          <w:color w:val="auto"/>
        </w:rPr>
        <w:t>. Any Party may terminate this Second A&amp;R Agreement by written notice, in the case of Tradeweb, to the Refinitiv Parties, and in the case of a Refinitiv Party, to Tradeweb, if the notified Party or any of its Affiliates materially breaches this Second A&amp;R Agreement and, to the extent applicable, such Party or any of its Affiliates fails to cure the causes of such breach within thirty (30) days following such written notice.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Effect of Termination by the Parties</w:t>
      </w:r>
      <w:r>
        <w:rPr>
          <w:rFonts w:ascii="Arial" w:cs="Arial" w:eastAsia="Arial" w:hAnsi="Arial"/>
          <w:sz w:val="18"/>
          <w:szCs w:val="18"/>
          <w:color w:val="auto"/>
        </w:rPr>
        <w:t xml:space="preserve">. Upon termination of this Second A&amp;R Agreement in accordance with its terms, Tradeweb shall have no further obligation to provide any Licensed Data, and the Parties shall have no obligation to make any payments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such termination, each Party shall remain liable to the other Party for fees (prorated, as applicable) owed and payable by such Party under this Second A&amp;R Agreement prior to the effective date of the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the avoidance of doubt, GRC shall retain the right in perpetuity to exercise all rights granted to it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with respect to Licensed Data delivered to GRC by Tradeweb during the Term or the Transition Period.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Upon termination of this Second A&amp;R Agreement in accordance with its terms, the following Sections shall survive: </w:t>
      </w:r>
      <w:r>
        <w:rPr>
          <w:rFonts w:ascii="Arial" w:cs="Arial" w:eastAsia="Arial" w:hAnsi="Arial"/>
          <w:sz w:val="18"/>
          <w:szCs w:val="18"/>
          <w:u w:val="single" w:color="auto"/>
          <w:color w:val="auto"/>
        </w:rPr>
        <w:t>Section 2.1, Section 2.2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(in each case, with respect to Licensed Data delivered during the Term or the Transition Period),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w:t>
      </w:r>
    </w:p>
    <w:p>
      <w:pPr>
        <w:spacing w:after="0" w:line="187"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ARTICLE VII. WARRANTIES; INDEMNIFICATION; LIMITATION OF LIABILITY</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5"/>
          <w:szCs w:val="15"/>
          <w:u w:val="single" w:color="auto"/>
          <w:color w:val="auto"/>
        </w:rPr>
        <w:t>Representations and Warranties of the Parties</w:t>
      </w:r>
      <w:r>
        <w:rPr>
          <w:rFonts w:ascii="Arial" w:cs="Arial" w:eastAsia="Arial" w:hAnsi="Arial"/>
          <w:sz w:val="15"/>
          <w:szCs w:val="15"/>
          <w:color w:val="auto"/>
        </w:rPr>
        <w:t>.</w:t>
      </w:r>
    </w:p>
    <w:p>
      <w:pPr>
        <w:spacing w:after="0" w:line="225" w:lineRule="exact"/>
        <w:rPr>
          <w:sz w:val="20"/>
          <w:szCs w:val="20"/>
          <w:color w:val="auto"/>
        </w:rPr>
      </w:pPr>
    </w:p>
    <w:p>
      <w:pPr>
        <w:ind w:left="1960" w:hanging="655"/>
        <w:spacing w:after="0"/>
        <w:tabs>
          <w:tab w:leader="none" w:pos="1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7.2</w:t>
      </w:r>
      <w:r>
        <w:rPr>
          <w:rFonts w:ascii="Arial" w:cs="Arial" w:eastAsia="Arial" w:hAnsi="Arial"/>
          <w:sz w:val="18"/>
          <w:szCs w:val="18"/>
          <w:color w:val="auto"/>
        </w:rPr>
        <w:t>, Tradeweb represents and warrants as follows:</w:t>
      </w:r>
    </w:p>
    <w:p>
      <w:pPr>
        <w:spacing w:after="0" w:line="225" w:lineRule="exact"/>
        <w:rPr>
          <w:rFonts w:ascii="Arial" w:cs="Arial" w:eastAsia="Arial" w:hAnsi="Arial"/>
          <w:sz w:val="18"/>
          <w:szCs w:val="18"/>
          <w:color w:val="auto"/>
        </w:rPr>
      </w:pPr>
    </w:p>
    <w:p>
      <w:pPr>
        <w:jc w:val="both"/>
        <w:ind w:left="1380" w:firstLine="654"/>
        <w:spacing w:after="0" w:line="264" w:lineRule="auto"/>
        <w:tabs>
          <w:tab w:leader="none" w:pos="2689"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Rights</w:t>
      </w:r>
      <w:r>
        <w:rPr>
          <w:rFonts w:ascii="Arial" w:cs="Arial" w:eastAsia="Arial" w:hAnsi="Arial"/>
          <w:sz w:val="18"/>
          <w:szCs w:val="18"/>
          <w:color w:val="auto"/>
        </w:rPr>
        <w:t>. The provision of the Licensed Data under this Second A&amp;R Agreement does not: (A) to Tradeweb’s knowledge, infringe, conflict with, or otherwise violate, the Intellectual Property rights of any third Person; or (B) conflict with any agreement to which Tradeweb is a party; or (C) violate any applicable Law.</w:t>
      </w:r>
    </w:p>
    <w:p>
      <w:pPr>
        <w:spacing w:after="0" w:line="181" w:lineRule="exact"/>
        <w:rPr>
          <w:rFonts w:ascii="Arial" w:cs="Arial" w:eastAsia="Arial" w:hAnsi="Arial"/>
          <w:sz w:val="18"/>
          <w:szCs w:val="18"/>
          <w:color w:val="auto"/>
        </w:rPr>
      </w:pPr>
    </w:p>
    <w:p>
      <w:pPr>
        <w:jc w:val="both"/>
        <w:ind w:left="1380" w:firstLine="654"/>
        <w:spacing w:after="0" w:line="264" w:lineRule="auto"/>
        <w:tabs>
          <w:tab w:leader="none" w:pos="2653"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No Claims by Third Persons</w:t>
      </w:r>
      <w:r>
        <w:rPr>
          <w:rFonts w:ascii="Arial" w:cs="Arial" w:eastAsia="Arial" w:hAnsi="Arial"/>
          <w:sz w:val="18"/>
          <w:szCs w:val="18"/>
          <w:color w:val="auto"/>
        </w:rPr>
        <w:t>. Tradeweb is not a defendant to any action, suit, investigation, or proceeding relating to, and has not otherwise been notified of, any claim that the Licensed Data infringes the Intellectual Property rights of any third Person, and Tradeweb is not aware of any basis for such a claim.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8" w:name="page289"/>
    <w:bookmarkEnd w:id="288"/>
    <w:p>
      <w:pPr>
        <w:jc w:val="both"/>
        <w:ind w:left="724" w:firstLine="654"/>
        <w:spacing w:after="0" w:line="264" w:lineRule="auto"/>
        <w:tabs>
          <w:tab w:leader="none" w:pos="2069" w:val="left"/>
        </w:tabs>
        <w:numPr>
          <w:ilvl w:val="2"/>
          <w:numId w:val="171"/>
        </w:numPr>
        <w:rPr>
          <w:rFonts w:ascii="Arial" w:cs="Arial" w:eastAsia="Arial" w:hAnsi="Arial"/>
          <w:sz w:val="18"/>
          <w:szCs w:val="18"/>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xml:space="preserve">. As of the Effective Date, the Licensed Market Data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collectively constitutes all of the market data currently: (A) being distributed or redistributed by Tradeweb or its Subsidiaries; or (B) approved for distribution or redistribution by Tradeweb or its Subsidiaries.</w:t>
      </w:r>
    </w:p>
    <w:p>
      <w:pPr>
        <w:spacing w:after="0" w:line="181" w:lineRule="exact"/>
        <w:rPr>
          <w:rFonts w:ascii="Arial" w:cs="Arial" w:eastAsia="Arial" w:hAnsi="Arial"/>
          <w:sz w:val="18"/>
          <w:szCs w:val="18"/>
          <w:color w:val="auto"/>
        </w:rPr>
      </w:pPr>
    </w:p>
    <w:p>
      <w:pPr>
        <w:jc w:val="both"/>
        <w:ind w:left="4" w:firstLine="645"/>
        <w:spacing w:after="0" w:line="291" w:lineRule="auto"/>
        <w:tabs>
          <w:tab w:leader="none" w:pos="1335"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7.2</w:t>
      </w:r>
      <w:r>
        <w:rPr>
          <w:rFonts w:ascii="Arial" w:cs="Arial" w:eastAsia="Arial" w:hAnsi="Arial"/>
          <w:sz w:val="16"/>
          <w:szCs w:val="16"/>
          <w:color w:val="auto"/>
        </w:rPr>
        <w:t>, TRM represents and warrants that the Refinitiv Services do not: (i) to TRM’s knowledge, infringe, conflict with, or otherwise violate, the Intellectual Property rights of any third Person; (ii) conflict with any agreement to which TRM or GRC is a party; or</w:t>
      </w:r>
    </w:p>
    <w:p>
      <w:pPr>
        <w:ind w:left="324" w:hanging="324"/>
        <w:spacing w:after="0"/>
        <w:tabs>
          <w:tab w:leader="none" w:pos="32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violate any applicable Law.</w:t>
      </w:r>
    </w:p>
    <w:p>
      <w:pPr>
        <w:spacing w:after="0" w:line="210" w:lineRule="exact"/>
        <w:rPr>
          <w:rFonts w:ascii="Arial" w:cs="Arial" w:eastAsia="Arial" w:hAnsi="Arial"/>
          <w:sz w:val="18"/>
          <w:szCs w:val="18"/>
          <w:color w:val="auto"/>
        </w:rPr>
      </w:pPr>
    </w:p>
    <w:p>
      <w:pPr>
        <w:ind w:left="4" w:firstLine="645"/>
        <w:spacing w:after="0" w:line="308" w:lineRule="auto"/>
        <w:tabs>
          <w:tab w:leader="none" w:pos="147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Each Party shall comply with Law, as any such Law shall apply to: (i) the provision of Licensed Data and other information hereunder by Tradeweb; and (ii) the receipt, distribution and use of Licensed Data and other information hereunder by the Refinitiv Parties.</w:t>
      </w:r>
    </w:p>
    <w:p>
      <w:pPr>
        <w:spacing w:after="0" w:line="147" w:lineRule="exact"/>
        <w:rPr>
          <w:sz w:val="20"/>
          <w:szCs w:val="20"/>
          <w:color w:val="auto"/>
        </w:rPr>
      </w:pPr>
    </w:p>
    <w:p>
      <w:pPr>
        <w:ind w:left="4"/>
        <w:spacing w:after="0"/>
        <w:tabs>
          <w:tab w:leader="none" w:pos="1283"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7"/>
          <w:szCs w:val="17"/>
          <w:u w:val="single" w:color="auto"/>
          <w:color w:val="auto"/>
        </w:rPr>
        <w:t>DISCLAIMER OF WARRANTIES</w:t>
      </w:r>
      <w:r>
        <w:rPr>
          <w:rFonts w:ascii="Arial" w:cs="Arial" w:eastAsia="Arial" w:hAnsi="Arial"/>
          <w:sz w:val="17"/>
          <w:szCs w:val="17"/>
          <w:color w:val="auto"/>
        </w:rPr>
        <w:t>.</w:t>
      </w:r>
    </w:p>
    <w:p>
      <w:pPr>
        <w:spacing w:after="0" w:line="225" w:lineRule="exact"/>
        <w:rPr>
          <w:sz w:val="20"/>
          <w:szCs w:val="20"/>
          <w:color w:val="auto"/>
        </w:rPr>
      </w:pPr>
    </w:p>
    <w:p>
      <w:pPr>
        <w:jc w:val="both"/>
        <w:ind w:left="4" w:firstLine="645"/>
        <w:spacing w:after="0" w:line="253" w:lineRule="auto"/>
        <w:tabs>
          <w:tab w:leader="none" w:pos="91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LICENSED DATA IS PROVIDED ON AN “AS IS” BASIS, WITHOUT LIMITATION. EXCEPT AS SET FORTH IN THIS SECOND A&amp;R AGREEMENT, NO PARTY MAKES ANY OTHER REPRESENTATIONS OR WARRANTIES, WHETHER EXPRESS, IMPLIED OR STATUTORY, INCLUDING, WITHOUT LIMITATION, ANY IMPLIED WARRANTIES OF MERCHANTABILITY, FITNESS FOR A PARTICULAR PURPOSE, AND NO PARTY SHALL HAVE ANY LIABILITY OR RESPONSIBILITY FOR THE ACCURACY, COMPLETENESS, TIMELINESS OR TITLE OF THE LICENSED DATA, OR ANY WARRANTIES THAT MAY ARISE FROM COURSE OF PERFORMANCE, COURSE OF DEALING OR USAGE OF TRADE. WITHOUT LIMITING THE FOREGOING, EACH OF TRM AND GRC ACKNOWLEDGES THAT TRADEWEB MAY DEPEND ON OR INCLUDE THIRD PARTY DATA AS PART OF THE LICENSED DATA, AND SUBJECT TO SECTION 7.1(A)(I)(B), TRADEWEB SHALL NOT BE LIABLE OR RESPONSIBLE IN ANY RESPECT FOR ANY SUCH THIRD PARTY DATA, INCLUDING WITH RESPECT TO ANY DELAYS OR INACCURACIES THAT MAY OCCUR IN THE PROVISION OF THE LICENSED DATA TO TRM OR GRC, OR THAT ANY SUCH THIRD PARTY DATA: (I) INFRINGES, CONFLICTS WITH, OR OTHERWISE VIOLATES, THE INTELLECTUAL PROPERTY RIGHTS OR OTHER RIGHTS OF ANY PERSON; OR (II) VIOLATES ANY APPLICABLE LAW.</w:t>
      </w:r>
    </w:p>
    <w:p>
      <w:pPr>
        <w:spacing w:after="0" w:line="190" w:lineRule="exact"/>
        <w:rPr>
          <w:rFonts w:ascii="Arial" w:cs="Arial" w:eastAsia="Arial" w:hAnsi="Arial"/>
          <w:sz w:val="18"/>
          <w:szCs w:val="18"/>
          <w:color w:val="auto"/>
        </w:rPr>
      </w:pPr>
    </w:p>
    <w:p>
      <w:pPr>
        <w:jc w:val="both"/>
        <w:ind w:left="4" w:firstLine="645"/>
        <w:spacing w:after="0" w:line="255" w:lineRule="auto"/>
        <w:tabs>
          <w:tab w:leader="none" w:pos="96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DISCLAIMERS AND LIMITATIONS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RELATING SOLELY TO THE PROVISION OF THIRD PARTY DATA SHALL NOT APPLY WITH RESPECT TO THE US TREASURIES ACTIVES DATA PROVIDED TO GRC UNDER THE ADDITIONAL UST LICENSE. FOR THE AVOIDANCE OF DOUBT, TO THE EXTENT ANY THIRD PARTY DATA OBTAINED FROM GRC OR ITS AFFILIATES IS INCLUDED IN THE US TREASURIES ACTIVES DATA, NOTHING IN THIS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SHALL MODIFY ANY REPRESENTATIONS, WARRANTIES, OR OTHER OBLIGATIONS OF GRC OR SUCH AFFILIATES WITH RESPECT THERETO.</w:t>
      </w:r>
    </w:p>
    <w:p>
      <w:pPr>
        <w:spacing w:after="0" w:line="200" w:lineRule="exact"/>
        <w:rPr>
          <w:sz w:val="20"/>
          <w:szCs w:val="20"/>
          <w:color w:val="auto"/>
        </w:rPr>
      </w:pPr>
    </w:p>
    <w:p>
      <w:pPr>
        <w:spacing w:after="0" w:line="209"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89" w:name="page290"/>
    <w:bookmarkEnd w:id="289"/>
    <w:p>
      <w:pPr>
        <w:jc w:val="both"/>
        <w:ind w:firstLine="648"/>
        <w:spacing w:after="0" w:line="26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xml:space="preserve">. EXCEPT TO THE EXTENT CAUSED BY WILLFUL MISCONDUCT OR GROSS NEGLIGENCE OF A PARTY OR DISCLOSURE BY A PARTY OF CONFIDENTIAL INFORMATION IN VIOLATION OF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EXCEPT IF SUCH DAMAGES WHICH A PARTY HAS BEEN REQUIRED TO PAY TO A THIRD PERSON CONSTITUTE INDEMNIFIABLE LOSSES UNDER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(A) IN NO EVENT SHALL ANY PARTY, ITS DIRECTORS, OFFICERS, EMPLOYEES, AGENTS OR AFFILIATES BE LIABLE TO ANY OTHER PARTY FOR ANY SPECIAL, PUNITIVE, INCIDENTAL, INDIRECT, OR CONSEQUENTIAL DAMAGES WHATSOEVER OR FOR LOST PROFITS, LOST SAVINGS, OR BUSINESS INTERRUPTION, ARISING FROM THIS SECOND A&amp;R AGREEMENT, WHETHER IN CONTRACT, TORT (INCLUDING NEGLIGENCE) OR OTHERWISE; (B) IN NO EVENT SHALL THE TOTAL LIABILITY OF TRADEWEB OR THE REFINITIV PARTIES FOR ANY CLAIM OR CAUSE OF ACTION ARISING HEREUNDER EXCEED THE AGGREGATE AMOUNT OF PAYMENTS ACTUALLY MADE BY THE REFINITIV PARTIES TO TRADEWEB HEREUNDER DURING THE TWELVE (12) MONTHS PRIOR TO THE OCCURRENCE OF THE EVENT OR EVENTS GIVING RISE TO SUCH CLAIM OR CAUSE OF ACTION; AND (C) ANY LIABILITY OF THE REFINITIV PARTIES TO TRADEWEB RELATING IN ANY MANNER TO THE RIGHTS AND OBLIGATIONS SET FORTH UNDER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(EXCEPT IN RELATION TO THE TRADEWEB VIEWER LICENSE) SHALL LIE SOLELY WITH TRM AND NOT WITH GRC.</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7"/>
          <w:szCs w:val="17"/>
          <w:u w:val="single" w:color="auto"/>
          <w:color w:val="auto"/>
        </w:rPr>
        <w:t>Indemnification.</w:t>
      </w:r>
    </w:p>
    <w:p>
      <w:pPr>
        <w:spacing w:after="0" w:line="225" w:lineRule="exact"/>
        <w:rPr>
          <w:sz w:val="20"/>
          <w:szCs w:val="20"/>
          <w:color w:val="auto"/>
        </w:rPr>
      </w:pPr>
    </w:p>
    <w:p>
      <w:pPr>
        <w:jc w:val="both"/>
        <w:ind w:left="660" w:firstLine="645"/>
        <w:spacing w:after="0" w:line="270" w:lineRule="auto"/>
        <w:tabs>
          <w:tab w:leader="none" w:pos="15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Subject to the procedures set forth in </w:t>
      </w:r>
      <w:r>
        <w:rPr>
          <w:rFonts w:ascii="Arial" w:cs="Arial" w:eastAsia="Arial" w:hAnsi="Arial"/>
          <w:sz w:val="17"/>
          <w:szCs w:val="17"/>
          <w:u w:val="single" w:color="auto"/>
          <w:color w:val="auto"/>
        </w:rPr>
        <w:t>Section 7.5</w:t>
      </w:r>
      <w:r>
        <w:rPr>
          <w:rFonts w:ascii="Arial" w:cs="Arial" w:eastAsia="Arial" w:hAnsi="Arial"/>
          <w:sz w:val="17"/>
          <w:szCs w:val="17"/>
          <w:color w:val="auto"/>
        </w:rPr>
        <w:t>, Tradeweb shall indemnify and hold harmless the Refinitiv Parties and their Affiliates from and against any and all loss, damage or expense, including reasonable attorneys’ fees (“</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that the Refinitiv Parties or their Affiliates may owe to a third Person pursuant to a court judgment, injunction, order or decree, or a settlement agreement as a result of: (i) any infringement or alleged infringement by Licensed Data of any third Person’s Intellectual Property, unless such infringement or alleged infringement is caused by (A) any modifications to such Licensed Data by the Refinitiv Parties or a Refinitiv Subscriber, (B) any combination of such Licensed Data with other data by the Refinitiv Parties or a Refinitiv Subscriber, or (C) the use of such Licensed Data other than in accordance with the terms and conditions of this Second A&amp;R Agreement by the Refinitiv Parties; (ii) Tradeweb’s material breach of this Second A&amp;R Agreement to the extent such breach is caused by willful misconduct or gross negligence of Tradeweb; (iii) disclosure or use by Tradeweb of Confidential Information in violation of </w:t>
      </w:r>
      <w:r>
        <w:rPr>
          <w:rFonts w:ascii="Arial" w:cs="Arial" w:eastAsia="Arial" w:hAnsi="Arial"/>
          <w:sz w:val="17"/>
          <w:szCs w:val="17"/>
          <w:u w:val="single" w:color="auto"/>
          <w:color w:val="auto"/>
        </w:rPr>
        <w:t>ARTICLE VIII</w:t>
      </w:r>
      <w:r>
        <w:rPr>
          <w:rFonts w:ascii="Arial" w:cs="Arial" w:eastAsia="Arial" w:hAnsi="Arial"/>
          <w:sz w:val="17"/>
          <w:szCs w:val="17"/>
          <w:color w:val="auto"/>
        </w:rPr>
        <w:t>; and (iv) Tradeweb’s failure to comply with Law.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0" w:name="page291"/>
    <w:bookmarkEnd w:id="290"/>
    <w:p>
      <w:pPr>
        <w:jc w:val="both"/>
        <w:ind w:left="4" w:firstLine="645"/>
        <w:spacing w:after="0" w:line="289" w:lineRule="auto"/>
        <w:tabs>
          <w:tab w:leader="none" w:pos="917"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In addition to </w:t>
      </w:r>
      <w:r>
        <w:rPr>
          <w:rFonts w:ascii="Arial" w:cs="Arial" w:eastAsia="Arial" w:hAnsi="Arial"/>
          <w:sz w:val="16"/>
          <w:szCs w:val="16"/>
          <w:u w:val="single" w:color="auto"/>
          <w:color w:val="auto"/>
        </w:rPr>
        <w:t>Section 7.4(a)</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7.4(c)</w:t>
      </w:r>
      <w:r>
        <w:rPr>
          <w:rFonts w:ascii="Arial" w:cs="Arial" w:eastAsia="Arial" w:hAnsi="Arial"/>
          <w:sz w:val="16"/>
          <w:szCs w:val="16"/>
          <w:color w:val="auto"/>
        </w:rPr>
        <w:t xml:space="preserve"> below and the procedures set forth in </w:t>
      </w:r>
      <w:r>
        <w:rPr>
          <w:rFonts w:ascii="Arial" w:cs="Arial" w:eastAsia="Arial" w:hAnsi="Arial"/>
          <w:sz w:val="16"/>
          <w:szCs w:val="16"/>
          <w:u w:val="single" w:color="auto"/>
          <w:color w:val="auto"/>
        </w:rPr>
        <w:t>Section 7.5</w:t>
      </w:r>
      <w:r>
        <w:rPr>
          <w:rFonts w:ascii="Arial" w:cs="Arial" w:eastAsia="Arial" w:hAnsi="Arial"/>
          <w:sz w:val="16"/>
          <w:szCs w:val="16"/>
          <w:color w:val="auto"/>
        </w:rPr>
        <w:t>, Tradeweb shall, on behalf of GRC and its Affiliates, indemnify and hold harmless TP ICAP and its Affiliates, directors, employees, officers, managers and agents from and against any and all claims, loss, damage or expense, including reasonable attorneys’ fees and disbursements, costs of investigation, interest, fines, penalties, judgments and amounts paid in settlement (“</w:t>
      </w:r>
      <w:r>
        <w:rPr>
          <w:rFonts w:ascii="Arial" w:cs="Arial" w:eastAsia="Arial" w:hAnsi="Arial"/>
          <w:sz w:val="16"/>
          <w:szCs w:val="16"/>
          <w:u w:val="single" w:color="auto"/>
          <w:color w:val="auto"/>
        </w:rPr>
        <w:t>TP ICAP Losses</w:t>
      </w:r>
      <w:r>
        <w:rPr>
          <w:rFonts w:ascii="Arial" w:cs="Arial" w:eastAsia="Arial" w:hAnsi="Arial"/>
          <w:sz w:val="16"/>
          <w:szCs w:val="16"/>
          <w:color w:val="auto"/>
        </w:rPr>
        <w:t xml:space="preserve">”) that TP ICAP may owe to a third party arising out of any infringement or alleged infringement by the US Treasuries Actives Data of any third party’s intellectual property, unless such infringement or alleged infringement is caused by (i) any modifications to such US Treasuries Actives Data by TP ICAP or a TP ICAP Customer, (ii) any combination of such US Treasuries Actives Data with other data by TP ICAP or a TP ICAP Customer, or (iii) the use of such US Treasuries Actives Data other than in accordance with the UST Distribution Agreement. In relation to the foregoing, and for purpose of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below, the “Indemnified Party” shall be deemed to be TP ICAP and the “Indemnifying Party” shall be deemed to be Tradeweb and “Losses” shall be deemed to be “TP ICAP Losses”.</w:t>
      </w:r>
    </w:p>
    <w:p>
      <w:pPr>
        <w:spacing w:after="0" w:line="166" w:lineRule="exact"/>
        <w:rPr>
          <w:rFonts w:ascii="Arial" w:cs="Arial" w:eastAsia="Arial" w:hAnsi="Arial"/>
          <w:sz w:val="16"/>
          <w:szCs w:val="16"/>
          <w:color w:val="auto"/>
        </w:rPr>
      </w:pPr>
    </w:p>
    <w:p>
      <w:pPr>
        <w:jc w:val="both"/>
        <w:ind w:left="4" w:firstLine="645"/>
        <w:spacing w:after="0" w:line="270" w:lineRule="auto"/>
        <w:tabs>
          <w:tab w:leader="none" w:pos="958" w:val="left"/>
        </w:tabs>
        <w:numPr>
          <w:ilvl w:val="1"/>
          <w:numId w:val="176"/>
        </w:numPr>
        <w:rPr>
          <w:rFonts w:ascii="Arial" w:cs="Arial" w:eastAsia="Arial" w:hAnsi="Arial"/>
          <w:sz w:val="17"/>
          <w:szCs w:val="17"/>
          <w:color w:val="auto"/>
        </w:rPr>
      </w:pPr>
      <w:r>
        <w:rPr>
          <w:rFonts w:ascii="Arial" w:cs="Arial" w:eastAsia="Arial" w:hAnsi="Arial"/>
          <w:sz w:val="17"/>
          <w:szCs w:val="17"/>
          <w:color w:val="auto"/>
        </w:rPr>
        <w:t xml:space="preserve">With respect to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GRC warrants that the UST Distribution Agreement shall, during the term thereof, contain indemnification obligations on the part of GRC, or its Affiliate, identical to those set forth in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above, and procedures identical to those set forth in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Tradeweb shall, at GRC’s or its applicable Affiliate’s direction, directly indemnify TP ICAP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The Parties acknowledge that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are not intended to mean that Tradeweb must, and Tradeweb is not obligated to, indemnify TP ICAP pursuant to this </w:t>
      </w:r>
      <w:r>
        <w:rPr>
          <w:rFonts w:ascii="Arial" w:cs="Arial" w:eastAsia="Arial" w:hAnsi="Arial"/>
          <w:sz w:val="17"/>
          <w:szCs w:val="17"/>
          <w:u w:val="single" w:color="auto"/>
          <w:color w:val="auto"/>
        </w:rPr>
        <w:t>Section 7.4(c)</w:t>
      </w:r>
      <w:r>
        <w:rPr>
          <w:rFonts w:ascii="Arial" w:cs="Arial" w:eastAsia="Arial" w:hAnsi="Arial"/>
          <w:sz w:val="17"/>
          <w:szCs w:val="17"/>
          <w:color w:val="auto"/>
        </w:rPr>
        <w:t xml:space="preserve"> for any amount or to any other extent exceeding the amount or extent that GRC or its Affiliates are required to indemnify TP ICAP pursuant to the UST Distribution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Tradeweb shall indemnify and hold harmless GRC and its Affiliates in accordance with the procedures set forth in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from and against any and all claims, loss, damage or expense, including reasonable attorneys’ fees and disbursements, costs of investigation, interest, fines, penalties, judgments and amounts paid in settlement incurred by GRC or its Affiliates arising out of or related to Tradeweb’s failure to comply with the indemnification obligations set forth in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7.5</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4" w:firstLine="645"/>
        <w:spacing w:after="0" w:line="288" w:lineRule="auto"/>
        <w:tabs>
          <w:tab w:leader="none" w:pos="921"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Subject to the procedures set forth in </w:t>
      </w:r>
      <w:r>
        <w:rPr>
          <w:rFonts w:ascii="Arial" w:cs="Arial" w:eastAsia="Arial" w:hAnsi="Arial"/>
          <w:sz w:val="16"/>
          <w:szCs w:val="16"/>
          <w:u w:val="single" w:color="auto"/>
          <w:color w:val="auto"/>
        </w:rPr>
        <w:t>Section 7.5</w:t>
      </w:r>
      <w:r>
        <w:rPr>
          <w:rFonts w:ascii="Arial" w:cs="Arial" w:eastAsia="Arial" w:hAnsi="Arial"/>
          <w:sz w:val="16"/>
          <w:szCs w:val="16"/>
          <w:color w:val="auto"/>
        </w:rPr>
        <w:t>, the Refinitiv Parties shall indemnify and hold harmless Tradeweb and its Affiliates from and against any and all Losses that Tradeweb or its Affiliates may owe to a third Person pursuant to a court judgment, injunction, order or decree, or a settlement agreement as a result of: (i) any infringement or alleged infringement of any third Person’s Intellectual Property caused by</w:t>
      </w:r>
    </w:p>
    <w:p>
      <w:pPr>
        <w:jc w:val="both"/>
        <w:ind w:left="4" w:hanging="4"/>
        <w:spacing w:after="0" w:line="287" w:lineRule="auto"/>
        <w:tabs>
          <w:tab w:leader="none" w:pos="30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any modifications to Licensed Data by the Refinitiv Parties or a Refinitiv Subscriber, (B) any combination of Licensed Data with other data by the Refinitiv Parties or a Refinitiv Subscriber, or (C) the use of such Licensed Data other than in accordance with the terms and conditions of this Second A&amp;R Agreement by the Refinitiv Parties; (ii) a Refinitiv Party’s material breach of this Second A&amp;R Agreement to the extent such breach is caused by willful misconduct or gross negligence of such Refinitiv Party; (iii) disclosure or use by the Refinitiv Parties of Confidential Information in violation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(iv) either Refinitiv Party’s failure to comply with Law; and (v) any claim against Tradeweb by a Refinitiv Subscriber resulting from such Refinitiv Subscriber’s access via a Refinitiv Service to Licensed Data, except to the extent arising from any claim as to which Tradeweb has an indemnification obligation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or to the extent caused by the gross negligence or willful misconduct of Tradeweb;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any such claim is caused by the negligence of Tradeweb, the Refinitiv Parties shall be entitled to contribution from Tradeweb for the portion of any Losses suffered by the Refinitiv Parties attributable to such negligence of Tradeweb.</w:t>
      </w:r>
    </w:p>
    <w:p>
      <w:pPr>
        <w:spacing w:after="0" w:line="382"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91" w:name="page292"/>
    <w:bookmarkEnd w:id="291"/>
    <w:p>
      <w:pPr>
        <w:spacing w:after="0"/>
        <w:tabs>
          <w:tab w:leader="none" w:pos="128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Indemnification Procedure</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53" w:lineRule="auto"/>
        <w:tabs>
          <w:tab w:leader="none" w:pos="91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event that Tradeweb or the Refinitiv Parties, or their respective Affiliates shall incur or suffer any Losses (or shall reasonably anticipate that they shall suffer any Losses) in respect of which indemnification may be sought by such Party (such Party,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pursuant to the provisions of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from another Party (such Party, an “</w:t>
      </w:r>
      <w:r>
        <w:rPr>
          <w:rFonts w:ascii="Arial" w:cs="Arial" w:eastAsia="Arial" w:hAnsi="Arial"/>
          <w:sz w:val="18"/>
          <w:szCs w:val="18"/>
          <w:u w:val="single" w:color="auto"/>
          <w:color w:val="auto"/>
        </w:rPr>
        <w:t>Indemnifying Party</w:t>
      </w:r>
      <w:r>
        <w:rPr>
          <w:rFonts w:ascii="Arial" w:cs="Arial" w:eastAsia="Arial" w:hAnsi="Arial"/>
          <w:sz w:val="18"/>
          <w:szCs w:val="18"/>
          <w:color w:val="auto"/>
        </w:rPr>
        <w:t>”) (each, a “</w:t>
      </w:r>
      <w:r>
        <w:rPr>
          <w:rFonts w:ascii="Arial" w:cs="Arial" w:eastAsia="Arial" w:hAnsi="Arial"/>
          <w:sz w:val="18"/>
          <w:szCs w:val="18"/>
          <w:u w:val="single" w:color="auto"/>
          <w:color w:val="auto"/>
        </w:rPr>
        <w:t>Claim</w:t>
      </w:r>
      <w:r>
        <w:rPr>
          <w:rFonts w:ascii="Arial" w:cs="Arial" w:eastAsia="Arial" w:hAnsi="Arial"/>
          <w:sz w:val="18"/>
          <w:szCs w:val="18"/>
          <w:color w:val="auto"/>
        </w:rPr>
        <w:t>”), the Indemnified Party shall submit to the Indemnifying Party a written indemnification notice stating the nature and basis of the Claim in reasonable detail (the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The Indemnification Notice shall be given within thirty (30) days of the actual knowledge of the Indemnified Party of the filing or other written assertion of any such Claim against the Indemnified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failure of the Indemnified Party to give the Indemnification Notice within such time period shall not relieve the Indemnifying Party of any liability that the Indemnifying Party may have to the Indemnified Party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except to the extent that the Indemnifying Party can demonstrate that it is actually materially prejudiced thereby.</w:t>
      </w:r>
    </w:p>
    <w:p>
      <w:pPr>
        <w:spacing w:after="0" w:line="197" w:lineRule="exact"/>
        <w:rPr>
          <w:rFonts w:ascii="Arial" w:cs="Arial" w:eastAsia="Arial" w:hAnsi="Arial"/>
          <w:sz w:val="18"/>
          <w:szCs w:val="18"/>
          <w:color w:val="auto"/>
        </w:rPr>
      </w:pPr>
    </w:p>
    <w:p>
      <w:pPr>
        <w:jc w:val="both"/>
        <w:ind w:firstLine="645"/>
        <w:spacing w:after="0" w:line="286" w:lineRule="auto"/>
        <w:tabs>
          <w:tab w:leader="none" w:pos="93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Indemnified Party shall provide to the Indemnifying Party, on request, reasonably detailed descriptions of all information and documentation in the Indemnified Party’s possession that, in its reasonable judgment, is not privileged, and is reasonably necessary to support and verify any Losses that the Indemnified Party believes give rise to a claim for indemnification hereunder.</w:t>
      </w:r>
    </w:p>
    <w:p>
      <w:pPr>
        <w:spacing w:after="0" w:line="165" w:lineRule="exact"/>
        <w:rPr>
          <w:rFonts w:ascii="Arial" w:cs="Arial" w:eastAsia="Arial" w:hAnsi="Arial"/>
          <w:sz w:val="17"/>
          <w:szCs w:val="17"/>
          <w:color w:val="auto"/>
        </w:rPr>
      </w:pPr>
    </w:p>
    <w:p>
      <w:pPr>
        <w:jc w:val="both"/>
        <w:ind w:firstLine="645"/>
        <w:spacing w:after="0" w:line="267" w:lineRule="auto"/>
        <w:tabs>
          <w:tab w:leader="none" w:pos="90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The Indemnifying Party shall have the right to: (i) conduct any proceedings or negotiations in connection with the Claim; (ii) take all other steps to settle or defend the Claim; and (iii) employ counsel of the Indemnifying Party’s choosing to contest the Claim in the name of the Indemnified Party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taking any of the actions described in the foregoing, the Indemnifying Party shall be deemed to have accepted any and all indemnification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 settlement will obligate or impose liability on any Indemnified Party in any way without the prior written approval of the Indemnified Party, including without limitation, any determination or admission regarding the Indemnified Party’s interest;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event that the Indemnified Party, in its reasonable judgment, determines that the Indemnifying Party, after exercising its rights pursuant to this </w:t>
      </w:r>
      <w:r>
        <w:rPr>
          <w:rFonts w:ascii="Arial" w:cs="Arial" w:eastAsia="Arial" w:hAnsi="Arial"/>
          <w:sz w:val="17"/>
          <w:szCs w:val="17"/>
          <w:u w:val="single" w:color="auto"/>
          <w:color w:val="auto"/>
        </w:rPr>
        <w:t>Section 7.5(c)</w:t>
      </w:r>
      <w:r>
        <w:rPr>
          <w:rFonts w:ascii="Arial" w:cs="Arial" w:eastAsia="Arial" w:hAnsi="Arial"/>
          <w:sz w:val="17"/>
          <w:szCs w:val="17"/>
          <w:color w:val="auto"/>
        </w:rPr>
        <w:t xml:space="preserve">, has failed to conduct any proceedings or negotiations or manage the Claim with the same level of diligence as if such proceeding, negotiation or Claim were solely for the Indemnifying Party’s own account, the Indemnified Party may relieve the Indemnifying Party of its responsibility, or participate with the Indemnifying Party, with respect thereto, in each case at the reasonable expense of the Indemnifying Party. The Indemnified Party shall be entitled to participate at its own expense and by its own counsel in any proceedings relating to the Claim, and the Indemnified Party shall be entitled to participate with counsel of its own choice at the reasonable expense of the Indemnifying Party if, in the reasonable judgment of the Indemnified Party, representation of both Parties by the same counsel presents a conflict of interest or is otherwise inappropriate under applicable standards of professional conduct. Subject to the provisions of this </w:t>
      </w:r>
      <w:r>
        <w:rPr>
          <w:rFonts w:ascii="Arial" w:cs="Arial" w:eastAsia="Arial" w:hAnsi="Arial"/>
          <w:sz w:val="17"/>
          <w:szCs w:val="17"/>
          <w:u w:val="single" w:color="auto"/>
          <w:color w:val="auto"/>
        </w:rPr>
        <w:t>Section 7.5(c)</w:t>
      </w:r>
      <w:r>
        <w:rPr>
          <w:rFonts w:ascii="Arial" w:cs="Arial" w:eastAsia="Arial" w:hAnsi="Arial"/>
          <w:sz w:val="17"/>
          <w:szCs w:val="17"/>
          <w:color w:val="auto"/>
        </w:rPr>
        <w:t xml:space="preserve">, the Indemnifying Party shall, within thirty (30) days of receipt of the Indemnification Notice, notify the Indemnified Party of its intention to assume the defense of the Claim, which notification shall include the name of the counsel that the Indemnifying Party proposes to select as its counsel. Until the Indemnified Party has received notice of the Indemnifying Party’s election whether to defend the Claim, the Indemnified Party shall take reasonable steps to defend (but may not settle) such Claim. If the Indemnifying Party declines to assume the defense of the Claim in accordance with this </w:t>
      </w:r>
      <w:r>
        <w:rPr>
          <w:rFonts w:ascii="Arial" w:cs="Arial" w:eastAsia="Arial" w:hAnsi="Arial"/>
          <w:sz w:val="17"/>
          <w:szCs w:val="17"/>
          <w:u w:val="single" w:color="auto"/>
          <w:color w:val="auto"/>
        </w:rPr>
        <w:t>Section 7.5(c)</w:t>
      </w:r>
      <w:r>
        <w:rPr>
          <w:rFonts w:ascii="Arial" w:cs="Arial" w:eastAsia="Arial" w:hAnsi="Arial"/>
          <w:sz w:val="17"/>
          <w:szCs w:val="17"/>
          <w:color w:val="auto"/>
        </w:rPr>
        <w:t xml:space="preserve">, or shall fail to notify the Indemnified Party within thirty (30) days after receipt of the Indemnification Notice of the Indemnifying Party’s election to defend such Claim in accordance with this </w:t>
      </w:r>
      <w:r>
        <w:rPr>
          <w:rFonts w:ascii="Arial" w:cs="Arial" w:eastAsia="Arial" w:hAnsi="Arial"/>
          <w:sz w:val="17"/>
          <w:szCs w:val="17"/>
          <w:u w:val="single" w:color="auto"/>
          <w:color w:val="auto"/>
        </w:rPr>
        <w:t>Section 7.5(c)</w:t>
      </w:r>
      <w:r>
        <w:rPr>
          <w:rFonts w:ascii="Arial" w:cs="Arial" w:eastAsia="Arial" w:hAnsi="Arial"/>
          <w:sz w:val="17"/>
          <w:szCs w:val="17"/>
          <w:color w:val="auto"/>
        </w:rPr>
        <w:t xml:space="preserve">, the Indemnified Party may defend or settle such Claim. The expenses of all proceedings, contests or lawsuits in respect of the Claim (other than those incurred by the Indemnified Party that are referred to in the second sentence of this </w:t>
      </w:r>
      <w:r>
        <w:rPr>
          <w:rFonts w:ascii="Arial" w:cs="Arial" w:eastAsia="Arial" w:hAnsi="Arial"/>
          <w:sz w:val="17"/>
          <w:szCs w:val="17"/>
          <w:u w:val="single" w:color="auto"/>
          <w:color w:val="auto"/>
        </w:rPr>
        <w:t>Section 7.5(c)</w:t>
      </w:r>
      <w:r>
        <w:rPr>
          <w:rFonts w:ascii="Arial" w:cs="Arial" w:eastAsia="Arial" w:hAnsi="Arial"/>
          <w:sz w:val="17"/>
          <w:szCs w:val="17"/>
          <w:color w:val="auto"/>
        </w:rPr>
        <w:t xml:space="preserve">) shall be borne by the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Indemnified Party shall be required to reimburse the Indemnifying Party for any such reasonable expenses if and to the extent that the Indemnifying Party is ultimately determined not to be liable to indemnify the Indemnified Party under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with respect to any such proceeding, contest or lawsuit. Regardless of which Party shall assume the defense of the Claim, the Parties agree to cooperate fully with one another in connection therewith.</w:t>
      </w:r>
    </w:p>
    <w:p>
      <w:pPr>
        <w:spacing w:after="0" w:line="39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92" w:name="page293"/>
    <w:bookmarkEnd w:id="292"/>
    <w:p>
      <w:pPr>
        <w:jc w:val="both"/>
        <w:ind w:left="660" w:firstLine="645"/>
        <w:spacing w:after="0" w:line="286" w:lineRule="auto"/>
        <w:tabs>
          <w:tab w:leader="none" w:pos="158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Upon making any payment to a third Person for any indemnification claim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the Indemnifying Party shall be subrogated, to the extent of such payment, to any rights which the Indemnified Party may have against any third Persons with respect to the subject matter underlying such indemnification claim and the Indemnified Party shall assign any such rights to the Indemnifying Party.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 CONFIDENTIALITY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Confidentiality Obligations</w:t>
      </w:r>
      <w:r>
        <w:rPr>
          <w:rFonts w:ascii="Arial" w:cs="Arial" w:eastAsia="Arial" w:hAnsi="Arial"/>
          <w:sz w:val="16"/>
          <w:szCs w:val="16"/>
          <w:color w:val="auto"/>
        </w:rPr>
        <w:t>. The Parties acknowledge and agree that proprietary or nonpublic information disclosed or licensed under this Second A&amp;R Agreement by one Party (the “</w:t>
      </w:r>
      <w:r>
        <w:rPr>
          <w:rFonts w:ascii="Arial" w:cs="Arial" w:eastAsia="Arial" w:hAnsi="Arial"/>
          <w:sz w:val="16"/>
          <w:szCs w:val="16"/>
          <w:u w:val="single" w:color="auto"/>
          <w:color w:val="auto"/>
        </w:rPr>
        <w:t>Disclosing Party</w:t>
      </w:r>
      <w:r>
        <w:rPr>
          <w:rFonts w:ascii="Arial" w:cs="Arial" w:eastAsia="Arial" w:hAnsi="Arial"/>
          <w:sz w:val="16"/>
          <w:szCs w:val="16"/>
          <w:color w:val="auto"/>
        </w:rPr>
        <w:t>”) to another Party (the “</w:t>
      </w:r>
      <w:r>
        <w:rPr>
          <w:rFonts w:ascii="Arial" w:cs="Arial" w:eastAsia="Arial" w:hAnsi="Arial"/>
          <w:sz w:val="16"/>
          <w:szCs w:val="16"/>
          <w:u w:val="single" w:color="auto"/>
          <w:color w:val="auto"/>
        </w:rPr>
        <w:t>Receiving Party</w:t>
      </w:r>
      <w:r>
        <w:rPr>
          <w:rFonts w:ascii="Arial" w:cs="Arial" w:eastAsia="Arial" w:hAnsi="Arial"/>
          <w:sz w:val="16"/>
          <w:szCs w:val="16"/>
          <w:color w:val="auto"/>
        </w:rPr>
        <w:t>”) directly or indirectly, which information is:</w:t>
      </w:r>
    </w:p>
    <w:p>
      <w:pPr>
        <w:jc w:val="both"/>
        <w:ind w:firstLine="8"/>
        <w:spacing w:after="0" w:line="283" w:lineRule="auto"/>
        <w:tabs>
          <w:tab w:leader="none" w:pos="246"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in the case of a Disclosing Party, if disclosed electronically or in writing, marked as “proprietary” or “confidential”; (b) in the case of a Disclosing Party, if disclosed orally, is designated as confidential or proprietary by the speaker at the time of disclosure; (c) in the case of a Disclosing Party, would by its nature be considered confidential information, constitutes the confidential and proprietary information; (d) in the case of Tradeweb, any Non-Trading User List, (e) any information provided by GRC or its Affiliates in connection with the Fee Calculation or by Tradeweb in connection with the NTU Fee Calculation, as applicable, or (f) information disclosed orally or in writing to Tradeweb by GRC or its Affiliates related to the TP ICAP Group’s use and distribution of US Treasuries Actives Data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Receiving Party shall retain in confidence and not disclose to any third Person Confidential Information of the Disclosing Party without the Disclosing Party’s prior express written consent or as otherwise permitted under this Second A&amp;R Agreement, and the Receiving Party shall not use such Confidential Information for any reason other than to exercise its rights and perform its obligations under this Second A&amp;R Agreement (or rights or obligations still existing from the Amended Agreement and Original Agreement, as applicable). Without limiting the foregoing, with respect to the Confidential Information described in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TRM shall not disclose such Confidential Information to any employee or consultant of TRM or its Affiliates without the prior express written consent of Tradeweb, unless such employee or consultant is a member of a group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(such employee or consultant, “</w:t>
      </w:r>
      <w:r>
        <w:rPr>
          <w:rFonts w:ascii="Arial" w:cs="Arial" w:eastAsia="Arial" w:hAnsi="Arial"/>
          <w:sz w:val="16"/>
          <w:szCs w:val="16"/>
          <w:u w:val="single" w:color="auto"/>
          <w:color w:val="auto"/>
        </w:rPr>
        <w:t>Refinitiv Authorized Personnel</w:t>
      </w:r>
      <w:r>
        <w:rPr>
          <w:rFonts w:ascii="Arial" w:cs="Arial" w:eastAsia="Arial" w:hAnsi="Arial"/>
          <w:sz w:val="16"/>
          <w:szCs w:val="16"/>
          <w:color w:val="auto"/>
        </w:rPr>
        <w:t>”, such Schedule, the “</w:t>
      </w:r>
      <w:r>
        <w:rPr>
          <w:rFonts w:ascii="Arial" w:cs="Arial" w:eastAsia="Arial" w:hAnsi="Arial"/>
          <w:sz w:val="16"/>
          <w:szCs w:val="16"/>
          <w:u w:val="single" w:color="auto"/>
          <w:color w:val="auto"/>
        </w:rPr>
        <w:t>Refinitiv Limited Group</w:t>
      </w:r>
      <w:r>
        <w:rPr>
          <w:rFonts w:ascii="Arial" w:cs="Arial" w:eastAsia="Arial" w:hAnsi="Arial"/>
          <w:sz w:val="16"/>
          <w:szCs w:val="16"/>
          <w:color w:val="auto"/>
        </w:rPr>
        <w:t xml:space="preserve">”), each of whom shall have a reasonable “need to know” such Confidential Information in connection with their employment or engagement); </w:t>
      </w:r>
      <w:r>
        <w:rPr>
          <w:rFonts w:ascii="Arial" w:cs="Arial" w:eastAsia="Arial" w:hAnsi="Arial"/>
          <w:sz w:val="16"/>
          <w:szCs w:val="16"/>
          <w:u w:val="single" w:color="auto"/>
          <w:color w:val="auto"/>
        </w:rPr>
        <w:t>provided</w:t>
      </w:r>
      <w:r>
        <w:rPr>
          <w:rFonts w:ascii="Arial" w:cs="Arial" w:eastAsia="Arial" w:hAnsi="Arial"/>
          <w:sz w:val="16"/>
          <w:szCs w:val="16"/>
          <w:color w:val="auto"/>
        </w:rPr>
        <w:t>, that access to such Confidential Information by any Authorized Refinitiv Personnel shall be immediately terminated upon termination of his or her employment or engagement with the applicable Refinitiv Limited Group. Without limiting the foregoing, each Party shall use at least the same procedures and degree of care to protect the Confidential Information as it uses to protect its own Confidential Information of like importance, and in no event less than reasonable care. With respect to the type of Confidential Information set forth in subsection (f) herein, if Tradeweb becomes aware of an actual breach of confidentiality, unauthorized use or loss of such Confidential Information, it shall notify GRC, and GRC shall be permitted to notify TP ICAP in accordance with the UST Distribution Agreement. In the event that the Receiving Party is requested or required (by oral questions, interrogatories, requests for information or documents, subpoena, civil investigative demand or similar process) to disclose any Confidential Information (each, a “</w:t>
      </w:r>
      <w:r>
        <w:rPr>
          <w:rFonts w:ascii="Arial" w:cs="Arial" w:eastAsia="Arial" w:hAnsi="Arial"/>
          <w:sz w:val="16"/>
          <w:szCs w:val="16"/>
          <w:u w:val="single" w:color="auto"/>
          <w:color w:val="auto"/>
        </w:rPr>
        <w:t>Government Request</w:t>
      </w:r>
      <w:r>
        <w:rPr>
          <w:rFonts w:ascii="Arial" w:cs="Arial" w:eastAsia="Arial" w:hAnsi="Arial"/>
          <w:sz w:val="16"/>
          <w:szCs w:val="16"/>
          <w:color w:val="auto"/>
        </w:rPr>
        <w:t xml:space="preserve">”), it is agreed that the Receiving Party shall, to the extent permitted by applicable law, provide the Disclosing Party with prompt notice of the Government Request so that the Disclosing Party may seek an appropriate protective order or other appropriate remedy or waive the Receiving Party’s compliance with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and the Receiving Party shall cooperate with the Disclosing Party to obtain such protective order or other remedy sought by the Disclosing Party with respect to such Government Request. In the event that such protective order or other remedy is not obtained (either in whole or in part) or that the Disclosing Party grants a waiver hereunder, the Receiving Party shall use its commercially reasonable efforts to obtain reliable assurance that confidential treatment shall be accorded to any Confidential Information to be disclosed, and, to the extent permitted by applicable Law, shall only disclose the minimum amount of Confidential Information required to be responsive to such Government Request.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3" w:name="page294"/>
    <w:bookmarkEnd w:id="293"/>
    <w:p>
      <w:pPr>
        <w:jc w:val="both"/>
        <w:ind w:firstLine="648"/>
        <w:spacing w:after="0" w:line="286"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Exceptions</w:t>
      </w:r>
      <w:r>
        <w:rPr>
          <w:rFonts w:ascii="Arial" w:cs="Arial" w:eastAsia="Arial" w:hAnsi="Arial"/>
          <w:sz w:val="17"/>
          <w:szCs w:val="17"/>
          <w:color w:val="auto"/>
        </w:rPr>
        <w:t>. Notwithstanding the foregoing, except with respect to any personally-identifiable or financial information regarding former, current or prospective clients or customers of Tradeweb, the Refinitiv Parties, or TP ICAP or their respective Affiliates that is subject to privacy Law, Confidential Information shall not include information to the extent demonstrated by the Receiving Party that such information:</w:t>
      </w:r>
    </w:p>
    <w:p>
      <w:pPr>
        <w:spacing w:after="0" w:line="166" w:lineRule="exact"/>
        <w:rPr>
          <w:sz w:val="20"/>
          <w:szCs w:val="20"/>
          <w:color w:val="auto"/>
        </w:rPr>
      </w:pPr>
    </w:p>
    <w:p>
      <w:pPr>
        <w:ind w:left="1540" w:hanging="235"/>
        <w:spacing w:after="0"/>
        <w:tabs>
          <w:tab w:leader="none" w:pos="1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was generally available to the public at the time of its disclosure to the Receiving Party;</w:t>
      </w:r>
    </w:p>
    <w:p>
      <w:pPr>
        <w:spacing w:after="0" w:line="225" w:lineRule="exact"/>
        <w:rPr>
          <w:rFonts w:ascii="Arial" w:cs="Arial" w:eastAsia="Arial" w:hAnsi="Arial"/>
          <w:sz w:val="18"/>
          <w:szCs w:val="18"/>
          <w:color w:val="auto"/>
        </w:rPr>
      </w:pPr>
    </w:p>
    <w:p>
      <w:pPr>
        <w:ind w:left="660" w:firstLine="645"/>
        <w:spacing w:after="0" w:line="277" w:lineRule="auto"/>
        <w:tabs>
          <w:tab w:leader="none" w:pos="159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became generally available to the public after its disclosure to the Receiving Party, other than through any act or omission of the Receiving Party in breach of this Second A&amp;R Agreement;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5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was subsequently disclosed to the Receiving Party by a Person other than a Party (that is not information originating from a Party) who is lawfully in possession of the Confidential Information and who is not bound by confidentiality obligations to the Disclosing Party, or developed by the Receiving Party without access or reference to, or use of, any Confidential Information.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4" w:name="page295"/>
    <w:bookmarkEnd w:id="294"/>
    <w:p>
      <w:pPr>
        <w:jc w:val="center"/>
        <w:spacing w:after="0"/>
        <w:rPr>
          <w:sz w:val="20"/>
          <w:szCs w:val="20"/>
          <w:color w:val="auto"/>
        </w:rPr>
      </w:pPr>
      <w:r>
        <w:rPr>
          <w:rFonts w:ascii="Arial" w:cs="Arial" w:eastAsia="Arial" w:hAnsi="Arial"/>
          <w:sz w:val="18"/>
          <w:szCs w:val="18"/>
          <w:color w:val="auto"/>
        </w:rPr>
        <w:t>ARTICLE IX. MISCELLANEOUS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hereto shall be in writing and shall be deemed to have been duly given or made: (a) as of the date delivered, if delivered personally; (b) on the date the delivering Party receives confirmation, if delivered by facsimile;</w:t>
      </w:r>
    </w:p>
    <w:p>
      <w:pPr>
        <w:jc w:val="both"/>
        <w:ind w:firstLine="8"/>
        <w:spacing w:after="0" w:line="255" w:lineRule="auto"/>
        <w:tabs>
          <w:tab w:leader="none" w:pos="25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three (3)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left="1920" w:hanging="615"/>
        <w:spacing w:after="0"/>
        <w:tabs>
          <w:tab w:leader="none" w:pos="19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If to GRC: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Thomson Reuters (GRC)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920" w:hanging="615"/>
        <w:spacing w:after="0"/>
        <w:tabs>
          <w:tab w:leader="none" w:pos="19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to TRM: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Thomson Reuters (Markets)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both"/>
        <w:ind w:left="1300" w:right="8380" w:firstLine="5"/>
        <w:spacing w:after="0" w:line="563" w:lineRule="auto"/>
        <w:tabs>
          <w:tab w:leader="none" w:pos="193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to Tradeweb: Tradeweb Markets LLC</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1177 Avenue of the Americas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Scott Zucker, Chief Administrative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646-430-6255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10022-4834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Louis Trotta,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212-906-1662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212-751-4864</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5" w:name="page296"/>
    <w:bookmarkEnd w:id="295"/>
    <w:p>
      <w:pPr>
        <w:jc w:val="both"/>
        <w:ind w:firstLine="648"/>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reference purposes only and shall not affect in any way the meaning or interpretation of this Second A&amp;R Agreement.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Second A&amp;R Agreement is invalid, illegal or incapable of being enforced by any rule of Law or public policy, all other conditions and provisions of this Second A&amp;R Agreement shall nevertheless remain in full force and effect so long as the economic or legal substance of the transactions contemplated hereby is not affected in any manner materially adverse to any Party. Upon a determination that any term or other provision is invalid, illegal or incapable of being enforced, the Parties shall negotiate in good faith to modify this Second A&amp;R Agreement so as to effect the original intent of the Parties as closely as possible in an acceptable manner to the end that the transactions contemplated hereby are fulfilled to the greatest extent possible.</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Force Majeure</w:t>
      </w:r>
      <w:r>
        <w:rPr>
          <w:rFonts w:ascii="Arial" w:cs="Arial" w:eastAsia="Arial" w:hAnsi="Arial"/>
          <w:sz w:val="18"/>
          <w:szCs w:val="18"/>
          <w:color w:val="auto"/>
        </w:rPr>
        <w:t>. No Party shall be liable to the other for any failure to perform any of its obligation under this Second A&amp;R Agreement, including any failure or delay by Tradeweb to provide Licensed Data to GRC, resulting from any event or condition beyond the reasonable control of such Party, including acts of God, fire, labor or trade disturbance, war, civil commotion, compliance in good faith with any Law, any failure or delay of the internet, satellite, cable, supply of third party data, broadcast or telecommunications equipment or service, and unavailability of materials, or other event or condition outside the control of such Party whether similar or dissimilar to the foregoing (a “</w:t>
      </w:r>
      <w:r>
        <w:rPr>
          <w:rFonts w:ascii="Arial" w:cs="Arial" w:eastAsia="Arial" w:hAnsi="Arial"/>
          <w:sz w:val="18"/>
          <w:szCs w:val="18"/>
          <w:u w:val="single" w:color="auto"/>
          <w:color w:val="auto"/>
        </w:rPr>
        <w:t>Force Majeure Event</w:t>
      </w:r>
      <w:r>
        <w:rPr>
          <w:rFonts w:ascii="Arial" w:cs="Arial" w:eastAsia="Arial" w:hAnsi="Arial"/>
          <w:sz w:val="18"/>
          <w:szCs w:val="18"/>
          <w:color w:val="auto"/>
        </w:rPr>
        <w:t>”). Any Party that is unable to perform an obligation under this Second A&amp;R Agreement due to a Force Majeure Event shall give prompt notice to the other Parties of the occurrence, nature and anticipated duration of such Force Majeure Event, including a Force Majeure Event that gives rise to any suspension of the provision of Licensed Data, and the Parties shall cooperate with each other to find alternative means and methods to perform such obligation, including to enable delivery to GRC of any suspended Licensed Data.</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Second A&amp;R Agreement (together with any Schedules, and any provisions in effect from the Amended Agreement and Original Agreement) constitutes the entire agreement of the Parties and supersedes all prior agreements and undertakings, both written and oral, among the Parties with respect to the subject matter hereof.</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This Second A&amp;R Agreement shall not be assigned by (a) Tradeweb (except by operation of Law) without the prior written consent of the Refinitiv Parties, which may be withheld in either Refinitiv Party’s sole discretion, or (b) either Refinitiv Party (except by operation of Law) without the prior written consent of Tradeweb, which may be withheld in Tradeweb’s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Refinitiv Parties shall be entitled to assign this Second A&amp;R Agreement: (i) to any Affiliate of GRC or TRM; or (ii) to an entity that acquires all or substantially all of the business or assets of GRC or TRM. Any attempted assignment in violation of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shall be null and void.</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This Second A&amp;R Agreement shall be binding upon, inure solely to the benefit of, and be enforceable by each Party and their respective successors and permitted assigns hereto, and nothing in this Second A&amp;R Agreement, express or implied, is intended to or shall confer upon any other Person other than the Parties any right, benefit, or remedy of any nature whatsoever under or by reason of this Second A&amp;R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96" w:name="page297"/>
    <w:bookmarkEnd w:id="296"/>
    <w:p>
      <w:pPr>
        <w:jc w:val="both"/>
        <w:ind w:firstLine="648"/>
        <w:spacing w:after="0" w:line="264"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Second A&amp;R Agreement and the rights and obligations of the Parties hereto shall be interpreted and enforced in accordance with and governed by the laws of the State of New York applicable to agreements made and to be performed wholly within that jurisdiction.</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9.9.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xml:space="preserve">. This provision does not apply to any Dispute Resolution Matter. Each Party hereby irrevocably consents and agrees, for the benefit of each Party, to submit to the jurisdiction of any New York state court sitting in the borough of Manhattan in the City of New York or any federal court sitting in the borough of Manhattan in the City of New York in respect of any suit, action or proceeding arising out of or relating to this Second A&amp;R Agreement, and irrevocably accepts for its and in respect of its property, generally and unconditionally, jurisdiction of the aforesaid courts. Each Party irrevocably waives, to the fullest extent it may effectively do so under applicable Law, trial by jury and any objection that it may now or hereafter have to the laying of venue of any such suit, action or proceeding brought in any such court and any claim that any such suit, action or proceeding brought in any such court has been brought in an inconvenient forum. Each Party irrevocably consents, to the fullest extent it may effectively do so under applicable Law, to the service of process of any of the aforementioned courts in any such action or proceeding by the mailing of copies thereof by registered or certified mail, postage prepaid, to such Party at its address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such other address as it may specify from time to time by notice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9.1</w:t>
      </w:r>
      <w:r>
        <w:rPr>
          <w:rFonts w:ascii="Arial" w:cs="Arial" w:eastAsia="Arial" w:hAnsi="Arial"/>
          <w:sz w:val="16"/>
          <w:szCs w:val="16"/>
          <w:color w:val="auto"/>
        </w:rPr>
        <w:t>, such service to become effective thirty (30) days after such mailing. Nothing herein shall affect the right of any Party to serve process in any other manner permitted by Law or to commence legal proceedings or otherwise proceed against any other Party in any other jurisdiction.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Second A&amp;R Agreement may be executed and delivered in one or more counterparts, and by the Parties in separate counterparts, each of which when executed and delivered shall be deemed to be an original but all of which taken together shall constitute one and the same agreement.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shall cooperate reasonably with each other and with their respective representatives in connection with any steps required to be taken as part of their respective obligations under this Second A&amp;R Agreement, and shall: (a) furnish upon request to each other such further information; (b) execute and deliver to each other such other documents; and (c) do such other acts and things, all as any other Party may reasonably request for the purpose of carrying out the transactions contemplated hereby.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Amendments</w:t>
      </w:r>
      <w:r>
        <w:rPr>
          <w:rFonts w:ascii="Arial" w:cs="Arial" w:eastAsia="Arial" w:hAnsi="Arial"/>
          <w:sz w:val="18"/>
          <w:szCs w:val="18"/>
          <w:color w:val="auto"/>
        </w:rPr>
        <w:t>. The terms and provisions of this Second A&amp;R Agreement may not be modified or amended at any time without the written agreement of the Parties.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Waiver</w:t>
      </w:r>
      <w:r>
        <w:rPr>
          <w:rFonts w:ascii="Arial" w:cs="Arial" w:eastAsia="Arial" w:hAnsi="Arial"/>
          <w:sz w:val="18"/>
          <w:szCs w:val="18"/>
          <w:color w:val="auto"/>
        </w:rPr>
        <w:t>. The failure of any Party to assert any of its rights under this Second A&amp;R Agreement or otherwise shall not constitute a waiver of such rights.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agree that irreparable damage would occur in the event that any material provision of this Second A&amp;R Agreement was not materially performed in accordance with the terms hereof and that the Parties shall be entitled to seek specific performance of such terms hereof, in addition to any other remedy at Law or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7" w:name="page298"/>
    <w:bookmarkEnd w:id="297"/>
    <w:p>
      <w:pPr>
        <w:ind w:left="660"/>
        <w:spacing w:after="0"/>
        <w:rPr>
          <w:sz w:val="20"/>
          <w:szCs w:val="20"/>
          <w:color w:val="auto"/>
        </w:rPr>
      </w:pPr>
      <w:r>
        <w:rPr>
          <w:rFonts w:ascii="Arial" w:cs="Arial" w:eastAsia="Arial" w:hAnsi="Arial"/>
          <w:sz w:val="18"/>
          <w:szCs w:val="18"/>
          <w:color w:val="auto"/>
        </w:rPr>
        <w:t>IN WITNESS WHEREOF, the Parties have executed this Second A&amp;R Agreement as of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THOMSON REUTERS (GRC)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Andrews</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Sarah Andrews</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Global Head of Partner Marketplace Proposition</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THOMSON REUTERS (MARKETS) LLC</w:t>
            </w:r>
          </w:p>
        </w:tc>
      </w:tr>
      <w:tr>
        <w:trPr>
          <w:trHeight w:val="432"/>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Andrews</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Sarah Andrews</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Global Head of Partner Marketplace Proposition</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TRADEWEB MARKETS LLC</w:t>
            </w:r>
          </w:p>
        </w:tc>
      </w:tr>
      <w:tr>
        <w:trPr>
          <w:trHeight w:val="432"/>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Lee Olesky</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CEO</w:t>
            </w:r>
          </w:p>
        </w:tc>
      </w:tr>
      <w:tr>
        <w:trPr>
          <w:trHeight w:val="675"/>
        </w:trPr>
        <w:tc>
          <w:tcPr>
            <w:tcW w:w="6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98" w:name="page299"/>
    <w:bookmarkEnd w:id="298"/>
    <w:p>
      <w:pPr>
        <w:jc w:val="center"/>
        <w:ind w:right="-19"/>
        <w:spacing w:after="0"/>
        <w:rPr>
          <w:sz w:val="20"/>
          <w:szCs w:val="20"/>
          <w:color w:val="auto"/>
        </w:rPr>
      </w:pPr>
      <w:r>
        <w:rPr>
          <w:rFonts w:ascii="Arial" w:cs="Arial" w:eastAsia="Arial" w:hAnsi="Arial"/>
          <w:sz w:val="17"/>
          <w:szCs w:val="17"/>
          <w:b w:val="1"/>
          <w:bCs w:val="1"/>
          <w:u w:val="single" w:color="auto"/>
          <w:color w:val="auto"/>
        </w:rPr>
        <w:t>SCHEDULE A</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Restricted List</w:t>
      </w:r>
    </w:p>
    <w:p>
      <w:pPr>
        <w:sectPr>
          <w:pgSz w:w="11900" w:h="16838" w:orient="portrait"/>
          <w:cols w:equalWidth="0" w:num="1">
            <w:col w:w="11420"/>
          </w:cols>
          <w:pgMar w:left="240" w:top="1148" w:right="239" w:bottom="1440" w:gutter="0" w:footer="0" w:header="0"/>
        </w:sect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840" w:type="dxa"/>
            <w:vAlign w:val="bottom"/>
            <w:tcBorders>
              <w:top w:val="single" w:sz="8" w:color="auto"/>
              <w:left w:val="single" w:sz="8" w:color="auto"/>
            </w:tcBorders>
            <w:shd w:val="clear" w:color="auto" w:fill="D9D9D9"/>
          </w:tcPr>
          <w:p>
            <w:pPr>
              <w:spacing w:after="0"/>
              <w:rPr>
                <w:sz w:val="24"/>
                <w:szCs w:val="24"/>
                <w:color w:val="auto"/>
              </w:rPr>
            </w:pPr>
          </w:p>
        </w:tc>
        <w:tc>
          <w:tcPr>
            <w:tcW w:w="2500" w:type="dxa"/>
            <w:vAlign w:val="bottom"/>
            <w:tcBorders>
              <w:top w:val="single" w:sz="8" w:color="auto"/>
              <w:right w:val="single" w:sz="8" w:color="auto"/>
            </w:tcBorders>
            <w:vMerge w:val="restart"/>
            <w:shd w:val="clear" w:color="auto" w:fill="D9D9D9"/>
          </w:tcPr>
          <w:p>
            <w:pPr>
              <w:ind w:left="320"/>
              <w:spacing w:after="0"/>
              <w:rPr>
                <w:sz w:val="20"/>
                <w:szCs w:val="20"/>
                <w:color w:val="auto"/>
              </w:rPr>
            </w:pPr>
            <w:r>
              <w:rPr>
                <w:rFonts w:ascii="Arial" w:cs="Arial" w:eastAsia="Arial" w:hAnsi="Arial"/>
                <w:sz w:val="18"/>
                <w:szCs w:val="18"/>
                <w:color w:val="auto"/>
              </w:rPr>
              <w:t>FIRM NAME</w:t>
            </w:r>
          </w:p>
        </w:tc>
        <w:tc>
          <w:tcPr>
            <w:tcW w:w="1800" w:type="dxa"/>
            <w:vAlign w:val="bottom"/>
            <w:tcBorders>
              <w:top w:val="single" w:sz="8" w:color="auto"/>
              <w:right w:val="single" w:sz="8" w:color="auto"/>
            </w:tcBorders>
            <w:gridSpan w:val="5"/>
            <w:shd w:val="clear" w:color="auto" w:fill="D9D9D9"/>
          </w:tcPr>
          <w:p>
            <w:pPr>
              <w:jc w:val="center"/>
              <w:spacing w:after="0"/>
              <w:rPr>
                <w:sz w:val="20"/>
                <w:szCs w:val="20"/>
                <w:color w:val="auto"/>
              </w:rPr>
            </w:pPr>
            <w:r>
              <w:rPr>
                <w:rFonts w:ascii="Arial" w:cs="Arial" w:eastAsia="Arial" w:hAnsi="Arial"/>
                <w:sz w:val="18"/>
                <w:szCs w:val="18"/>
                <w:color w:val="auto"/>
                <w:w w:val="95"/>
              </w:rPr>
              <w:t>RESTRICTED</w:t>
            </w:r>
          </w:p>
        </w:tc>
        <w:tc>
          <w:tcPr>
            <w:tcW w:w="0" w:type="dxa"/>
            <w:vAlign w:val="bottom"/>
          </w:tcPr>
          <w:p>
            <w:pPr>
              <w:spacing w:after="0"/>
              <w:rPr>
                <w:sz w:val="1"/>
                <w:szCs w:val="1"/>
                <w:color w:val="auto"/>
              </w:rPr>
            </w:pPr>
          </w:p>
        </w:tc>
      </w:tr>
      <w:tr>
        <w:trPr>
          <w:trHeight w:val="108"/>
        </w:trPr>
        <w:tc>
          <w:tcPr>
            <w:tcW w:w="840" w:type="dxa"/>
            <w:vAlign w:val="bottom"/>
            <w:tcBorders>
              <w:left w:val="single" w:sz="8" w:color="auto"/>
            </w:tcBorders>
            <w:shd w:val="clear" w:color="auto" w:fill="D9D9D9"/>
          </w:tcPr>
          <w:p>
            <w:pPr>
              <w:spacing w:after="0"/>
              <w:rPr>
                <w:sz w:val="9"/>
                <w:szCs w:val="9"/>
                <w:color w:val="auto"/>
              </w:rPr>
            </w:pPr>
          </w:p>
        </w:tc>
        <w:tc>
          <w:tcPr>
            <w:tcW w:w="2500" w:type="dxa"/>
            <w:vAlign w:val="bottom"/>
            <w:tcBorders>
              <w:right w:val="single" w:sz="8" w:color="auto"/>
            </w:tcBorders>
            <w:vMerge w:val="continue"/>
            <w:shd w:val="clear" w:color="auto" w:fill="D9D9D9"/>
          </w:tcPr>
          <w:p>
            <w:pPr>
              <w:spacing w:after="0"/>
              <w:rPr>
                <w:sz w:val="9"/>
                <w:szCs w:val="9"/>
                <w:color w:val="auto"/>
              </w:rPr>
            </w:pPr>
          </w:p>
        </w:tc>
        <w:tc>
          <w:tcPr>
            <w:tcW w:w="54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rPr>
              <w:t>TWI</w:t>
            </w:r>
          </w:p>
        </w:tc>
        <w:tc>
          <w:tcPr>
            <w:tcW w:w="20" w:type="dxa"/>
            <w:vAlign w:val="bottom"/>
            <w:shd w:val="clear" w:color="auto" w:fill="D9D9D9"/>
          </w:tcPr>
          <w:p>
            <w:pPr>
              <w:spacing w:after="0"/>
              <w:rPr>
                <w:sz w:val="9"/>
                <w:szCs w:val="9"/>
                <w:color w:val="auto"/>
              </w:rPr>
            </w:pPr>
          </w:p>
        </w:tc>
        <w:tc>
          <w:tcPr>
            <w:tcW w:w="66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rPr>
              <w:t>TWD</w:t>
            </w:r>
          </w:p>
        </w:tc>
        <w:tc>
          <w:tcPr>
            <w:tcW w:w="20" w:type="dxa"/>
            <w:vAlign w:val="bottom"/>
            <w:shd w:val="clear" w:color="auto" w:fill="D9D9D9"/>
          </w:tcPr>
          <w:p>
            <w:pPr>
              <w:spacing w:after="0"/>
              <w:rPr>
                <w:sz w:val="9"/>
                <w:szCs w:val="9"/>
                <w:color w:val="auto"/>
              </w:rPr>
            </w:pPr>
          </w:p>
        </w:tc>
        <w:tc>
          <w:tcPr>
            <w:tcW w:w="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9"/>
              </w:rPr>
              <w:t>DW</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tcBorders>
            <w:shd w:val="clear" w:color="auto" w:fill="D9D9D9"/>
          </w:tcPr>
          <w:p>
            <w:pPr>
              <w:spacing w:after="0"/>
              <w:rPr>
                <w:sz w:val="18"/>
                <w:szCs w:val="18"/>
                <w:color w:val="auto"/>
              </w:rPr>
            </w:pPr>
          </w:p>
        </w:tc>
        <w:tc>
          <w:tcPr>
            <w:tcW w:w="2500" w:type="dxa"/>
            <w:vAlign w:val="bottom"/>
            <w:tcBorders>
              <w:bottom w:val="single" w:sz="8" w:color="auto"/>
              <w:right w:val="single" w:sz="8" w:color="auto"/>
            </w:tcBorders>
            <w:shd w:val="clear" w:color="auto" w:fill="D9D9D9"/>
          </w:tcPr>
          <w:p>
            <w:pPr>
              <w:spacing w:after="0"/>
              <w:rPr>
                <w:sz w:val="18"/>
                <w:szCs w:val="18"/>
                <w:color w:val="auto"/>
              </w:rPr>
            </w:pPr>
          </w:p>
        </w:tc>
        <w:tc>
          <w:tcPr>
            <w:tcW w:w="540" w:type="dxa"/>
            <w:vAlign w:val="bottom"/>
            <w:tcBorders>
              <w:bottom w:val="single" w:sz="8" w:color="auto"/>
            </w:tcBorders>
            <w:vMerge w:val="continue"/>
            <w:shd w:val="clear" w:color="auto" w:fill="D9D9D9"/>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vMerge w:val="continue"/>
            <w:shd w:val="clear" w:color="auto" w:fill="D9D9D9"/>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vMerge w:val="continue"/>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38"/>
        </w:trPr>
        <w:tc>
          <w:tcPr>
            <w:tcW w:w="1060" w:type="dxa"/>
            <w:vAlign w:val="bottom"/>
            <w:tcBorders>
              <w:top w:val="single" w:sz="8" w:color="auto"/>
              <w:left w:val="single" w:sz="8" w:color="auto"/>
            </w:tcBorders>
            <w:shd w:val="clear" w:color="auto" w:fill="D9D9D9"/>
          </w:tcPr>
          <w:p>
            <w:pPr>
              <w:spacing w:after="0"/>
              <w:rPr>
                <w:sz w:val="24"/>
                <w:szCs w:val="24"/>
                <w:color w:val="auto"/>
              </w:rPr>
            </w:pPr>
          </w:p>
        </w:tc>
        <w:tc>
          <w:tcPr>
            <w:tcW w:w="3180" w:type="dxa"/>
            <w:vAlign w:val="bottom"/>
            <w:tcBorders>
              <w:top w:val="single" w:sz="8" w:color="auto"/>
              <w:right w:val="single" w:sz="8" w:color="auto"/>
            </w:tcBorders>
            <w:vMerge w:val="restart"/>
            <w:shd w:val="clear" w:color="auto" w:fill="D9D9D9"/>
          </w:tcPr>
          <w:p>
            <w:pPr>
              <w:ind w:left="540"/>
              <w:spacing w:after="0"/>
              <w:rPr>
                <w:sz w:val="20"/>
                <w:szCs w:val="20"/>
                <w:color w:val="auto"/>
              </w:rPr>
            </w:pPr>
            <w:r>
              <w:rPr>
                <w:rFonts w:ascii="Arial" w:cs="Arial" w:eastAsia="Arial" w:hAnsi="Arial"/>
                <w:sz w:val="18"/>
                <w:szCs w:val="18"/>
                <w:color w:val="auto"/>
              </w:rPr>
              <w:t>FIRM NAME</w:t>
            </w:r>
          </w:p>
        </w:tc>
        <w:tc>
          <w:tcPr>
            <w:tcW w:w="1800" w:type="dxa"/>
            <w:vAlign w:val="bottom"/>
            <w:tcBorders>
              <w:top w:val="single" w:sz="8" w:color="auto"/>
              <w:right w:val="single" w:sz="8" w:color="auto"/>
            </w:tcBorders>
            <w:gridSpan w:val="5"/>
            <w:shd w:val="clear" w:color="auto" w:fill="D9D9D9"/>
          </w:tcPr>
          <w:p>
            <w:pPr>
              <w:jc w:val="center"/>
              <w:spacing w:after="0"/>
              <w:rPr>
                <w:sz w:val="20"/>
                <w:szCs w:val="20"/>
                <w:color w:val="auto"/>
              </w:rPr>
            </w:pPr>
            <w:r>
              <w:rPr>
                <w:rFonts w:ascii="Arial" w:cs="Arial" w:eastAsia="Arial" w:hAnsi="Arial"/>
                <w:sz w:val="18"/>
                <w:szCs w:val="18"/>
                <w:color w:val="auto"/>
                <w:w w:val="95"/>
              </w:rPr>
              <w:t>RESTRICTED</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shd w:val="clear" w:color="auto" w:fill="D9D9D9"/>
          </w:tcPr>
          <w:p>
            <w:pPr>
              <w:spacing w:after="0"/>
              <w:rPr>
                <w:sz w:val="9"/>
                <w:szCs w:val="9"/>
                <w:color w:val="auto"/>
              </w:rPr>
            </w:pPr>
          </w:p>
        </w:tc>
        <w:tc>
          <w:tcPr>
            <w:tcW w:w="3180" w:type="dxa"/>
            <w:vAlign w:val="bottom"/>
            <w:tcBorders>
              <w:right w:val="single" w:sz="8" w:color="auto"/>
            </w:tcBorders>
            <w:vMerge w:val="continue"/>
            <w:shd w:val="clear" w:color="auto" w:fill="D9D9D9"/>
          </w:tcPr>
          <w:p>
            <w:pPr>
              <w:spacing w:after="0"/>
              <w:rPr>
                <w:sz w:val="9"/>
                <w:szCs w:val="9"/>
                <w:color w:val="auto"/>
              </w:rPr>
            </w:pPr>
          </w:p>
        </w:tc>
        <w:tc>
          <w:tcPr>
            <w:tcW w:w="54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rPr>
              <w:t>TWI</w:t>
            </w:r>
          </w:p>
        </w:tc>
        <w:tc>
          <w:tcPr>
            <w:tcW w:w="20" w:type="dxa"/>
            <w:vAlign w:val="bottom"/>
            <w:shd w:val="clear" w:color="auto" w:fill="D9D9D9"/>
          </w:tcPr>
          <w:p>
            <w:pPr>
              <w:spacing w:after="0"/>
              <w:rPr>
                <w:sz w:val="9"/>
                <w:szCs w:val="9"/>
                <w:color w:val="auto"/>
              </w:rPr>
            </w:pPr>
          </w:p>
        </w:tc>
        <w:tc>
          <w:tcPr>
            <w:tcW w:w="66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rPr>
              <w:t>TWD</w:t>
            </w:r>
          </w:p>
        </w:tc>
        <w:tc>
          <w:tcPr>
            <w:tcW w:w="20" w:type="dxa"/>
            <w:vAlign w:val="bottom"/>
            <w:shd w:val="clear" w:color="auto" w:fill="D9D9D9"/>
          </w:tcPr>
          <w:p>
            <w:pPr>
              <w:spacing w:after="0"/>
              <w:rPr>
                <w:sz w:val="9"/>
                <w:szCs w:val="9"/>
                <w:color w:val="auto"/>
              </w:rPr>
            </w:pPr>
          </w:p>
        </w:tc>
        <w:tc>
          <w:tcPr>
            <w:tcW w:w="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9"/>
              </w:rPr>
              <w:t>DW</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tcBorders>
            <w:shd w:val="clear" w:color="auto" w:fill="D9D9D9"/>
          </w:tcPr>
          <w:p>
            <w:pPr>
              <w:spacing w:after="0"/>
              <w:rPr>
                <w:sz w:val="18"/>
                <w:szCs w:val="18"/>
                <w:color w:val="auto"/>
              </w:rPr>
            </w:pPr>
          </w:p>
        </w:tc>
        <w:tc>
          <w:tcPr>
            <w:tcW w:w="3180" w:type="dxa"/>
            <w:vAlign w:val="bottom"/>
            <w:tcBorders>
              <w:bottom w:val="single" w:sz="8" w:color="auto"/>
              <w:right w:val="single" w:sz="8" w:color="auto"/>
            </w:tcBorders>
            <w:shd w:val="clear" w:color="auto" w:fill="D9D9D9"/>
          </w:tcPr>
          <w:p>
            <w:pPr>
              <w:spacing w:after="0"/>
              <w:rPr>
                <w:sz w:val="18"/>
                <w:szCs w:val="18"/>
                <w:color w:val="auto"/>
              </w:rPr>
            </w:pPr>
          </w:p>
        </w:tc>
        <w:tc>
          <w:tcPr>
            <w:tcW w:w="540" w:type="dxa"/>
            <w:vAlign w:val="bottom"/>
            <w:tcBorders>
              <w:bottom w:val="single" w:sz="8" w:color="auto"/>
            </w:tcBorders>
            <w:vMerge w:val="continue"/>
            <w:shd w:val="clear" w:color="auto" w:fill="D9D9D9"/>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vMerge w:val="continue"/>
            <w:shd w:val="clear" w:color="auto" w:fill="D9D9D9"/>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vMerge w:val="continue"/>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565785</wp:posOffset>
            </wp:positionV>
            <wp:extent cx="724662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140" w:space="240"/>
            <w:col w:w="6040"/>
          </w:cols>
          <w:pgMar w:left="240" w:top="1148" w:right="239" w:bottom="1440" w:gutter="0" w:footer="0" w:header="0"/>
          <w:type w:val="continuous"/>
        </w:sectPr>
      </w:pPr>
    </w:p>
    <w:bookmarkStart w:id="299" w:name="page300"/>
    <w:bookmarkEnd w:id="299"/>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940" w:type="dxa"/>
            <w:vAlign w:val="bottom"/>
          </w:tcPr>
          <w:p>
            <w:pPr>
              <w:ind w:left="940"/>
              <w:spacing w:after="0"/>
              <w:rPr>
                <w:sz w:val="20"/>
                <w:szCs w:val="20"/>
                <w:color w:val="auto"/>
              </w:rPr>
            </w:pPr>
            <w:r>
              <w:rPr>
                <w:rFonts w:ascii="Arial" w:cs="Arial" w:eastAsia="Arial" w:hAnsi="Arial"/>
                <w:sz w:val="18"/>
                <w:szCs w:val="18"/>
                <w:b w:val="1"/>
                <w:bCs w:val="1"/>
                <w:color w:val="auto"/>
              </w:rPr>
              <w:t>SCHEDULE B</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940" w:type="dxa"/>
            <w:vAlign w:val="bottom"/>
          </w:tcPr>
          <w:p>
            <w:pPr>
              <w:ind w:left="260"/>
              <w:spacing w:after="0"/>
              <w:rPr>
                <w:sz w:val="20"/>
                <w:szCs w:val="20"/>
                <w:color w:val="auto"/>
              </w:rPr>
            </w:pPr>
            <w:r>
              <w:rPr>
                <w:rFonts w:ascii="Arial" w:cs="Arial" w:eastAsia="Arial" w:hAnsi="Arial"/>
                <w:sz w:val="18"/>
                <w:szCs w:val="18"/>
                <w:b w:val="1"/>
                <w:bCs w:val="1"/>
                <w:color w:val="auto"/>
              </w:rPr>
              <w:t>Exclusive Licensed Market Data</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20" w:type="dxa"/>
            <w:vAlign w:val="bottom"/>
            <w:shd w:val="clear" w:color="auto" w:fill="EEECE1"/>
          </w:tcPr>
          <w:p>
            <w:pPr>
              <w:ind w:left="60"/>
              <w:spacing w:after="0" w:line="126" w:lineRule="exact"/>
              <w:rPr>
                <w:sz w:val="20"/>
                <w:szCs w:val="20"/>
                <w:color w:val="auto"/>
              </w:rPr>
            </w:pPr>
            <w:r>
              <w:rPr>
                <w:rFonts w:ascii="Arial" w:cs="Arial" w:eastAsia="Arial" w:hAnsi="Arial"/>
                <w:sz w:val="14"/>
                <w:szCs w:val="14"/>
                <w:b w:val="1"/>
                <w:bCs w:val="1"/>
                <w:color w:val="auto"/>
              </w:rPr>
              <w:t>1</w:t>
            </w:r>
          </w:p>
        </w:tc>
        <w:tc>
          <w:tcPr>
            <w:tcW w:w="600" w:type="dxa"/>
            <w:vAlign w:val="bottom"/>
            <w:shd w:val="clear" w:color="auto" w:fill="EEECE1"/>
          </w:tcPr>
          <w:p>
            <w:pPr>
              <w:ind w:left="40"/>
              <w:spacing w:after="0" w:line="126" w:lineRule="exact"/>
              <w:rPr>
                <w:sz w:val="20"/>
                <w:szCs w:val="20"/>
                <w:color w:val="auto"/>
              </w:rPr>
            </w:pPr>
            <w:r>
              <w:rPr>
                <w:rFonts w:ascii="Arial" w:cs="Arial" w:eastAsia="Arial" w:hAnsi="Arial"/>
                <w:sz w:val="14"/>
                <w:szCs w:val="14"/>
                <w:b w:val="1"/>
                <w:bCs w:val="1"/>
                <w:color w:val="auto"/>
              </w:rPr>
              <w:t>2</w:t>
            </w:r>
          </w:p>
        </w:tc>
        <w:tc>
          <w:tcPr>
            <w:tcW w:w="820" w:type="dxa"/>
            <w:vAlign w:val="bottom"/>
            <w:shd w:val="clear" w:color="auto" w:fill="EEECE1"/>
          </w:tcPr>
          <w:p>
            <w:pPr>
              <w:ind w:left="40"/>
              <w:spacing w:after="0" w:line="126" w:lineRule="exact"/>
              <w:rPr>
                <w:sz w:val="20"/>
                <w:szCs w:val="20"/>
                <w:color w:val="auto"/>
              </w:rPr>
            </w:pPr>
            <w:r>
              <w:rPr>
                <w:rFonts w:ascii="Arial" w:cs="Arial" w:eastAsia="Arial" w:hAnsi="Arial"/>
                <w:sz w:val="14"/>
                <w:szCs w:val="14"/>
                <w:b w:val="1"/>
                <w:bCs w:val="1"/>
                <w:color w:val="auto"/>
              </w:rPr>
              <w:t>3</w:t>
            </w:r>
          </w:p>
        </w:tc>
        <w:tc>
          <w:tcPr>
            <w:tcW w:w="1260" w:type="dxa"/>
            <w:vAlign w:val="bottom"/>
            <w:shd w:val="clear" w:color="auto" w:fill="EEECE1"/>
          </w:tcPr>
          <w:p>
            <w:pPr>
              <w:ind w:left="40"/>
              <w:spacing w:after="0" w:line="126" w:lineRule="exact"/>
              <w:rPr>
                <w:sz w:val="20"/>
                <w:szCs w:val="20"/>
                <w:color w:val="auto"/>
              </w:rPr>
            </w:pPr>
            <w:r>
              <w:rPr>
                <w:rFonts w:ascii="Arial" w:cs="Arial" w:eastAsia="Arial" w:hAnsi="Arial"/>
                <w:sz w:val="14"/>
                <w:szCs w:val="14"/>
                <w:b w:val="1"/>
                <w:bCs w:val="1"/>
                <w:color w:val="auto"/>
              </w:rPr>
              <w:t>4</w:t>
            </w:r>
          </w:p>
        </w:tc>
        <w:tc>
          <w:tcPr>
            <w:tcW w:w="1200" w:type="dxa"/>
            <w:vAlign w:val="bottom"/>
            <w:shd w:val="clear" w:color="auto" w:fill="EEECE1"/>
          </w:tcPr>
          <w:p>
            <w:pPr>
              <w:ind w:left="40"/>
              <w:spacing w:after="0" w:line="126" w:lineRule="exact"/>
              <w:rPr>
                <w:sz w:val="20"/>
                <w:szCs w:val="20"/>
                <w:color w:val="auto"/>
              </w:rPr>
            </w:pPr>
            <w:r>
              <w:rPr>
                <w:rFonts w:ascii="Arial" w:cs="Arial" w:eastAsia="Arial" w:hAnsi="Arial"/>
                <w:sz w:val="14"/>
                <w:szCs w:val="14"/>
                <w:b w:val="1"/>
                <w:bCs w:val="1"/>
                <w:color w:val="auto"/>
              </w:rPr>
              <w:t>5</w:t>
            </w:r>
          </w:p>
        </w:tc>
        <w:tc>
          <w:tcPr>
            <w:tcW w:w="5940" w:type="dxa"/>
            <w:vAlign w:val="bottom"/>
            <w:shd w:val="clear" w:color="auto" w:fill="EEECE1"/>
          </w:tcPr>
          <w:p>
            <w:pPr>
              <w:ind w:left="280"/>
              <w:spacing w:after="0" w:line="126" w:lineRule="exact"/>
              <w:rPr>
                <w:sz w:val="20"/>
                <w:szCs w:val="20"/>
                <w:color w:val="auto"/>
              </w:rPr>
            </w:pPr>
            <w:r>
              <w:rPr>
                <w:rFonts w:ascii="Arial" w:cs="Arial" w:eastAsia="Arial" w:hAnsi="Arial"/>
                <w:sz w:val="14"/>
                <w:szCs w:val="14"/>
                <w:color w:val="auto"/>
              </w:rPr>
              <w:t>6</w:t>
            </w:r>
          </w:p>
        </w:tc>
        <w:tc>
          <w:tcPr>
            <w:tcW w:w="1280" w:type="dxa"/>
            <w:vAlign w:val="bottom"/>
            <w:shd w:val="clear" w:color="auto" w:fill="EEECE1"/>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260" w:type="dxa"/>
            <w:vAlign w:val="bottom"/>
            <w:shd w:val="clear" w:color="auto" w:fill="EEECE1"/>
          </w:tcPr>
          <w:p>
            <w:pPr>
              <w:spacing w:after="0"/>
              <w:rPr>
                <w:sz w:val="12"/>
                <w:szCs w:val="12"/>
                <w:color w:val="auto"/>
              </w:rPr>
            </w:pPr>
          </w:p>
        </w:tc>
        <w:tc>
          <w:tcPr>
            <w:tcW w:w="1200" w:type="dxa"/>
            <w:vAlign w:val="bottom"/>
            <w:shd w:val="clear" w:color="auto" w:fill="EEECE1"/>
          </w:tcPr>
          <w:p>
            <w:pPr>
              <w:spacing w:after="0"/>
              <w:rPr>
                <w:sz w:val="12"/>
                <w:szCs w:val="12"/>
                <w:color w:val="auto"/>
              </w:rPr>
            </w:pPr>
          </w:p>
        </w:tc>
        <w:tc>
          <w:tcPr>
            <w:tcW w:w="5940" w:type="dxa"/>
            <w:vAlign w:val="bottom"/>
            <w:shd w:val="clear" w:color="auto" w:fill="EEECE1"/>
          </w:tcPr>
          <w:p>
            <w:pPr>
              <w:spacing w:after="0"/>
              <w:rPr>
                <w:sz w:val="12"/>
                <w:szCs w:val="12"/>
                <w:color w:val="auto"/>
              </w:rPr>
            </w:pPr>
          </w:p>
        </w:tc>
        <w:tc>
          <w:tcPr>
            <w:tcW w:w="128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1420" w:type="dxa"/>
            <w:vAlign w:val="bottom"/>
            <w:gridSpan w:val="2"/>
            <w:shd w:val="clear" w:color="auto" w:fill="EEECE1"/>
          </w:tcPr>
          <w:p>
            <w:pPr>
              <w:ind w:left="40"/>
              <w:spacing w:after="0"/>
              <w:rPr>
                <w:sz w:val="20"/>
                <w:szCs w:val="20"/>
                <w:color w:val="auto"/>
              </w:rPr>
            </w:pPr>
            <w:r>
              <w:rPr>
                <w:rFonts w:ascii="Arial" w:cs="Arial" w:eastAsia="Arial" w:hAnsi="Arial"/>
                <w:sz w:val="14"/>
                <w:szCs w:val="14"/>
                <w:b w:val="1"/>
                <w:bCs w:val="1"/>
                <w:color w:val="auto"/>
                <w:w w:val="98"/>
              </w:rPr>
              <w:t>Global Governments</w:t>
            </w:r>
          </w:p>
        </w:tc>
        <w:tc>
          <w:tcPr>
            <w:tcW w:w="1260" w:type="dxa"/>
            <w:vAlign w:val="bottom"/>
            <w:shd w:val="clear" w:color="auto" w:fill="EEECE1"/>
          </w:tcPr>
          <w:p>
            <w:pPr>
              <w:spacing w:after="0"/>
              <w:rPr>
                <w:sz w:val="14"/>
                <w:szCs w:val="14"/>
                <w:color w:val="auto"/>
              </w:rPr>
            </w:pPr>
          </w:p>
        </w:tc>
        <w:tc>
          <w:tcPr>
            <w:tcW w:w="1200" w:type="dxa"/>
            <w:vAlign w:val="bottom"/>
            <w:shd w:val="clear" w:color="auto" w:fill="EEECE1"/>
          </w:tcPr>
          <w:p>
            <w:pPr>
              <w:spacing w:after="0"/>
              <w:rPr>
                <w:sz w:val="14"/>
                <w:szCs w:val="14"/>
                <w:color w:val="auto"/>
              </w:rPr>
            </w:pPr>
          </w:p>
        </w:tc>
        <w:tc>
          <w:tcPr>
            <w:tcW w:w="5940" w:type="dxa"/>
            <w:vAlign w:val="bottom"/>
            <w:shd w:val="clear" w:color="auto" w:fill="EEECE1"/>
          </w:tcPr>
          <w:p>
            <w:pPr>
              <w:spacing w:after="0"/>
              <w:rPr>
                <w:sz w:val="14"/>
                <w:szCs w:val="14"/>
                <w:color w:val="auto"/>
              </w:rPr>
            </w:pPr>
          </w:p>
        </w:tc>
        <w:tc>
          <w:tcPr>
            <w:tcW w:w="12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80" w:type="dxa"/>
            <w:vAlign w:val="bottom"/>
            <w:gridSpan w:val="3"/>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North America Governments</w:t>
            </w:r>
          </w:p>
        </w:tc>
        <w:tc>
          <w:tcPr>
            <w:tcW w:w="1200" w:type="dxa"/>
            <w:vAlign w:val="bottom"/>
            <w:shd w:val="clear" w:color="auto" w:fill="C00000"/>
          </w:tcPr>
          <w:p>
            <w:pPr>
              <w:spacing w:after="0"/>
              <w:rPr>
                <w:sz w:val="12"/>
                <w:szCs w:val="12"/>
                <w:color w:val="auto"/>
              </w:rPr>
            </w:pPr>
          </w:p>
        </w:tc>
        <w:tc>
          <w:tcPr>
            <w:tcW w:w="5940" w:type="dxa"/>
            <w:vAlign w:val="bottom"/>
            <w:shd w:val="clear" w:color="auto" w:fill="C00000"/>
          </w:tcPr>
          <w:p>
            <w:pPr>
              <w:spacing w:after="0"/>
              <w:rPr>
                <w:sz w:val="12"/>
                <w:szCs w:val="12"/>
                <w:color w:val="auto"/>
              </w:rPr>
            </w:pPr>
          </w:p>
        </w:tc>
        <w:tc>
          <w:tcPr>
            <w:tcW w:w="128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8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United States (US)</w:t>
            </w:r>
          </w:p>
        </w:tc>
        <w:tc>
          <w:tcPr>
            <w:tcW w:w="120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128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Arial" w:cs="Arial" w:eastAsia="Arial" w:hAnsi="Arial"/>
                <w:sz w:val="14"/>
                <w:szCs w:val="14"/>
                <w:color w:val="auto"/>
              </w:rPr>
              <w:t>USD</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Bills</w:t>
            </w:r>
          </w:p>
        </w:tc>
        <w:tc>
          <w:tcPr>
            <w:tcW w:w="5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REGBILL, On The Run Treasury Bills</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940" w:type="dxa"/>
            <w:vAlign w:val="bottom"/>
          </w:tcPr>
          <w:p>
            <w:pPr>
              <w:ind w:left="280"/>
              <w:spacing w:after="0" w:line="149" w:lineRule="exact"/>
              <w:rPr>
                <w:sz w:val="20"/>
                <w:szCs w:val="20"/>
                <w:color w:val="auto"/>
              </w:rPr>
            </w:pPr>
            <w:r>
              <w:rPr>
                <w:rFonts w:ascii="Arial" w:cs="Arial" w:eastAsia="Arial" w:hAnsi="Arial"/>
                <w:sz w:val="14"/>
                <w:szCs w:val="14"/>
                <w:color w:val="auto"/>
              </w:rPr>
              <w:t>REGBILL, Off the Run Treasury Bills</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940" w:type="dxa"/>
            <w:vAlign w:val="bottom"/>
          </w:tcPr>
          <w:p>
            <w:pPr>
              <w:ind w:left="280"/>
              <w:spacing w:after="0" w:line="149" w:lineRule="exact"/>
              <w:rPr>
                <w:sz w:val="20"/>
                <w:szCs w:val="20"/>
                <w:color w:val="auto"/>
              </w:rPr>
            </w:pPr>
            <w:r>
              <w:rPr>
                <w:rFonts w:ascii="Arial" w:cs="Arial" w:eastAsia="Arial" w:hAnsi="Arial"/>
                <w:sz w:val="14"/>
                <w:szCs w:val="14"/>
                <w:color w:val="auto"/>
              </w:rPr>
              <w:t>CMBBILL, Cash Management Bills</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Notes</w:t>
            </w:r>
          </w:p>
        </w:tc>
        <w:tc>
          <w:tcPr>
            <w:tcW w:w="5940" w:type="dxa"/>
            <w:vAlign w:val="bottom"/>
          </w:tcPr>
          <w:p>
            <w:pPr>
              <w:ind w:left="280"/>
              <w:spacing w:after="0"/>
              <w:rPr>
                <w:sz w:val="20"/>
                <w:szCs w:val="20"/>
                <w:color w:val="auto"/>
              </w:rPr>
            </w:pPr>
            <w:r>
              <w:rPr>
                <w:rFonts w:ascii="Arial" w:cs="Arial" w:eastAsia="Arial" w:hAnsi="Arial"/>
                <w:sz w:val="14"/>
                <w:szCs w:val="14"/>
                <w:color w:val="auto"/>
              </w:rPr>
              <w:t>TRSYROLLSWAP, Treasury Bill Rolls (REG/WI)</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REGNOTE, On The Run Treasury Notes</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Bonds</w:t>
            </w:r>
          </w:p>
        </w:tc>
        <w:tc>
          <w:tcPr>
            <w:tcW w:w="5940" w:type="dxa"/>
            <w:vAlign w:val="bottom"/>
          </w:tcPr>
          <w:p>
            <w:pPr>
              <w:ind w:left="280"/>
              <w:spacing w:after="0"/>
              <w:rPr>
                <w:sz w:val="20"/>
                <w:szCs w:val="20"/>
                <w:color w:val="auto"/>
              </w:rPr>
            </w:pPr>
            <w:r>
              <w:rPr>
                <w:rFonts w:ascii="Arial" w:cs="Arial" w:eastAsia="Arial" w:hAnsi="Arial"/>
                <w:sz w:val="14"/>
                <w:szCs w:val="14"/>
                <w:color w:val="auto"/>
              </w:rPr>
              <w:t>REGNOTE, Off The Run Treasury Notes</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REGNOTE, On The Run Treasury Bonds</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TIPS</w:t>
            </w:r>
          </w:p>
        </w:tc>
        <w:tc>
          <w:tcPr>
            <w:tcW w:w="5940" w:type="dxa"/>
            <w:vAlign w:val="bottom"/>
          </w:tcPr>
          <w:p>
            <w:pPr>
              <w:ind w:left="280"/>
              <w:spacing w:after="0"/>
              <w:rPr>
                <w:sz w:val="20"/>
                <w:szCs w:val="20"/>
                <w:color w:val="auto"/>
              </w:rPr>
            </w:pPr>
            <w:r>
              <w:rPr>
                <w:rFonts w:ascii="Arial" w:cs="Arial" w:eastAsia="Arial" w:hAnsi="Arial"/>
                <w:sz w:val="14"/>
                <w:szCs w:val="14"/>
                <w:color w:val="auto"/>
              </w:rPr>
              <w:t>REGNOTE, Off The Run Treasury Bonds</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REGTIPS, On The Run Treasury Inflation Protected Securities</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FRNs</w:t>
            </w:r>
          </w:p>
        </w:tc>
        <w:tc>
          <w:tcPr>
            <w:tcW w:w="5940" w:type="dxa"/>
            <w:vAlign w:val="bottom"/>
          </w:tcPr>
          <w:p>
            <w:pPr>
              <w:ind w:left="280"/>
              <w:spacing w:after="0"/>
              <w:rPr>
                <w:sz w:val="20"/>
                <w:szCs w:val="20"/>
                <w:color w:val="auto"/>
              </w:rPr>
            </w:pPr>
            <w:r>
              <w:rPr>
                <w:rFonts w:ascii="Arial" w:cs="Arial" w:eastAsia="Arial" w:hAnsi="Arial"/>
                <w:sz w:val="14"/>
                <w:szCs w:val="14"/>
                <w:color w:val="auto"/>
              </w:rPr>
              <w:t>REGTIPS, Off the Run Treasury Inflation Protected Securities</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REGTRSYFRN, On The Run Treasury Floating Rate Notes</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Strips</w:t>
            </w:r>
          </w:p>
        </w:tc>
        <w:tc>
          <w:tcPr>
            <w:tcW w:w="5940" w:type="dxa"/>
            <w:vAlign w:val="bottom"/>
          </w:tcPr>
          <w:p>
            <w:pPr>
              <w:ind w:left="280"/>
              <w:spacing w:after="0"/>
              <w:rPr>
                <w:sz w:val="20"/>
                <w:szCs w:val="20"/>
                <w:color w:val="auto"/>
              </w:rPr>
            </w:pPr>
            <w:r>
              <w:rPr>
                <w:rFonts w:ascii="Arial" w:cs="Arial" w:eastAsia="Arial" w:hAnsi="Arial"/>
                <w:sz w:val="14"/>
                <w:szCs w:val="14"/>
                <w:color w:val="auto"/>
              </w:rPr>
              <w:t>REGTRSYFRN, Off the Run Treasury Floating Rate Notes</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STRIPPRIN, Principal Strips</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Basis</w:t>
            </w:r>
          </w:p>
        </w:tc>
        <w:tc>
          <w:tcPr>
            <w:tcW w:w="5940" w:type="dxa"/>
            <w:vAlign w:val="bottom"/>
          </w:tcPr>
          <w:p>
            <w:pPr>
              <w:ind w:left="280"/>
              <w:spacing w:after="0"/>
              <w:rPr>
                <w:sz w:val="20"/>
                <w:szCs w:val="20"/>
                <w:color w:val="auto"/>
              </w:rPr>
            </w:pPr>
            <w:r>
              <w:rPr>
                <w:rFonts w:ascii="Arial" w:cs="Arial" w:eastAsia="Arial" w:hAnsi="Arial"/>
                <w:sz w:val="14"/>
                <w:szCs w:val="14"/>
                <w:color w:val="auto"/>
              </w:rPr>
              <w:t>STRIPINT, Interest Strips</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TRSYBASISSWAP, Current Quarter Treasury Basis</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TRSYBASISSWAP, Forward Quarter Treasury Basis</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80" w:type="dxa"/>
            <w:vAlign w:val="bottom"/>
            <w:gridSpan w:val="3"/>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Non-North American Governments</w:t>
            </w:r>
          </w:p>
        </w:tc>
        <w:tc>
          <w:tcPr>
            <w:tcW w:w="1200" w:type="dxa"/>
            <w:vAlign w:val="bottom"/>
            <w:shd w:val="clear" w:color="auto" w:fill="C00000"/>
          </w:tcPr>
          <w:p>
            <w:pPr>
              <w:spacing w:after="0"/>
              <w:rPr>
                <w:sz w:val="12"/>
                <w:szCs w:val="12"/>
                <w:color w:val="auto"/>
              </w:rPr>
            </w:pPr>
          </w:p>
        </w:tc>
        <w:tc>
          <w:tcPr>
            <w:tcW w:w="5940" w:type="dxa"/>
            <w:vAlign w:val="bottom"/>
            <w:shd w:val="clear" w:color="auto" w:fill="C00000"/>
          </w:tcPr>
          <w:p>
            <w:pPr>
              <w:spacing w:after="0"/>
              <w:rPr>
                <w:sz w:val="12"/>
                <w:szCs w:val="12"/>
                <w:color w:val="auto"/>
              </w:rPr>
            </w:pPr>
          </w:p>
        </w:tc>
        <w:tc>
          <w:tcPr>
            <w:tcW w:w="128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Germany</w:t>
            </w:r>
          </w:p>
        </w:tc>
        <w:tc>
          <w:tcPr>
            <w:tcW w:w="1260" w:type="dxa"/>
            <w:vAlign w:val="bottom"/>
            <w:shd w:val="clear" w:color="auto" w:fill="1F497D"/>
          </w:tcPr>
          <w:p>
            <w:pPr>
              <w:spacing w:after="0"/>
              <w:rPr>
                <w:sz w:val="12"/>
                <w:szCs w:val="12"/>
                <w:color w:val="auto"/>
              </w:rPr>
            </w:pPr>
          </w:p>
        </w:tc>
        <w:tc>
          <w:tcPr>
            <w:tcW w:w="120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128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Arial" w:cs="Arial" w:eastAsia="Arial" w:hAnsi="Arial"/>
                <w:sz w:val="14"/>
                <w:szCs w:val="14"/>
                <w:color w:val="auto"/>
              </w:rPr>
              <w:t>EUR</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Bill</w:t>
            </w:r>
          </w:p>
        </w:tc>
        <w:tc>
          <w:tcPr>
            <w:tcW w:w="5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REGBUD, Government Bill</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Bonds &amp; Notes</w:t>
            </w:r>
          </w:p>
        </w:tc>
        <w:tc>
          <w:tcPr>
            <w:tcW w:w="594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REGOBL, 5Yr Federal Notes Bundesobligationen</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940" w:type="dxa"/>
            <w:vAlign w:val="bottom"/>
          </w:tcPr>
          <w:p>
            <w:pPr>
              <w:ind w:left="280"/>
              <w:spacing w:after="0" w:line="149" w:lineRule="exact"/>
              <w:rPr>
                <w:sz w:val="20"/>
                <w:szCs w:val="20"/>
                <w:color w:val="auto"/>
              </w:rPr>
            </w:pPr>
            <w:r>
              <w:rPr>
                <w:rFonts w:ascii="Arial" w:cs="Arial" w:eastAsia="Arial" w:hAnsi="Arial"/>
                <w:sz w:val="14"/>
                <w:szCs w:val="14"/>
                <w:color w:val="auto"/>
              </w:rPr>
              <w:t>REGBKO, Federal Notes Bundesschatzanweisungen</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ILBs</w:t>
            </w:r>
          </w:p>
        </w:tc>
        <w:tc>
          <w:tcPr>
            <w:tcW w:w="5940" w:type="dxa"/>
            <w:vAlign w:val="bottom"/>
          </w:tcPr>
          <w:p>
            <w:pPr>
              <w:ind w:left="280"/>
              <w:spacing w:after="0"/>
              <w:rPr>
                <w:sz w:val="20"/>
                <w:szCs w:val="20"/>
                <w:color w:val="auto"/>
              </w:rPr>
            </w:pPr>
            <w:r>
              <w:rPr>
                <w:rFonts w:ascii="Arial" w:cs="Arial" w:eastAsia="Arial" w:hAnsi="Arial"/>
                <w:sz w:val="14"/>
                <w:szCs w:val="14"/>
                <w:color w:val="auto"/>
              </w:rPr>
              <w:t>REGDBR, Federal Bund</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REGDBRei, Inflation Linked Notes/Bonds – HICP Index</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Strips</w:t>
            </w:r>
          </w:p>
        </w:tc>
        <w:tc>
          <w:tcPr>
            <w:tcW w:w="5940" w:type="dxa"/>
            <w:vAlign w:val="bottom"/>
          </w:tcPr>
          <w:p>
            <w:pPr>
              <w:ind w:left="280"/>
              <w:spacing w:after="0"/>
              <w:rPr>
                <w:sz w:val="20"/>
                <w:szCs w:val="20"/>
                <w:color w:val="auto"/>
              </w:rPr>
            </w:pPr>
            <w:r>
              <w:rPr>
                <w:rFonts w:ascii="Arial" w:cs="Arial" w:eastAsia="Arial" w:hAnsi="Arial"/>
                <w:sz w:val="14"/>
                <w:szCs w:val="14"/>
                <w:color w:val="auto"/>
              </w:rPr>
              <w:t>REGOBLEI, Bundesobligation I/L</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REGDBRD, Fungible Strip</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940" w:type="dxa"/>
            <w:vAlign w:val="bottom"/>
          </w:tcPr>
          <w:p>
            <w:pPr>
              <w:ind w:left="280"/>
              <w:spacing w:after="0" w:line="149" w:lineRule="exact"/>
              <w:rPr>
                <w:sz w:val="20"/>
                <w:szCs w:val="20"/>
                <w:color w:val="auto"/>
              </w:rPr>
            </w:pPr>
            <w:r>
              <w:rPr>
                <w:rFonts w:ascii="Arial" w:cs="Arial" w:eastAsia="Arial" w:hAnsi="Arial"/>
                <w:sz w:val="14"/>
                <w:szCs w:val="14"/>
                <w:color w:val="auto"/>
              </w:rPr>
              <w:t>REGDBRR, Principal Strips</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REGDBRS, Interest Strips</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France</w:t>
            </w:r>
          </w:p>
        </w:tc>
        <w:tc>
          <w:tcPr>
            <w:tcW w:w="1260" w:type="dxa"/>
            <w:vAlign w:val="bottom"/>
            <w:shd w:val="clear" w:color="auto" w:fill="1F497D"/>
          </w:tcPr>
          <w:p>
            <w:pPr>
              <w:spacing w:after="0"/>
              <w:rPr>
                <w:sz w:val="12"/>
                <w:szCs w:val="12"/>
                <w:color w:val="auto"/>
              </w:rPr>
            </w:pPr>
          </w:p>
        </w:tc>
        <w:tc>
          <w:tcPr>
            <w:tcW w:w="120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128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Arial" w:cs="Arial" w:eastAsia="Arial" w:hAnsi="Arial"/>
                <w:sz w:val="14"/>
                <w:szCs w:val="14"/>
                <w:color w:val="auto"/>
              </w:rPr>
              <w:t>EUR</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Bills</w:t>
            </w:r>
          </w:p>
        </w:tc>
        <w:tc>
          <w:tcPr>
            <w:tcW w:w="5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REGBTF, France Tresor Negotiable Fixed Rate Discount Bill</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Notes &amp; Bonds</w:t>
            </w:r>
          </w:p>
        </w:tc>
        <w:tc>
          <w:tcPr>
            <w:tcW w:w="594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REGBTNS, Tresor Medium Term (2-5Yr) Treasury Note</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ILBs</w:t>
            </w:r>
          </w:p>
        </w:tc>
        <w:tc>
          <w:tcPr>
            <w:tcW w:w="5940" w:type="dxa"/>
            <w:vAlign w:val="bottom"/>
          </w:tcPr>
          <w:p>
            <w:pPr>
              <w:ind w:left="280"/>
              <w:spacing w:after="0"/>
              <w:rPr>
                <w:sz w:val="20"/>
                <w:szCs w:val="20"/>
                <w:color w:val="auto"/>
              </w:rPr>
            </w:pPr>
            <w:r>
              <w:rPr>
                <w:rFonts w:ascii="Arial" w:cs="Arial" w:eastAsia="Arial" w:hAnsi="Arial"/>
                <w:sz w:val="14"/>
                <w:szCs w:val="14"/>
                <w:color w:val="auto"/>
              </w:rPr>
              <w:t>REGFRTR, Tresor Government Bond</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REGBTNEI, Tresor Medium Term (2-5Yr) Inflation Indexed Note – HICP Index</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940" w:type="dxa"/>
            <w:vAlign w:val="bottom"/>
          </w:tcPr>
          <w:p>
            <w:pPr>
              <w:ind w:left="280"/>
              <w:spacing w:after="0" w:line="149" w:lineRule="exact"/>
              <w:rPr>
                <w:sz w:val="20"/>
                <w:szCs w:val="20"/>
                <w:color w:val="auto"/>
              </w:rPr>
            </w:pPr>
            <w:r>
              <w:rPr>
                <w:rFonts w:ascii="Arial" w:cs="Arial" w:eastAsia="Arial" w:hAnsi="Arial"/>
                <w:sz w:val="14"/>
                <w:szCs w:val="14"/>
                <w:color w:val="auto"/>
              </w:rPr>
              <w:t>REGOATEI, France Tresor Long Term (7-50Yr) Inflation Indexed Note/Bond – HICP Index</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940" w:type="dxa"/>
            <w:vAlign w:val="bottom"/>
          </w:tcPr>
          <w:p>
            <w:pPr>
              <w:ind w:left="280"/>
              <w:spacing w:after="0" w:line="149" w:lineRule="exact"/>
              <w:rPr>
                <w:sz w:val="20"/>
                <w:szCs w:val="20"/>
                <w:color w:val="auto"/>
              </w:rPr>
            </w:pPr>
            <w:r>
              <w:rPr>
                <w:rFonts w:ascii="Arial" w:cs="Arial" w:eastAsia="Arial" w:hAnsi="Arial"/>
                <w:sz w:val="14"/>
                <w:szCs w:val="14"/>
                <w:color w:val="auto"/>
              </w:rPr>
              <w:t>REGBTNI, Tresor Medium Term (2-5Yr) Inflation Indexed Note/Bond – French CPI Index</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Strips</w:t>
            </w:r>
          </w:p>
        </w:tc>
        <w:tc>
          <w:tcPr>
            <w:tcW w:w="5940" w:type="dxa"/>
            <w:vAlign w:val="bottom"/>
          </w:tcPr>
          <w:p>
            <w:pPr>
              <w:ind w:left="280"/>
              <w:spacing w:after="0"/>
              <w:rPr>
                <w:sz w:val="20"/>
                <w:szCs w:val="20"/>
                <w:color w:val="auto"/>
              </w:rPr>
            </w:pPr>
            <w:r>
              <w:rPr>
                <w:rFonts w:ascii="Arial" w:cs="Arial" w:eastAsia="Arial" w:hAnsi="Arial"/>
                <w:sz w:val="14"/>
                <w:szCs w:val="14"/>
                <w:color w:val="auto"/>
                <w:w w:val="96"/>
              </w:rPr>
              <w:t>REGOATI, France Tresor Long Term (7-50Yr) Inflation Indexed Note/Bond – French CPI Index</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REGFRTRD, Fungible Strips</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940" w:type="dxa"/>
            <w:vAlign w:val="bottom"/>
          </w:tcPr>
          <w:p>
            <w:pPr>
              <w:ind w:left="280"/>
              <w:spacing w:after="0" w:line="149" w:lineRule="exact"/>
              <w:rPr>
                <w:sz w:val="20"/>
                <w:szCs w:val="20"/>
                <w:color w:val="auto"/>
              </w:rPr>
            </w:pPr>
            <w:r>
              <w:rPr>
                <w:rFonts w:ascii="Arial" w:cs="Arial" w:eastAsia="Arial" w:hAnsi="Arial"/>
                <w:sz w:val="14"/>
                <w:szCs w:val="14"/>
                <w:color w:val="auto"/>
              </w:rPr>
              <w:t>REGFRTRR, Principal Strips</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REGFRTRS, Interest Strips</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Italy</w:t>
            </w:r>
          </w:p>
        </w:tc>
        <w:tc>
          <w:tcPr>
            <w:tcW w:w="1260" w:type="dxa"/>
            <w:vAlign w:val="bottom"/>
            <w:shd w:val="clear" w:color="auto" w:fill="1F497D"/>
          </w:tcPr>
          <w:p>
            <w:pPr>
              <w:spacing w:after="0"/>
              <w:rPr>
                <w:sz w:val="12"/>
                <w:szCs w:val="12"/>
                <w:color w:val="auto"/>
              </w:rPr>
            </w:pPr>
          </w:p>
        </w:tc>
        <w:tc>
          <w:tcPr>
            <w:tcW w:w="120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128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Arial" w:cs="Arial" w:eastAsia="Arial" w:hAnsi="Arial"/>
                <w:sz w:val="14"/>
                <w:szCs w:val="14"/>
                <w:color w:val="auto"/>
              </w:rPr>
              <w:t>EUR</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Bills</w:t>
            </w:r>
          </w:p>
        </w:tc>
        <w:tc>
          <w:tcPr>
            <w:tcW w:w="5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REGCTZ, Italy Certificati del Tesoro Zero Coupon Bond</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Notes &amp; Bonds</w:t>
            </w:r>
          </w:p>
        </w:tc>
        <w:tc>
          <w:tcPr>
            <w:tcW w:w="594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REGBOT, Italy Buoni Ordinari del Tesoro</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FRNs/CCTs</w:t>
            </w:r>
          </w:p>
        </w:tc>
        <w:tc>
          <w:tcPr>
            <w:tcW w:w="5940" w:type="dxa"/>
            <w:vAlign w:val="bottom"/>
          </w:tcPr>
          <w:p>
            <w:pPr>
              <w:ind w:left="280"/>
              <w:spacing w:after="0"/>
              <w:rPr>
                <w:sz w:val="20"/>
                <w:szCs w:val="20"/>
                <w:color w:val="auto"/>
              </w:rPr>
            </w:pPr>
            <w:r>
              <w:rPr>
                <w:rFonts w:ascii="Arial" w:cs="Arial" w:eastAsia="Arial" w:hAnsi="Arial"/>
                <w:sz w:val="14"/>
                <w:szCs w:val="14"/>
                <w:color w:val="auto"/>
              </w:rPr>
              <w:t>REGBTPS, Italy Busoni Poliennali del TES</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REGCCT, Italy Certificati di Credito del Tesoro (CCT)</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ILBs</w:t>
            </w:r>
          </w:p>
        </w:tc>
        <w:tc>
          <w:tcPr>
            <w:tcW w:w="5940" w:type="dxa"/>
            <w:vAlign w:val="bottom"/>
          </w:tcPr>
          <w:p>
            <w:pPr>
              <w:ind w:left="280"/>
              <w:spacing w:after="0"/>
              <w:rPr>
                <w:sz w:val="20"/>
                <w:szCs w:val="20"/>
                <w:color w:val="auto"/>
              </w:rPr>
            </w:pPr>
            <w:r>
              <w:rPr>
                <w:rFonts w:ascii="Arial" w:cs="Arial" w:eastAsia="Arial" w:hAnsi="Arial"/>
                <w:sz w:val="14"/>
                <w:szCs w:val="14"/>
                <w:color w:val="auto"/>
              </w:rPr>
              <w:t>REGCCT, Italy Certificati di Credito del Tesoro (CCTeu)</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REGBTPEI, Italy Inflation Indexed Note/Bond – HICP Index</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Strips</w:t>
            </w:r>
          </w:p>
        </w:tc>
        <w:tc>
          <w:tcPr>
            <w:tcW w:w="5940" w:type="dxa"/>
            <w:vAlign w:val="bottom"/>
          </w:tcPr>
          <w:p>
            <w:pPr>
              <w:ind w:left="280"/>
              <w:spacing w:after="0"/>
              <w:rPr>
                <w:sz w:val="20"/>
                <w:szCs w:val="20"/>
                <w:color w:val="auto"/>
              </w:rPr>
            </w:pPr>
            <w:r>
              <w:rPr>
                <w:rFonts w:ascii="Arial" w:cs="Arial" w:eastAsia="Arial" w:hAnsi="Arial"/>
                <w:sz w:val="14"/>
                <w:szCs w:val="14"/>
                <w:color w:val="auto"/>
              </w:rPr>
              <w:t>REGBPIT, Italy Domestic Inflation Indexed Notes/Bonds</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940" w:type="dxa"/>
            <w:vAlign w:val="bottom"/>
            <w:vMerge w:val="restart"/>
          </w:tcPr>
          <w:p>
            <w:pPr>
              <w:ind w:left="280"/>
              <w:spacing w:after="0"/>
              <w:rPr>
                <w:sz w:val="20"/>
                <w:szCs w:val="20"/>
                <w:color w:val="auto"/>
              </w:rPr>
            </w:pPr>
            <w:r>
              <w:rPr>
                <w:rFonts w:ascii="Arial" w:cs="Arial" w:eastAsia="Arial" w:hAnsi="Arial"/>
                <w:sz w:val="14"/>
                <w:szCs w:val="14"/>
                <w:color w:val="auto"/>
              </w:rPr>
              <w:t>REGBTPSD, Italian Fungible Strips</w:t>
            </w:r>
          </w:p>
        </w:tc>
        <w:tc>
          <w:tcPr>
            <w:tcW w:w="1280" w:type="dxa"/>
            <w:vAlign w:val="bottom"/>
            <w:vMerge w:val="restart"/>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940" w:type="dxa"/>
            <w:vAlign w:val="bottom"/>
          </w:tcPr>
          <w:p>
            <w:pPr>
              <w:ind w:left="280"/>
              <w:spacing w:after="0" w:line="149" w:lineRule="exact"/>
              <w:rPr>
                <w:sz w:val="20"/>
                <w:szCs w:val="20"/>
                <w:color w:val="auto"/>
              </w:rPr>
            </w:pPr>
            <w:r>
              <w:rPr>
                <w:rFonts w:ascii="Arial" w:cs="Arial" w:eastAsia="Arial" w:hAnsi="Arial"/>
                <w:sz w:val="14"/>
                <w:szCs w:val="14"/>
                <w:color w:val="auto"/>
              </w:rPr>
              <w:t>REGBTPSR, Italian Principal Strips</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REGBTPSS, Italian Interest Strips</w:t>
            </w:r>
          </w:p>
        </w:tc>
        <w:tc>
          <w:tcPr>
            <w:tcW w:w="1280" w:type="dxa"/>
            <w:vAlign w:val="bottom"/>
          </w:tcPr>
          <w:p>
            <w:pPr>
              <w:ind w:left="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00" w:name="page301"/>
    <w:bookmarkEnd w:id="3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20" w:type="dxa"/>
            <w:vAlign w:val="bottom"/>
            <w:shd w:val="clear" w:color="auto" w:fill="EEECE1"/>
          </w:tcPr>
          <w:p>
            <w:pPr>
              <w:jc w:val="right"/>
              <w:ind w:right="388"/>
              <w:spacing w:after="0"/>
              <w:rPr>
                <w:sz w:val="20"/>
                <w:szCs w:val="20"/>
                <w:color w:val="auto"/>
              </w:rPr>
            </w:pPr>
            <w:r>
              <w:rPr>
                <w:rFonts w:ascii="Arial" w:cs="Arial" w:eastAsia="Arial" w:hAnsi="Arial"/>
                <w:sz w:val="14"/>
                <w:szCs w:val="14"/>
                <w:b w:val="1"/>
                <w:bCs w:val="1"/>
                <w:color w:val="auto"/>
              </w:rPr>
              <w:t>2</w:t>
            </w:r>
          </w:p>
        </w:tc>
        <w:tc>
          <w:tcPr>
            <w:tcW w:w="8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3</w:t>
            </w:r>
          </w:p>
        </w:tc>
        <w:tc>
          <w:tcPr>
            <w:tcW w:w="8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60" w:type="dxa"/>
            <w:vAlign w:val="bottom"/>
            <w:shd w:val="clear" w:color="auto" w:fill="EEECE1"/>
          </w:tcPr>
          <w:p>
            <w:pPr>
              <w:ind w:left="540"/>
              <w:spacing w:after="0"/>
              <w:rPr>
                <w:sz w:val="20"/>
                <w:szCs w:val="20"/>
                <w:color w:val="auto"/>
              </w:rPr>
            </w:pPr>
            <w:r>
              <w:rPr>
                <w:rFonts w:ascii="Arial" w:cs="Arial" w:eastAsia="Arial" w:hAnsi="Arial"/>
                <w:sz w:val="14"/>
                <w:szCs w:val="14"/>
                <w:b w:val="1"/>
                <w:bCs w:val="1"/>
                <w:color w:val="auto"/>
              </w:rPr>
              <w:t>5</w:t>
            </w:r>
          </w:p>
        </w:tc>
        <w:tc>
          <w:tcPr>
            <w:tcW w:w="4080" w:type="dxa"/>
            <w:vAlign w:val="bottom"/>
            <w:shd w:val="clear" w:color="auto" w:fill="EEECE1"/>
          </w:tcPr>
          <w:p>
            <w:pPr>
              <w:ind w:left="520"/>
              <w:spacing w:after="0"/>
              <w:rPr>
                <w:sz w:val="20"/>
                <w:szCs w:val="20"/>
                <w:color w:val="auto"/>
              </w:rPr>
            </w:pPr>
            <w:r>
              <w:rPr>
                <w:rFonts w:ascii="Arial" w:cs="Arial" w:eastAsia="Arial" w:hAnsi="Arial"/>
                <w:sz w:val="14"/>
                <w:szCs w:val="14"/>
                <w:color w:val="auto"/>
              </w:rPr>
              <w:t>6</w:t>
            </w:r>
          </w:p>
        </w:tc>
        <w:tc>
          <w:tcPr>
            <w:tcW w:w="26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gridSpan w:val="3"/>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860" w:type="dxa"/>
            <w:vAlign w:val="bottom"/>
            <w:shd w:val="clear" w:color="auto" w:fill="EEECE1"/>
          </w:tcPr>
          <w:p>
            <w:pPr>
              <w:spacing w:after="0"/>
              <w:rPr>
                <w:sz w:val="14"/>
                <w:szCs w:val="14"/>
                <w:color w:val="auto"/>
              </w:rPr>
            </w:pPr>
          </w:p>
        </w:tc>
        <w:tc>
          <w:tcPr>
            <w:tcW w:w="1960" w:type="dxa"/>
            <w:vAlign w:val="bottom"/>
            <w:shd w:val="clear" w:color="auto" w:fill="EEECE1"/>
          </w:tcPr>
          <w:p>
            <w:pPr>
              <w:spacing w:after="0"/>
              <w:rPr>
                <w:sz w:val="14"/>
                <w:szCs w:val="14"/>
                <w:color w:val="auto"/>
              </w:rPr>
            </w:pPr>
          </w:p>
        </w:tc>
        <w:tc>
          <w:tcPr>
            <w:tcW w:w="4080" w:type="dxa"/>
            <w:vAlign w:val="bottom"/>
            <w:shd w:val="clear" w:color="auto" w:fill="EEECE1"/>
          </w:tcPr>
          <w:p>
            <w:pPr>
              <w:spacing w:after="0"/>
              <w:rPr>
                <w:sz w:val="14"/>
                <w:szCs w:val="14"/>
                <w:color w:val="auto"/>
              </w:rPr>
            </w:pPr>
          </w:p>
        </w:tc>
        <w:tc>
          <w:tcPr>
            <w:tcW w:w="26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w w:val="91"/>
              </w:rPr>
              <w:t>Netherlands</w:t>
            </w:r>
          </w:p>
        </w:tc>
        <w:tc>
          <w:tcPr>
            <w:tcW w:w="860" w:type="dxa"/>
            <w:vAlign w:val="bottom"/>
            <w:shd w:val="clear" w:color="auto" w:fill="1F497D"/>
          </w:tcPr>
          <w:p>
            <w:pPr>
              <w:spacing w:after="0"/>
              <w:rPr>
                <w:sz w:val="12"/>
                <w:szCs w:val="12"/>
                <w:color w:val="auto"/>
              </w:rPr>
            </w:pPr>
          </w:p>
        </w:tc>
        <w:tc>
          <w:tcPr>
            <w:tcW w:w="1960" w:type="dxa"/>
            <w:vAlign w:val="bottom"/>
            <w:shd w:val="clear" w:color="auto" w:fill="1F497D"/>
          </w:tcPr>
          <w:p>
            <w:pPr>
              <w:spacing w:after="0"/>
              <w:rPr>
                <w:sz w:val="12"/>
                <w:szCs w:val="12"/>
                <w:color w:val="auto"/>
              </w:rPr>
            </w:pPr>
          </w:p>
        </w:tc>
        <w:tc>
          <w:tcPr>
            <w:tcW w:w="4080" w:type="dxa"/>
            <w:vAlign w:val="bottom"/>
            <w:shd w:val="clear" w:color="auto" w:fill="1F497D"/>
          </w:tcPr>
          <w:p>
            <w:pPr>
              <w:spacing w:after="0"/>
              <w:rPr>
                <w:sz w:val="12"/>
                <w:szCs w:val="12"/>
                <w:color w:val="auto"/>
              </w:rPr>
            </w:pPr>
          </w:p>
        </w:tc>
        <w:tc>
          <w:tcPr>
            <w:tcW w:w="266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EUR</w:t>
            </w:r>
          </w:p>
        </w:tc>
        <w:tc>
          <w:tcPr>
            <w:tcW w:w="1960" w:type="dxa"/>
            <w:vAlign w:val="bottom"/>
            <w:vMerge w:val="restart"/>
          </w:tcPr>
          <w:p>
            <w:pPr>
              <w:ind w:left="540"/>
              <w:spacing w:after="0"/>
              <w:rPr>
                <w:sz w:val="20"/>
                <w:szCs w:val="20"/>
                <w:color w:val="auto"/>
              </w:rPr>
            </w:pPr>
            <w:r>
              <w:rPr>
                <w:rFonts w:ascii="Arial" w:cs="Arial" w:eastAsia="Arial" w:hAnsi="Arial"/>
                <w:sz w:val="14"/>
                <w:szCs w:val="14"/>
                <w:color w:val="auto"/>
              </w:rPr>
              <w:t>Bills</w:t>
            </w:r>
          </w:p>
        </w:tc>
        <w:tc>
          <w:tcPr>
            <w:tcW w:w="40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4080" w:type="dxa"/>
            <w:vAlign w:val="bottom"/>
            <w:vMerge w:val="restart"/>
          </w:tcPr>
          <w:p>
            <w:pPr>
              <w:ind w:left="520"/>
              <w:spacing w:after="0"/>
              <w:rPr>
                <w:sz w:val="20"/>
                <w:szCs w:val="20"/>
                <w:color w:val="auto"/>
              </w:rPr>
            </w:pPr>
            <w:r>
              <w:rPr>
                <w:rFonts w:ascii="Arial" w:cs="Arial" w:eastAsia="Arial" w:hAnsi="Arial"/>
                <w:sz w:val="14"/>
                <w:szCs w:val="14"/>
                <w:color w:val="auto"/>
              </w:rPr>
              <w:t>REGDTC, Government Bill</w:t>
            </w:r>
          </w:p>
        </w:tc>
        <w:tc>
          <w:tcPr>
            <w:tcW w:w="266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vMerge w:val="restart"/>
          </w:tcPr>
          <w:p>
            <w:pPr>
              <w:ind w:left="540"/>
              <w:spacing w:after="0"/>
              <w:rPr>
                <w:sz w:val="20"/>
                <w:szCs w:val="20"/>
                <w:color w:val="auto"/>
              </w:rPr>
            </w:pPr>
            <w:r>
              <w:rPr>
                <w:rFonts w:ascii="Arial" w:cs="Arial" w:eastAsia="Arial" w:hAnsi="Arial"/>
                <w:sz w:val="14"/>
                <w:szCs w:val="14"/>
                <w:color w:val="auto"/>
              </w:rPr>
              <w:t>Notes &amp; Bonds</w:t>
            </w:r>
          </w:p>
        </w:tc>
        <w:tc>
          <w:tcPr>
            <w:tcW w:w="408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4080" w:type="dxa"/>
            <w:vAlign w:val="bottom"/>
            <w:vMerge w:val="restart"/>
          </w:tcPr>
          <w:p>
            <w:pPr>
              <w:ind w:left="520"/>
              <w:spacing w:after="0"/>
              <w:rPr>
                <w:sz w:val="20"/>
                <w:szCs w:val="20"/>
                <w:color w:val="auto"/>
              </w:rPr>
            </w:pPr>
            <w:r>
              <w:rPr>
                <w:rFonts w:ascii="Arial" w:cs="Arial" w:eastAsia="Arial" w:hAnsi="Arial"/>
                <w:sz w:val="14"/>
                <w:szCs w:val="14"/>
                <w:color w:val="auto"/>
              </w:rPr>
              <w:t>REGNETHR, Government Bond/Note</w:t>
            </w:r>
          </w:p>
        </w:tc>
        <w:tc>
          <w:tcPr>
            <w:tcW w:w="266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vMerge w:val="restart"/>
          </w:tcPr>
          <w:p>
            <w:pPr>
              <w:ind w:left="540"/>
              <w:spacing w:after="0"/>
              <w:rPr>
                <w:sz w:val="20"/>
                <w:szCs w:val="20"/>
                <w:color w:val="auto"/>
              </w:rPr>
            </w:pPr>
            <w:r>
              <w:rPr>
                <w:rFonts w:ascii="Arial" w:cs="Arial" w:eastAsia="Arial" w:hAnsi="Arial"/>
                <w:sz w:val="14"/>
                <w:szCs w:val="14"/>
                <w:color w:val="auto"/>
              </w:rPr>
              <w:t>Strips</w:t>
            </w:r>
          </w:p>
        </w:tc>
        <w:tc>
          <w:tcPr>
            <w:tcW w:w="408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4080" w:type="dxa"/>
            <w:vAlign w:val="bottom"/>
            <w:vMerge w:val="restart"/>
          </w:tcPr>
          <w:p>
            <w:pPr>
              <w:ind w:left="520"/>
              <w:spacing w:after="0"/>
              <w:rPr>
                <w:sz w:val="20"/>
                <w:szCs w:val="20"/>
                <w:color w:val="auto"/>
              </w:rPr>
            </w:pPr>
            <w:r>
              <w:rPr>
                <w:rFonts w:ascii="Arial" w:cs="Arial" w:eastAsia="Arial" w:hAnsi="Arial"/>
                <w:sz w:val="14"/>
                <w:szCs w:val="14"/>
                <w:color w:val="auto"/>
              </w:rPr>
              <w:t>REGNETHRD, Fungible Strips</w:t>
            </w:r>
          </w:p>
        </w:tc>
        <w:tc>
          <w:tcPr>
            <w:tcW w:w="266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080" w:type="dxa"/>
            <w:vAlign w:val="bottom"/>
            <w:vMerge w:val="continue"/>
          </w:tcPr>
          <w:p>
            <w:pPr>
              <w:spacing w:after="0"/>
              <w:rPr>
                <w:sz w:val="9"/>
                <w:szCs w:val="9"/>
                <w:color w:val="auto"/>
              </w:rPr>
            </w:pPr>
          </w:p>
        </w:tc>
        <w:tc>
          <w:tcPr>
            <w:tcW w:w="2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80" w:type="dxa"/>
            <w:vAlign w:val="bottom"/>
          </w:tcPr>
          <w:p>
            <w:pPr>
              <w:ind w:left="520"/>
              <w:spacing w:after="0" w:line="149" w:lineRule="exact"/>
              <w:rPr>
                <w:sz w:val="20"/>
                <w:szCs w:val="20"/>
                <w:color w:val="auto"/>
              </w:rPr>
            </w:pPr>
            <w:r>
              <w:rPr>
                <w:rFonts w:ascii="Arial" w:cs="Arial" w:eastAsia="Arial" w:hAnsi="Arial"/>
                <w:sz w:val="14"/>
                <w:szCs w:val="14"/>
                <w:color w:val="auto"/>
              </w:rPr>
              <w:t>REGNETHRR, Principal Strips</w:t>
            </w:r>
          </w:p>
        </w:tc>
        <w:tc>
          <w:tcPr>
            <w:tcW w:w="2660" w:type="dxa"/>
            <w:vAlign w:val="bottom"/>
          </w:tcPr>
          <w:p>
            <w:pPr>
              <w:ind w:left="134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080" w:type="dxa"/>
            <w:vAlign w:val="bottom"/>
          </w:tcPr>
          <w:p>
            <w:pPr>
              <w:ind w:left="520"/>
              <w:spacing w:after="0"/>
              <w:rPr>
                <w:sz w:val="20"/>
                <w:szCs w:val="20"/>
                <w:color w:val="auto"/>
              </w:rPr>
            </w:pPr>
            <w:r>
              <w:rPr>
                <w:rFonts w:ascii="Arial" w:cs="Arial" w:eastAsia="Arial" w:hAnsi="Arial"/>
                <w:sz w:val="14"/>
                <w:szCs w:val="14"/>
                <w:color w:val="auto"/>
              </w:rPr>
              <w:t>REGNETHRS, Interest Strips</w:t>
            </w:r>
          </w:p>
        </w:tc>
        <w:tc>
          <w:tcPr>
            <w:tcW w:w="2660" w:type="dxa"/>
            <w:vAlign w:val="bottom"/>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7680" w:type="dxa"/>
            <w:vAlign w:val="bottom"/>
            <w:shd w:val="clear" w:color="auto" w:fill="1F497D"/>
          </w:tcPr>
          <w:p>
            <w:pPr>
              <w:ind w:left="60"/>
              <w:spacing w:after="0"/>
              <w:rPr>
                <w:sz w:val="20"/>
                <w:szCs w:val="20"/>
                <w:color w:val="auto"/>
              </w:rPr>
            </w:pPr>
            <w:r>
              <w:rPr>
                <w:rFonts w:ascii="Arial" w:cs="Arial" w:eastAsia="Arial" w:hAnsi="Arial"/>
                <w:sz w:val="14"/>
                <w:szCs w:val="14"/>
                <w:b w:val="1"/>
                <w:bCs w:val="1"/>
                <w:color w:val="FFFFFF"/>
              </w:rPr>
              <w:t>Spain</w:t>
            </w:r>
          </w:p>
        </w:tc>
        <w:tc>
          <w:tcPr>
            <w:tcW w:w="2700" w:type="dxa"/>
            <w:vAlign w:val="bottom"/>
            <w:shd w:val="clear" w:color="auto" w:fill="1F497D"/>
          </w:tcPr>
          <w:p>
            <w:pPr>
              <w:spacing w:after="0"/>
              <w:rPr>
                <w:sz w:val="14"/>
                <w:szCs w:val="14"/>
                <w:color w:val="auto"/>
              </w:rPr>
            </w:pPr>
          </w:p>
        </w:tc>
      </w:tr>
      <w:tr>
        <w:trPr>
          <w:trHeight w:val="130"/>
        </w:trPr>
        <w:tc>
          <w:tcPr>
            <w:tcW w:w="1040" w:type="dxa"/>
            <w:vAlign w:val="bottom"/>
          </w:tcPr>
          <w:p>
            <w:pPr>
              <w:spacing w:after="0"/>
              <w:rPr>
                <w:sz w:val="11"/>
                <w:szCs w:val="11"/>
                <w:color w:val="auto"/>
              </w:rPr>
            </w:pPr>
          </w:p>
        </w:tc>
        <w:tc>
          <w:tcPr>
            <w:tcW w:w="7680" w:type="dxa"/>
            <w:vAlign w:val="bottom"/>
          </w:tcPr>
          <w:p>
            <w:pPr>
              <w:ind w:left="860"/>
              <w:spacing w:after="0" w:line="130" w:lineRule="exact"/>
              <w:rPr>
                <w:sz w:val="20"/>
                <w:szCs w:val="20"/>
                <w:color w:val="auto"/>
              </w:rPr>
            </w:pPr>
            <w:r>
              <w:rPr>
                <w:rFonts w:ascii="Arial" w:cs="Arial" w:eastAsia="Arial" w:hAnsi="Arial"/>
                <w:sz w:val="14"/>
                <w:szCs w:val="14"/>
                <w:color w:val="auto"/>
              </w:rPr>
              <w:t>EUR</w:t>
            </w:r>
          </w:p>
        </w:tc>
        <w:tc>
          <w:tcPr>
            <w:tcW w:w="2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Bills</w:t>
            </w:r>
          </w:p>
        </w:tc>
        <w:tc>
          <w:tcPr>
            <w:tcW w:w="270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4160"/>
              <w:spacing w:after="0" w:line="149" w:lineRule="exact"/>
              <w:rPr>
                <w:sz w:val="20"/>
                <w:szCs w:val="20"/>
                <w:color w:val="auto"/>
              </w:rPr>
            </w:pPr>
            <w:r>
              <w:rPr>
                <w:rFonts w:ascii="Arial" w:cs="Arial" w:eastAsia="Arial" w:hAnsi="Arial"/>
                <w:sz w:val="14"/>
                <w:szCs w:val="14"/>
                <w:color w:val="auto"/>
              </w:rPr>
              <w:t>REGLET, Government Bill</w:t>
            </w:r>
          </w:p>
        </w:tc>
        <w:tc>
          <w:tcPr>
            <w:tcW w:w="2700" w:type="dxa"/>
            <w:vAlign w:val="bottom"/>
          </w:tcPr>
          <w:p>
            <w:pPr>
              <w:ind w:left="138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270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4160"/>
              <w:spacing w:after="0" w:line="149" w:lineRule="exact"/>
              <w:rPr>
                <w:sz w:val="20"/>
                <w:szCs w:val="20"/>
                <w:color w:val="auto"/>
              </w:rPr>
            </w:pPr>
            <w:r>
              <w:rPr>
                <w:rFonts w:ascii="Arial" w:cs="Arial" w:eastAsia="Arial" w:hAnsi="Arial"/>
                <w:sz w:val="14"/>
                <w:szCs w:val="14"/>
                <w:color w:val="auto"/>
              </w:rPr>
              <w:t>REGSPGB, Government Bond/Note</w:t>
            </w:r>
          </w:p>
        </w:tc>
        <w:tc>
          <w:tcPr>
            <w:tcW w:w="2700" w:type="dxa"/>
            <w:vAlign w:val="bottom"/>
          </w:tcPr>
          <w:p>
            <w:pPr>
              <w:ind w:left="138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Strips</w:t>
            </w:r>
          </w:p>
        </w:tc>
        <w:tc>
          <w:tcPr>
            <w:tcW w:w="270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4160"/>
              <w:spacing w:after="0" w:line="149" w:lineRule="exact"/>
              <w:rPr>
                <w:sz w:val="20"/>
                <w:szCs w:val="20"/>
                <w:color w:val="auto"/>
              </w:rPr>
            </w:pPr>
            <w:r>
              <w:rPr>
                <w:rFonts w:ascii="Arial" w:cs="Arial" w:eastAsia="Arial" w:hAnsi="Arial"/>
                <w:sz w:val="14"/>
                <w:szCs w:val="14"/>
                <w:color w:val="auto"/>
              </w:rPr>
              <w:t>REGSPGBD, Fungible Strips</w:t>
            </w:r>
          </w:p>
        </w:tc>
        <w:tc>
          <w:tcPr>
            <w:tcW w:w="2700" w:type="dxa"/>
            <w:vAlign w:val="bottom"/>
          </w:tcPr>
          <w:p>
            <w:pPr>
              <w:ind w:left="138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7680" w:type="dxa"/>
            <w:vAlign w:val="bottom"/>
          </w:tcPr>
          <w:p>
            <w:pPr>
              <w:ind w:left="4160"/>
              <w:spacing w:after="0" w:line="149" w:lineRule="exact"/>
              <w:rPr>
                <w:sz w:val="20"/>
                <w:szCs w:val="20"/>
                <w:color w:val="auto"/>
              </w:rPr>
            </w:pPr>
            <w:r>
              <w:rPr>
                <w:rFonts w:ascii="Arial" w:cs="Arial" w:eastAsia="Arial" w:hAnsi="Arial"/>
                <w:sz w:val="14"/>
                <w:szCs w:val="14"/>
                <w:color w:val="auto"/>
              </w:rPr>
              <w:t>REGSPGBR, Principal Strips</w:t>
            </w:r>
          </w:p>
        </w:tc>
        <w:tc>
          <w:tcPr>
            <w:tcW w:w="2700" w:type="dxa"/>
            <w:vAlign w:val="bottom"/>
          </w:tcPr>
          <w:p>
            <w:pPr>
              <w:ind w:left="138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040" w:type="dxa"/>
            <w:vAlign w:val="bottom"/>
          </w:tcPr>
          <w:p>
            <w:pPr>
              <w:spacing w:after="0"/>
              <w:rPr>
                <w:sz w:val="15"/>
                <w:szCs w:val="15"/>
                <w:color w:val="auto"/>
              </w:rPr>
            </w:pPr>
          </w:p>
        </w:tc>
        <w:tc>
          <w:tcPr>
            <w:tcW w:w="7680" w:type="dxa"/>
            <w:vAlign w:val="bottom"/>
          </w:tcPr>
          <w:p>
            <w:pPr>
              <w:ind w:left="4160"/>
              <w:spacing w:after="0"/>
              <w:rPr>
                <w:sz w:val="20"/>
                <w:szCs w:val="20"/>
                <w:color w:val="auto"/>
              </w:rPr>
            </w:pPr>
            <w:r>
              <w:rPr>
                <w:rFonts w:ascii="Arial" w:cs="Arial" w:eastAsia="Arial" w:hAnsi="Arial"/>
                <w:sz w:val="14"/>
                <w:szCs w:val="14"/>
                <w:color w:val="auto"/>
              </w:rPr>
              <w:t>REGSPGBS, Interest Strips</w:t>
            </w:r>
          </w:p>
        </w:tc>
        <w:tc>
          <w:tcPr>
            <w:tcW w:w="2700" w:type="dxa"/>
            <w:vAlign w:val="bottom"/>
          </w:tcPr>
          <w:p>
            <w:pPr>
              <w:ind w:left="138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2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68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Belgium</w:t>
            </w:r>
          </w:p>
        </w:tc>
        <w:tc>
          <w:tcPr>
            <w:tcW w:w="270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7680" w:type="dxa"/>
            <w:vAlign w:val="bottom"/>
          </w:tcPr>
          <w:p>
            <w:pPr>
              <w:ind w:left="860"/>
              <w:spacing w:after="0" w:line="130" w:lineRule="exact"/>
              <w:rPr>
                <w:sz w:val="20"/>
                <w:szCs w:val="20"/>
                <w:color w:val="auto"/>
              </w:rPr>
            </w:pPr>
            <w:r>
              <w:rPr>
                <w:rFonts w:ascii="Arial" w:cs="Arial" w:eastAsia="Arial" w:hAnsi="Arial"/>
                <w:sz w:val="14"/>
                <w:szCs w:val="14"/>
                <w:color w:val="auto"/>
              </w:rPr>
              <w:t>EUR</w:t>
            </w:r>
          </w:p>
        </w:tc>
        <w:tc>
          <w:tcPr>
            <w:tcW w:w="2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Bills</w:t>
            </w:r>
          </w:p>
        </w:tc>
        <w:tc>
          <w:tcPr>
            <w:tcW w:w="270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4160"/>
              <w:spacing w:after="0" w:line="149" w:lineRule="exact"/>
              <w:rPr>
                <w:sz w:val="20"/>
                <w:szCs w:val="20"/>
                <w:color w:val="auto"/>
              </w:rPr>
            </w:pPr>
            <w:r>
              <w:rPr>
                <w:rFonts w:ascii="Arial" w:cs="Arial" w:eastAsia="Arial" w:hAnsi="Arial"/>
                <w:sz w:val="14"/>
                <w:szCs w:val="14"/>
                <w:color w:val="auto"/>
              </w:rPr>
              <w:t>REGBTC, Government Bill</w:t>
            </w:r>
          </w:p>
        </w:tc>
        <w:tc>
          <w:tcPr>
            <w:tcW w:w="2700" w:type="dxa"/>
            <w:vAlign w:val="bottom"/>
          </w:tcPr>
          <w:p>
            <w:pPr>
              <w:ind w:left="138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270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4160"/>
              <w:spacing w:after="0" w:line="149" w:lineRule="exact"/>
              <w:rPr>
                <w:sz w:val="20"/>
                <w:szCs w:val="20"/>
                <w:color w:val="auto"/>
              </w:rPr>
            </w:pPr>
            <w:r>
              <w:rPr>
                <w:rFonts w:ascii="Arial" w:cs="Arial" w:eastAsia="Arial" w:hAnsi="Arial"/>
                <w:sz w:val="14"/>
                <w:szCs w:val="14"/>
                <w:color w:val="auto"/>
              </w:rPr>
              <w:t>REGOLO, Government Note/Bond</w:t>
            </w:r>
          </w:p>
        </w:tc>
        <w:tc>
          <w:tcPr>
            <w:tcW w:w="2700" w:type="dxa"/>
            <w:vAlign w:val="bottom"/>
          </w:tcPr>
          <w:p>
            <w:pPr>
              <w:ind w:left="138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Strips</w:t>
            </w:r>
          </w:p>
        </w:tc>
        <w:tc>
          <w:tcPr>
            <w:tcW w:w="270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4160"/>
              <w:spacing w:after="0" w:line="149" w:lineRule="exact"/>
              <w:rPr>
                <w:sz w:val="20"/>
                <w:szCs w:val="20"/>
                <w:color w:val="auto"/>
              </w:rPr>
            </w:pPr>
            <w:r>
              <w:rPr>
                <w:rFonts w:ascii="Arial" w:cs="Arial" w:eastAsia="Arial" w:hAnsi="Arial"/>
                <w:sz w:val="14"/>
                <w:szCs w:val="14"/>
                <w:color w:val="auto"/>
              </w:rPr>
              <w:t>REGOLOD, Fungible Strips</w:t>
            </w:r>
          </w:p>
        </w:tc>
        <w:tc>
          <w:tcPr>
            <w:tcW w:w="2700" w:type="dxa"/>
            <w:vAlign w:val="bottom"/>
          </w:tcPr>
          <w:p>
            <w:pPr>
              <w:ind w:left="138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7680" w:type="dxa"/>
            <w:vAlign w:val="bottom"/>
          </w:tcPr>
          <w:p>
            <w:pPr>
              <w:ind w:left="4160"/>
              <w:spacing w:after="0" w:line="149" w:lineRule="exact"/>
              <w:rPr>
                <w:sz w:val="20"/>
                <w:szCs w:val="20"/>
                <w:color w:val="auto"/>
              </w:rPr>
            </w:pPr>
            <w:r>
              <w:rPr>
                <w:rFonts w:ascii="Arial" w:cs="Arial" w:eastAsia="Arial" w:hAnsi="Arial"/>
                <w:sz w:val="14"/>
                <w:szCs w:val="14"/>
                <w:color w:val="auto"/>
              </w:rPr>
              <w:t>REGOLOR, Principal Strips</w:t>
            </w:r>
          </w:p>
        </w:tc>
        <w:tc>
          <w:tcPr>
            <w:tcW w:w="2700" w:type="dxa"/>
            <w:vAlign w:val="bottom"/>
          </w:tcPr>
          <w:p>
            <w:pPr>
              <w:ind w:left="138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040" w:type="dxa"/>
            <w:vAlign w:val="bottom"/>
          </w:tcPr>
          <w:p>
            <w:pPr>
              <w:spacing w:after="0"/>
              <w:rPr>
                <w:sz w:val="15"/>
                <w:szCs w:val="15"/>
                <w:color w:val="auto"/>
              </w:rPr>
            </w:pPr>
          </w:p>
        </w:tc>
        <w:tc>
          <w:tcPr>
            <w:tcW w:w="7680" w:type="dxa"/>
            <w:vAlign w:val="bottom"/>
          </w:tcPr>
          <w:p>
            <w:pPr>
              <w:ind w:left="4160"/>
              <w:spacing w:after="0"/>
              <w:rPr>
                <w:sz w:val="20"/>
                <w:szCs w:val="20"/>
                <w:color w:val="auto"/>
              </w:rPr>
            </w:pPr>
            <w:r>
              <w:rPr>
                <w:rFonts w:ascii="Arial" w:cs="Arial" w:eastAsia="Arial" w:hAnsi="Arial"/>
                <w:sz w:val="14"/>
                <w:szCs w:val="14"/>
                <w:color w:val="auto"/>
              </w:rPr>
              <w:t>REGOLOS, Interest Strips</w:t>
            </w:r>
          </w:p>
        </w:tc>
        <w:tc>
          <w:tcPr>
            <w:tcW w:w="2700" w:type="dxa"/>
            <w:vAlign w:val="bottom"/>
          </w:tcPr>
          <w:p>
            <w:pPr>
              <w:ind w:left="138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2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68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Austria</w:t>
            </w:r>
          </w:p>
        </w:tc>
        <w:tc>
          <w:tcPr>
            <w:tcW w:w="270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7680" w:type="dxa"/>
            <w:vAlign w:val="bottom"/>
          </w:tcPr>
          <w:p>
            <w:pPr>
              <w:ind w:left="860"/>
              <w:spacing w:after="0" w:line="130" w:lineRule="exact"/>
              <w:rPr>
                <w:sz w:val="20"/>
                <w:szCs w:val="20"/>
                <w:color w:val="auto"/>
              </w:rPr>
            </w:pPr>
            <w:r>
              <w:rPr>
                <w:rFonts w:ascii="Arial" w:cs="Arial" w:eastAsia="Arial" w:hAnsi="Arial"/>
                <w:sz w:val="14"/>
                <w:szCs w:val="14"/>
                <w:color w:val="auto"/>
              </w:rPr>
              <w:t>EUR</w:t>
            </w:r>
          </w:p>
        </w:tc>
        <w:tc>
          <w:tcPr>
            <w:tcW w:w="2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270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4160"/>
              <w:spacing w:after="0" w:line="149" w:lineRule="exact"/>
              <w:rPr>
                <w:sz w:val="20"/>
                <w:szCs w:val="20"/>
                <w:color w:val="auto"/>
              </w:rPr>
            </w:pPr>
            <w:r>
              <w:rPr>
                <w:rFonts w:ascii="Arial" w:cs="Arial" w:eastAsia="Arial" w:hAnsi="Arial"/>
                <w:sz w:val="14"/>
                <w:szCs w:val="14"/>
                <w:color w:val="auto"/>
              </w:rPr>
              <w:t>REGRAGB, Government Note/Bond</w:t>
            </w:r>
          </w:p>
        </w:tc>
        <w:tc>
          <w:tcPr>
            <w:tcW w:w="2700" w:type="dxa"/>
            <w:vAlign w:val="bottom"/>
          </w:tcPr>
          <w:p>
            <w:pPr>
              <w:ind w:left="138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Strips</w:t>
            </w:r>
          </w:p>
        </w:tc>
        <w:tc>
          <w:tcPr>
            <w:tcW w:w="270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4160"/>
              <w:spacing w:after="0" w:line="149" w:lineRule="exact"/>
              <w:rPr>
                <w:sz w:val="20"/>
                <w:szCs w:val="20"/>
                <w:color w:val="auto"/>
              </w:rPr>
            </w:pPr>
            <w:r>
              <w:rPr>
                <w:rFonts w:ascii="Arial" w:cs="Arial" w:eastAsia="Arial" w:hAnsi="Arial"/>
                <w:sz w:val="14"/>
                <w:szCs w:val="14"/>
                <w:color w:val="auto"/>
              </w:rPr>
              <w:t>REGRAGBR, Principal Strips</w:t>
            </w:r>
          </w:p>
        </w:tc>
        <w:tc>
          <w:tcPr>
            <w:tcW w:w="2700" w:type="dxa"/>
            <w:vAlign w:val="bottom"/>
          </w:tcPr>
          <w:p>
            <w:pPr>
              <w:ind w:left="138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040" w:type="dxa"/>
            <w:vAlign w:val="bottom"/>
          </w:tcPr>
          <w:p>
            <w:pPr>
              <w:spacing w:after="0"/>
              <w:rPr>
                <w:sz w:val="15"/>
                <w:szCs w:val="15"/>
                <w:color w:val="auto"/>
              </w:rPr>
            </w:pPr>
          </w:p>
        </w:tc>
        <w:tc>
          <w:tcPr>
            <w:tcW w:w="7680" w:type="dxa"/>
            <w:vAlign w:val="bottom"/>
          </w:tcPr>
          <w:p>
            <w:pPr>
              <w:ind w:left="4160"/>
              <w:spacing w:after="0"/>
              <w:rPr>
                <w:sz w:val="20"/>
                <w:szCs w:val="20"/>
                <w:color w:val="auto"/>
              </w:rPr>
            </w:pPr>
            <w:r>
              <w:rPr>
                <w:rFonts w:ascii="Arial" w:cs="Arial" w:eastAsia="Arial" w:hAnsi="Arial"/>
                <w:sz w:val="14"/>
                <w:szCs w:val="14"/>
                <w:color w:val="auto"/>
              </w:rPr>
              <w:t>REGRAGBS, Interest Strips</w:t>
            </w:r>
          </w:p>
        </w:tc>
        <w:tc>
          <w:tcPr>
            <w:tcW w:w="2700" w:type="dxa"/>
            <w:vAlign w:val="bottom"/>
          </w:tcPr>
          <w:p>
            <w:pPr>
              <w:ind w:left="138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2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68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Finland</w:t>
            </w:r>
          </w:p>
        </w:tc>
        <w:tc>
          <w:tcPr>
            <w:tcW w:w="270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7680" w:type="dxa"/>
            <w:vAlign w:val="bottom"/>
          </w:tcPr>
          <w:p>
            <w:pPr>
              <w:ind w:left="860"/>
              <w:spacing w:after="0" w:line="130" w:lineRule="exact"/>
              <w:rPr>
                <w:sz w:val="20"/>
                <w:szCs w:val="20"/>
                <w:color w:val="auto"/>
              </w:rPr>
            </w:pPr>
            <w:r>
              <w:rPr>
                <w:rFonts w:ascii="Arial" w:cs="Arial" w:eastAsia="Arial" w:hAnsi="Arial"/>
                <w:sz w:val="14"/>
                <w:szCs w:val="14"/>
                <w:color w:val="auto"/>
              </w:rPr>
              <w:t>EUR</w:t>
            </w:r>
          </w:p>
        </w:tc>
        <w:tc>
          <w:tcPr>
            <w:tcW w:w="2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270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7680" w:type="dxa"/>
            <w:vAlign w:val="bottom"/>
          </w:tcPr>
          <w:p>
            <w:pPr>
              <w:ind w:left="4160"/>
              <w:spacing w:after="0"/>
              <w:rPr>
                <w:sz w:val="20"/>
                <w:szCs w:val="20"/>
                <w:color w:val="auto"/>
              </w:rPr>
            </w:pPr>
            <w:r>
              <w:rPr>
                <w:rFonts w:ascii="Arial" w:cs="Arial" w:eastAsia="Arial" w:hAnsi="Arial"/>
                <w:sz w:val="14"/>
                <w:szCs w:val="14"/>
                <w:color w:val="auto"/>
              </w:rPr>
              <w:t>REGRFGB, Government Bond/Note</w:t>
            </w:r>
          </w:p>
        </w:tc>
        <w:tc>
          <w:tcPr>
            <w:tcW w:w="2700" w:type="dxa"/>
            <w:vAlign w:val="bottom"/>
          </w:tcPr>
          <w:p>
            <w:pPr>
              <w:ind w:left="138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2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68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Portugal</w:t>
            </w:r>
          </w:p>
        </w:tc>
        <w:tc>
          <w:tcPr>
            <w:tcW w:w="270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7680" w:type="dxa"/>
            <w:vAlign w:val="bottom"/>
          </w:tcPr>
          <w:p>
            <w:pPr>
              <w:ind w:left="860"/>
              <w:spacing w:after="0" w:line="130" w:lineRule="exact"/>
              <w:rPr>
                <w:sz w:val="20"/>
                <w:szCs w:val="20"/>
                <w:color w:val="auto"/>
              </w:rPr>
            </w:pPr>
            <w:r>
              <w:rPr>
                <w:rFonts w:ascii="Arial" w:cs="Arial" w:eastAsia="Arial" w:hAnsi="Arial"/>
                <w:sz w:val="14"/>
                <w:szCs w:val="14"/>
                <w:color w:val="auto"/>
              </w:rPr>
              <w:t>EUR</w:t>
            </w:r>
          </w:p>
        </w:tc>
        <w:tc>
          <w:tcPr>
            <w:tcW w:w="2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Bills</w:t>
            </w:r>
          </w:p>
        </w:tc>
        <w:tc>
          <w:tcPr>
            <w:tcW w:w="270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4160"/>
              <w:spacing w:after="0" w:line="149" w:lineRule="exact"/>
              <w:rPr>
                <w:sz w:val="20"/>
                <w:szCs w:val="20"/>
                <w:color w:val="auto"/>
              </w:rPr>
            </w:pPr>
            <w:r>
              <w:rPr>
                <w:rFonts w:ascii="Arial" w:cs="Arial" w:eastAsia="Arial" w:hAnsi="Arial"/>
                <w:sz w:val="14"/>
                <w:szCs w:val="14"/>
                <w:color w:val="auto"/>
              </w:rPr>
              <w:t>REGPTC, Bilhetes Do Tesouro</w:t>
            </w:r>
          </w:p>
        </w:tc>
        <w:tc>
          <w:tcPr>
            <w:tcW w:w="2700" w:type="dxa"/>
            <w:vAlign w:val="bottom"/>
          </w:tcPr>
          <w:p>
            <w:pPr>
              <w:ind w:left="138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270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7680" w:type="dxa"/>
            <w:vAlign w:val="bottom"/>
          </w:tcPr>
          <w:p>
            <w:pPr>
              <w:ind w:left="4160"/>
              <w:spacing w:after="0"/>
              <w:rPr>
                <w:sz w:val="20"/>
                <w:szCs w:val="20"/>
                <w:color w:val="auto"/>
              </w:rPr>
            </w:pPr>
            <w:r>
              <w:rPr>
                <w:rFonts w:ascii="Arial" w:cs="Arial" w:eastAsia="Arial" w:hAnsi="Arial"/>
                <w:sz w:val="14"/>
                <w:szCs w:val="14"/>
                <w:color w:val="auto"/>
              </w:rPr>
              <w:t>REGPGB, Government Note/Bond</w:t>
            </w:r>
          </w:p>
        </w:tc>
        <w:tc>
          <w:tcPr>
            <w:tcW w:w="2700" w:type="dxa"/>
            <w:vAlign w:val="bottom"/>
          </w:tcPr>
          <w:p>
            <w:pPr>
              <w:ind w:left="138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2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68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Ireland</w:t>
            </w:r>
          </w:p>
        </w:tc>
        <w:tc>
          <w:tcPr>
            <w:tcW w:w="270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7680" w:type="dxa"/>
            <w:vAlign w:val="bottom"/>
          </w:tcPr>
          <w:p>
            <w:pPr>
              <w:ind w:left="860"/>
              <w:spacing w:after="0" w:line="130" w:lineRule="exact"/>
              <w:rPr>
                <w:sz w:val="20"/>
                <w:szCs w:val="20"/>
                <w:color w:val="auto"/>
              </w:rPr>
            </w:pPr>
            <w:r>
              <w:rPr>
                <w:rFonts w:ascii="Arial" w:cs="Arial" w:eastAsia="Arial" w:hAnsi="Arial"/>
                <w:sz w:val="14"/>
                <w:szCs w:val="14"/>
                <w:color w:val="auto"/>
              </w:rPr>
              <w:t>EUR</w:t>
            </w:r>
          </w:p>
        </w:tc>
        <w:tc>
          <w:tcPr>
            <w:tcW w:w="270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Bills</w:t>
            </w:r>
          </w:p>
        </w:tc>
        <w:tc>
          <w:tcPr>
            <w:tcW w:w="270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680" w:type="dxa"/>
            <w:vAlign w:val="bottom"/>
          </w:tcPr>
          <w:p>
            <w:pPr>
              <w:ind w:left="4160"/>
              <w:spacing w:after="0" w:line="149" w:lineRule="exact"/>
              <w:rPr>
                <w:sz w:val="20"/>
                <w:szCs w:val="20"/>
                <w:color w:val="auto"/>
              </w:rPr>
            </w:pPr>
            <w:r>
              <w:rPr>
                <w:rFonts w:ascii="Arial" w:cs="Arial" w:eastAsia="Arial" w:hAnsi="Arial"/>
                <w:sz w:val="14"/>
                <w:szCs w:val="14"/>
                <w:color w:val="auto"/>
              </w:rPr>
              <w:t>REGITC, Government Bill</w:t>
            </w:r>
          </w:p>
        </w:tc>
        <w:tc>
          <w:tcPr>
            <w:tcW w:w="2700" w:type="dxa"/>
            <w:vAlign w:val="bottom"/>
          </w:tcPr>
          <w:p>
            <w:pPr>
              <w:ind w:left="138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768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270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7680" w:type="dxa"/>
            <w:vAlign w:val="bottom"/>
          </w:tcPr>
          <w:p>
            <w:pPr>
              <w:ind w:left="4160"/>
              <w:spacing w:after="0"/>
              <w:rPr>
                <w:sz w:val="20"/>
                <w:szCs w:val="20"/>
                <w:color w:val="auto"/>
              </w:rPr>
            </w:pPr>
            <w:r>
              <w:rPr>
                <w:rFonts w:ascii="Arial" w:cs="Arial" w:eastAsia="Arial" w:hAnsi="Arial"/>
                <w:sz w:val="14"/>
                <w:szCs w:val="14"/>
                <w:color w:val="auto"/>
              </w:rPr>
              <w:t>REGIRISH, Government Note/Bond</w:t>
            </w:r>
          </w:p>
        </w:tc>
        <w:tc>
          <w:tcPr>
            <w:tcW w:w="2700" w:type="dxa"/>
            <w:vAlign w:val="bottom"/>
          </w:tcPr>
          <w:p>
            <w:pPr>
              <w:ind w:left="1380"/>
              <w:spacing w:after="0"/>
              <w:rPr>
                <w:sz w:val="20"/>
                <w:szCs w:val="20"/>
                <w:color w:val="auto"/>
              </w:rPr>
            </w:pPr>
            <w:r>
              <w:rPr>
                <w:rFonts w:ascii="Arial" w:cs="Arial" w:eastAsia="Arial" w:hAnsi="Arial"/>
                <w:sz w:val="14"/>
                <w:szCs w:val="14"/>
                <w:color w:val="auto"/>
              </w:rPr>
              <w:t>Composite Quote</w:t>
            </w:r>
          </w:p>
        </w:tc>
      </w:tr>
      <w:tr>
        <w:trPr>
          <w:trHeight w:val="633"/>
        </w:trPr>
        <w:tc>
          <w:tcPr>
            <w:tcW w:w="10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8" w:right="239" w:bottom="1440" w:gutter="0" w:footer="0" w:header="0"/>
        </w:sectPr>
      </w:pPr>
    </w:p>
    <w:bookmarkStart w:id="301" w:name="page302"/>
    <w:bookmarkEnd w:id="3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20" w:type="dxa"/>
            <w:vAlign w:val="bottom"/>
            <w:shd w:val="clear" w:color="auto" w:fill="EEECE1"/>
          </w:tcPr>
          <w:p>
            <w:pPr>
              <w:jc w:val="right"/>
              <w:ind w:right="388"/>
              <w:spacing w:after="0"/>
              <w:rPr>
                <w:sz w:val="20"/>
                <w:szCs w:val="20"/>
                <w:color w:val="auto"/>
              </w:rPr>
            </w:pPr>
            <w:r>
              <w:rPr>
                <w:rFonts w:ascii="Arial" w:cs="Arial" w:eastAsia="Arial" w:hAnsi="Arial"/>
                <w:sz w:val="14"/>
                <w:szCs w:val="14"/>
                <w:b w:val="1"/>
                <w:bCs w:val="1"/>
                <w:color w:val="auto"/>
              </w:rPr>
              <w:t>2</w:t>
            </w:r>
          </w:p>
        </w:tc>
        <w:tc>
          <w:tcPr>
            <w:tcW w:w="8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3</w:t>
            </w:r>
          </w:p>
        </w:tc>
        <w:tc>
          <w:tcPr>
            <w:tcW w:w="8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60" w:type="dxa"/>
            <w:vAlign w:val="bottom"/>
            <w:shd w:val="clear" w:color="auto" w:fill="EEECE1"/>
          </w:tcPr>
          <w:p>
            <w:pPr>
              <w:ind w:left="540"/>
              <w:spacing w:after="0"/>
              <w:rPr>
                <w:sz w:val="20"/>
                <w:szCs w:val="20"/>
                <w:color w:val="auto"/>
              </w:rPr>
            </w:pPr>
            <w:r>
              <w:rPr>
                <w:rFonts w:ascii="Arial" w:cs="Arial" w:eastAsia="Arial" w:hAnsi="Arial"/>
                <w:sz w:val="14"/>
                <w:szCs w:val="14"/>
                <w:b w:val="1"/>
                <w:bCs w:val="1"/>
                <w:color w:val="auto"/>
              </w:rPr>
              <w:t>5</w:t>
            </w:r>
          </w:p>
        </w:tc>
        <w:tc>
          <w:tcPr>
            <w:tcW w:w="4620" w:type="dxa"/>
            <w:vAlign w:val="bottom"/>
            <w:shd w:val="clear" w:color="auto" w:fill="EEECE1"/>
          </w:tcPr>
          <w:p>
            <w:pPr>
              <w:ind w:left="520"/>
              <w:spacing w:after="0"/>
              <w:rPr>
                <w:sz w:val="20"/>
                <w:szCs w:val="20"/>
                <w:color w:val="auto"/>
              </w:rPr>
            </w:pPr>
            <w:r>
              <w:rPr>
                <w:rFonts w:ascii="Arial" w:cs="Arial" w:eastAsia="Arial" w:hAnsi="Arial"/>
                <w:sz w:val="14"/>
                <w:szCs w:val="14"/>
                <w:color w:val="auto"/>
              </w:rPr>
              <w:t>6</w:t>
            </w:r>
          </w:p>
        </w:tc>
        <w:tc>
          <w:tcPr>
            <w:tcW w:w="21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gridSpan w:val="3"/>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860" w:type="dxa"/>
            <w:vAlign w:val="bottom"/>
            <w:shd w:val="clear" w:color="auto" w:fill="EEECE1"/>
          </w:tcPr>
          <w:p>
            <w:pPr>
              <w:spacing w:after="0"/>
              <w:rPr>
                <w:sz w:val="14"/>
                <w:szCs w:val="14"/>
                <w:color w:val="auto"/>
              </w:rPr>
            </w:pPr>
          </w:p>
        </w:tc>
        <w:tc>
          <w:tcPr>
            <w:tcW w:w="1960" w:type="dxa"/>
            <w:vAlign w:val="bottom"/>
            <w:shd w:val="clear" w:color="auto" w:fill="EEECE1"/>
          </w:tcPr>
          <w:p>
            <w:pPr>
              <w:spacing w:after="0"/>
              <w:rPr>
                <w:sz w:val="14"/>
                <w:szCs w:val="14"/>
                <w:color w:val="auto"/>
              </w:rPr>
            </w:pPr>
          </w:p>
        </w:tc>
        <w:tc>
          <w:tcPr>
            <w:tcW w:w="4620" w:type="dxa"/>
            <w:vAlign w:val="bottom"/>
            <w:shd w:val="clear" w:color="auto" w:fill="EEECE1"/>
          </w:tcPr>
          <w:p>
            <w:pPr>
              <w:spacing w:after="0"/>
              <w:rPr>
                <w:sz w:val="14"/>
                <w:szCs w:val="14"/>
                <w:color w:val="auto"/>
              </w:rPr>
            </w:pPr>
          </w:p>
        </w:tc>
        <w:tc>
          <w:tcPr>
            <w:tcW w:w="21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Greece</w:t>
            </w:r>
          </w:p>
        </w:tc>
        <w:tc>
          <w:tcPr>
            <w:tcW w:w="860" w:type="dxa"/>
            <w:vAlign w:val="bottom"/>
            <w:shd w:val="clear" w:color="auto" w:fill="1F497D"/>
          </w:tcPr>
          <w:p>
            <w:pPr>
              <w:spacing w:after="0"/>
              <w:rPr>
                <w:sz w:val="12"/>
                <w:szCs w:val="12"/>
                <w:color w:val="auto"/>
              </w:rPr>
            </w:pPr>
          </w:p>
        </w:tc>
        <w:tc>
          <w:tcPr>
            <w:tcW w:w="1960" w:type="dxa"/>
            <w:vAlign w:val="bottom"/>
            <w:shd w:val="clear" w:color="auto" w:fill="1F497D"/>
          </w:tcPr>
          <w:p>
            <w:pPr>
              <w:spacing w:after="0"/>
              <w:rPr>
                <w:sz w:val="12"/>
                <w:szCs w:val="12"/>
                <w:color w:val="auto"/>
              </w:rPr>
            </w:pPr>
          </w:p>
        </w:tc>
        <w:tc>
          <w:tcPr>
            <w:tcW w:w="4620" w:type="dxa"/>
            <w:vAlign w:val="bottom"/>
            <w:shd w:val="clear" w:color="auto" w:fill="1F497D"/>
          </w:tcPr>
          <w:p>
            <w:pPr>
              <w:spacing w:after="0"/>
              <w:rPr>
                <w:sz w:val="12"/>
                <w:szCs w:val="12"/>
                <w:color w:val="auto"/>
              </w:rPr>
            </w:pPr>
          </w:p>
        </w:tc>
        <w:tc>
          <w:tcPr>
            <w:tcW w:w="21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EUR</w:t>
            </w:r>
          </w:p>
        </w:tc>
        <w:tc>
          <w:tcPr>
            <w:tcW w:w="1960" w:type="dxa"/>
            <w:vAlign w:val="bottom"/>
            <w:vMerge w:val="restart"/>
          </w:tcPr>
          <w:p>
            <w:pPr>
              <w:ind w:left="540"/>
              <w:spacing w:after="0"/>
              <w:rPr>
                <w:sz w:val="20"/>
                <w:szCs w:val="20"/>
                <w:color w:val="auto"/>
              </w:rPr>
            </w:pPr>
            <w:r>
              <w:rPr>
                <w:rFonts w:ascii="Arial" w:cs="Arial" w:eastAsia="Arial" w:hAnsi="Arial"/>
                <w:sz w:val="14"/>
                <w:szCs w:val="14"/>
                <w:color w:val="auto"/>
              </w:rPr>
              <w:t>Bills</w:t>
            </w:r>
          </w:p>
        </w:tc>
        <w:tc>
          <w:tcPr>
            <w:tcW w:w="46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4620" w:type="dxa"/>
            <w:vAlign w:val="bottom"/>
            <w:vMerge w:val="restart"/>
          </w:tcPr>
          <w:p>
            <w:pPr>
              <w:ind w:left="520"/>
              <w:spacing w:after="0"/>
              <w:rPr>
                <w:sz w:val="20"/>
                <w:szCs w:val="20"/>
                <w:color w:val="auto"/>
              </w:rPr>
            </w:pPr>
            <w:r>
              <w:rPr>
                <w:rFonts w:ascii="Arial" w:cs="Arial" w:eastAsia="Arial" w:hAnsi="Arial"/>
                <w:sz w:val="14"/>
                <w:szCs w:val="14"/>
                <w:color w:val="auto"/>
              </w:rPr>
              <w:t>REGGTB, Hellenic Treasury Bill</w:t>
            </w:r>
          </w:p>
        </w:tc>
        <w:tc>
          <w:tcPr>
            <w:tcW w:w="2120" w:type="dxa"/>
            <w:vAlign w:val="bottom"/>
            <w:vMerge w:val="restart"/>
          </w:tcPr>
          <w:p>
            <w:pPr>
              <w:ind w:left="8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vMerge w:val="restart"/>
          </w:tcPr>
          <w:p>
            <w:pPr>
              <w:ind w:left="540"/>
              <w:spacing w:after="0"/>
              <w:rPr>
                <w:sz w:val="20"/>
                <w:szCs w:val="20"/>
                <w:color w:val="auto"/>
              </w:rPr>
            </w:pPr>
            <w:r>
              <w:rPr>
                <w:rFonts w:ascii="Arial" w:cs="Arial" w:eastAsia="Arial" w:hAnsi="Arial"/>
                <w:sz w:val="14"/>
                <w:szCs w:val="14"/>
                <w:color w:val="auto"/>
              </w:rPr>
              <w:t>Notes &amp; Bonds</w:t>
            </w:r>
          </w:p>
        </w:tc>
        <w:tc>
          <w:tcPr>
            <w:tcW w:w="462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4620" w:type="dxa"/>
            <w:vAlign w:val="bottom"/>
            <w:vMerge w:val="restart"/>
          </w:tcPr>
          <w:p>
            <w:pPr>
              <w:ind w:left="520"/>
              <w:spacing w:after="0"/>
              <w:rPr>
                <w:sz w:val="20"/>
                <w:szCs w:val="20"/>
                <w:color w:val="auto"/>
              </w:rPr>
            </w:pPr>
            <w:r>
              <w:rPr>
                <w:rFonts w:ascii="Arial" w:cs="Arial" w:eastAsia="Arial" w:hAnsi="Arial"/>
                <w:sz w:val="14"/>
                <w:szCs w:val="14"/>
                <w:color w:val="auto"/>
              </w:rPr>
              <w:t>REGGGB, Government Note/Bond</w:t>
            </w:r>
          </w:p>
        </w:tc>
        <w:tc>
          <w:tcPr>
            <w:tcW w:w="2120" w:type="dxa"/>
            <w:vAlign w:val="bottom"/>
            <w:vMerge w:val="restart"/>
          </w:tcPr>
          <w:p>
            <w:pPr>
              <w:ind w:left="8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vMerge w:val="restart"/>
          </w:tcPr>
          <w:p>
            <w:pPr>
              <w:ind w:left="540"/>
              <w:spacing w:after="0"/>
              <w:rPr>
                <w:sz w:val="20"/>
                <w:szCs w:val="20"/>
                <w:color w:val="auto"/>
              </w:rPr>
            </w:pPr>
            <w:r>
              <w:rPr>
                <w:rFonts w:ascii="Arial" w:cs="Arial" w:eastAsia="Arial" w:hAnsi="Arial"/>
                <w:sz w:val="14"/>
                <w:szCs w:val="14"/>
                <w:color w:val="auto"/>
              </w:rPr>
              <w:t>ILBs</w:t>
            </w:r>
          </w:p>
        </w:tc>
        <w:tc>
          <w:tcPr>
            <w:tcW w:w="462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4620" w:type="dxa"/>
            <w:vAlign w:val="bottom"/>
            <w:vMerge w:val="restart"/>
          </w:tcPr>
          <w:p>
            <w:pPr>
              <w:ind w:left="520"/>
              <w:spacing w:after="0"/>
              <w:rPr>
                <w:sz w:val="20"/>
                <w:szCs w:val="20"/>
                <w:color w:val="auto"/>
              </w:rPr>
            </w:pPr>
            <w:r>
              <w:rPr>
                <w:rFonts w:ascii="Arial" w:cs="Arial" w:eastAsia="Arial" w:hAnsi="Arial"/>
                <w:sz w:val="14"/>
                <w:szCs w:val="14"/>
                <w:color w:val="auto"/>
              </w:rPr>
              <w:t>REGGGBEI, Inflation Indexed Note/Bond – HICP Index</w:t>
            </w:r>
          </w:p>
        </w:tc>
        <w:tc>
          <w:tcPr>
            <w:tcW w:w="2120" w:type="dxa"/>
            <w:vAlign w:val="bottom"/>
            <w:vMerge w:val="restart"/>
          </w:tcPr>
          <w:p>
            <w:pPr>
              <w:ind w:left="8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62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8400" w:type="dxa"/>
            <w:vAlign w:val="bottom"/>
            <w:shd w:val="clear" w:color="auto" w:fill="1F497D"/>
          </w:tcPr>
          <w:p>
            <w:pPr>
              <w:ind w:left="60"/>
              <w:spacing w:after="0"/>
              <w:rPr>
                <w:sz w:val="20"/>
                <w:szCs w:val="20"/>
                <w:color w:val="auto"/>
              </w:rPr>
            </w:pPr>
            <w:r>
              <w:rPr>
                <w:rFonts w:ascii="Arial" w:cs="Arial" w:eastAsia="Arial" w:hAnsi="Arial"/>
                <w:sz w:val="14"/>
                <w:szCs w:val="14"/>
                <w:b w:val="1"/>
                <w:bCs w:val="1"/>
                <w:color w:val="FFFFFF"/>
              </w:rPr>
              <w:t>Denmark</w:t>
            </w:r>
          </w:p>
        </w:tc>
        <w:tc>
          <w:tcPr>
            <w:tcW w:w="1980" w:type="dxa"/>
            <w:vAlign w:val="bottom"/>
            <w:shd w:val="clear" w:color="auto" w:fill="1F497D"/>
          </w:tcPr>
          <w:p>
            <w:pPr>
              <w:spacing w:after="0"/>
              <w:rPr>
                <w:sz w:val="14"/>
                <w:szCs w:val="14"/>
                <w:color w:val="auto"/>
              </w:rPr>
            </w:pPr>
          </w:p>
        </w:tc>
      </w:tr>
      <w:tr>
        <w:trPr>
          <w:trHeight w:val="130"/>
        </w:trPr>
        <w:tc>
          <w:tcPr>
            <w:tcW w:w="1040" w:type="dxa"/>
            <w:vAlign w:val="bottom"/>
          </w:tcPr>
          <w:p>
            <w:pPr>
              <w:spacing w:after="0"/>
              <w:rPr>
                <w:sz w:val="11"/>
                <w:szCs w:val="11"/>
                <w:color w:val="auto"/>
              </w:rPr>
            </w:pPr>
          </w:p>
        </w:tc>
        <w:tc>
          <w:tcPr>
            <w:tcW w:w="8400" w:type="dxa"/>
            <w:vAlign w:val="bottom"/>
          </w:tcPr>
          <w:p>
            <w:pPr>
              <w:ind w:left="860"/>
              <w:spacing w:after="0" w:line="130" w:lineRule="exact"/>
              <w:rPr>
                <w:sz w:val="20"/>
                <w:szCs w:val="20"/>
                <w:color w:val="auto"/>
              </w:rPr>
            </w:pPr>
            <w:r>
              <w:rPr>
                <w:rFonts w:ascii="Arial" w:cs="Arial" w:eastAsia="Arial" w:hAnsi="Arial"/>
                <w:sz w:val="14"/>
                <w:szCs w:val="14"/>
                <w:color w:val="auto"/>
              </w:rPr>
              <w:t>EUR</w:t>
            </w: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198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4160"/>
              <w:spacing w:after="0" w:line="149" w:lineRule="exact"/>
              <w:rPr>
                <w:sz w:val="20"/>
                <w:szCs w:val="20"/>
                <w:color w:val="auto"/>
              </w:rPr>
            </w:pPr>
            <w:r>
              <w:rPr>
                <w:rFonts w:ascii="Arial" w:cs="Arial" w:eastAsia="Arial" w:hAnsi="Arial"/>
                <w:sz w:val="14"/>
                <w:szCs w:val="14"/>
                <w:color w:val="auto"/>
              </w:rPr>
              <w:t>REGDGB, Government Bond/Note</w:t>
            </w:r>
          </w:p>
        </w:tc>
        <w:tc>
          <w:tcPr>
            <w:tcW w:w="1980" w:type="dxa"/>
            <w:vAlign w:val="bottom"/>
          </w:tcPr>
          <w:p>
            <w:pPr>
              <w:ind w:left="66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ILBs</w:t>
            </w:r>
          </w:p>
        </w:tc>
        <w:tc>
          <w:tcPr>
            <w:tcW w:w="198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400" w:type="dxa"/>
            <w:vAlign w:val="bottom"/>
          </w:tcPr>
          <w:p>
            <w:pPr>
              <w:ind w:left="4160"/>
              <w:spacing w:after="0"/>
              <w:rPr>
                <w:sz w:val="20"/>
                <w:szCs w:val="20"/>
                <w:color w:val="auto"/>
              </w:rPr>
            </w:pPr>
            <w:r>
              <w:rPr>
                <w:rFonts w:ascii="Arial" w:cs="Arial" w:eastAsia="Arial" w:hAnsi="Arial"/>
                <w:sz w:val="14"/>
                <w:szCs w:val="14"/>
                <w:color w:val="auto"/>
              </w:rPr>
              <w:t>REGDBGI, Index Linked Bonds</w:t>
            </w:r>
          </w:p>
        </w:tc>
        <w:tc>
          <w:tcPr>
            <w:tcW w:w="1980" w:type="dxa"/>
            <w:vAlign w:val="bottom"/>
          </w:tcPr>
          <w:p>
            <w:pPr>
              <w:ind w:left="66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Norway</w:t>
            </w:r>
          </w:p>
        </w:tc>
        <w:tc>
          <w:tcPr>
            <w:tcW w:w="198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400" w:type="dxa"/>
            <w:vAlign w:val="bottom"/>
          </w:tcPr>
          <w:p>
            <w:pPr>
              <w:ind w:left="860"/>
              <w:spacing w:after="0" w:line="130" w:lineRule="exact"/>
              <w:rPr>
                <w:sz w:val="20"/>
                <w:szCs w:val="20"/>
                <w:color w:val="auto"/>
              </w:rPr>
            </w:pPr>
            <w:r>
              <w:rPr>
                <w:rFonts w:ascii="Arial" w:cs="Arial" w:eastAsia="Arial" w:hAnsi="Arial"/>
                <w:sz w:val="14"/>
                <w:szCs w:val="14"/>
                <w:color w:val="auto"/>
              </w:rPr>
              <w:t>EUR</w:t>
            </w: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198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400" w:type="dxa"/>
            <w:vAlign w:val="bottom"/>
          </w:tcPr>
          <w:p>
            <w:pPr>
              <w:ind w:left="4160"/>
              <w:spacing w:after="0"/>
              <w:rPr>
                <w:sz w:val="20"/>
                <w:szCs w:val="20"/>
                <w:color w:val="auto"/>
              </w:rPr>
            </w:pPr>
            <w:r>
              <w:rPr>
                <w:rFonts w:ascii="Arial" w:cs="Arial" w:eastAsia="Arial" w:hAnsi="Arial"/>
                <w:sz w:val="14"/>
                <w:szCs w:val="14"/>
                <w:color w:val="auto"/>
              </w:rPr>
              <w:t>REGNGB, Government Bonds</w:t>
            </w:r>
          </w:p>
        </w:tc>
        <w:tc>
          <w:tcPr>
            <w:tcW w:w="1980" w:type="dxa"/>
            <w:vAlign w:val="bottom"/>
          </w:tcPr>
          <w:p>
            <w:pPr>
              <w:ind w:left="66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Slovenia</w:t>
            </w:r>
          </w:p>
        </w:tc>
        <w:tc>
          <w:tcPr>
            <w:tcW w:w="198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400" w:type="dxa"/>
            <w:vAlign w:val="bottom"/>
          </w:tcPr>
          <w:p>
            <w:pPr>
              <w:ind w:left="860"/>
              <w:spacing w:after="0" w:line="130" w:lineRule="exact"/>
              <w:rPr>
                <w:sz w:val="20"/>
                <w:szCs w:val="20"/>
                <w:color w:val="auto"/>
              </w:rPr>
            </w:pPr>
            <w:r>
              <w:rPr>
                <w:rFonts w:ascii="Arial" w:cs="Arial" w:eastAsia="Arial" w:hAnsi="Arial"/>
                <w:sz w:val="14"/>
                <w:szCs w:val="14"/>
                <w:color w:val="auto"/>
              </w:rPr>
              <w:t>EUR</w:t>
            </w: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198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400" w:type="dxa"/>
            <w:vAlign w:val="bottom"/>
          </w:tcPr>
          <w:p>
            <w:pPr>
              <w:ind w:left="4160"/>
              <w:spacing w:after="0"/>
              <w:rPr>
                <w:sz w:val="20"/>
                <w:szCs w:val="20"/>
                <w:color w:val="auto"/>
              </w:rPr>
            </w:pPr>
            <w:r>
              <w:rPr>
                <w:rFonts w:ascii="Arial" w:cs="Arial" w:eastAsia="Arial" w:hAnsi="Arial"/>
                <w:sz w:val="14"/>
                <w:szCs w:val="14"/>
                <w:color w:val="auto"/>
              </w:rPr>
              <w:t>REGSVN, Government Bond</w:t>
            </w:r>
          </w:p>
        </w:tc>
        <w:tc>
          <w:tcPr>
            <w:tcW w:w="1980" w:type="dxa"/>
            <w:vAlign w:val="bottom"/>
          </w:tcPr>
          <w:p>
            <w:pPr>
              <w:ind w:left="66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Slovakia</w:t>
            </w:r>
          </w:p>
        </w:tc>
        <w:tc>
          <w:tcPr>
            <w:tcW w:w="198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400" w:type="dxa"/>
            <w:vAlign w:val="bottom"/>
          </w:tcPr>
          <w:p>
            <w:pPr>
              <w:ind w:left="860"/>
              <w:spacing w:after="0" w:line="130" w:lineRule="exact"/>
              <w:rPr>
                <w:sz w:val="20"/>
                <w:szCs w:val="20"/>
                <w:color w:val="auto"/>
              </w:rPr>
            </w:pPr>
            <w:r>
              <w:rPr>
                <w:rFonts w:ascii="Arial" w:cs="Arial" w:eastAsia="Arial" w:hAnsi="Arial"/>
                <w:sz w:val="14"/>
                <w:szCs w:val="14"/>
                <w:color w:val="auto"/>
              </w:rPr>
              <w:t>EUR</w:t>
            </w: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198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400" w:type="dxa"/>
            <w:vAlign w:val="bottom"/>
          </w:tcPr>
          <w:p>
            <w:pPr>
              <w:ind w:left="4160"/>
              <w:spacing w:after="0"/>
              <w:rPr>
                <w:sz w:val="20"/>
                <w:szCs w:val="20"/>
                <w:color w:val="auto"/>
              </w:rPr>
            </w:pPr>
            <w:r>
              <w:rPr>
                <w:rFonts w:ascii="Arial" w:cs="Arial" w:eastAsia="Arial" w:hAnsi="Arial"/>
                <w:sz w:val="14"/>
                <w:szCs w:val="14"/>
                <w:color w:val="auto"/>
              </w:rPr>
              <w:t>REGSLO, Government Note/Bond</w:t>
            </w:r>
          </w:p>
        </w:tc>
        <w:tc>
          <w:tcPr>
            <w:tcW w:w="1980" w:type="dxa"/>
            <w:vAlign w:val="bottom"/>
          </w:tcPr>
          <w:p>
            <w:pPr>
              <w:ind w:left="66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United Kingdom</w:t>
            </w:r>
          </w:p>
        </w:tc>
        <w:tc>
          <w:tcPr>
            <w:tcW w:w="198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400" w:type="dxa"/>
            <w:vAlign w:val="bottom"/>
          </w:tcPr>
          <w:p>
            <w:pPr>
              <w:ind w:left="860"/>
              <w:spacing w:after="0" w:line="130" w:lineRule="exact"/>
              <w:rPr>
                <w:sz w:val="20"/>
                <w:szCs w:val="20"/>
                <w:color w:val="auto"/>
              </w:rPr>
            </w:pPr>
            <w:r>
              <w:rPr>
                <w:rFonts w:ascii="Arial" w:cs="Arial" w:eastAsia="Arial" w:hAnsi="Arial"/>
                <w:sz w:val="14"/>
                <w:szCs w:val="14"/>
                <w:color w:val="auto"/>
              </w:rPr>
              <w:t>GBP</w:t>
            </w: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Bills</w:t>
            </w:r>
          </w:p>
        </w:tc>
        <w:tc>
          <w:tcPr>
            <w:tcW w:w="198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4160"/>
              <w:spacing w:after="0" w:line="149" w:lineRule="exact"/>
              <w:rPr>
                <w:sz w:val="20"/>
                <w:szCs w:val="20"/>
                <w:color w:val="auto"/>
              </w:rPr>
            </w:pPr>
            <w:r>
              <w:rPr>
                <w:rFonts w:ascii="Arial" w:cs="Arial" w:eastAsia="Arial" w:hAnsi="Arial"/>
                <w:sz w:val="14"/>
                <w:szCs w:val="14"/>
                <w:color w:val="auto"/>
              </w:rPr>
              <w:t>REGUKTB, Gilt Bills</w:t>
            </w:r>
          </w:p>
        </w:tc>
        <w:tc>
          <w:tcPr>
            <w:tcW w:w="1980" w:type="dxa"/>
            <w:vAlign w:val="bottom"/>
          </w:tcPr>
          <w:p>
            <w:pPr>
              <w:ind w:left="66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198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4160"/>
              <w:spacing w:after="0" w:line="149" w:lineRule="exact"/>
              <w:rPr>
                <w:sz w:val="20"/>
                <w:szCs w:val="20"/>
                <w:color w:val="auto"/>
              </w:rPr>
            </w:pPr>
            <w:r>
              <w:rPr>
                <w:rFonts w:ascii="Arial" w:cs="Arial" w:eastAsia="Arial" w:hAnsi="Arial"/>
                <w:sz w:val="14"/>
                <w:szCs w:val="14"/>
                <w:color w:val="auto"/>
              </w:rPr>
              <w:t>REGUKT, Gilts</w:t>
            </w:r>
          </w:p>
        </w:tc>
        <w:tc>
          <w:tcPr>
            <w:tcW w:w="1980" w:type="dxa"/>
            <w:vAlign w:val="bottom"/>
          </w:tcPr>
          <w:p>
            <w:pPr>
              <w:ind w:left="66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ILBs</w:t>
            </w:r>
          </w:p>
        </w:tc>
        <w:tc>
          <w:tcPr>
            <w:tcW w:w="198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4160"/>
              <w:spacing w:after="0" w:line="149" w:lineRule="exact"/>
              <w:rPr>
                <w:sz w:val="20"/>
                <w:szCs w:val="20"/>
                <w:color w:val="auto"/>
              </w:rPr>
            </w:pPr>
            <w:r>
              <w:rPr>
                <w:rFonts w:ascii="Arial" w:cs="Arial" w:eastAsia="Arial" w:hAnsi="Arial"/>
                <w:sz w:val="14"/>
                <w:szCs w:val="14"/>
                <w:color w:val="auto"/>
              </w:rPr>
              <w:t>REGUKTI, Inflation Indexed Note/Bond – UK All RPI Index</w:t>
            </w:r>
          </w:p>
        </w:tc>
        <w:tc>
          <w:tcPr>
            <w:tcW w:w="1980" w:type="dxa"/>
            <w:vAlign w:val="bottom"/>
          </w:tcPr>
          <w:p>
            <w:pPr>
              <w:ind w:left="66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040" w:type="dxa"/>
            <w:vAlign w:val="bottom"/>
          </w:tcPr>
          <w:p>
            <w:pPr>
              <w:spacing w:after="0"/>
              <w:rPr>
                <w:sz w:val="15"/>
                <w:szCs w:val="15"/>
                <w:color w:val="auto"/>
              </w:rPr>
            </w:pPr>
          </w:p>
        </w:tc>
        <w:tc>
          <w:tcPr>
            <w:tcW w:w="8400" w:type="dxa"/>
            <w:vAlign w:val="bottom"/>
          </w:tcPr>
          <w:p>
            <w:pPr>
              <w:ind w:left="4160"/>
              <w:spacing w:after="0"/>
              <w:rPr>
                <w:sz w:val="20"/>
                <w:szCs w:val="20"/>
                <w:color w:val="auto"/>
              </w:rPr>
            </w:pPr>
            <w:r>
              <w:rPr>
                <w:rFonts w:ascii="Arial" w:cs="Arial" w:eastAsia="Arial" w:hAnsi="Arial"/>
                <w:sz w:val="14"/>
                <w:szCs w:val="14"/>
                <w:color w:val="auto"/>
              </w:rPr>
              <w:t>REGUKGI, Inflation Indexed Note/Bond – UK All RPI Index</w:t>
            </w:r>
          </w:p>
        </w:tc>
        <w:tc>
          <w:tcPr>
            <w:tcW w:w="1980" w:type="dxa"/>
            <w:vAlign w:val="bottom"/>
          </w:tcPr>
          <w:p>
            <w:pPr>
              <w:ind w:left="66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Sweden</w:t>
            </w:r>
          </w:p>
        </w:tc>
        <w:tc>
          <w:tcPr>
            <w:tcW w:w="198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400" w:type="dxa"/>
            <w:vAlign w:val="bottom"/>
          </w:tcPr>
          <w:p>
            <w:pPr>
              <w:ind w:left="860"/>
              <w:spacing w:after="0" w:line="130" w:lineRule="exact"/>
              <w:rPr>
                <w:sz w:val="20"/>
                <w:szCs w:val="20"/>
                <w:color w:val="auto"/>
              </w:rPr>
            </w:pPr>
            <w:r>
              <w:rPr>
                <w:rFonts w:ascii="Arial" w:cs="Arial" w:eastAsia="Arial" w:hAnsi="Arial"/>
                <w:sz w:val="14"/>
                <w:szCs w:val="14"/>
                <w:color w:val="auto"/>
              </w:rPr>
              <w:t>SEK</w:t>
            </w: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198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4160"/>
              <w:spacing w:after="0" w:line="149" w:lineRule="exact"/>
              <w:rPr>
                <w:sz w:val="20"/>
                <w:szCs w:val="20"/>
                <w:color w:val="auto"/>
              </w:rPr>
            </w:pPr>
            <w:r>
              <w:rPr>
                <w:rFonts w:ascii="Arial" w:cs="Arial" w:eastAsia="Arial" w:hAnsi="Arial"/>
                <w:sz w:val="14"/>
                <w:szCs w:val="14"/>
                <w:color w:val="auto"/>
              </w:rPr>
              <w:t>REGSGB, Government Note/Bond</w:t>
            </w:r>
          </w:p>
        </w:tc>
        <w:tc>
          <w:tcPr>
            <w:tcW w:w="1980" w:type="dxa"/>
            <w:vAlign w:val="bottom"/>
          </w:tcPr>
          <w:p>
            <w:pPr>
              <w:ind w:left="66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ILBs</w:t>
            </w:r>
          </w:p>
        </w:tc>
        <w:tc>
          <w:tcPr>
            <w:tcW w:w="198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400" w:type="dxa"/>
            <w:vAlign w:val="bottom"/>
          </w:tcPr>
          <w:p>
            <w:pPr>
              <w:ind w:left="4160"/>
              <w:spacing w:after="0"/>
              <w:rPr>
                <w:sz w:val="20"/>
                <w:szCs w:val="20"/>
                <w:color w:val="auto"/>
              </w:rPr>
            </w:pPr>
            <w:r>
              <w:rPr>
                <w:rFonts w:ascii="Arial" w:cs="Arial" w:eastAsia="Arial" w:hAnsi="Arial"/>
                <w:sz w:val="14"/>
                <w:szCs w:val="14"/>
                <w:color w:val="auto"/>
              </w:rPr>
              <w:t>REGSEI, Index Linked Notes/Bonds</w:t>
            </w:r>
          </w:p>
        </w:tc>
        <w:tc>
          <w:tcPr>
            <w:tcW w:w="1980" w:type="dxa"/>
            <w:vAlign w:val="bottom"/>
          </w:tcPr>
          <w:p>
            <w:pPr>
              <w:ind w:left="66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Switzerland</w:t>
            </w:r>
          </w:p>
        </w:tc>
        <w:tc>
          <w:tcPr>
            <w:tcW w:w="198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400" w:type="dxa"/>
            <w:vAlign w:val="bottom"/>
          </w:tcPr>
          <w:p>
            <w:pPr>
              <w:ind w:left="860"/>
              <w:spacing w:after="0" w:line="130" w:lineRule="exact"/>
              <w:rPr>
                <w:sz w:val="20"/>
                <w:szCs w:val="20"/>
                <w:color w:val="auto"/>
              </w:rPr>
            </w:pPr>
            <w:r>
              <w:rPr>
                <w:rFonts w:ascii="Arial" w:cs="Arial" w:eastAsia="Arial" w:hAnsi="Arial"/>
                <w:sz w:val="14"/>
                <w:szCs w:val="14"/>
                <w:color w:val="auto"/>
              </w:rPr>
              <w:t>CHF</w:t>
            </w: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198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400" w:type="dxa"/>
            <w:vAlign w:val="bottom"/>
          </w:tcPr>
          <w:p>
            <w:pPr>
              <w:ind w:left="4160"/>
              <w:spacing w:after="0"/>
              <w:rPr>
                <w:sz w:val="20"/>
                <w:szCs w:val="20"/>
                <w:color w:val="auto"/>
              </w:rPr>
            </w:pPr>
            <w:r>
              <w:rPr>
                <w:rFonts w:ascii="Arial" w:cs="Arial" w:eastAsia="Arial" w:hAnsi="Arial"/>
                <w:sz w:val="14"/>
                <w:szCs w:val="14"/>
                <w:color w:val="auto"/>
              </w:rPr>
              <w:t>REGSWISS, Government Bond</w:t>
            </w:r>
          </w:p>
        </w:tc>
        <w:tc>
          <w:tcPr>
            <w:tcW w:w="1980" w:type="dxa"/>
            <w:vAlign w:val="bottom"/>
          </w:tcPr>
          <w:p>
            <w:pPr>
              <w:ind w:left="66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Hungary</w:t>
            </w:r>
          </w:p>
        </w:tc>
        <w:tc>
          <w:tcPr>
            <w:tcW w:w="198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400" w:type="dxa"/>
            <w:vAlign w:val="bottom"/>
          </w:tcPr>
          <w:p>
            <w:pPr>
              <w:ind w:left="860"/>
              <w:spacing w:after="0" w:line="130" w:lineRule="exact"/>
              <w:rPr>
                <w:sz w:val="20"/>
                <w:szCs w:val="20"/>
                <w:color w:val="auto"/>
              </w:rPr>
            </w:pPr>
            <w:r>
              <w:rPr>
                <w:rFonts w:ascii="Arial" w:cs="Arial" w:eastAsia="Arial" w:hAnsi="Arial"/>
                <w:sz w:val="14"/>
                <w:szCs w:val="14"/>
                <w:color w:val="auto"/>
              </w:rPr>
              <w:t>EUR</w:t>
            </w:r>
          </w:p>
        </w:tc>
        <w:tc>
          <w:tcPr>
            <w:tcW w:w="198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198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400" w:type="dxa"/>
            <w:vAlign w:val="bottom"/>
          </w:tcPr>
          <w:p>
            <w:pPr>
              <w:ind w:left="4160"/>
              <w:spacing w:after="0"/>
              <w:rPr>
                <w:sz w:val="20"/>
                <w:szCs w:val="20"/>
                <w:color w:val="auto"/>
              </w:rPr>
            </w:pPr>
            <w:r>
              <w:rPr>
                <w:rFonts w:ascii="Arial" w:cs="Arial" w:eastAsia="Arial" w:hAnsi="Arial"/>
                <w:sz w:val="14"/>
                <w:szCs w:val="14"/>
                <w:color w:val="auto"/>
              </w:rPr>
              <w:t>REGHUN, Government Note/Bond</w:t>
            </w:r>
          </w:p>
        </w:tc>
        <w:tc>
          <w:tcPr>
            <w:tcW w:w="1980" w:type="dxa"/>
            <w:vAlign w:val="bottom"/>
          </w:tcPr>
          <w:p>
            <w:pPr>
              <w:ind w:left="660"/>
              <w:spacing w:after="0"/>
              <w:rPr>
                <w:sz w:val="20"/>
                <w:szCs w:val="20"/>
                <w:color w:val="auto"/>
              </w:rPr>
            </w:pPr>
            <w:r>
              <w:rPr>
                <w:rFonts w:ascii="Arial" w:cs="Arial" w:eastAsia="Arial" w:hAnsi="Arial"/>
                <w:sz w:val="14"/>
                <w:szCs w:val="14"/>
                <w:color w:val="auto"/>
              </w:rPr>
              <w:t>Composite Quote</w:t>
            </w:r>
          </w:p>
        </w:tc>
      </w:tr>
      <w:tr>
        <w:trPr>
          <w:trHeight w:val="263"/>
        </w:trPr>
        <w:tc>
          <w:tcPr>
            <w:tcW w:w="1040" w:type="dxa"/>
            <w:vAlign w:val="bottom"/>
          </w:tcPr>
          <w:p>
            <w:pPr>
              <w:spacing w:after="0"/>
              <w:rPr>
                <w:sz w:val="22"/>
                <w:szCs w:val="22"/>
                <w:color w:val="auto"/>
              </w:rPr>
            </w:pPr>
          </w:p>
        </w:tc>
        <w:tc>
          <w:tcPr>
            <w:tcW w:w="8400" w:type="dxa"/>
            <w:vAlign w:val="bottom"/>
          </w:tcPr>
          <w:p>
            <w:pPr>
              <w:ind w:left="860"/>
              <w:spacing w:after="0"/>
              <w:rPr>
                <w:sz w:val="20"/>
                <w:szCs w:val="20"/>
                <w:color w:val="auto"/>
              </w:rPr>
            </w:pPr>
            <w:r>
              <w:rPr>
                <w:rFonts w:ascii="Arial" w:cs="Arial" w:eastAsia="Arial" w:hAnsi="Arial"/>
                <w:sz w:val="14"/>
                <w:szCs w:val="14"/>
                <w:color w:val="auto"/>
              </w:rPr>
              <w:t>HUF</w:t>
            </w:r>
          </w:p>
        </w:tc>
        <w:tc>
          <w:tcPr>
            <w:tcW w:w="1980" w:type="dxa"/>
            <w:vAlign w:val="bottom"/>
          </w:tcPr>
          <w:p>
            <w:pPr>
              <w:spacing w:after="0"/>
              <w:rPr>
                <w:sz w:val="22"/>
                <w:szCs w:val="22"/>
                <w:color w:val="auto"/>
              </w:rPr>
            </w:pPr>
          </w:p>
        </w:tc>
      </w:tr>
      <w:tr>
        <w:trPr>
          <w:trHeight w:val="149"/>
        </w:trPr>
        <w:tc>
          <w:tcPr>
            <w:tcW w:w="1040" w:type="dxa"/>
            <w:vAlign w:val="bottom"/>
          </w:tcPr>
          <w:p>
            <w:pPr>
              <w:spacing w:after="0"/>
              <w:rPr>
                <w:sz w:val="12"/>
                <w:szCs w:val="12"/>
                <w:color w:val="auto"/>
              </w:rPr>
            </w:pPr>
          </w:p>
        </w:tc>
        <w:tc>
          <w:tcPr>
            <w:tcW w:w="840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198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400" w:type="dxa"/>
            <w:vAlign w:val="bottom"/>
          </w:tcPr>
          <w:p>
            <w:pPr>
              <w:ind w:left="4160"/>
              <w:spacing w:after="0"/>
              <w:rPr>
                <w:sz w:val="20"/>
                <w:szCs w:val="20"/>
                <w:color w:val="auto"/>
              </w:rPr>
            </w:pPr>
            <w:r>
              <w:rPr>
                <w:rFonts w:ascii="Arial" w:cs="Arial" w:eastAsia="Arial" w:hAnsi="Arial"/>
                <w:sz w:val="14"/>
                <w:szCs w:val="14"/>
                <w:color w:val="auto"/>
              </w:rPr>
              <w:t>REGHGB, Government Note/Bond</w:t>
            </w:r>
          </w:p>
        </w:tc>
        <w:tc>
          <w:tcPr>
            <w:tcW w:w="1980" w:type="dxa"/>
            <w:vAlign w:val="bottom"/>
          </w:tcPr>
          <w:p>
            <w:pPr>
              <w:ind w:left="660"/>
              <w:spacing w:after="0"/>
              <w:rPr>
                <w:sz w:val="20"/>
                <w:szCs w:val="20"/>
                <w:color w:val="auto"/>
              </w:rPr>
            </w:pPr>
            <w:r>
              <w:rPr>
                <w:rFonts w:ascii="Arial" w:cs="Arial" w:eastAsia="Arial" w:hAnsi="Arial"/>
                <w:sz w:val="14"/>
                <w:szCs w:val="14"/>
                <w:color w:val="auto"/>
              </w:rPr>
              <w:t>Composite Quote</w:t>
            </w:r>
          </w:p>
        </w:tc>
      </w:tr>
      <w:tr>
        <w:trPr>
          <w:trHeight w:val="633"/>
        </w:trPr>
        <w:tc>
          <w:tcPr>
            <w:tcW w:w="10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8" w:right="239" w:bottom="1440" w:gutter="0" w:footer="0" w:header="0"/>
        </w:sectPr>
      </w:pPr>
    </w:p>
    <w:bookmarkStart w:id="302" w:name="page303"/>
    <w:bookmarkEnd w:id="3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20" w:type="dxa"/>
            <w:vAlign w:val="bottom"/>
            <w:shd w:val="clear" w:color="auto" w:fill="EEECE1"/>
          </w:tcPr>
          <w:p>
            <w:pPr>
              <w:jc w:val="right"/>
              <w:ind w:right="388"/>
              <w:spacing w:after="0"/>
              <w:rPr>
                <w:sz w:val="20"/>
                <w:szCs w:val="20"/>
                <w:color w:val="auto"/>
              </w:rPr>
            </w:pPr>
            <w:r>
              <w:rPr>
                <w:rFonts w:ascii="Arial" w:cs="Arial" w:eastAsia="Arial" w:hAnsi="Arial"/>
                <w:sz w:val="14"/>
                <w:szCs w:val="14"/>
                <w:b w:val="1"/>
                <w:bCs w:val="1"/>
                <w:color w:val="auto"/>
              </w:rPr>
              <w:t>2</w:t>
            </w:r>
          </w:p>
        </w:tc>
        <w:tc>
          <w:tcPr>
            <w:tcW w:w="8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3</w:t>
            </w:r>
          </w:p>
        </w:tc>
        <w:tc>
          <w:tcPr>
            <w:tcW w:w="8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2000" w:type="dxa"/>
            <w:vAlign w:val="bottom"/>
            <w:shd w:val="clear" w:color="auto" w:fill="EEECE1"/>
          </w:tcPr>
          <w:p>
            <w:pPr>
              <w:ind w:left="560"/>
              <w:spacing w:after="0"/>
              <w:rPr>
                <w:sz w:val="20"/>
                <w:szCs w:val="20"/>
                <w:color w:val="auto"/>
              </w:rPr>
            </w:pPr>
            <w:r>
              <w:rPr>
                <w:rFonts w:ascii="Arial" w:cs="Arial" w:eastAsia="Arial" w:hAnsi="Arial"/>
                <w:sz w:val="14"/>
                <w:szCs w:val="14"/>
                <w:b w:val="1"/>
                <w:bCs w:val="1"/>
                <w:color w:val="auto"/>
              </w:rPr>
              <w:t>5</w:t>
            </w:r>
          </w:p>
        </w:tc>
        <w:tc>
          <w:tcPr>
            <w:tcW w:w="4060" w:type="dxa"/>
            <w:vAlign w:val="bottom"/>
            <w:shd w:val="clear" w:color="auto" w:fill="EEECE1"/>
          </w:tcPr>
          <w:p>
            <w:pPr>
              <w:ind w:left="500"/>
              <w:spacing w:after="0"/>
              <w:rPr>
                <w:sz w:val="20"/>
                <w:szCs w:val="20"/>
                <w:color w:val="auto"/>
              </w:rPr>
            </w:pPr>
            <w:r>
              <w:rPr>
                <w:rFonts w:ascii="Arial" w:cs="Arial" w:eastAsia="Arial" w:hAnsi="Arial"/>
                <w:sz w:val="14"/>
                <w:szCs w:val="14"/>
                <w:color w:val="auto"/>
              </w:rPr>
              <w:t>6</w:t>
            </w:r>
          </w:p>
        </w:tc>
        <w:tc>
          <w:tcPr>
            <w:tcW w:w="26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gridSpan w:val="3"/>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840" w:type="dxa"/>
            <w:vAlign w:val="bottom"/>
            <w:shd w:val="clear" w:color="auto" w:fill="EEECE1"/>
          </w:tcPr>
          <w:p>
            <w:pPr>
              <w:spacing w:after="0"/>
              <w:rPr>
                <w:sz w:val="14"/>
                <w:szCs w:val="14"/>
                <w:color w:val="auto"/>
              </w:rPr>
            </w:pPr>
          </w:p>
        </w:tc>
        <w:tc>
          <w:tcPr>
            <w:tcW w:w="2000" w:type="dxa"/>
            <w:vAlign w:val="bottom"/>
            <w:shd w:val="clear" w:color="auto" w:fill="EEECE1"/>
          </w:tcPr>
          <w:p>
            <w:pPr>
              <w:spacing w:after="0"/>
              <w:rPr>
                <w:sz w:val="14"/>
                <w:szCs w:val="14"/>
                <w:color w:val="auto"/>
              </w:rPr>
            </w:pPr>
          </w:p>
        </w:tc>
        <w:tc>
          <w:tcPr>
            <w:tcW w:w="4060" w:type="dxa"/>
            <w:vAlign w:val="bottom"/>
            <w:shd w:val="clear" w:color="auto" w:fill="EEECE1"/>
          </w:tcPr>
          <w:p>
            <w:pPr>
              <w:spacing w:after="0"/>
              <w:rPr>
                <w:sz w:val="14"/>
                <w:szCs w:val="14"/>
                <w:color w:val="auto"/>
              </w:rPr>
            </w:pPr>
          </w:p>
        </w:tc>
        <w:tc>
          <w:tcPr>
            <w:tcW w:w="266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Japan</w:t>
            </w:r>
          </w:p>
        </w:tc>
        <w:tc>
          <w:tcPr>
            <w:tcW w:w="840" w:type="dxa"/>
            <w:vAlign w:val="bottom"/>
            <w:shd w:val="clear" w:color="auto" w:fill="1F497D"/>
          </w:tcPr>
          <w:p>
            <w:pPr>
              <w:spacing w:after="0"/>
              <w:rPr>
                <w:sz w:val="12"/>
                <w:szCs w:val="12"/>
                <w:color w:val="auto"/>
              </w:rPr>
            </w:pPr>
          </w:p>
        </w:tc>
        <w:tc>
          <w:tcPr>
            <w:tcW w:w="2000" w:type="dxa"/>
            <w:vAlign w:val="bottom"/>
            <w:shd w:val="clear" w:color="auto" w:fill="1F497D"/>
          </w:tcPr>
          <w:p>
            <w:pPr>
              <w:spacing w:after="0"/>
              <w:rPr>
                <w:sz w:val="12"/>
                <w:szCs w:val="12"/>
                <w:color w:val="auto"/>
              </w:rPr>
            </w:pPr>
          </w:p>
        </w:tc>
        <w:tc>
          <w:tcPr>
            <w:tcW w:w="4060" w:type="dxa"/>
            <w:vAlign w:val="bottom"/>
            <w:shd w:val="clear" w:color="auto" w:fill="1F497D"/>
          </w:tcPr>
          <w:p>
            <w:pPr>
              <w:spacing w:after="0"/>
              <w:rPr>
                <w:sz w:val="12"/>
                <w:szCs w:val="12"/>
                <w:color w:val="auto"/>
              </w:rPr>
            </w:pPr>
          </w:p>
        </w:tc>
        <w:tc>
          <w:tcPr>
            <w:tcW w:w="266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ind w:left="40"/>
              <w:spacing w:after="0"/>
              <w:rPr>
                <w:sz w:val="20"/>
                <w:szCs w:val="20"/>
                <w:color w:val="auto"/>
              </w:rPr>
            </w:pPr>
            <w:r>
              <w:rPr>
                <w:rFonts w:ascii="Arial" w:cs="Arial" w:eastAsia="Arial" w:hAnsi="Arial"/>
                <w:sz w:val="14"/>
                <w:szCs w:val="14"/>
                <w:color w:val="auto"/>
              </w:rPr>
              <w:t>JPY</w:t>
            </w:r>
          </w:p>
        </w:tc>
        <w:tc>
          <w:tcPr>
            <w:tcW w:w="2000" w:type="dxa"/>
            <w:vAlign w:val="bottom"/>
            <w:vMerge w:val="restart"/>
          </w:tcPr>
          <w:p>
            <w:pPr>
              <w:ind w:left="560"/>
              <w:spacing w:after="0"/>
              <w:rPr>
                <w:sz w:val="20"/>
                <w:szCs w:val="20"/>
                <w:color w:val="auto"/>
              </w:rPr>
            </w:pPr>
            <w:r>
              <w:rPr>
                <w:rFonts w:ascii="Arial" w:cs="Arial" w:eastAsia="Arial" w:hAnsi="Arial"/>
                <w:sz w:val="14"/>
                <w:szCs w:val="14"/>
                <w:color w:val="auto"/>
              </w:rPr>
              <w:t>Bills</w:t>
            </w:r>
          </w:p>
        </w:tc>
        <w:tc>
          <w:tcPr>
            <w:tcW w:w="40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4060" w:type="dxa"/>
            <w:vAlign w:val="bottom"/>
            <w:vMerge w:val="restart"/>
          </w:tcPr>
          <w:p>
            <w:pPr>
              <w:ind w:left="500"/>
              <w:spacing w:after="0"/>
              <w:rPr>
                <w:sz w:val="20"/>
                <w:szCs w:val="20"/>
                <w:color w:val="auto"/>
              </w:rPr>
            </w:pPr>
            <w:r>
              <w:rPr>
                <w:rFonts w:ascii="Arial" w:cs="Arial" w:eastAsia="Arial" w:hAnsi="Arial"/>
                <w:sz w:val="14"/>
                <w:szCs w:val="14"/>
                <w:color w:val="auto"/>
              </w:rPr>
              <w:t>REGJBILL, On the Run</w:t>
            </w:r>
          </w:p>
        </w:tc>
        <w:tc>
          <w:tcPr>
            <w:tcW w:w="266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2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vMerge w:val="restart"/>
          </w:tcPr>
          <w:p>
            <w:pPr>
              <w:ind w:left="560"/>
              <w:spacing w:after="0"/>
              <w:rPr>
                <w:sz w:val="20"/>
                <w:szCs w:val="20"/>
                <w:color w:val="auto"/>
              </w:rPr>
            </w:pPr>
            <w:r>
              <w:rPr>
                <w:rFonts w:ascii="Arial" w:cs="Arial" w:eastAsia="Arial" w:hAnsi="Arial"/>
                <w:sz w:val="14"/>
                <w:szCs w:val="14"/>
                <w:color w:val="auto"/>
              </w:rPr>
              <w:t>Notes &amp; Bonds</w:t>
            </w:r>
          </w:p>
        </w:tc>
        <w:tc>
          <w:tcPr>
            <w:tcW w:w="4060" w:type="dxa"/>
            <w:vAlign w:val="bottom"/>
          </w:tcPr>
          <w:p>
            <w:pPr>
              <w:ind w:left="500"/>
              <w:spacing w:after="0"/>
              <w:rPr>
                <w:sz w:val="20"/>
                <w:szCs w:val="20"/>
                <w:color w:val="auto"/>
              </w:rPr>
            </w:pPr>
            <w:r>
              <w:rPr>
                <w:rFonts w:ascii="Arial" w:cs="Arial" w:eastAsia="Arial" w:hAnsi="Arial"/>
                <w:sz w:val="14"/>
                <w:szCs w:val="14"/>
                <w:color w:val="auto"/>
              </w:rPr>
              <w:t>REGJBILL, Off the Run</w:t>
            </w:r>
          </w:p>
        </w:tc>
        <w:tc>
          <w:tcPr>
            <w:tcW w:w="2660" w:type="dxa"/>
            <w:vAlign w:val="bottom"/>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4060" w:type="dxa"/>
            <w:vAlign w:val="bottom"/>
            <w:vMerge w:val="restart"/>
          </w:tcPr>
          <w:p>
            <w:pPr>
              <w:ind w:left="500"/>
              <w:spacing w:after="0"/>
              <w:rPr>
                <w:sz w:val="20"/>
                <w:szCs w:val="20"/>
                <w:color w:val="auto"/>
              </w:rPr>
            </w:pPr>
            <w:r>
              <w:rPr>
                <w:rFonts w:ascii="Arial" w:cs="Arial" w:eastAsia="Arial" w:hAnsi="Arial"/>
                <w:sz w:val="14"/>
                <w:szCs w:val="14"/>
                <w:color w:val="auto"/>
              </w:rPr>
              <w:t>REGJNOTE, On the Run</w:t>
            </w:r>
          </w:p>
        </w:tc>
        <w:tc>
          <w:tcPr>
            <w:tcW w:w="266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2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vMerge w:val="restart"/>
          </w:tcPr>
          <w:p>
            <w:pPr>
              <w:ind w:left="560"/>
              <w:spacing w:after="0"/>
              <w:rPr>
                <w:sz w:val="20"/>
                <w:szCs w:val="20"/>
                <w:color w:val="auto"/>
              </w:rPr>
            </w:pPr>
            <w:r>
              <w:rPr>
                <w:rFonts w:ascii="Arial" w:cs="Arial" w:eastAsia="Arial" w:hAnsi="Arial"/>
                <w:sz w:val="14"/>
                <w:szCs w:val="14"/>
                <w:color w:val="auto"/>
              </w:rPr>
              <w:t>ILBs</w:t>
            </w:r>
          </w:p>
        </w:tc>
        <w:tc>
          <w:tcPr>
            <w:tcW w:w="4060" w:type="dxa"/>
            <w:vAlign w:val="bottom"/>
          </w:tcPr>
          <w:p>
            <w:pPr>
              <w:ind w:left="500"/>
              <w:spacing w:after="0"/>
              <w:rPr>
                <w:sz w:val="20"/>
                <w:szCs w:val="20"/>
                <w:color w:val="auto"/>
              </w:rPr>
            </w:pPr>
            <w:r>
              <w:rPr>
                <w:rFonts w:ascii="Arial" w:cs="Arial" w:eastAsia="Arial" w:hAnsi="Arial"/>
                <w:sz w:val="14"/>
                <w:szCs w:val="14"/>
                <w:color w:val="auto"/>
              </w:rPr>
              <w:t>REGJNOTE, Off the Run</w:t>
            </w:r>
          </w:p>
        </w:tc>
        <w:tc>
          <w:tcPr>
            <w:tcW w:w="2660" w:type="dxa"/>
            <w:vAlign w:val="bottom"/>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4060" w:type="dxa"/>
            <w:vAlign w:val="bottom"/>
            <w:vMerge w:val="restart"/>
          </w:tcPr>
          <w:p>
            <w:pPr>
              <w:ind w:left="500"/>
              <w:spacing w:after="0"/>
              <w:rPr>
                <w:sz w:val="20"/>
                <w:szCs w:val="20"/>
                <w:color w:val="auto"/>
              </w:rPr>
            </w:pPr>
            <w:r>
              <w:rPr>
                <w:rFonts w:ascii="Arial" w:cs="Arial" w:eastAsia="Arial" w:hAnsi="Arial"/>
                <w:sz w:val="14"/>
                <w:szCs w:val="14"/>
                <w:color w:val="auto"/>
              </w:rPr>
              <w:t>REGJILB, Index Linked Bond &amp; Note</w:t>
            </w:r>
          </w:p>
        </w:tc>
        <w:tc>
          <w:tcPr>
            <w:tcW w:w="2660" w:type="dxa"/>
            <w:vAlign w:val="bottom"/>
            <w:vMerge w:val="restart"/>
          </w:tcPr>
          <w:p>
            <w:pPr>
              <w:ind w:left="134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8620" w:type="dxa"/>
            <w:vAlign w:val="bottom"/>
            <w:shd w:val="clear" w:color="auto" w:fill="1F497D"/>
          </w:tcPr>
          <w:p>
            <w:pPr>
              <w:ind w:left="60"/>
              <w:spacing w:after="0"/>
              <w:rPr>
                <w:sz w:val="20"/>
                <w:szCs w:val="20"/>
                <w:color w:val="auto"/>
              </w:rPr>
            </w:pPr>
            <w:r>
              <w:rPr>
                <w:rFonts w:ascii="Arial" w:cs="Arial" w:eastAsia="Arial" w:hAnsi="Arial"/>
                <w:sz w:val="14"/>
                <w:szCs w:val="14"/>
                <w:b w:val="1"/>
                <w:bCs w:val="1"/>
                <w:color w:val="FFFFFF"/>
              </w:rPr>
              <w:t>Australia</w:t>
            </w:r>
          </w:p>
        </w:tc>
        <w:tc>
          <w:tcPr>
            <w:tcW w:w="1760" w:type="dxa"/>
            <w:vAlign w:val="bottom"/>
            <w:shd w:val="clear" w:color="auto" w:fill="1F497D"/>
          </w:tcPr>
          <w:p>
            <w:pPr>
              <w:spacing w:after="0"/>
              <w:rPr>
                <w:sz w:val="14"/>
                <w:szCs w:val="14"/>
                <w:color w:val="auto"/>
              </w:rPr>
            </w:pPr>
          </w:p>
        </w:tc>
      </w:tr>
      <w:tr>
        <w:trPr>
          <w:trHeight w:val="130"/>
        </w:trPr>
        <w:tc>
          <w:tcPr>
            <w:tcW w:w="1040" w:type="dxa"/>
            <w:vAlign w:val="bottom"/>
          </w:tcPr>
          <w:p>
            <w:pPr>
              <w:spacing w:after="0"/>
              <w:rPr>
                <w:sz w:val="11"/>
                <w:szCs w:val="11"/>
                <w:color w:val="auto"/>
              </w:rPr>
            </w:pPr>
          </w:p>
        </w:tc>
        <w:tc>
          <w:tcPr>
            <w:tcW w:w="8620" w:type="dxa"/>
            <w:vAlign w:val="bottom"/>
          </w:tcPr>
          <w:p>
            <w:pPr>
              <w:ind w:left="860"/>
              <w:spacing w:after="0" w:line="130" w:lineRule="exact"/>
              <w:rPr>
                <w:sz w:val="20"/>
                <w:szCs w:val="20"/>
                <w:color w:val="auto"/>
              </w:rPr>
            </w:pPr>
            <w:r>
              <w:rPr>
                <w:rFonts w:ascii="Arial" w:cs="Arial" w:eastAsia="Arial" w:hAnsi="Arial"/>
                <w:sz w:val="14"/>
                <w:szCs w:val="14"/>
                <w:color w:val="auto"/>
              </w:rPr>
              <w:t>AUD</w:t>
            </w:r>
          </w:p>
        </w:tc>
        <w:tc>
          <w:tcPr>
            <w:tcW w:w="176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620" w:type="dxa"/>
            <w:vAlign w:val="bottom"/>
          </w:tcPr>
          <w:p>
            <w:pPr>
              <w:ind w:left="2220"/>
              <w:spacing w:after="0" w:line="149" w:lineRule="exact"/>
              <w:rPr>
                <w:sz w:val="20"/>
                <w:szCs w:val="20"/>
                <w:color w:val="auto"/>
              </w:rPr>
            </w:pPr>
            <w:r>
              <w:rPr>
                <w:rFonts w:ascii="Arial" w:cs="Arial" w:eastAsia="Arial" w:hAnsi="Arial"/>
                <w:sz w:val="14"/>
                <w:szCs w:val="14"/>
                <w:color w:val="auto"/>
              </w:rPr>
              <w:t>Bills</w:t>
            </w:r>
          </w:p>
        </w:tc>
        <w:tc>
          <w:tcPr>
            <w:tcW w:w="176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REGAUBILL, Government Bills</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176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REGAUBOND, On the Run Government Bonds and Notes</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REGAUBOND, Off the Run Government Bonds and Notes</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2220"/>
              <w:spacing w:after="0" w:line="149" w:lineRule="exact"/>
              <w:rPr>
                <w:sz w:val="20"/>
                <w:szCs w:val="20"/>
                <w:color w:val="auto"/>
              </w:rPr>
            </w:pPr>
            <w:r>
              <w:rPr>
                <w:rFonts w:ascii="Arial" w:cs="Arial" w:eastAsia="Arial" w:hAnsi="Arial"/>
                <w:sz w:val="14"/>
                <w:szCs w:val="14"/>
                <w:color w:val="auto"/>
              </w:rPr>
              <w:t>ILBs</w:t>
            </w:r>
          </w:p>
        </w:tc>
        <w:tc>
          <w:tcPr>
            <w:tcW w:w="176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REGAUAGCI, Australian Index Linked Bonds - ACGBi</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REGAUAGCI, Australian Index Linked Bonds - AUSCAPi</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REGAUAGCI, Australian Index Linked Bonds - NSWTCi</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REGAUAGCI, Australian Index Linked Bonds - QTCi</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REGAUAGCI, Australian Index Linked Bonds - TCVi</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2220"/>
              <w:spacing w:after="0" w:line="149" w:lineRule="exact"/>
              <w:rPr>
                <w:sz w:val="20"/>
                <w:szCs w:val="20"/>
                <w:color w:val="auto"/>
              </w:rPr>
            </w:pPr>
            <w:r>
              <w:rPr>
                <w:rFonts w:ascii="Arial" w:cs="Arial" w:eastAsia="Arial" w:hAnsi="Arial"/>
                <w:sz w:val="14"/>
                <w:szCs w:val="14"/>
                <w:color w:val="auto"/>
              </w:rPr>
              <w:t>Agencies (Semis)*</w:t>
            </w:r>
          </w:p>
        </w:tc>
        <w:tc>
          <w:tcPr>
            <w:tcW w:w="176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REGAUAGCY, Regional/Provincial Notes and Bonds - NSWTC</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REGAUAGCY, Regional/Provincial Notes and Bonds - NSWTC-GG</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REGAUAGCY, Regional/Provincial Notes and Bonds - NTTC</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REGAUAGCY, Regional/Provincial Notes and Bonds - QTC</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REGAUAGCY, Regional/Provincial Notes and Bonds - QTC-GG</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REGAUAGCY, Regional/Provincial Notes and Bonds - TASCOR</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REGAUAGCY, Regional/Provincial Notes and Bonds - TCV</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040" w:type="dxa"/>
            <w:vAlign w:val="bottom"/>
          </w:tcPr>
          <w:p>
            <w:pPr>
              <w:spacing w:after="0"/>
              <w:rPr>
                <w:sz w:val="15"/>
                <w:szCs w:val="15"/>
                <w:color w:val="auto"/>
              </w:rPr>
            </w:pPr>
          </w:p>
        </w:tc>
        <w:tc>
          <w:tcPr>
            <w:tcW w:w="8620" w:type="dxa"/>
            <w:vAlign w:val="bottom"/>
          </w:tcPr>
          <w:p>
            <w:pPr>
              <w:ind w:left="4160"/>
              <w:spacing w:after="0"/>
              <w:rPr>
                <w:sz w:val="20"/>
                <w:szCs w:val="20"/>
                <w:color w:val="auto"/>
              </w:rPr>
            </w:pPr>
            <w:r>
              <w:rPr>
                <w:rFonts w:ascii="Arial" w:cs="Arial" w:eastAsia="Arial" w:hAnsi="Arial"/>
                <w:sz w:val="14"/>
                <w:szCs w:val="14"/>
                <w:color w:val="auto"/>
              </w:rPr>
              <w:t>REGAUAGCY, Regional/Provincial Notes and Bonds - WATC</w:t>
            </w:r>
          </w:p>
        </w:tc>
        <w:tc>
          <w:tcPr>
            <w:tcW w:w="1760" w:type="dxa"/>
            <w:vAlign w:val="bottom"/>
          </w:tcPr>
          <w:p>
            <w:pPr>
              <w:ind w:left="44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6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New Zealand</w:t>
            </w:r>
          </w:p>
        </w:tc>
        <w:tc>
          <w:tcPr>
            <w:tcW w:w="176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620" w:type="dxa"/>
            <w:vAlign w:val="bottom"/>
          </w:tcPr>
          <w:p>
            <w:pPr>
              <w:ind w:left="860"/>
              <w:spacing w:after="0" w:line="130" w:lineRule="exact"/>
              <w:rPr>
                <w:sz w:val="20"/>
                <w:szCs w:val="20"/>
                <w:color w:val="auto"/>
              </w:rPr>
            </w:pPr>
            <w:r>
              <w:rPr>
                <w:rFonts w:ascii="Arial" w:cs="Arial" w:eastAsia="Arial" w:hAnsi="Arial"/>
                <w:sz w:val="14"/>
                <w:szCs w:val="14"/>
                <w:color w:val="auto"/>
              </w:rPr>
              <w:t>NZD</w:t>
            </w:r>
          </w:p>
        </w:tc>
        <w:tc>
          <w:tcPr>
            <w:tcW w:w="176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620" w:type="dxa"/>
            <w:vAlign w:val="bottom"/>
          </w:tcPr>
          <w:p>
            <w:pPr>
              <w:ind w:left="2220"/>
              <w:spacing w:after="0" w:line="149" w:lineRule="exact"/>
              <w:rPr>
                <w:sz w:val="20"/>
                <w:szCs w:val="20"/>
                <w:color w:val="auto"/>
              </w:rPr>
            </w:pPr>
            <w:r>
              <w:rPr>
                <w:rFonts w:ascii="Arial" w:cs="Arial" w:eastAsia="Arial" w:hAnsi="Arial"/>
                <w:sz w:val="14"/>
                <w:szCs w:val="14"/>
                <w:color w:val="auto"/>
              </w:rPr>
              <w:t>Bills</w:t>
            </w:r>
          </w:p>
        </w:tc>
        <w:tc>
          <w:tcPr>
            <w:tcW w:w="176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8620" w:type="dxa"/>
            <w:vAlign w:val="bottom"/>
          </w:tcPr>
          <w:p>
            <w:pPr>
              <w:ind w:left="4160"/>
              <w:spacing w:after="0" w:line="149" w:lineRule="exact"/>
              <w:rPr>
                <w:sz w:val="20"/>
                <w:szCs w:val="20"/>
                <w:color w:val="auto"/>
              </w:rPr>
            </w:pPr>
            <w:r>
              <w:rPr>
                <w:rFonts w:ascii="Arial" w:cs="Arial" w:eastAsia="Arial" w:hAnsi="Arial"/>
                <w:sz w:val="14"/>
                <w:szCs w:val="14"/>
                <w:color w:val="auto"/>
              </w:rPr>
              <w:t>REGNZGTB, Government Bills</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040" w:type="dxa"/>
            <w:vAlign w:val="bottom"/>
          </w:tcPr>
          <w:p>
            <w:pPr>
              <w:spacing w:after="0"/>
              <w:rPr>
                <w:sz w:val="12"/>
                <w:szCs w:val="12"/>
                <w:color w:val="auto"/>
              </w:rPr>
            </w:pPr>
          </w:p>
        </w:tc>
        <w:tc>
          <w:tcPr>
            <w:tcW w:w="862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176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620" w:type="dxa"/>
            <w:vAlign w:val="bottom"/>
          </w:tcPr>
          <w:p>
            <w:pPr>
              <w:ind w:left="4160"/>
              <w:spacing w:after="0"/>
              <w:rPr>
                <w:sz w:val="20"/>
                <w:szCs w:val="20"/>
                <w:color w:val="auto"/>
              </w:rPr>
            </w:pPr>
            <w:r>
              <w:rPr>
                <w:rFonts w:ascii="Arial" w:cs="Arial" w:eastAsia="Arial" w:hAnsi="Arial"/>
                <w:sz w:val="14"/>
                <w:szCs w:val="14"/>
                <w:color w:val="auto"/>
              </w:rPr>
              <w:t>REGNZBG, Government Bonds</w:t>
            </w:r>
          </w:p>
        </w:tc>
        <w:tc>
          <w:tcPr>
            <w:tcW w:w="1760" w:type="dxa"/>
            <w:vAlign w:val="bottom"/>
          </w:tcPr>
          <w:p>
            <w:pPr>
              <w:ind w:left="440"/>
              <w:spacing w:after="0"/>
              <w:rPr>
                <w:sz w:val="20"/>
                <w:szCs w:val="20"/>
                <w:color w:val="auto"/>
              </w:rPr>
            </w:pPr>
            <w:r>
              <w:rPr>
                <w:rFonts w:ascii="Arial" w:cs="Arial" w:eastAsia="Arial" w:hAnsi="Arial"/>
                <w:sz w:val="14"/>
                <w:szCs w:val="14"/>
                <w:color w:val="auto"/>
              </w:rPr>
              <w:t>Composite Quote</w:t>
            </w:r>
          </w:p>
        </w:tc>
      </w:tr>
      <w:tr>
        <w:trPr>
          <w:trHeight w:val="263"/>
        </w:trPr>
        <w:tc>
          <w:tcPr>
            <w:tcW w:w="1040" w:type="dxa"/>
            <w:vAlign w:val="bottom"/>
          </w:tcPr>
          <w:p>
            <w:pPr>
              <w:spacing w:after="0"/>
              <w:rPr>
                <w:sz w:val="22"/>
                <w:szCs w:val="22"/>
                <w:color w:val="auto"/>
              </w:rPr>
            </w:pPr>
          </w:p>
        </w:tc>
        <w:tc>
          <w:tcPr>
            <w:tcW w:w="8620" w:type="dxa"/>
            <w:vAlign w:val="bottom"/>
          </w:tcPr>
          <w:p>
            <w:pPr>
              <w:ind w:left="860"/>
              <w:spacing w:after="0"/>
              <w:rPr>
                <w:sz w:val="20"/>
                <w:szCs w:val="20"/>
                <w:color w:val="auto"/>
              </w:rPr>
            </w:pPr>
            <w:r>
              <w:rPr>
                <w:rFonts w:ascii="Arial" w:cs="Arial" w:eastAsia="Arial" w:hAnsi="Arial"/>
                <w:sz w:val="14"/>
                <w:szCs w:val="14"/>
                <w:color w:val="auto"/>
              </w:rPr>
              <w:t>EUR</w:t>
            </w:r>
          </w:p>
        </w:tc>
        <w:tc>
          <w:tcPr>
            <w:tcW w:w="1760" w:type="dxa"/>
            <w:vAlign w:val="bottom"/>
          </w:tcPr>
          <w:p>
            <w:pPr>
              <w:spacing w:after="0"/>
              <w:rPr>
                <w:sz w:val="22"/>
                <w:szCs w:val="22"/>
                <w:color w:val="auto"/>
              </w:rPr>
            </w:pPr>
          </w:p>
        </w:tc>
      </w:tr>
      <w:tr>
        <w:trPr>
          <w:trHeight w:val="149"/>
        </w:trPr>
        <w:tc>
          <w:tcPr>
            <w:tcW w:w="1040" w:type="dxa"/>
            <w:vAlign w:val="bottom"/>
          </w:tcPr>
          <w:p>
            <w:pPr>
              <w:spacing w:after="0"/>
              <w:rPr>
                <w:sz w:val="12"/>
                <w:szCs w:val="12"/>
                <w:color w:val="auto"/>
              </w:rPr>
            </w:pPr>
          </w:p>
        </w:tc>
        <w:tc>
          <w:tcPr>
            <w:tcW w:w="8620" w:type="dxa"/>
            <w:vAlign w:val="bottom"/>
          </w:tcPr>
          <w:p>
            <w:pPr>
              <w:ind w:left="2220"/>
              <w:spacing w:after="0" w:line="149" w:lineRule="exact"/>
              <w:rPr>
                <w:sz w:val="20"/>
                <w:szCs w:val="20"/>
                <w:color w:val="auto"/>
              </w:rPr>
            </w:pPr>
            <w:r>
              <w:rPr>
                <w:rFonts w:ascii="Arial" w:cs="Arial" w:eastAsia="Arial" w:hAnsi="Arial"/>
                <w:sz w:val="14"/>
                <w:szCs w:val="14"/>
                <w:color w:val="auto"/>
              </w:rPr>
              <w:t>Notes &amp; Bonds</w:t>
            </w:r>
          </w:p>
        </w:tc>
        <w:tc>
          <w:tcPr>
            <w:tcW w:w="176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620" w:type="dxa"/>
            <w:vAlign w:val="bottom"/>
          </w:tcPr>
          <w:p>
            <w:pPr>
              <w:ind w:left="4160"/>
              <w:spacing w:after="0"/>
              <w:rPr>
                <w:sz w:val="20"/>
                <w:szCs w:val="20"/>
                <w:color w:val="auto"/>
              </w:rPr>
            </w:pPr>
            <w:r>
              <w:rPr>
                <w:rFonts w:ascii="Arial" w:cs="Arial" w:eastAsia="Arial" w:hAnsi="Arial"/>
                <w:sz w:val="14"/>
                <w:szCs w:val="14"/>
                <w:color w:val="auto"/>
              </w:rPr>
              <w:t>REGCZE, Czech Republic Government Note/Bond</w:t>
            </w:r>
          </w:p>
        </w:tc>
        <w:tc>
          <w:tcPr>
            <w:tcW w:w="1760" w:type="dxa"/>
            <w:vAlign w:val="bottom"/>
          </w:tcPr>
          <w:p>
            <w:pPr>
              <w:ind w:left="440"/>
              <w:spacing w:after="0"/>
              <w:rPr>
                <w:sz w:val="20"/>
                <w:szCs w:val="20"/>
                <w:color w:val="auto"/>
              </w:rPr>
            </w:pPr>
            <w:r>
              <w:rPr>
                <w:rFonts w:ascii="Arial" w:cs="Arial" w:eastAsia="Arial" w:hAnsi="Arial"/>
                <w:sz w:val="14"/>
                <w:szCs w:val="14"/>
                <w:color w:val="auto"/>
              </w:rPr>
              <w:t>Composite Quote</w:t>
            </w:r>
          </w:p>
        </w:tc>
      </w:tr>
      <w:tr>
        <w:trPr>
          <w:trHeight w:val="134"/>
        </w:trPr>
        <w:tc>
          <w:tcPr>
            <w:tcW w:w="104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6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CEE</w:t>
            </w:r>
          </w:p>
        </w:tc>
        <w:tc>
          <w:tcPr>
            <w:tcW w:w="1760" w:type="dxa"/>
            <w:vAlign w:val="bottom"/>
            <w:shd w:val="clear" w:color="auto" w:fill="1F497D"/>
          </w:tcPr>
          <w:p>
            <w:pPr>
              <w:spacing w:after="0"/>
              <w:rPr>
                <w:sz w:val="12"/>
                <w:szCs w:val="12"/>
                <w:color w:val="auto"/>
              </w:rPr>
            </w:pPr>
          </w:p>
        </w:tc>
      </w:tr>
      <w:tr>
        <w:trPr>
          <w:trHeight w:val="130"/>
        </w:trPr>
        <w:tc>
          <w:tcPr>
            <w:tcW w:w="1040" w:type="dxa"/>
            <w:vAlign w:val="bottom"/>
          </w:tcPr>
          <w:p>
            <w:pPr>
              <w:spacing w:after="0"/>
              <w:rPr>
                <w:sz w:val="11"/>
                <w:szCs w:val="11"/>
                <w:color w:val="auto"/>
              </w:rPr>
            </w:pPr>
          </w:p>
        </w:tc>
        <w:tc>
          <w:tcPr>
            <w:tcW w:w="8620" w:type="dxa"/>
            <w:vAlign w:val="bottom"/>
          </w:tcPr>
          <w:p>
            <w:pPr>
              <w:ind w:left="860"/>
              <w:spacing w:after="0" w:line="130" w:lineRule="exact"/>
              <w:rPr>
                <w:sz w:val="20"/>
                <w:szCs w:val="20"/>
                <w:color w:val="auto"/>
              </w:rPr>
            </w:pPr>
            <w:r>
              <w:rPr>
                <w:rFonts w:ascii="Arial" w:cs="Arial" w:eastAsia="Arial" w:hAnsi="Arial"/>
                <w:sz w:val="14"/>
                <w:szCs w:val="14"/>
                <w:color w:val="auto"/>
              </w:rPr>
              <w:t>EUR</w:t>
            </w:r>
          </w:p>
        </w:tc>
        <w:tc>
          <w:tcPr>
            <w:tcW w:w="1760" w:type="dxa"/>
            <w:vAlign w:val="bottom"/>
          </w:tcPr>
          <w:p>
            <w:pPr>
              <w:spacing w:after="0"/>
              <w:rPr>
                <w:sz w:val="11"/>
                <w:szCs w:val="11"/>
                <w:color w:val="auto"/>
              </w:rPr>
            </w:pPr>
          </w:p>
        </w:tc>
      </w:tr>
      <w:tr>
        <w:trPr>
          <w:trHeight w:val="149"/>
        </w:trPr>
        <w:tc>
          <w:tcPr>
            <w:tcW w:w="1040" w:type="dxa"/>
            <w:vAlign w:val="bottom"/>
          </w:tcPr>
          <w:p>
            <w:pPr>
              <w:spacing w:after="0"/>
              <w:rPr>
                <w:sz w:val="12"/>
                <w:szCs w:val="12"/>
                <w:color w:val="auto"/>
              </w:rPr>
            </w:pPr>
          </w:p>
        </w:tc>
        <w:tc>
          <w:tcPr>
            <w:tcW w:w="8620" w:type="dxa"/>
            <w:vAlign w:val="bottom"/>
          </w:tcPr>
          <w:p>
            <w:pPr>
              <w:ind w:left="2220"/>
              <w:spacing w:after="0" w:line="149" w:lineRule="exact"/>
              <w:rPr>
                <w:sz w:val="20"/>
                <w:szCs w:val="20"/>
                <w:color w:val="auto"/>
              </w:rPr>
            </w:pPr>
            <w:r>
              <w:rPr>
                <w:rFonts w:ascii="Arial" w:cs="Arial" w:eastAsia="Arial" w:hAnsi="Arial"/>
                <w:sz w:val="14"/>
                <w:szCs w:val="14"/>
                <w:color w:val="auto"/>
              </w:rPr>
              <w:t>Bill</w:t>
            </w:r>
          </w:p>
        </w:tc>
        <w:tc>
          <w:tcPr>
            <w:tcW w:w="1760" w:type="dxa"/>
            <w:vAlign w:val="bottom"/>
          </w:tcPr>
          <w:p>
            <w:pPr>
              <w:spacing w:after="0"/>
              <w:rPr>
                <w:sz w:val="12"/>
                <w:szCs w:val="12"/>
                <w:color w:val="auto"/>
              </w:rPr>
            </w:pPr>
          </w:p>
        </w:tc>
      </w:tr>
      <w:tr>
        <w:trPr>
          <w:trHeight w:val="182"/>
        </w:trPr>
        <w:tc>
          <w:tcPr>
            <w:tcW w:w="1040" w:type="dxa"/>
            <w:vAlign w:val="bottom"/>
          </w:tcPr>
          <w:p>
            <w:pPr>
              <w:spacing w:after="0"/>
              <w:rPr>
                <w:sz w:val="15"/>
                <w:szCs w:val="15"/>
                <w:color w:val="auto"/>
              </w:rPr>
            </w:pPr>
          </w:p>
        </w:tc>
        <w:tc>
          <w:tcPr>
            <w:tcW w:w="8620" w:type="dxa"/>
            <w:vAlign w:val="bottom"/>
          </w:tcPr>
          <w:p>
            <w:pPr>
              <w:ind w:left="4160"/>
              <w:spacing w:after="0"/>
              <w:rPr>
                <w:sz w:val="20"/>
                <w:szCs w:val="20"/>
                <w:color w:val="auto"/>
              </w:rPr>
            </w:pPr>
            <w:r>
              <w:rPr>
                <w:rFonts w:ascii="Arial" w:cs="Arial" w:eastAsia="Arial" w:hAnsi="Arial"/>
                <w:sz w:val="14"/>
                <w:szCs w:val="14"/>
                <w:color w:val="auto"/>
              </w:rPr>
              <w:t>REGEFSFBILL, European Financial Stability Nill</w:t>
            </w:r>
          </w:p>
        </w:tc>
        <w:tc>
          <w:tcPr>
            <w:tcW w:w="1760" w:type="dxa"/>
            <w:vAlign w:val="bottom"/>
          </w:tcPr>
          <w:p>
            <w:pPr>
              <w:ind w:left="440"/>
              <w:spacing w:after="0"/>
              <w:rPr>
                <w:sz w:val="20"/>
                <w:szCs w:val="20"/>
                <w:color w:val="auto"/>
              </w:rPr>
            </w:pPr>
            <w:r>
              <w:rPr>
                <w:rFonts w:ascii="Arial" w:cs="Arial" w:eastAsia="Arial" w:hAnsi="Arial"/>
                <w:sz w:val="14"/>
                <w:szCs w:val="14"/>
                <w:color w:val="auto"/>
              </w:rPr>
              <w:t>Composite Quote</w:t>
            </w:r>
          </w:p>
        </w:tc>
      </w:tr>
      <w:tr>
        <w:trPr>
          <w:trHeight w:val="633"/>
        </w:trPr>
        <w:tc>
          <w:tcPr>
            <w:tcW w:w="10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7" w:right="239" w:bottom="1440" w:gutter="0" w:footer="0" w:header="0"/>
        </w:sectPr>
      </w:pPr>
    </w:p>
    <w:bookmarkStart w:id="303" w:name="page304"/>
    <w:bookmarkEnd w:id="3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58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2</w:t>
            </w:r>
          </w:p>
        </w:tc>
        <w:tc>
          <w:tcPr>
            <w:tcW w:w="8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3</w:t>
            </w:r>
          </w:p>
        </w:tc>
        <w:tc>
          <w:tcPr>
            <w:tcW w:w="13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1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4220" w:type="dxa"/>
            <w:vAlign w:val="bottom"/>
            <w:shd w:val="clear" w:color="auto" w:fill="EEECE1"/>
          </w:tcPr>
          <w:p>
            <w:pPr>
              <w:ind w:left="800"/>
              <w:spacing w:after="0"/>
              <w:rPr>
                <w:sz w:val="20"/>
                <w:szCs w:val="20"/>
                <w:color w:val="auto"/>
              </w:rPr>
            </w:pPr>
            <w:r>
              <w:rPr>
                <w:rFonts w:ascii="Arial" w:cs="Arial" w:eastAsia="Arial" w:hAnsi="Arial"/>
                <w:sz w:val="14"/>
                <w:szCs w:val="14"/>
                <w:color w:val="auto"/>
              </w:rPr>
              <w:t>6</w:t>
            </w:r>
          </w:p>
        </w:tc>
        <w:tc>
          <w:tcPr>
            <w:tcW w:w="28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360" w:type="dxa"/>
            <w:vAlign w:val="bottom"/>
            <w:shd w:val="clear" w:color="auto" w:fill="EEECE1"/>
          </w:tcPr>
          <w:p>
            <w:pPr>
              <w:spacing w:after="0"/>
              <w:rPr>
                <w:sz w:val="12"/>
                <w:szCs w:val="12"/>
                <w:color w:val="auto"/>
              </w:rPr>
            </w:pPr>
          </w:p>
        </w:tc>
        <w:tc>
          <w:tcPr>
            <w:tcW w:w="1180" w:type="dxa"/>
            <w:vAlign w:val="bottom"/>
            <w:shd w:val="clear" w:color="auto" w:fill="EEECE1"/>
          </w:tcPr>
          <w:p>
            <w:pPr>
              <w:spacing w:after="0"/>
              <w:rPr>
                <w:sz w:val="12"/>
                <w:szCs w:val="12"/>
                <w:color w:val="auto"/>
              </w:rPr>
            </w:pPr>
          </w:p>
        </w:tc>
        <w:tc>
          <w:tcPr>
            <w:tcW w:w="4220" w:type="dxa"/>
            <w:vAlign w:val="bottom"/>
            <w:shd w:val="clear" w:color="auto" w:fill="EEECE1"/>
          </w:tcPr>
          <w:p>
            <w:pPr>
              <w:spacing w:after="0"/>
              <w:rPr>
                <w:sz w:val="12"/>
                <w:szCs w:val="12"/>
                <w:color w:val="auto"/>
              </w:rPr>
            </w:pPr>
          </w:p>
        </w:tc>
        <w:tc>
          <w:tcPr>
            <w:tcW w:w="280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shd w:val="clear" w:color="auto" w:fill="EEECE1"/>
          </w:tcPr>
          <w:p>
            <w:pPr>
              <w:spacing w:after="0"/>
              <w:rPr>
                <w:sz w:val="14"/>
                <w:szCs w:val="14"/>
                <w:color w:val="auto"/>
              </w:rPr>
            </w:pPr>
          </w:p>
        </w:tc>
        <w:tc>
          <w:tcPr>
            <w:tcW w:w="140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Mortgages</w:t>
            </w:r>
          </w:p>
        </w:tc>
        <w:tc>
          <w:tcPr>
            <w:tcW w:w="1360" w:type="dxa"/>
            <w:vAlign w:val="bottom"/>
            <w:shd w:val="clear" w:color="auto" w:fill="EEECE1"/>
          </w:tcPr>
          <w:p>
            <w:pPr>
              <w:spacing w:after="0"/>
              <w:rPr>
                <w:sz w:val="14"/>
                <w:szCs w:val="14"/>
                <w:color w:val="auto"/>
              </w:rPr>
            </w:pPr>
          </w:p>
        </w:tc>
        <w:tc>
          <w:tcPr>
            <w:tcW w:w="1180" w:type="dxa"/>
            <w:vAlign w:val="bottom"/>
            <w:shd w:val="clear" w:color="auto" w:fill="EEECE1"/>
          </w:tcPr>
          <w:p>
            <w:pPr>
              <w:spacing w:after="0"/>
              <w:rPr>
                <w:sz w:val="14"/>
                <w:szCs w:val="14"/>
                <w:color w:val="auto"/>
              </w:rPr>
            </w:pPr>
          </w:p>
        </w:tc>
        <w:tc>
          <w:tcPr>
            <w:tcW w:w="4220" w:type="dxa"/>
            <w:vAlign w:val="bottom"/>
            <w:shd w:val="clear" w:color="auto" w:fill="EEECE1"/>
          </w:tcPr>
          <w:p>
            <w:pPr>
              <w:spacing w:after="0"/>
              <w:rPr>
                <w:sz w:val="14"/>
                <w:szCs w:val="14"/>
                <w:color w:val="auto"/>
              </w:rPr>
            </w:pPr>
          </w:p>
        </w:tc>
        <w:tc>
          <w:tcPr>
            <w:tcW w:w="28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400" w:type="dxa"/>
            <w:vAlign w:val="bottom"/>
            <w:gridSpan w:val="2"/>
            <w:shd w:val="clear" w:color="auto" w:fill="C00000"/>
          </w:tcPr>
          <w:p>
            <w:pPr>
              <w:ind w:left="60"/>
              <w:spacing w:after="0" w:line="149" w:lineRule="exact"/>
              <w:rPr>
                <w:sz w:val="20"/>
                <w:szCs w:val="20"/>
                <w:color w:val="auto"/>
              </w:rPr>
            </w:pPr>
            <w:r>
              <w:rPr>
                <w:rFonts w:ascii="Arial" w:cs="Arial" w:eastAsia="Arial" w:hAnsi="Arial"/>
                <w:sz w:val="14"/>
                <w:szCs w:val="14"/>
                <w:b w:val="1"/>
                <w:bCs w:val="1"/>
                <w:color w:val="FFFFFF"/>
              </w:rPr>
              <w:t>Agency MBS</w:t>
            </w:r>
          </w:p>
        </w:tc>
        <w:tc>
          <w:tcPr>
            <w:tcW w:w="1360" w:type="dxa"/>
            <w:vAlign w:val="bottom"/>
            <w:shd w:val="clear" w:color="auto" w:fill="C00000"/>
          </w:tcPr>
          <w:p>
            <w:pPr>
              <w:spacing w:after="0"/>
              <w:rPr>
                <w:sz w:val="12"/>
                <w:szCs w:val="12"/>
                <w:color w:val="auto"/>
              </w:rPr>
            </w:pPr>
          </w:p>
        </w:tc>
        <w:tc>
          <w:tcPr>
            <w:tcW w:w="1180" w:type="dxa"/>
            <w:vAlign w:val="bottom"/>
            <w:shd w:val="clear" w:color="auto" w:fill="C00000"/>
          </w:tcPr>
          <w:p>
            <w:pPr>
              <w:spacing w:after="0"/>
              <w:rPr>
                <w:sz w:val="12"/>
                <w:szCs w:val="12"/>
                <w:color w:val="auto"/>
              </w:rPr>
            </w:pPr>
          </w:p>
        </w:tc>
        <w:tc>
          <w:tcPr>
            <w:tcW w:w="4220" w:type="dxa"/>
            <w:vAlign w:val="bottom"/>
            <w:shd w:val="clear" w:color="auto" w:fill="C00000"/>
          </w:tcPr>
          <w:p>
            <w:pPr>
              <w:spacing w:after="0"/>
              <w:rPr>
                <w:sz w:val="12"/>
                <w:szCs w:val="12"/>
                <w:color w:val="auto"/>
              </w:rPr>
            </w:pPr>
          </w:p>
        </w:tc>
        <w:tc>
          <w:tcPr>
            <w:tcW w:w="280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shd w:val="clear" w:color="auto" w:fill="1F497D"/>
          </w:tcPr>
          <w:p>
            <w:pPr>
              <w:ind w:left="60"/>
              <w:spacing w:after="0" w:line="149" w:lineRule="exact"/>
              <w:rPr>
                <w:sz w:val="20"/>
                <w:szCs w:val="20"/>
                <w:color w:val="auto"/>
              </w:rPr>
            </w:pPr>
            <w:r>
              <w:rPr>
                <w:rFonts w:ascii="Arial" w:cs="Arial" w:eastAsia="Arial" w:hAnsi="Arial"/>
                <w:sz w:val="14"/>
                <w:szCs w:val="14"/>
                <w:b w:val="1"/>
                <w:bCs w:val="1"/>
                <w:color w:val="FFFFFF"/>
              </w:rPr>
              <w:t>TBA</w:t>
            </w:r>
          </w:p>
        </w:tc>
        <w:tc>
          <w:tcPr>
            <w:tcW w:w="1360" w:type="dxa"/>
            <w:vAlign w:val="bottom"/>
            <w:shd w:val="clear" w:color="auto" w:fill="1F497D"/>
          </w:tcPr>
          <w:p>
            <w:pPr>
              <w:spacing w:after="0"/>
              <w:rPr>
                <w:sz w:val="12"/>
                <w:szCs w:val="12"/>
                <w:color w:val="auto"/>
              </w:rPr>
            </w:pPr>
          </w:p>
        </w:tc>
        <w:tc>
          <w:tcPr>
            <w:tcW w:w="1180" w:type="dxa"/>
            <w:vAlign w:val="bottom"/>
            <w:shd w:val="clear" w:color="auto" w:fill="1F497D"/>
          </w:tcPr>
          <w:p>
            <w:pPr>
              <w:spacing w:after="0"/>
              <w:rPr>
                <w:sz w:val="12"/>
                <w:szCs w:val="12"/>
                <w:color w:val="auto"/>
              </w:rPr>
            </w:pPr>
          </w:p>
        </w:tc>
        <w:tc>
          <w:tcPr>
            <w:tcW w:w="4220" w:type="dxa"/>
            <w:vAlign w:val="bottom"/>
            <w:shd w:val="clear" w:color="auto" w:fill="1F497D"/>
          </w:tcPr>
          <w:p>
            <w:pPr>
              <w:spacing w:after="0"/>
              <w:rPr>
                <w:sz w:val="12"/>
                <w:szCs w:val="12"/>
                <w:color w:val="auto"/>
              </w:rPr>
            </w:pPr>
          </w:p>
        </w:tc>
        <w:tc>
          <w:tcPr>
            <w:tcW w:w="28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rPr>
              <w:t>FNMA</w:t>
            </w: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30YR</w:t>
            </w:r>
          </w:p>
        </w:tc>
        <w:tc>
          <w:tcPr>
            <w:tcW w:w="4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4220" w:type="dxa"/>
            <w:vAlign w:val="bottom"/>
            <w:vMerge w:val="restart"/>
          </w:tcPr>
          <w:p>
            <w:pPr>
              <w:ind w:left="800"/>
              <w:spacing w:after="0"/>
              <w:rPr>
                <w:sz w:val="20"/>
                <w:szCs w:val="20"/>
                <w:color w:val="auto"/>
              </w:rPr>
            </w:pPr>
            <w:r>
              <w:rPr>
                <w:rFonts w:ascii="Arial" w:cs="Arial" w:eastAsia="Arial" w:hAnsi="Arial"/>
                <w:sz w:val="14"/>
                <w:szCs w:val="14"/>
                <w:color w:val="auto"/>
              </w:rPr>
              <w:t>TBAFNMA, Front Month</w:t>
            </w:r>
          </w:p>
        </w:tc>
        <w:tc>
          <w:tcPr>
            <w:tcW w:w="2800" w:type="dxa"/>
            <w:vAlign w:val="bottom"/>
            <w:vMerge w:val="restart"/>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TBAFNMA, 1st Back Mont</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TBAFNMA, 2nd Back Month</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15YR</w:t>
            </w:r>
          </w:p>
        </w:tc>
        <w:tc>
          <w:tcPr>
            <w:tcW w:w="4220" w:type="dxa"/>
            <w:vAlign w:val="bottom"/>
          </w:tcPr>
          <w:p>
            <w:pPr>
              <w:ind w:left="800"/>
              <w:spacing w:after="0"/>
              <w:rPr>
                <w:sz w:val="20"/>
                <w:szCs w:val="20"/>
                <w:color w:val="auto"/>
              </w:rPr>
            </w:pPr>
            <w:r>
              <w:rPr>
                <w:rFonts w:ascii="Arial" w:cs="Arial" w:eastAsia="Arial" w:hAnsi="Arial"/>
                <w:sz w:val="14"/>
                <w:szCs w:val="14"/>
                <w:color w:val="auto"/>
              </w:rPr>
              <w:t>TBASWAP, Rolls</w:t>
            </w:r>
          </w:p>
        </w:tc>
        <w:tc>
          <w:tcPr>
            <w:tcW w:w="2800" w:type="dxa"/>
            <w:vAlign w:val="bottom"/>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220" w:type="dxa"/>
            <w:vAlign w:val="bottom"/>
            <w:vMerge w:val="restart"/>
          </w:tcPr>
          <w:p>
            <w:pPr>
              <w:ind w:left="800"/>
              <w:spacing w:after="0"/>
              <w:rPr>
                <w:sz w:val="20"/>
                <w:szCs w:val="20"/>
                <w:color w:val="auto"/>
              </w:rPr>
            </w:pPr>
            <w:r>
              <w:rPr>
                <w:rFonts w:ascii="Arial" w:cs="Arial" w:eastAsia="Arial" w:hAnsi="Arial"/>
                <w:sz w:val="14"/>
                <w:szCs w:val="14"/>
                <w:color w:val="auto"/>
              </w:rPr>
              <w:t>TBAFNMA, Front Month</w:t>
            </w:r>
          </w:p>
        </w:tc>
        <w:tc>
          <w:tcPr>
            <w:tcW w:w="2800" w:type="dxa"/>
            <w:vAlign w:val="bottom"/>
            <w:vMerge w:val="restart"/>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TBAFNMA, 1st Back Mont</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TBAFNMA, 2nd Back Month</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20" w:type="dxa"/>
            <w:vAlign w:val="bottom"/>
          </w:tcPr>
          <w:p>
            <w:pPr>
              <w:ind w:left="800"/>
              <w:spacing w:after="0"/>
              <w:rPr>
                <w:sz w:val="20"/>
                <w:szCs w:val="20"/>
                <w:color w:val="auto"/>
              </w:rPr>
            </w:pPr>
            <w:r>
              <w:rPr>
                <w:rFonts w:ascii="Arial" w:cs="Arial" w:eastAsia="Arial" w:hAnsi="Arial"/>
                <w:sz w:val="14"/>
                <w:szCs w:val="14"/>
                <w:color w:val="auto"/>
              </w:rPr>
              <w:t>TBASWAP, Rolls</w:t>
            </w:r>
          </w:p>
        </w:tc>
        <w:tc>
          <w:tcPr>
            <w:tcW w:w="2800" w:type="dxa"/>
            <w:vAlign w:val="bottom"/>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rPr>
              <w:t>PCGLD</w:t>
            </w: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30YR</w:t>
            </w:r>
          </w:p>
        </w:tc>
        <w:tc>
          <w:tcPr>
            <w:tcW w:w="4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220" w:type="dxa"/>
            <w:vAlign w:val="bottom"/>
            <w:vMerge w:val="restart"/>
          </w:tcPr>
          <w:p>
            <w:pPr>
              <w:ind w:left="800"/>
              <w:spacing w:after="0"/>
              <w:rPr>
                <w:sz w:val="20"/>
                <w:szCs w:val="20"/>
                <w:color w:val="auto"/>
              </w:rPr>
            </w:pPr>
            <w:r>
              <w:rPr>
                <w:rFonts w:ascii="Arial" w:cs="Arial" w:eastAsia="Arial" w:hAnsi="Arial"/>
                <w:sz w:val="14"/>
                <w:szCs w:val="14"/>
                <w:color w:val="auto"/>
              </w:rPr>
              <w:t>TBAFHLMCG, Front Month</w:t>
            </w:r>
          </w:p>
        </w:tc>
        <w:tc>
          <w:tcPr>
            <w:tcW w:w="2800" w:type="dxa"/>
            <w:vAlign w:val="bottom"/>
            <w:vMerge w:val="restart"/>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TBAFHLMCG, 1st Back Mont</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TBAFHLMCG, 2nd Back Month</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15YR</w:t>
            </w:r>
          </w:p>
        </w:tc>
        <w:tc>
          <w:tcPr>
            <w:tcW w:w="4220" w:type="dxa"/>
            <w:vAlign w:val="bottom"/>
          </w:tcPr>
          <w:p>
            <w:pPr>
              <w:ind w:left="800"/>
              <w:spacing w:after="0"/>
              <w:rPr>
                <w:sz w:val="20"/>
                <w:szCs w:val="20"/>
                <w:color w:val="auto"/>
              </w:rPr>
            </w:pPr>
            <w:r>
              <w:rPr>
                <w:rFonts w:ascii="Arial" w:cs="Arial" w:eastAsia="Arial" w:hAnsi="Arial"/>
                <w:sz w:val="14"/>
                <w:szCs w:val="14"/>
                <w:color w:val="auto"/>
              </w:rPr>
              <w:t>TBASWAP, Rolls</w:t>
            </w:r>
          </w:p>
        </w:tc>
        <w:tc>
          <w:tcPr>
            <w:tcW w:w="2800" w:type="dxa"/>
            <w:vAlign w:val="bottom"/>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220" w:type="dxa"/>
            <w:vAlign w:val="bottom"/>
            <w:vMerge w:val="restart"/>
          </w:tcPr>
          <w:p>
            <w:pPr>
              <w:ind w:left="800"/>
              <w:spacing w:after="0"/>
              <w:rPr>
                <w:sz w:val="20"/>
                <w:szCs w:val="20"/>
                <w:color w:val="auto"/>
              </w:rPr>
            </w:pPr>
            <w:r>
              <w:rPr>
                <w:rFonts w:ascii="Arial" w:cs="Arial" w:eastAsia="Arial" w:hAnsi="Arial"/>
                <w:sz w:val="14"/>
                <w:szCs w:val="14"/>
                <w:color w:val="auto"/>
              </w:rPr>
              <w:t>TBAFHLMCG, Front Month</w:t>
            </w:r>
          </w:p>
        </w:tc>
        <w:tc>
          <w:tcPr>
            <w:tcW w:w="2800" w:type="dxa"/>
            <w:vAlign w:val="bottom"/>
            <w:vMerge w:val="restart"/>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TBAFHLMCG, 1st Back Mont</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TBAFHLMCG, 2nd Back Month</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20" w:type="dxa"/>
            <w:vAlign w:val="bottom"/>
          </w:tcPr>
          <w:p>
            <w:pPr>
              <w:ind w:left="800"/>
              <w:spacing w:after="0"/>
              <w:rPr>
                <w:sz w:val="20"/>
                <w:szCs w:val="20"/>
                <w:color w:val="auto"/>
              </w:rPr>
            </w:pPr>
            <w:r>
              <w:rPr>
                <w:rFonts w:ascii="Arial" w:cs="Arial" w:eastAsia="Arial" w:hAnsi="Arial"/>
                <w:sz w:val="14"/>
                <w:szCs w:val="14"/>
                <w:color w:val="auto"/>
              </w:rPr>
              <w:t>TBASWAP, Rolls</w:t>
            </w:r>
          </w:p>
        </w:tc>
        <w:tc>
          <w:tcPr>
            <w:tcW w:w="2800" w:type="dxa"/>
            <w:vAlign w:val="bottom"/>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rPr>
              <w:t>GNMA I</w:t>
            </w: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30YR</w:t>
            </w:r>
          </w:p>
        </w:tc>
        <w:tc>
          <w:tcPr>
            <w:tcW w:w="4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220" w:type="dxa"/>
            <w:vAlign w:val="bottom"/>
            <w:vMerge w:val="restart"/>
          </w:tcPr>
          <w:p>
            <w:pPr>
              <w:ind w:left="800"/>
              <w:spacing w:after="0"/>
              <w:rPr>
                <w:sz w:val="20"/>
                <w:szCs w:val="20"/>
                <w:color w:val="auto"/>
              </w:rPr>
            </w:pPr>
            <w:r>
              <w:rPr>
                <w:rFonts w:ascii="Arial" w:cs="Arial" w:eastAsia="Arial" w:hAnsi="Arial"/>
                <w:sz w:val="14"/>
                <w:szCs w:val="14"/>
                <w:color w:val="auto"/>
              </w:rPr>
              <w:t>TBAGNMA1, Front Month</w:t>
            </w:r>
          </w:p>
        </w:tc>
        <w:tc>
          <w:tcPr>
            <w:tcW w:w="2800" w:type="dxa"/>
            <w:vAlign w:val="bottom"/>
            <w:vMerge w:val="restart"/>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TBAGNMA1, 1st Back Mont</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TBAGNMA1, 2nd Back Month</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15YR</w:t>
            </w:r>
          </w:p>
        </w:tc>
        <w:tc>
          <w:tcPr>
            <w:tcW w:w="4220" w:type="dxa"/>
            <w:vAlign w:val="bottom"/>
          </w:tcPr>
          <w:p>
            <w:pPr>
              <w:ind w:left="800"/>
              <w:spacing w:after="0"/>
              <w:rPr>
                <w:sz w:val="20"/>
                <w:szCs w:val="20"/>
                <w:color w:val="auto"/>
              </w:rPr>
            </w:pPr>
            <w:r>
              <w:rPr>
                <w:rFonts w:ascii="Arial" w:cs="Arial" w:eastAsia="Arial" w:hAnsi="Arial"/>
                <w:sz w:val="14"/>
                <w:szCs w:val="14"/>
                <w:color w:val="auto"/>
              </w:rPr>
              <w:t>TBASWAP, Rolls</w:t>
            </w:r>
          </w:p>
        </w:tc>
        <w:tc>
          <w:tcPr>
            <w:tcW w:w="2800" w:type="dxa"/>
            <w:vAlign w:val="bottom"/>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220" w:type="dxa"/>
            <w:vAlign w:val="bottom"/>
            <w:vMerge w:val="restart"/>
          </w:tcPr>
          <w:p>
            <w:pPr>
              <w:ind w:left="800"/>
              <w:spacing w:after="0"/>
              <w:rPr>
                <w:sz w:val="20"/>
                <w:szCs w:val="20"/>
                <w:color w:val="auto"/>
              </w:rPr>
            </w:pPr>
            <w:r>
              <w:rPr>
                <w:rFonts w:ascii="Arial" w:cs="Arial" w:eastAsia="Arial" w:hAnsi="Arial"/>
                <w:sz w:val="14"/>
                <w:szCs w:val="14"/>
                <w:color w:val="auto"/>
              </w:rPr>
              <w:t>TBAGNMA1, Front Month</w:t>
            </w:r>
          </w:p>
        </w:tc>
        <w:tc>
          <w:tcPr>
            <w:tcW w:w="2800" w:type="dxa"/>
            <w:vAlign w:val="bottom"/>
            <w:vMerge w:val="restart"/>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TBAGNMA1, 1st Back Mont</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TBAGNMA1, 2nd Back Month</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20" w:type="dxa"/>
            <w:vAlign w:val="bottom"/>
          </w:tcPr>
          <w:p>
            <w:pPr>
              <w:ind w:left="800"/>
              <w:spacing w:after="0"/>
              <w:rPr>
                <w:sz w:val="20"/>
                <w:szCs w:val="20"/>
                <w:color w:val="auto"/>
              </w:rPr>
            </w:pPr>
            <w:r>
              <w:rPr>
                <w:rFonts w:ascii="Arial" w:cs="Arial" w:eastAsia="Arial" w:hAnsi="Arial"/>
                <w:sz w:val="14"/>
                <w:szCs w:val="14"/>
                <w:color w:val="auto"/>
              </w:rPr>
              <w:t>TBASWAP, Rolls</w:t>
            </w:r>
          </w:p>
        </w:tc>
        <w:tc>
          <w:tcPr>
            <w:tcW w:w="2800" w:type="dxa"/>
            <w:vAlign w:val="bottom"/>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rPr>
              <w:t>GNMA II</w:t>
            </w: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30YR</w:t>
            </w:r>
          </w:p>
        </w:tc>
        <w:tc>
          <w:tcPr>
            <w:tcW w:w="4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220" w:type="dxa"/>
            <w:vAlign w:val="bottom"/>
            <w:vMerge w:val="restart"/>
          </w:tcPr>
          <w:p>
            <w:pPr>
              <w:ind w:left="800"/>
              <w:spacing w:after="0"/>
              <w:rPr>
                <w:sz w:val="20"/>
                <w:szCs w:val="20"/>
                <w:color w:val="auto"/>
              </w:rPr>
            </w:pPr>
            <w:r>
              <w:rPr>
                <w:rFonts w:ascii="Arial" w:cs="Arial" w:eastAsia="Arial" w:hAnsi="Arial"/>
                <w:sz w:val="14"/>
                <w:szCs w:val="14"/>
                <w:color w:val="auto"/>
              </w:rPr>
              <w:t>TBAGNMA2, Front Month</w:t>
            </w:r>
          </w:p>
        </w:tc>
        <w:tc>
          <w:tcPr>
            <w:tcW w:w="2800" w:type="dxa"/>
            <w:vAlign w:val="bottom"/>
            <w:vMerge w:val="restart"/>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TBAGNMA2, 1st Back Mont</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TBAGNMA2, 2nd Back Month</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20" w:type="dxa"/>
            <w:vAlign w:val="bottom"/>
          </w:tcPr>
          <w:p>
            <w:pPr>
              <w:ind w:left="800"/>
              <w:spacing w:after="0"/>
              <w:rPr>
                <w:sz w:val="20"/>
                <w:szCs w:val="20"/>
                <w:color w:val="auto"/>
              </w:rPr>
            </w:pPr>
            <w:r>
              <w:rPr>
                <w:rFonts w:ascii="Arial" w:cs="Arial" w:eastAsia="Arial" w:hAnsi="Arial"/>
                <w:sz w:val="14"/>
                <w:szCs w:val="14"/>
                <w:color w:val="auto"/>
              </w:rPr>
              <w:t>TBASWAP, Rolls</w:t>
            </w:r>
          </w:p>
        </w:tc>
        <w:tc>
          <w:tcPr>
            <w:tcW w:w="2800" w:type="dxa"/>
            <w:vAlign w:val="bottom"/>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4"/>
                <w:szCs w:val="14"/>
                <w:color w:val="auto"/>
              </w:rPr>
              <w:t>15YR</w:t>
            </w:r>
          </w:p>
        </w:tc>
        <w:tc>
          <w:tcPr>
            <w:tcW w:w="4220" w:type="dxa"/>
            <w:vAlign w:val="bottom"/>
            <w:vMerge w:val="restart"/>
          </w:tcPr>
          <w:p>
            <w:pPr>
              <w:ind w:left="800"/>
              <w:spacing w:after="0"/>
              <w:rPr>
                <w:sz w:val="20"/>
                <w:szCs w:val="20"/>
                <w:color w:val="auto"/>
              </w:rPr>
            </w:pPr>
            <w:r>
              <w:rPr>
                <w:rFonts w:ascii="Arial" w:cs="Arial" w:eastAsia="Arial" w:hAnsi="Arial"/>
                <w:sz w:val="14"/>
                <w:szCs w:val="14"/>
                <w:color w:val="auto"/>
              </w:rPr>
              <w:t>TBAGNMA2, Front Month</w:t>
            </w:r>
          </w:p>
        </w:tc>
        <w:tc>
          <w:tcPr>
            <w:tcW w:w="2800" w:type="dxa"/>
            <w:vAlign w:val="bottom"/>
            <w:vMerge w:val="restart"/>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TBAGNMA2, 1st Back Mont</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ind w:left="800"/>
              <w:spacing w:after="0" w:line="149" w:lineRule="exact"/>
              <w:rPr>
                <w:sz w:val="20"/>
                <w:szCs w:val="20"/>
                <w:color w:val="auto"/>
              </w:rPr>
            </w:pPr>
            <w:r>
              <w:rPr>
                <w:rFonts w:ascii="Arial" w:cs="Arial" w:eastAsia="Arial" w:hAnsi="Arial"/>
                <w:sz w:val="14"/>
                <w:szCs w:val="14"/>
                <w:color w:val="auto"/>
              </w:rPr>
              <w:t>TBAGNMA2, 2nd Back Month</w:t>
            </w:r>
          </w:p>
        </w:tc>
        <w:tc>
          <w:tcPr>
            <w:tcW w:w="2800" w:type="dxa"/>
            <w:vAlign w:val="bottom"/>
          </w:tcPr>
          <w:p>
            <w:pPr>
              <w:ind w:left="14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20" w:type="dxa"/>
            <w:vAlign w:val="bottom"/>
          </w:tcPr>
          <w:p>
            <w:pPr>
              <w:ind w:left="800"/>
              <w:spacing w:after="0"/>
              <w:rPr>
                <w:sz w:val="20"/>
                <w:szCs w:val="20"/>
                <w:color w:val="auto"/>
              </w:rPr>
            </w:pPr>
            <w:r>
              <w:rPr>
                <w:rFonts w:ascii="Arial" w:cs="Arial" w:eastAsia="Arial" w:hAnsi="Arial"/>
                <w:sz w:val="14"/>
                <w:szCs w:val="14"/>
                <w:color w:val="auto"/>
              </w:rPr>
              <w:t>TBASWAP, Rolls</w:t>
            </w:r>
          </w:p>
        </w:tc>
        <w:tc>
          <w:tcPr>
            <w:tcW w:w="2800" w:type="dxa"/>
            <w:vAlign w:val="bottom"/>
          </w:tcPr>
          <w:p>
            <w:pPr>
              <w:ind w:left="14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8" w:right="239" w:bottom="1440" w:gutter="0" w:footer="0" w:header="0"/>
        </w:sectPr>
      </w:pPr>
    </w:p>
    <w:bookmarkStart w:id="304" w:name="page305"/>
    <w:bookmarkEnd w:id="3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2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6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800" w:type="dxa"/>
            <w:vAlign w:val="bottom"/>
            <w:shd w:val="clear" w:color="auto" w:fill="EEECE1"/>
          </w:tcPr>
          <w:p>
            <w:pPr>
              <w:ind w:left="300"/>
              <w:spacing w:after="0"/>
              <w:rPr>
                <w:sz w:val="20"/>
                <w:szCs w:val="20"/>
                <w:color w:val="auto"/>
              </w:rPr>
            </w:pPr>
            <w:r>
              <w:rPr>
                <w:rFonts w:ascii="Arial" w:cs="Arial" w:eastAsia="Arial" w:hAnsi="Arial"/>
                <w:sz w:val="14"/>
                <w:szCs w:val="14"/>
                <w:b w:val="1"/>
                <w:bCs w:val="1"/>
                <w:color w:val="auto"/>
              </w:rPr>
              <w:t>4</w:t>
            </w:r>
          </w:p>
        </w:tc>
        <w:tc>
          <w:tcPr>
            <w:tcW w:w="4480" w:type="dxa"/>
            <w:vAlign w:val="bottom"/>
            <w:shd w:val="clear" w:color="auto" w:fill="EEECE1"/>
          </w:tcPr>
          <w:p>
            <w:pPr>
              <w:ind w:left="100"/>
              <w:spacing w:after="0"/>
              <w:rPr>
                <w:sz w:val="20"/>
                <w:szCs w:val="20"/>
                <w:color w:val="auto"/>
              </w:rPr>
            </w:pPr>
            <w:r>
              <w:rPr>
                <w:rFonts w:ascii="Arial" w:cs="Arial" w:eastAsia="Arial" w:hAnsi="Arial"/>
                <w:sz w:val="14"/>
                <w:szCs w:val="14"/>
                <w:b w:val="1"/>
                <w:bCs w:val="1"/>
                <w:color w:val="auto"/>
              </w:rPr>
              <w:t>5</w:t>
            </w:r>
          </w:p>
        </w:tc>
        <w:tc>
          <w:tcPr>
            <w:tcW w:w="2300" w:type="dxa"/>
            <w:vAlign w:val="bottom"/>
            <w:shd w:val="clear" w:color="auto" w:fill="EEECE1"/>
          </w:tcPr>
          <w:p>
            <w:pPr>
              <w:ind w:left="9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180" w:type="dxa"/>
            <w:vAlign w:val="bottom"/>
            <w:gridSpan w:val="2"/>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660" w:type="dxa"/>
            <w:vAlign w:val="bottom"/>
            <w:shd w:val="clear" w:color="auto" w:fill="EEECE1"/>
          </w:tcPr>
          <w:p>
            <w:pPr>
              <w:spacing w:after="0"/>
              <w:rPr>
                <w:sz w:val="12"/>
                <w:szCs w:val="12"/>
                <w:color w:val="auto"/>
              </w:rPr>
            </w:pPr>
          </w:p>
        </w:tc>
        <w:tc>
          <w:tcPr>
            <w:tcW w:w="1800" w:type="dxa"/>
            <w:vAlign w:val="bottom"/>
            <w:shd w:val="clear" w:color="auto" w:fill="EEECE1"/>
          </w:tcPr>
          <w:p>
            <w:pPr>
              <w:spacing w:after="0"/>
              <w:rPr>
                <w:sz w:val="12"/>
                <w:szCs w:val="12"/>
                <w:color w:val="auto"/>
              </w:rPr>
            </w:pPr>
          </w:p>
        </w:tc>
        <w:tc>
          <w:tcPr>
            <w:tcW w:w="4480" w:type="dxa"/>
            <w:vAlign w:val="bottom"/>
            <w:shd w:val="clear" w:color="auto" w:fill="EEECE1"/>
          </w:tcPr>
          <w:p>
            <w:pPr>
              <w:spacing w:after="0"/>
              <w:rPr>
                <w:sz w:val="12"/>
                <w:szCs w:val="12"/>
                <w:color w:val="auto"/>
              </w:rPr>
            </w:pPr>
          </w:p>
        </w:tc>
        <w:tc>
          <w:tcPr>
            <w:tcW w:w="230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shd w:val="clear" w:color="auto" w:fill="EEECE1"/>
          </w:tcPr>
          <w:p>
            <w:pPr>
              <w:spacing w:after="0"/>
              <w:rPr>
                <w:sz w:val="14"/>
                <w:szCs w:val="14"/>
                <w:color w:val="auto"/>
              </w:rPr>
            </w:pPr>
          </w:p>
        </w:tc>
        <w:tc>
          <w:tcPr>
            <w:tcW w:w="12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w w:val="98"/>
              </w:rPr>
              <w:t>Global Derivatives</w:t>
            </w:r>
          </w:p>
        </w:tc>
        <w:tc>
          <w:tcPr>
            <w:tcW w:w="660" w:type="dxa"/>
            <w:vAlign w:val="bottom"/>
            <w:shd w:val="clear" w:color="auto" w:fill="EEECE1"/>
          </w:tcPr>
          <w:p>
            <w:pPr>
              <w:spacing w:after="0"/>
              <w:rPr>
                <w:sz w:val="14"/>
                <w:szCs w:val="14"/>
                <w:color w:val="auto"/>
              </w:rPr>
            </w:pPr>
          </w:p>
        </w:tc>
        <w:tc>
          <w:tcPr>
            <w:tcW w:w="1800" w:type="dxa"/>
            <w:vAlign w:val="bottom"/>
            <w:shd w:val="clear" w:color="auto" w:fill="EEECE1"/>
          </w:tcPr>
          <w:p>
            <w:pPr>
              <w:spacing w:after="0"/>
              <w:rPr>
                <w:sz w:val="14"/>
                <w:szCs w:val="14"/>
                <w:color w:val="auto"/>
              </w:rPr>
            </w:pPr>
          </w:p>
        </w:tc>
        <w:tc>
          <w:tcPr>
            <w:tcW w:w="4480" w:type="dxa"/>
            <w:vAlign w:val="bottom"/>
            <w:shd w:val="clear" w:color="auto" w:fill="EEECE1"/>
          </w:tcPr>
          <w:p>
            <w:pPr>
              <w:spacing w:after="0"/>
              <w:rPr>
                <w:sz w:val="14"/>
                <w:szCs w:val="14"/>
                <w:color w:val="auto"/>
              </w:rPr>
            </w:pPr>
          </w:p>
        </w:tc>
        <w:tc>
          <w:tcPr>
            <w:tcW w:w="23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720" w:type="dxa"/>
            <w:vAlign w:val="bottom"/>
            <w:gridSpan w:val="3"/>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North American Interest Rate Swaps</w:t>
            </w:r>
          </w:p>
        </w:tc>
        <w:tc>
          <w:tcPr>
            <w:tcW w:w="4480" w:type="dxa"/>
            <w:vAlign w:val="bottom"/>
            <w:shd w:val="clear" w:color="auto" w:fill="C00000"/>
          </w:tcPr>
          <w:p>
            <w:pPr>
              <w:spacing w:after="0"/>
              <w:rPr>
                <w:sz w:val="12"/>
                <w:szCs w:val="12"/>
                <w:color w:val="auto"/>
              </w:rPr>
            </w:pPr>
          </w:p>
        </w:tc>
        <w:tc>
          <w:tcPr>
            <w:tcW w:w="230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USD</w:t>
            </w:r>
          </w:p>
        </w:tc>
        <w:tc>
          <w:tcPr>
            <w:tcW w:w="1800" w:type="dxa"/>
            <w:vAlign w:val="bottom"/>
            <w:shd w:val="clear" w:color="auto" w:fill="1F497D"/>
          </w:tcPr>
          <w:p>
            <w:pPr>
              <w:spacing w:after="0"/>
              <w:rPr>
                <w:sz w:val="12"/>
                <w:szCs w:val="12"/>
                <w:color w:val="auto"/>
              </w:rPr>
            </w:pPr>
          </w:p>
        </w:tc>
        <w:tc>
          <w:tcPr>
            <w:tcW w:w="4480" w:type="dxa"/>
            <w:vAlign w:val="bottom"/>
            <w:shd w:val="clear" w:color="auto" w:fill="1F497D"/>
          </w:tcPr>
          <w:p>
            <w:pPr>
              <w:spacing w:after="0"/>
              <w:rPr>
                <w:sz w:val="12"/>
                <w:szCs w:val="12"/>
                <w:color w:val="auto"/>
              </w:rPr>
            </w:pPr>
          </w:p>
        </w:tc>
        <w:tc>
          <w:tcPr>
            <w:tcW w:w="23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Outright Swaps (Semi Bond)</w:t>
            </w: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IRSUSD, vs 1M Libor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IRSUSD, vs 3M Libor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80" w:type="dxa"/>
            <w:vAlign w:val="bottom"/>
          </w:tcPr>
          <w:p>
            <w:pPr>
              <w:ind w:left="100"/>
              <w:spacing w:after="0"/>
              <w:rPr>
                <w:sz w:val="20"/>
                <w:szCs w:val="20"/>
                <w:color w:val="auto"/>
              </w:rPr>
            </w:pPr>
            <w:r>
              <w:rPr>
                <w:rFonts w:ascii="Arial" w:cs="Arial" w:eastAsia="Arial" w:hAnsi="Arial"/>
                <w:sz w:val="14"/>
                <w:szCs w:val="14"/>
                <w:color w:val="auto"/>
              </w:rPr>
              <w:t>IRSUSD, vs 6M Libor</w:t>
            </w:r>
          </w:p>
        </w:tc>
        <w:tc>
          <w:tcPr>
            <w:tcW w:w="2300" w:type="dxa"/>
            <w:vAlign w:val="bottom"/>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80" w:type="dxa"/>
            <w:vAlign w:val="bottom"/>
            <w:gridSpan w:val="2"/>
          </w:tcPr>
          <w:p>
            <w:pPr>
              <w:ind w:left="300"/>
              <w:spacing w:after="0"/>
              <w:rPr>
                <w:sz w:val="20"/>
                <w:szCs w:val="20"/>
                <w:color w:val="auto"/>
              </w:rPr>
            </w:pPr>
            <w:r>
              <w:rPr>
                <w:rFonts w:ascii="Arial" w:cs="Arial" w:eastAsia="Arial" w:hAnsi="Arial"/>
                <w:sz w:val="14"/>
                <w:szCs w:val="14"/>
                <w:color w:val="auto"/>
              </w:rPr>
              <w:t>Outright Swaps (Annual Money)</w:t>
            </w: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IRSUSD, vs 1M Libor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IRSUSD, vs 3M Libor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80" w:type="dxa"/>
            <w:vAlign w:val="bottom"/>
          </w:tcPr>
          <w:p>
            <w:pPr>
              <w:ind w:left="100"/>
              <w:spacing w:after="0"/>
              <w:rPr>
                <w:sz w:val="20"/>
                <w:szCs w:val="20"/>
                <w:color w:val="auto"/>
              </w:rPr>
            </w:pPr>
            <w:r>
              <w:rPr>
                <w:rFonts w:ascii="Arial" w:cs="Arial" w:eastAsia="Arial" w:hAnsi="Arial"/>
                <w:sz w:val="14"/>
                <w:szCs w:val="14"/>
                <w:color w:val="auto"/>
              </w:rPr>
              <w:t>IRSUSD, vs 6M Libor</w:t>
            </w:r>
          </w:p>
        </w:tc>
        <w:tc>
          <w:tcPr>
            <w:tcW w:w="2300" w:type="dxa"/>
            <w:vAlign w:val="bottom"/>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ind w:left="300"/>
              <w:spacing w:after="0"/>
              <w:rPr>
                <w:sz w:val="20"/>
                <w:szCs w:val="20"/>
                <w:color w:val="auto"/>
              </w:rPr>
            </w:pPr>
            <w:r>
              <w:rPr>
                <w:rFonts w:ascii="Arial" w:cs="Arial" w:eastAsia="Arial" w:hAnsi="Arial"/>
                <w:sz w:val="14"/>
                <w:szCs w:val="14"/>
                <w:color w:val="auto"/>
                <w:w w:val="98"/>
              </w:rPr>
              <w:t>Swap Spreads vs TRSY</w:t>
            </w:r>
          </w:p>
        </w:tc>
        <w:tc>
          <w:tcPr>
            <w:tcW w:w="4480" w:type="dxa"/>
            <w:vAlign w:val="bottom"/>
            <w:vMerge w:val="restart"/>
          </w:tcPr>
          <w:p>
            <w:pPr>
              <w:ind w:left="100"/>
              <w:spacing w:after="0"/>
              <w:rPr>
                <w:sz w:val="20"/>
                <w:szCs w:val="20"/>
                <w:color w:val="auto"/>
              </w:rPr>
            </w:pPr>
            <w:r>
              <w:rPr>
                <w:rFonts w:ascii="Arial" w:cs="Arial" w:eastAsia="Arial" w:hAnsi="Arial"/>
                <w:sz w:val="14"/>
                <w:szCs w:val="14"/>
                <w:color w:val="auto"/>
              </w:rPr>
              <w:t>IRSUSDBENCH, OTR vs 3M Libor</w:t>
            </w:r>
          </w:p>
        </w:tc>
        <w:tc>
          <w:tcPr>
            <w:tcW w:w="2300" w:type="dxa"/>
            <w:vAlign w:val="bottom"/>
            <w:vMerge w:val="restart"/>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80" w:type="dxa"/>
            <w:vAlign w:val="bottom"/>
          </w:tcPr>
          <w:p>
            <w:pPr>
              <w:ind w:left="100"/>
              <w:spacing w:after="0"/>
              <w:rPr>
                <w:sz w:val="20"/>
                <w:szCs w:val="20"/>
                <w:color w:val="auto"/>
              </w:rPr>
            </w:pPr>
            <w:r>
              <w:rPr>
                <w:rFonts w:ascii="Arial" w:cs="Arial" w:eastAsia="Arial" w:hAnsi="Arial"/>
                <w:sz w:val="14"/>
                <w:szCs w:val="14"/>
                <w:color w:val="auto"/>
              </w:rPr>
              <w:t>IRSUSDOFFBENCH, Off the Run vs 3M Libor</w:t>
            </w:r>
          </w:p>
        </w:tc>
        <w:tc>
          <w:tcPr>
            <w:tcW w:w="2300" w:type="dxa"/>
            <w:vAlign w:val="bottom"/>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ind w:left="300"/>
              <w:spacing w:after="0"/>
              <w:rPr>
                <w:sz w:val="20"/>
                <w:szCs w:val="20"/>
                <w:color w:val="auto"/>
              </w:rPr>
            </w:pPr>
            <w:r>
              <w:rPr>
                <w:rFonts w:ascii="Arial" w:cs="Arial" w:eastAsia="Arial" w:hAnsi="Arial"/>
                <w:sz w:val="14"/>
                <w:szCs w:val="14"/>
                <w:color w:val="auto"/>
              </w:rPr>
              <w:t>IMM Swaps</w:t>
            </w:r>
          </w:p>
        </w:tc>
        <w:tc>
          <w:tcPr>
            <w:tcW w:w="4480" w:type="dxa"/>
            <w:vAlign w:val="bottom"/>
            <w:vMerge w:val="restart"/>
          </w:tcPr>
          <w:p>
            <w:pPr>
              <w:ind w:left="100"/>
              <w:spacing w:after="0"/>
              <w:rPr>
                <w:sz w:val="20"/>
                <w:szCs w:val="20"/>
                <w:color w:val="auto"/>
              </w:rPr>
            </w:pPr>
            <w:r>
              <w:rPr>
                <w:rFonts w:ascii="Arial" w:cs="Arial" w:eastAsia="Arial" w:hAnsi="Arial"/>
                <w:sz w:val="14"/>
                <w:szCs w:val="14"/>
                <w:color w:val="auto"/>
              </w:rPr>
              <w:t>IRSIMM, vs 3M Libor Current Quarter</w:t>
            </w:r>
          </w:p>
        </w:tc>
        <w:tc>
          <w:tcPr>
            <w:tcW w:w="2300" w:type="dxa"/>
            <w:vAlign w:val="bottom"/>
            <w:vMerge w:val="restart"/>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IRSIMM, vs 3M Libor 2nd Quarter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80" w:type="dxa"/>
            <w:vAlign w:val="bottom"/>
          </w:tcPr>
          <w:p>
            <w:pPr>
              <w:ind w:left="100"/>
              <w:spacing w:after="0"/>
              <w:rPr>
                <w:sz w:val="20"/>
                <w:szCs w:val="20"/>
                <w:color w:val="auto"/>
              </w:rPr>
            </w:pPr>
            <w:r>
              <w:rPr>
                <w:rFonts w:ascii="Arial" w:cs="Arial" w:eastAsia="Arial" w:hAnsi="Arial"/>
                <w:sz w:val="14"/>
                <w:szCs w:val="14"/>
                <w:color w:val="auto"/>
              </w:rPr>
              <w:t>IRSIMM, vs 3M Libor 3rd Quarter</w:t>
            </w:r>
          </w:p>
        </w:tc>
        <w:tc>
          <w:tcPr>
            <w:tcW w:w="2300" w:type="dxa"/>
            <w:vAlign w:val="bottom"/>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ind w:left="300"/>
              <w:spacing w:after="0"/>
              <w:rPr>
                <w:sz w:val="20"/>
                <w:szCs w:val="20"/>
                <w:color w:val="auto"/>
              </w:rPr>
            </w:pPr>
            <w:r>
              <w:rPr>
                <w:rFonts w:ascii="Arial" w:cs="Arial" w:eastAsia="Arial" w:hAnsi="Arial"/>
                <w:sz w:val="14"/>
                <w:szCs w:val="14"/>
                <w:color w:val="auto"/>
              </w:rPr>
              <w:t>MAC Swaps</w:t>
            </w:r>
          </w:p>
        </w:tc>
        <w:tc>
          <w:tcPr>
            <w:tcW w:w="4480" w:type="dxa"/>
            <w:vAlign w:val="bottom"/>
            <w:vMerge w:val="restart"/>
          </w:tcPr>
          <w:p>
            <w:pPr>
              <w:ind w:left="100"/>
              <w:spacing w:after="0"/>
              <w:rPr>
                <w:sz w:val="20"/>
                <w:szCs w:val="20"/>
                <w:color w:val="auto"/>
              </w:rPr>
            </w:pPr>
            <w:r>
              <w:rPr>
                <w:rFonts w:ascii="Arial" w:cs="Arial" w:eastAsia="Arial" w:hAnsi="Arial"/>
                <w:sz w:val="14"/>
                <w:szCs w:val="14"/>
                <w:color w:val="auto"/>
              </w:rPr>
              <w:t>IRSMACUSD, CMECurrent Quarter</w:t>
            </w:r>
          </w:p>
        </w:tc>
        <w:tc>
          <w:tcPr>
            <w:tcW w:w="2300" w:type="dxa"/>
            <w:vAlign w:val="bottom"/>
            <w:vMerge w:val="restart"/>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IRSMACUSD, CME 2nd Quarter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IRSMACUSD, CME 3rd Quarter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IRSMACUSD, LCH Current Quarter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IRSMACUSD, LCH 2nd Quarter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80" w:type="dxa"/>
            <w:vAlign w:val="bottom"/>
          </w:tcPr>
          <w:p>
            <w:pPr>
              <w:ind w:left="100"/>
              <w:spacing w:after="0"/>
              <w:rPr>
                <w:sz w:val="20"/>
                <w:szCs w:val="20"/>
                <w:color w:val="auto"/>
              </w:rPr>
            </w:pPr>
            <w:r>
              <w:rPr>
                <w:rFonts w:ascii="Arial" w:cs="Arial" w:eastAsia="Arial" w:hAnsi="Arial"/>
                <w:sz w:val="14"/>
                <w:szCs w:val="14"/>
                <w:color w:val="auto"/>
              </w:rPr>
              <w:t>IRSMACUSD, LCH 3rd Quarter</w:t>
            </w:r>
          </w:p>
        </w:tc>
        <w:tc>
          <w:tcPr>
            <w:tcW w:w="2300" w:type="dxa"/>
            <w:vAlign w:val="bottom"/>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ind w:left="300"/>
              <w:spacing w:after="0"/>
              <w:rPr>
                <w:sz w:val="20"/>
                <w:szCs w:val="20"/>
                <w:color w:val="auto"/>
              </w:rPr>
            </w:pPr>
            <w:r>
              <w:rPr>
                <w:rFonts w:ascii="Arial" w:cs="Arial" w:eastAsia="Arial" w:hAnsi="Arial"/>
                <w:sz w:val="14"/>
                <w:szCs w:val="14"/>
                <w:color w:val="auto"/>
              </w:rPr>
              <w:t>OIS</w:t>
            </w:r>
          </w:p>
        </w:tc>
        <w:tc>
          <w:tcPr>
            <w:tcW w:w="4480" w:type="dxa"/>
            <w:vAlign w:val="bottom"/>
            <w:vMerge w:val="restart"/>
          </w:tcPr>
          <w:p>
            <w:pPr>
              <w:ind w:left="100"/>
              <w:spacing w:after="0"/>
              <w:rPr>
                <w:sz w:val="20"/>
                <w:szCs w:val="20"/>
                <w:color w:val="auto"/>
              </w:rPr>
            </w:pPr>
            <w:r>
              <w:rPr>
                <w:rFonts w:ascii="Arial" w:cs="Arial" w:eastAsia="Arial" w:hAnsi="Arial"/>
                <w:sz w:val="14"/>
                <w:szCs w:val="14"/>
                <w:color w:val="auto"/>
              </w:rPr>
              <w:t>OISUSD, Fed Funds Short $OIS</w:t>
            </w:r>
          </w:p>
        </w:tc>
        <w:tc>
          <w:tcPr>
            <w:tcW w:w="2300" w:type="dxa"/>
            <w:vAlign w:val="bottom"/>
            <w:vMerge w:val="restart"/>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80" w:type="dxa"/>
            <w:vAlign w:val="bottom"/>
          </w:tcPr>
          <w:p>
            <w:pPr>
              <w:ind w:left="100"/>
              <w:spacing w:after="0"/>
              <w:rPr>
                <w:sz w:val="20"/>
                <w:szCs w:val="20"/>
                <w:color w:val="auto"/>
              </w:rPr>
            </w:pPr>
            <w:r>
              <w:rPr>
                <w:rFonts w:ascii="Arial" w:cs="Arial" w:eastAsia="Arial" w:hAnsi="Arial"/>
                <w:sz w:val="14"/>
                <w:szCs w:val="14"/>
                <w:color w:val="auto"/>
              </w:rPr>
              <w:t>OISLUSD, Fed Funds Long $OIS</w:t>
            </w:r>
          </w:p>
        </w:tc>
        <w:tc>
          <w:tcPr>
            <w:tcW w:w="2300" w:type="dxa"/>
            <w:vAlign w:val="bottom"/>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ind w:left="300"/>
              <w:spacing w:after="0"/>
              <w:rPr>
                <w:sz w:val="20"/>
                <w:szCs w:val="20"/>
                <w:color w:val="auto"/>
              </w:rPr>
            </w:pPr>
            <w:r>
              <w:rPr>
                <w:rFonts w:ascii="Arial" w:cs="Arial" w:eastAsia="Arial" w:hAnsi="Arial"/>
                <w:sz w:val="14"/>
                <w:szCs w:val="14"/>
                <w:color w:val="auto"/>
              </w:rPr>
              <w:t>Swap Basis</w:t>
            </w:r>
          </w:p>
        </w:tc>
        <w:tc>
          <w:tcPr>
            <w:tcW w:w="4480" w:type="dxa"/>
            <w:vAlign w:val="bottom"/>
            <w:vMerge w:val="restart"/>
          </w:tcPr>
          <w:p>
            <w:pPr>
              <w:ind w:left="100"/>
              <w:spacing w:after="0"/>
              <w:rPr>
                <w:sz w:val="20"/>
                <w:szCs w:val="20"/>
                <w:color w:val="auto"/>
              </w:rPr>
            </w:pPr>
            <w:r>
              <w:rPr>
                <w:rFonts w:ascii="Arial" w:cs="Arial" w:eastAsia="Arial" w:hAnsi="Arial"/>
                <w:sz w:val="14"/>
                <w:szCs w:val="14"/>
                <w:color w:val="auto"/>
              </w:rPr>
              <w:t>IRSUSDBAS, 1M Libor vs 3M Libor</w:t>
            </w:r>
          </w:p>
        </w:tc>
        <w:tc>
          <w:tcPr>
            <w:tcW w:w="2300" w:type="dxa"/>
            <w:vAlign w:val="bottom"/>
            <w:vMerge w:val="restart"/>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80" w:type="dxa"/>
            <w:vAlign w:val="bottom"/>
          </w:tcPr>
          <w:p>
            <w:pPr>
              <w:ind w:left="100"/>
              <w:spacing w:after="0"/>
              <w:rPr>
                <w:sz w:val="20"/>
                <w:szCs w:val="20"/>
                <w:color w:val="auto"/>
              </w:rPr>
            </w:pPr>
            <w:r>
              <w:rPr>
                <w:rFonts w:ascii="Arial" w:cs="Arial" w:eastAsia="Arial" w:hAnsi="Arial"/>
                <w:sz w:val="14"/>
                <w:szCs w:val="14"/>
                <w:color w:val="auto"/>
              </w:rPr>
              <w:t>IRSUSDBAS, 3M Libor vs 6M Libor</w:t>
            </w:r>
          </w:p>
        </w:tc>
        <w:tc>
          <w:tcPr>
            <w:tcW w:w="2300" w:type="dxa"/>
            <w:vAlign w:val="bottom"/>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80" w:type="dxa"/>
            <w:vAlign w:val="bottom"/>
            <w:gridSpan w:val="2"/>
          </w:tcPr>
          <w:p>
            <w:pPr>
              <w:ind w:left="300"/>
              <w:spacing w:after="0"/>
              <w:rPr>
                <w:sz w:val="20"/>
                <w:szCs w:val="20"/>
                <w:color w:val="auto"/>
              </w:rPr>
            </w:pPr>
            <w:r>
              <w:rPr>
                <w:rFonts w:ascii="Arial" w:cs="Arial" w:eastAsia="Arial" w:hAnsi="Arial"/>
                <w:sz w:val="14"/>
                <w:szCs w:val="14"/>
                <w:color w:val="auto"/>
              </w:rPr>
              <w:t>Forward Start Swaps (Semi Bond)</w:t>
            </w: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80" w:type="dxa"/>
            <w:vAlign w:val="bottom"/>
          </w:tcPr>
          <w:p>
            <w:pPr>
              <w:ind w:left="100"/>
              <w:spacing w:after="0"/>
              <w:rPr>
                <w:sz w:val="20"/>
                <w:szCs w:val="20"/>
                <w:color w:val="auto"/>
              </w:rPr>
            </w:pPr>
            <w:r>
              <w:rPr>
                <w:rFonts w:ascii="Arial" w:cs="Arial" w:eastAsia="Arial" w:hAnsi="Arial"/>
                <w:sz w:val="14"/>
                <w:szCs w:val="14"/>
                <w:color w:val="auto"/>
              </w:rPr>
              <w:t>IRSFWD, USD Forward Start Swaps</w:t>
            </w:r>
          </w:p>
        </w:tc>
        <w:tc>
          <w:tcPr>
            <w:tcW w:w="2300" w:type="dxa"/>
            <w:vAlign w:val="bottom"/>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CAD</w:t>
            </w:r>
          </w:p>
        </w:tc>
        <w:tc>
          <w:tcPr>
            <w:tcW w:w="1800" w:type="dxa"/>
            <w:vAlign w:val="bottom"/>
            <w:shd w:val="clear" w:color="auto" w:fill="1F497D"/>
          </w:tcPr>
          <w:p>
            <w:pPr>
              <w:spacing w:after="0"/>
              <w:rPr>
                <w:sz w:val="12"/>
                <w:szCs w:val="12"/>
                <w:color w:val="auto"/>
              </w:rPr>
            </w:pPr>
          </w:p>
        </w:tc>
        <w:tc>
          <w:tcPr>
            <w:tcW w:w="4480" w:type="dxa"/>
            <w:vAlign w:val="bottom"/>
            <w:shd w:val="clear" w:color="auto" w:fill="1F497D"/>
          </w:tcPr>
          <w:p>
            <w:pPr>
              <w:spacing w:after="0"/>
              <w:rPr>
                <w:sz w:val="12"/>
                <w:szCs w:val="12"/>
                <w:color w:val="auto"/>
              </w:rPr>
            </w:pPr>
          </w:p>
        </w:tc>
        <w:tc>
          <w:tcPr>
            <w:tcW w:w="23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Outright Swaps (Semi Bond)</w:t>
            </w: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IRSCAD, Outright Swaps (SA Actual/365F vs 3M CDOR)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Swap Spreads vs CAN Govt</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IRSCADBENCH, OTR vs GOC</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vMerge w:val="restart"/>
          </w:tcPr>
          <w:p>
            <w:pPr>
              <w:ind w:left="300"/>
              <w:spacing w:after="0"/>
              <w:rPr>
                <w:sz w:val="20"/>
                <w:szCs w:val="20"/>
                <w:color w:val="auto"/>
              </w:rPr>
            </w:pPr>
            <w:r>
              <w:rPr>
                <w:rFonts w:ascii="Arial" w:cs="Arial" w:eastAsia="Arial" w:hAnsi="Arial"/>
                <w:sz w:val="14"/>
                <w:szCs w:val="14"/>
                <w:color w:val="auto"/>
              </w:rPr>
              <w:t>MAC Swaps</w:t>
            </w:r>
          </w:p>
        </w:tc>
        <w:tc>
          <w:tcPr>
            <w:tcW w:w="4480" w:type="dxa"/>
            <w:vAlign w:val="bottom"/>
          </w:tcPr>
          <w:p>
            <w:pPr>
              <w:ind w:left="100"/>
              <w:spacing w:after="0"/>
              <w:rPr>
                <w:sz w:val="20"/>
                <w:szCs w:val="20"/>
                <w:color w:val="auto"/>
              </w:rPr>
            </w:pPr>
            <w:r>
              <w:rPr>
                <w:rFonts w:ascii="Arial" w:cs="Arial" w:eastAsia="Arial" w:hAnsi="Arial"/>
                <w:sz w:val="14"/>
                <w:szCs w:val="14"/>
                <w:color w:val="auto"/>
              </w:rPr>
              <w:t>IRSCADOFFBENCH, Off the Run vs GOC</w:t>
            </w:r>
          </w:p>
        </w:tc>
        <w:tc>
          <w:tcPr>
            <w:tcW w:w="2300" w:type="dxa"/>
            <w:vAlign w:val="bottom"/>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4480" w:type="dxa"/>
            <w:vAlign w:val="bottom"/>
            <w:vMerge w:val="restart"/>
          </w:tcPr>
          <w:p>
            <w:pPr>
              <w:ind w:left="100"/>
              <w:spacing w:after="0"/>
              <w:rPr>
                <w:sz w:val="20"/>
                <w:szCs w:val="20"/>
                <w:color w:val="auto"/>
              </w:rPr>
            </w:pPr>
            <w:r>
              <w:rPr>
                <w:rFonts w:ascii="Arial" w:cs="Arial" w:eastAsia="Arial" w:hAnsi="Arial"/>
                <w:sz w:val="14"/>
                <w:szCs w:val="14"/>
                <w:color w:val="auto"/>
              </w:rPr>
              <w:t>IRSMACCAD, CMECurrent Quarter</w:t>
            </w:r>
          </w:p>
        </w:tc>
        <w:tc>
          <w:tcPr>
            <w:tcW w:w="2300" w:type="dxa"/>
            <w:vAlign w:val="bottom"/>
            <w:vMerge w:val="restart"/>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IRSMACCAD, CME 2nd Quarter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IRSMACCAD, CME 3rd Quarter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IRSMACCAD, LCH Current Quarter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tcPr>
          <w:p>
            <w:pPr>
              <w:ind w:left="100"/>
              <w:spacing w:after="0" w:line="149" w:lineRule="exact"/>
              <w:rPr>
                <w:sz w:val="20"/>
                <w:szCs w:val="20"/>
                <w:color w:val="auto"/>
              </w:rPr>
            </w:pPr>
            <w:r>
              <w:rPr>
                <w:rFonts w:ascii="Arial" w:cs="Arial" w:eastAsia="Arial" w:hAnsi="Arial"/>
                <w:sz w:val="14"/>
                <w:szCs w:val="14"/>
                <w:color w:val="auto"/>
              </w:rPr>
              <w:t>IRSMACCAD, LCH 2nd Quarter</w:t>
            </w:r>
          </w:p>
        </w:tc>
        <w:tc>
          <w:tcPr>
            <w:tcW w:w="2300" w:type="dxa"/>
            <w:vAlign w:val="bottom"/>
          </w:tcPr>
          <w:p>
            <w:pPr>
              <w:ind w:left="9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80" w:type="dxa"/>
            <w:vAlign w:val="bottom"/>
          </w:tcPr>
          <w:p>
            <w:pPr>
              <w:ind w:left="100"/>
              <w:spacing w:after="0"/>
              <w:rPr>
                <w:sz w:val="20"/>
                <w:szCs w:val="20"/>
                <w:color w:val="auto"/>
              </w:rPr>
            </w:pPr>
            <w:r>
              <w:rPr>
                <w:rFonts w:ascii="Arial" w:cs="Arial" w:eastAsia="Arial" w:hAnsi="Arial"/>
                <w:sz w:val="14"/>
                <w:szCs w:val="14"/>
                <w:color w:val="auto"/>
              </w:rPr>
              <w:t>IRSMACCAD, LCH 3rd Quarter</w:t>
            </w:r>
          </w:p>
        </w:tc>
        <w:tc>
          <w:tcPr>
            <w:tcW w:w="2300" w:type="dxa"/>
            <w:vAlign w:val="bottom"/>
          </w:tcPr>
          <w:p>
            <w:pPr>
              <w:ind w:left="9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05" w:name="page306"/>
    <w:bookmarkEnd w:id="3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2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6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2200" w:type="dxa"/>
            <w:vAlign w:val="bottom"/>
            <w:shd w:val="clear" w:color="auto" w:fill="EEECE1"/>
          </w:tcPr>
          <w:p>
            <w:pPr>
              <w:ind w:left="280"/>
              <w:spacing w:after="0"/>
              <w:rPr>
                <w:sz w:val="20"/>
                <w:szCs w:val="20"/>
                <w:color w:val="auto"/>
              </w:rPr>
            </w:pPr>
            <w:r>
              <w:rPr>
                <w:rFonts w:ascii="Arial" w:cs="Arial" w:eastAsia="Arial" w:hAnsi="Arial"/>
                <w:sz w:val="14"/>
                <w:szCs w:val="14"/>
                <w:b w:val="1"/>
                <w:bCs w:val="1"/>
                <w:color w:val="auto"/>
              </w:rPr>
              <w:t>4</w:t>
            </w:r>
          </w:p>
        </w:tc>
        <w:tc>
          <w:tcPr>
            <w:tcW w:w="3780" w:type="dxa"/>
            <w:vAlign w:val="bottom"/>
            <w:shd w:val="clear" w:color="auto" w:fill="EEECE1"/>
          </w:tcPr>
          <w:p>
            <w:pPr>
              <w:ind w:left="20"/>
              <w:spacing w:after="0"/>
              <w:rPr>
                <w:sz w:val="20"/>
                <w:szCs w:val="20"/>
                <w:color w:val="auto"/>
              </w:rPr>
            </w:pPr>
            <w:r>
              <w:rPr>
                <w:rFonts w:ascii="Arial" w:cs="Arial" w:eastAsia="Arial" w:hAnsi="Arial"/>
                <w:sz w:val="14"/>
                <w:szCs w:val="14"/>
                <w:b w:val="1"/>
                <w:bCs w:val="1"/>
                <w:color w:val="auto"/>
              </w:rPr>
              <w:t>5</w:t>
            </w:r>
          </w:p>
        </w:tc>
        <w:tc>
          <w:tcPr>
            <w:tcW w:w="2700" w:type="dxa"/>
            <w:vAlign w:val="bottom"/>
            <w:shd w:val="clear" w:color="auto" w:fill="EEECE1"/>
          </w:tcPr>
          <w:p>
            <w:pPr>
              <w:ind w:left="140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640" w:type="dxa"/>
            <w:vAlign w:val="bottom"/>
            <w:shd w:val="clear" w:color="auto" w:fill="EEECE1"/>
          </w:tcPr>
          <w:p>
            <w:pPr>
              <w:spacing w:after="0"/>
              <w:rPr>
                <w:sz w:val="12"/>
                <w:szCs w:val="12"/>
                <w:color w:val="auto"/>
              </w:rPr>
            </w:pPr>
          </w:p>
        </w:tc>
        <w:tc>
          <w:tcPr>
            <w:tcW w:w="2200" w:type="dxa"/>
            <w:vAlign w:val="bottom"/>
            <w:shd w:val="clear" w:color="auto" w:fill="EEECE1"/>
          </w:tcPr>
          <w:p>
            <w:pPr>
              <w:spacing w:after="0"/>
              <w:rPr>
                <w:sz w:val="12"/>
                <w:szCs w:val="12"/>
                <w:color w:val="auto"/>
              </w:rPr>
            </w:pPr>
          </w:p>
        </w:tc>
        <w:tc>
          <w:tcPr>
            <w:tcW w:w="3780" w:type="dxa"/>
            <w:vAlign w:val="bottom"/>
            <w:shd w:val="clear" w:color="auto" w:fill="EEECE1"/>
          </w:tcPr>
          <w:p>
            <w:pPr>
              <w:spacing w:after="0"/>
              <w:rPr>
                <w:sz w:val="12"/>
                <w:szCs w:val="12"/>
                <w:color w:val="auto"/>
              </w:rPr>
            </w:pPr>
          </w:p>
        </w:tc>
        <w:tc>
          <w:tcPr>
            <w:tcW w:w="270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shd w:val="clear" w:color="auto" w:fill="EEECE1"/>
          </w:tcPr>
          <w:p>
            <w:pPr>
              <w:spacing w:after="0"/>
              <w:rPr>
                <w:sz w:val="14"/>
                <w:szCs w:val="14"/>
                <w:color w:val="auto"/>
              </w:rPr>
            </w:pPr>
          </w:p>
        </w:tc>
        <w:tc>
          <w:tcPr>
            <w:tcW w:w="12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w w:val="94"/>
              </w:rPr>
              <w:t>Global Derivatives</w:t>
            </w:r>
          </w:p>
        </w:tc>
        <w:tc>
          <w:tcPr>
            <w:tcW w:w="640" w:type="dxa"/>
            <w:vAlign w:val="bottom"/>
            <w:shd w:val="clear" w:color="auto" w:fill="EEECE1"/>
          </w:tcPr>
          <w:p>
            <w:pPr>
              <w:spacing w:after="0"/>
              <w:rPr>
                <w:sz w:val="14"/>
                <w:szCs w:val="14"/>
                <w:color w:val="auto"/>
              </w:rPr>
            </w:pPr>
          </w:p>
        </w:tc>
        <w:tc>
          <w:tcPr>
            <w:tcW w:w="2200" w:type="dxa"/>
            <w:vAlign w:val="bottom"/>
            <w:shd w:val="clear" w:color="auto" w:fill="EEECE1"/>
          </w:tcPr>
          <w:p>
            <w:pPr>
              <w:spacing w:after="0"/>
              <w:rPr>
                <w:sz w:val="14"/>
                <w:szCs w:val="14"/>
                <w:color w:val="auto"/>
              </w:rPr>
            </w:pPr>
          </w:p>
        </w:tc>
        <w:tc>
          <w:tcPr>
            <w:tcW w:w="3780" w:type="dxa"/>
            <w:vAlign w:val="bottom"/>
            <w:shd w:val="clear" w:color="auto" w:fill="EEECE1"/>
          </w:tcPr>
          <w:p>
            <w:pPr>
              <w:spacing w:after="0"/>
              <w:rPr>
                <w:sz w:val="14"/>
                <w:szCs w:val="14"/>
                <w:color w:val="auto"/>
              </w:rPr>
            </w:pPr>
          </w:p>
        </w:tc>
        <w:tc>
          <w:tcPr>
            <w:tcW w:w="27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60" w:type="dxa"/>
            <w:vAlign w:val="bottom"/>
            <w:gridSpan w:val="3"/>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Non-North American Interest Rate Swaps</w:t>
            </w:r>
          </w:p>
        </w:tc>
        <w:tc>
          <w:tcPr>
            <w:tcW w:w="3780" w:type="dxa"/>
            <w:vAlign w:val="bottom"/>
            <w:shd w:val="clear" w:color="auto" w:fill="C00000"/>
          </w:tcPr>
          <w:p>
            <w:pPr>
              <w:spacing w:after="0"/>
              <w:rPr>
                <w:sz w:val="12"/>
                <w:szCs w:val="12"/>
                <w:color w:val="auto"/>
              </w:rPr>
            </w:pPr>
          </w:p>
        </w:tc>
        <w:tc>
          <w:tcPr>
            <w:tcW w:w="270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EUR</w:t>
            </w:r>
          </w:p>
        </w:tc>
        <w:tc>
          <w:tcPr>
            <w:tcW w:w="2200" w:type="dxa"/>
            <w:vAlign w:val="bottom"/>
            <w:shd w:val="clear" w:color="auto" w:fill="1F497D"/>
          </w:tcPr>
          <w:p>
            <w:pPr>
              <w:spacing w:after="0"/>
              <w:rPr>
                <w:sz w:val="12"/>
                <w:szCs w:val="12"/>
                <w:color w:val="auto"/>
              </w:rPr>
            </w:pPr>
          </w:p>
        </w:tc>
        <w:tc>
          <w:tcPr>
            <w:tcW w:w="3780" w:type="dxa"/>
            <w:vAlign w:val="bottom"/>
            <w:shd w:val="clear" w:color="auto" w:fill="1F497D"/>
          </w:tcPr>
          <w:p>
            <w:pPr>
              <w:spacing w:after="0"/>
              <w:rPr>
                <w:sz w:val="12"/>
                <w:szCs w:val="12"/>
                <w:color w:val="auto"/>
              </w:rPr>
            </w:pPr>
          </w:p>
        </w:tc>
        <w:tc>
          <w:tcPr>
            <w:tcW w:w="27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w w:val="95"/>
              </w:rPr>
              <w:t>Outright Swaps (Annual Money)</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IRS1MEUR, vs 1M Euribor</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IRSEUR, vs 3M Euribor</w:t>
            </w:r>
          </w:p>
        </w:tc>
        <w:tc>
          <w:tcPr>
            <w:tcW w:w="2700" w:type="dxa"/>
            <w:vAlign w:val="bottom"/>
          </w:tcPr>
          <w:p>
            <w:pPr>
              <w:ind w:left="1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IRSEUR, vs 6M Euribor</w:t>
            </w:r>
          </w:p>
        </w:tc>
        <w:tc>
          <w:tcPr>
            <w:tcW w:w="2700" w:type="dxa"/>
            <w:vAlign w:val="bottom"/>
          </w:tcPr>
          <w:p>
            <w:pPr>
              <w:ind w:left="1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IRSEUR, vs 12M Euribor</w:t>
            </w:r>
          </w:p>
        </w:tc>
        <w:tc>
          <w:tcPr>
            <w:tcW w:w="2700" w:type="dxa"/>
            <w:vAlign w:val="bottom"/>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MAC Swaps</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IRSMACEUR, CME Current Quarter</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780" w:type="dxa"/>
            <w:vAlign w:val="bottom"/>
            <w:vMerge w:val="continue"/>
          </w:tcPr>
          <w:p>
            <w:pPr>
              <w:spacing w:after="0"/>
              <w:rPr>
                <w:sz w:val="9"/>
                <w:szCs w:val="9"/>
                <w:color w:val="auto"/>
              </w:rPr>
            </w:pPr>
          </w:p>
        </w:tc>
        <w:tc>
          <w:tcPr>
            <w:tcW w:w="2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IRSMACEUR, CME 2nd Quarter</w:t>
            </w:r>
          </w:p>
        </w:tc>
        <w:tc>
          <w:tcPr>
            <w:tcW w:w="2700" w:type="dxa"/>
            <w:vAlign w:val="bottom"/>
          </w:tcPr>
          <w:p>
            <w:pPr>
              <w:ind w:left="1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IRSMACEUR, CME 3rd Quarter</w:t>
            </w:r>
          </w:p>
        </w:tc>
        <w:tc>
          <w:tcPr>
            <w:tcW w:w="2700" w:type="dxa"/>
            <w:vAlign w:val="bottom"/>
          </w:tcPr>
          <w:p>
            <w:pPr>
              <w:ind w:left="1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IRSMACEUR, LCH Current Quarter</w:t>
            </w:r>
          </w:p>
        </w:tc>
        <w:tc>
          <w:tcPr>
            <w:tcW w:w="2700" w:type="dxa"/>
            <w:vAlign w:val="bottom"/>
          </w:tcPr>
          <w:p>
            <w:pPr>
              <w:ind w:left="1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IRSMACEUR, LCH 2nd Quarter</w:t>
            </w:r>
          </w:p>
        </w:tc>
        <w:tc>
          <w:tcPr>
            <w:tcW w:w="2700" w:type="dxa"/>
            <w:vAlign w:val="bottom"/>
          </w:tcPr>
          <w:p>
            <w:pPr>
              <w:ind w:left="1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IRSMACEUR, LCH 3rd Quarter</w:t>
            </w:r>
          </w:p>
        </w:tc>
        <w:tc>
          <w:tcPr>
            <w:tcW w:w="2700" w:type="dxa"/>
            <w:vAlign w:val="bottom"/>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IMM Swaps</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IRSIMM, vs 6M Euribor</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Forward Start Swaps</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IRSFWD, vs Euribor 3M</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780" w:type="dxa"/>
            <w:vAlign w:val="bottom"/>
            <w:vMerge w:val="continue"/>
          </w:tcPr>
          <w:p>
            <w:pPr>
              <w:spacing w:after="0"/>
              <w:rPr>
                <w:sz w:val="9"/>
                <w:szCs w:val="9"/>
                <w:color w:val="auto"/>
              </w:rPr>
            </w:pPr>
          </w:p>
        </w:tc>
        <w:tc>
          <w:tcPr>
            <w:tcW w:w="2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IRSFWD, vs Euribor 6M</w:t>
            </w:r>
          </w:p>
        </w:tc>
        <w:tc>
          <w:tcPr>
            <w:tcW w:w="2700" w:type="dxa"/>
            <w:vAlign w:val="bottom"/>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Swap Basis</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IRSEURBASIS, 3M Libor vs 6M Libor</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EONIA OIS</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OISEUR, Outright vs 6M</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780" w:type="dxa"/>
            <w:vAlign w:val="bottom"/>
            <w:vMerge w:val="continue"/>
          </w:tcPr>
          <w:p>
            <w:pPr>
              <w:spacing w:after="0"/>
              <w:rPr>
                <w:sz w:val="9"/>
                <w:szCs w:val="9"/>
                <w:color w:val="auto"/>
              </w:rPr>
            </w:pPr>
          </w:p>
        </w:tc>
        <w:tc>
          <w:tcPr>
            <w:tcW w:w="2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OISEUR, Forward vs 6M</w:t>
            </w:r>
          </w:p>
        </w:tc>
        <w:tc>
          <w:tcPr>
            <w:tcW w:w="2700" w:type="dxa"/>
            <w:vAlign w:val="bottom"/>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Long Dated EONIA OIS</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OISLEUR, Outright Long Dated EONIA</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GBP</w:t>
            </w:r>
          </w:p>
        </w:tc>
        <w:tc>
          <w:tcPr>
            <w:tcW w:w="2200" w:type="dxa"/>
            <w:vAlign w:val="bottom"/>
            <w:shd w:val="clear" w:color="auto" w:fill="1F497D"/>
          </w:tcPr>
          <w:p>
            <w:pPr>
              <w:spacing w:after="0"/>
              <w:rPr>
                <w:sz w:val="12"/>
                <w:szCs w:val="12"/>
                <w:color w:val="auto"/>
              </w:rPr>
            </w:pPr>
          </w:p>
        </w:tc>
        <w:tc>
          <w:tcPr>
            <w:tcW w:w="3780" w:type="dxa"/>
            <w:vAlign w:val="bottom"/>
            <w:shd w:val="clear" w:color="auto" w:fill="1F497D"/>
          </w:tcPr>
          <w:p>
            <w:pPr>
              <w:spacing w:after="0"/>
              <w:rPr>
                <w:sz w:val="12"/>
                <w:szCs w:val="12"/>
                <w:color w:val="auto"/>
              </w:rPr>
            </w:pPr>
          </w:p>
        </w:tc>
        <w:tc>
          <w:tcPr>
            <w:tcW w:w="27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Outright Swaps (Semi Annual)</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IRSGBP, Quaterly vs 3M Libor</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IRSGBP, Semi Annual vs 6M Libor</w:t>
            </w:r>
          </w:p>
        </w:tc>
        <w:tc>
          <w:tcPr>
            <w:tcW w:w="2700" w:type="dxa"/>
            <w:vAlign w:val="bottom"/>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SONIA OIS</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OISGBP, Outright OIS GBP vs SONIA</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780" w:type="dxa"/>
            <w:vAlign w:val="bottom"/>
            <w:vMerge w:val="continue"/>
          </w:tcPr>
          <w:p>
            <w:pPr>
              <w:spacing w:after="0"/>
              <w:rPr>
                <w:sz w:val="9"/>
                <w:szCs w:val="9"/>
                <w:color w:val="auto"/>
              </w:rPr>
            </w:pPr>
          </w:p>
        </w:tc>
        <w:tc>
          <w:tcPr>
            <w:tcW w:w="2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OISGBP, Forward OIS GBP vs SONIA</w:t>
            </w:r>
          </w:p>
        </w:tc>
        <w:tc>
          <w:tcPr>
            <w:tcW w:w="2700" w:type="dxa"/>
            <w:vAlign w:val="bottom"/>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MAC Swaps</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IRSMACGBP, CME Current Quarter</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780" w:type="dxa"/>
            <w:vAlign w:val="bottom"/>
            <w:vMerge w:val="continue"/>
          </w:tcPr>
          <w:p>
            <w:pPr>
              <w:spacing w:after="0"/>
              <w:rPr>
                <w:sz w:val="9"/>
                <w:szCs w:val="9"/>
                <w:color w:val="auto"/>
              </w:rPr>
            </w:pPr>
          </w:p>
        </w:tc>
        <w:tc>
          <w:tcPr>
            <w:tcW w:w="2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IRSMACGBP, CME 2nd Quarter</w:t>
            </w:r>
          </w:p>
        </w:tc>
        <w:tc>
          <w:tcPr>
            <w:tcW w:w="2700" w:type="dxa"/>
            <w:vAlign w:val="bottom"/>
          </w:tcPr>
          <w:p>
            <w:pPr>
              <w:ind w:left="1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IRSMACGBP, CME 3rd Quarter</w:t>
            </w:r>
          </w:p>
        </w:tc>
        <w:tc>
          <w:tcPr>
            <w:tcW w:w="2700" w:type="dxa"/>
            <w:vAlign w:val="bottom"/>
          </w:tcPr>
          <w:p>
            <w:pPr>
              <w:ind w:left="1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IRSMACGBP, LCH Current Quarter</w:t>
            </w:r>
          </w:p>
        </w:tc>
        <w:tc>
          <w:tcPr>
            <w:tcW w:w="2700" w:type="dxa"/>
            <w:vAlign w:val="bottom"/>
          </w:tcPr>
          <w:p>
            <w:pPr>
              <w:ind w:left="1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IRSMACGBP, LCH 2nd Quarter</w:t>
            </w:r>
          </w:p>
        </w:tc>
        <w:tc>
          <w:tcPr>
            <w:tcW w:w="2700" w:type="dxa"/>
            <w:vAlign w:val="bottom"/>
          </w:tcPr>
          <w:p>
            <w:pPr>
              <w:ind w:left="1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IRSMACGBP, LCH 3rd Quarter</w:t>
            </w:r>
          </w:p>
        </w:tc>
        <w:tc>
          <w:tcPr>
            <w:tcW w:w="2700" w:type="dxa"/>
            <w:vAlign w:val="bottom"/>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CHF</w:t>
            </w:r>
          </w:p>
        </w:tc>
        <w:tc>
          <w:tcPr>
            <w:tcW w:w="2200" w:type="dxa"/>
            <w:vAlign w:val="bottom"/>
            <w:shd w:val="clear" w:color="auto" w:fill="1F497D"/>
          </w:tcPr>
          <w:p>
            <w:pPr>
              <w:spacing w:after="0"/>
              <w:rPr>
                <w:sz w:val="12"/>
                <w:szCs w:val="12"/>
                <w:color w:val="auto"/>
              </w:rPr>
            </w:pPr>
          </w:p>
        </w:tc>
        <w:tc>
          <w:tcPr>
            <w:tcW w:w="3780" w:type="dxa"/>
            <w:vAlign w:val="bottom"/>
            <w:shd w:val="clear" w:color="auto" w:fill="1F497D"/>
          </w:tcPr>
          <w:p>
            <w:pPr>
              <w:spacing w:after="0"/>
              <w:rPr>
                <w:sz w:val="12"/>
                <w:szCs w:val="12"/>
                <w:color w:val="auto"/>
              </w:rPr>
            </w:pPr>
          </w:p>
        </w:tc>
        <w:tc>
          <w:tcPr>
            <w:tcW w:w="27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Outright Swaps (Semi Annual)</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IRSCHF, vs 3M CHF Libor</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IRSCHF, vs 6M CHF Libor</w:t>
            </w:r>
          </w:p>
        </w:tc>
        <w:tc>
          <w:tcPr>
            <w:tcW w:w="2700" w:type="dxa"/>
            <w:vAlign w:val="bottom"/>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TOIS</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OISCHF, OIS CHF 3M vs TOIS</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8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SEK</w:t>
            </w:r>
          </w:p>
        </w:tc>
        <w:tc>
          <w:tcPr>
            <w:tcW w:w="2200" w:type="dxa"/>
            <w:vAlign w:val="bottom"/>
            <w:shd w:val="clear" w:color="auto" w:fill="1F497D"/>
          </w:tcPr>
          <w:p>
            <w:pPr>
              <w:spacing w:after="0"/>
              <w:rPr>
                <w:sz w:val="12"/>
                <w:szCs w:val="12"/>
                <w:color w:val="auto"/>
              </w:rPr>
            </w:pPr>
          </w:p>
        </w:tc>
        <w:tc>
          <w:tcPr>
            <w:tcW w:w="3780" w:type="dxa"/>
            <w:vAlign w:val="bottom"/>
            <w:shd w:val="clear" w:color="auto" w:fill="1F497D"/>
          </w:tcPr>
          <w:p>
            <w:pPr>
              <w:spacing w:after="0"/>
              <w:rPr>
                <w:sz w:val="12"/>
                <w:szCs w:val="12"/>
                <w:color w:val="auto"/>
              </w:rPr>
            </w:pPr>
          </w:p>
        </w:tc>
        <w:tc>
          <w:tcPr>
            <w:tcW w:w="27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0" w:type="dxa"/>
            <w:vAlign w:val="bottom"/>
          </w:tcPr>
          <w:p>
            <w:pPr>
              <w:ind w:left="280"/>
              <w:spacing w:after="0" w:line="130" w:lineRule="exact"/>
              <w:rPr>
                <w:sz w:val="20"/>
                <w:szCs w:val="20"/>
                <w:color w:val="auto"/>
              </w:rPr>
            </w:pPr>
            <w:r>
              <w:rPr>
                <w:rFonts w:ascii="Arial" w:cs="Arial" w:eastAsia="Arial" w:hAnsi="Arial"/>
                <w:sz w:val="14"/>
                <w:szCs w:val="14"/>
                <w:color w:val="auto"/>
              </w:rPr>
              <w:t>Outright Swaps (Semi Annual)</w:t>
            </w:r>
          </w:p>
        </w:tc>
        <w:tc>
          <w:tcPr>
            <w:tcW w:w="3780" w:type="dxa"/>
            <w:vAlign w:val="bottom"/>
          </w:tcPr>
          <w:p>
            <w:pPr>
              <w:ind w:left="20"/>
              <w:spacing w:after="0" w:line="130" w:lineRule="exact"/>
              <w:rPr>
                <w:sz w:val="20"/>
                <w:szCs w:val="20"/>
                <w:color w:val="auto"/>
              </w:rPr>
            </w:pPr>
            <w:r>
              <w:rPr>
                <w:rFonts w:ascii="Arial" w:cs="Arial" w:eastAsia="Arial" w:hAnsi="Arial"/>
                <w:sz w:val="14"/>
                <w:szCs w:val="14"/>
                <w:color w:val="auto"/>
              </w:rPr>
              <w:t>OISCHF, OIS CHF 3M vs TOIS</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IRSSEK, vs 3M STIBOR</w:t>
            </w:r>
          </w:p>
        </w:tc>
        <w:tc>
          <w:tcPr>
            <w:tcW w:w="2700" w:type="dxa"/>
            <w:vAlign w:val="bottom"/>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DKK</w:t>
            </w:r>
          </w:p>
        </w:tc>
        <w:tc>
          <w:tcPr>
            <w:tcW w:w="2200" w:type="dxa"/>
            <w:vAlign w:val="bottom"/>
            <w:shd w:val="clear" w:color="auto" w:fill="1F497D"/>
          </w:tcPr>
          <w:p>
            <w:pPr>
              <w:spacing w:after="0"/>
              <w:rPr>
                <w:sz w:val="12"/>
                <w:szCs w:val="12"/>
                <w:color w:val="auto"/>
              </w:rPr>
            </w:pPr>
          </w:p>
        </w:tc>
        <w:tc>
          <w:tcPr>
            <w:tcW w:w="3780" w:type="dxa"/>
            <w:vAlign w:val="bottom"/>
            <w:shd w:val="clear" w:color="auto" w:fill="1F497D"/>
          </w:tcPr>
          <w:p>
            <w:pPr>
              <w:spacing w:after="0"/>
              <w:rPr>
                <w:sz w:val="12"/>
                <w:szCs w:val="12"/>
                <w:color w:val="auto"/>
              </w:rPr>
            </w:pPr>
          </w:p>
        </w:tc>
        <w:tc>
          <w:tcPr>
            <w:tcW w:w="27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Outright Swaps (Semi Annual)</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IRSDKK, vs 6M CIBOR</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2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NOK</w:t>
            </w:r>
          </w:p>
        </w:tc>
        <w:tc>
          <w:tcPr>
            <w:tcW w:w="2200" w:type="dxa"/>
            <w:vAlign w:val="bottom"/>
            <w:shd w:val="clear" w:color="auto" w:fill="1F497D"/>
          </w:tcPr>
          <w:p>
            <w:pPr>
              <w:spacing w:after="0"/>
              <w:rPr>
                <w:sz w:val="12"/>
                <w:szCs w:val="12"/>
                <w:color w:val="auto"/>
              </w:rPr>
            </w:pPr>
          </w:p>
        </w:tc>
        <w:tc>
          <w:tcPr>
            <w:tcW w:w="3780" w:type="dxa"/>
            <w:vAlign w:val="bottom"/>
            <w:shd w:val="clear" w:color="auto" w:fill="1F497D"/>
          </w:tcPr>
          <w:p>
            <w:pPr>
              <w:spacing w:after="0"/>
              <w:rPr>
                <w:sz w:val="12"/>
                <w:szCs w:val="12"/>
                <w:color w:val="auto"/>
              </w:rPr>
            </w:pPr>
          </w:p>
        </w:tc>
        <w:tc>
          <w:tcPr>
            <w:tcW w:w="27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Outright Swaps (Semi Annual)</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IRSNOK, vs 6M NIBOR</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2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PLN</w:t>
            </w:r>
          </w:p>
        </w:tc>
        <w:tc>
          <w:tcPr>
            <w:tcW w:w="2200" w:type="dxa"/>
            <w:vAlign w:val="bottom"/>
            <w:shd w:val="clear" w:color="auto" w:fill="1F497D"/>
          </w:tcPr>
          <w:p>
            <w:pPr>
              <w:spacing w:after="0"/>
              <w:rPr>
                <w:sz w:val="12"/>
                <w:szCs w:val="12"/>
                <w:color w:val="auto"/>
              </w:rPr>
            </w:pPr>
          </w:p>
        </w:tc>
        <w:tc>
          <w:tcPr>
            <w:tcW w:w="3780" w:type="dxa"/>
            <w:vAlign w:val="bottom"/>
            <w:shd w:val="clear" w:color="auto" w:fill="1F497D"/>
          </w:tcPr>
          <w:p>
            <w:pPr>
              <w:spacing w:after="0"/>
              <w:rPr>
                <w:sz w:val="12"/>
                <w:szCs w:val="12"/>
                <w:color w:val="auto"/>
              </w:rPr>
            </w:pPr>
          </w:p>
        </w:tc>
        <w:tc>
          <w:tcPr>
            <w:tcW w:w="27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Outright Swaps (Semi Annual)</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IRSPLN, vs 6M WIBOR</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2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ZAR</w:t>
            </w:r>
          </w:p>
        </w:tc>
        <w:tc>
          <w:tcPr>
            <w:tcW w:w="2200" w:type="dxa"/>
            <w:vAlign w:val="bottom"/>
            <w:shd w:val="clear" w:color="auto" w:fill="1F497D"/>
          </w:tcPr>
          <w:p>
            <w:pPr>
              <w:spacing w:after="0"/>
              <w:rPr>
                <w:sz w:val="12"/>
                <w:szCs w:val="12"/>
                <w:color w:val="auto"/>
              </w:rPr>
            </w:pPr>
          </w:p>
        </w:tc>
        <w:tc>
          <w:tcPr>
            <w:tcW w:w="3780" w:type="dxa"/>
            <w:vAlign w:val="bottom"/>
            <w:shd w:val="clear" w:color="auto" w:fill="1F497D"/>
          </w:tcPr>
          <w:p>
            <w:pPr>
              <w:spacing w:after="0"/>
              <w:rPr>
                <w:sz w:val="12"/>
                <w:szCs w:val="12"/>
                <w:color w:val="auto"/>
              </w:rPr>
            </w:pPr>
          </w:p>
        </w:tc>
        <w:tc>
          <w:tcPr>
            <w:tcW w:w="27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Arial" w:cs="Arial" w:eastAsia="Arial" w:hAnsi="Arial"/>
                <w:sz w:val="14"/>
                <w:szCs w:val="14"/>
                <w:color w:val="auto"/>
              </w:rPr>
              <w:t>Outright Swaps (Semi Annual)</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IRSZAR, vs 3M JIBAR</w:t>
            </w:r>
          </w:p>
        </w:tc>
        <w:tc>
          <w:tcPr>
            <w:tcW w:w="2700" w:type="dxa"/>
            <w:vAlign w:val="bottom"/>
            <w:vMerge w:val="restart"/>
          </w:tcPr>
          <w:p>
            <w:pPr>
              <w:ind w:left="1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2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3"/>
        </w:trPr>
        <w:tc>
          <w:tcPr>
            <w:tcW w:w="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06" w:name="page307"/>
    <w:bookmarkEnd w:id="3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640" w:type="dxa"/>
            <w:vAlign w:val="bottom"/>
            <w:shd w:val="clear" w:color="auto" w:fill="EEECE1"/>
          </w:tcPr>
          <w:p>
            <w:pPr>
              <w:ind w:left="420"/>
              <w:spacing w:after="0"/>
              <w:rPr>
                <w:sz w:val="20"/>
                <w:szCs w:val="20"/>
                <w:color w:val="auto"/>
              </w:rPr>
            </w:pPr>
            <w:r>
              <w:rPr>
                <w:rFonts w:ascii="Arial" w:cs="Arial" w:eastAsia="Arial" w:hAnsi="Arial"/>
                <w:sz w:val="14"/>
                <w:szCs w:val="14"/>
                <w:b w:val="1"/>
                <w:bCs w:val="1"/>
                <w:color w:val="auto"/>
              </w:rPr>
              <w:t>2</w:t>
            </w:r>
          </w:p>
        </w:tc>
        <w:tc>
          <w:tcPr>
            <w:tcW w:w="6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300"/>
              <w:spacing w:after="0"/>
              <w:rPr>
                <w:sz w:val="20"/>
                <w:szCs w:val="20"/>
                <w:color w:val="auto"/>
              </w:rPr>
            </w:pPr>
            <w:r>
              <w:rPr>
                <w:rFonts w:ascii="Arial" w:cs="Arial" w:eastAsia="Arial" w:hAnsi="Arial"/>
                <w:sz w:val="14"/>
                <w:szCs w:val="14"/>
                <w:b w:val="1"/>
                <w:bCs w:val="1"/>
                <w:color w:val="auto"/>
              </w:rPr>
              <w:t>4</w:t>
            </w:r>
          </w:p>
        </w:tc>
        <w:tc>
          <w:tcPr>
            <w:tcW w:w="4200" w:type="dxa"/>
            <w:vAlign w:val="bottom"/>
            <w:shd w:val="clear" w:color="auto" w:fill="EEECE1"/>
          </w:tcPr>
          <w:p>
            <w:pPr>
              <w:ind w:left="420"/>
              <w:spacing w:after="0"/>
              <w:rPr>
                <w:sz w:val="20"/>
                <w:szCs w:val="20"/>
                <w:color w:val="auto"/>
              </w:rPr>
            </w:pPr>
            <w:r>
              <w:rPr>
                <w:rFonts w:ascii="Arial" w:cs="Arial" w:eastAsia="Arial" w:hAnsi="Arial"/>
                <w:sz w:val="14"/>
                <w:szCs w:val="14"/>
                <w:b w:val="1"/>
                <w:bCs w:val="1"/>
                <w:color w:val="auto"/>
              </w:rPr>
              <w:t>5</w:t>
            </w:r>
          </w:p>
        </w:tc>
        <w:tc>
          <w:tcPr>
            <w:tcW w:w="2900" w:type="dxa"/>
            <w:vAlign w:val="bottom"/>
            <w:shd w:val="clear" w:color="auto" w:fill="EEECE1"/>
          </w:tcPr>
          <w:p>
            <w:pPr>
              <w:ind w:left="15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180" w:type="dxa"/>
            <w:vAlign w:val="bottom"/>
            <w:gridSpan w:val="2"/>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660" w:type="dxa"/>
            <w:vAlign w:val="bottom"/>
            <w:shd w:val="clear" w:color="auto" w:fill="EEECE1"/>
          </w:tcPr>
          <w:p>
            <w:pPr>
              <w:spacing w:after="0"/>
              <w:rPr>
                <w:sz w:val="12"/>
                <w:szCs w:val="12"/>
                <w:color w:val="auto"/>
              </w:rPr>
            </w:pPr>
          </w:p>
        </w:tc>
        <w:tc>
          <w:tcPr>
            <w:tcW w:w="1480" w:type="dxa"/>
            <w:vAlign w:val="bottom"/>
            <w:shd w:val="clear" w:color="auto" w:fill="EEECE1"/>
          </w:tcPr>
          <w:p>
            <w:pPr>
              <w:spacing w:after="0"/>
              <w:rPr>
                <w:sz w:val="12"/>
                <w:szCs w:val="12"/>
                <w:color w:val="auto"/>
              </w:rPr>
            </w:pPr>
          </w:p>
        </w:tc>
        <w:tc>
          <w:tcPr>
            <w:tcW w:w="4200" w:type="dxa"/>
            <w:vAlign w:val="bottom"/>
            <w:shd w:val="clear" w:color="auto" w:fill="EEECE1"/>
          </w:tcPr>
          <w:p>
            <w:pPr>
              <w:spacing w:after="0"/>
              <w:rPr>
                <w:sz w:val="12"/>
                <w:szCs w:val="12"/>
                <w:color w:val="auto"/>
              </w:rPr>
            </w:pPr>
          </w:p>
        </w:tc>
        <w:tc>
          <w:tcPr>
            <w:tcW w:w="290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 w:type="dxa"/>
            <w:vAlign w:val="bottom"/>
            <w:shd w:val="clear" w:color="auto" w:fill="EEECE1"/>
          </w:tcPr>
          <w:p>
            <w:pPr>
              <w:spacing w:after="0"/>
              <w:rPr>
                <w:sz w:val="14"/>
                <w:szCs w:val="14"/>
                <w:color w:val="auto"/>
              </w:rPr>
            </w:pPr>
          </w:p>
        </w:tc>
        <w:tc>
          <w:tcPr>
            <w:tcW w:w="1640" w:type="dxa"/>
            <w:vAlign w:val="bottom"/>
            <w:shd w:val="clear" w:color="auto" w:fill="EEECE1"/>
          </w:tcPr>
          <w:p>
            <w:pPr>
              <w:ind w:left="420"/>
              <w:spacing w:after="0"/>
              <w:rPr>
                <w:sz w:val="20"/>
                <w:szCs w:val="20"/>
                <w:color w:val="auto"/>
              </w:rPr>
            </w:pPr>
            <w:r>
              <w:rPr>
                <w:rFonts w:ascii="Arial" w:cs="Arial" w:eastAsia="Arial" w:hAnsi="Arial"/>
                <w:sz w:val="14"/>
                <w:szCs w:val="14"/>
                <w:b w:val="1"/>
                <w:bCs w:val="1"/>
                <w:color w:val="auto"/>
                <w:w w:val="98"/>
              </w:rPr>
              <w:t>Global Derivatives</w:t>
            </w:r>
          </w:p>
        </w:tc>
        <w:tc>
          <w:tcPr>
            <w:tcW w:w="66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4200" w:type="dxa"/>
            <w:vAlign w:val="bottom"/>
            <w:shd w:val="clear" w:color="auto" w:fill="EEECE1"/>
          </w:tcPr>
          <w:p>
            <w:pPr>
              <w:spacing w:after="0"/>
              <w:rPr>
                <w:sz w:val="14"/>
                <w:szCs w:val="14"/>
                <w:color w:val="auto"/>
              </w:rPr>
            </w:pPr>
          </w:p>
        </w:tc>
        <w:tc>
          <w:tcPr>
            <w:tcW w:w="29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JPY</w:t>
            </w:r>
          </w:p>
        </w:tc>
        <w:tc>
          <w:tcPr>
            <w:tcW w:w="1480" w:type="dxa"/>
            <w:vAlign w:val="bottom"/>
            <w:shd w:val="clear" w:color="auto" w:fill="1F497D"/>
          </w:tcPr>
          <w:p>
            <w:pPr>
              <w:spacing w:after="0"/>
              <w:rPr>
                <w:sz w:val="12"/>
                <w:szCs w:val="12"/>
                <w:color w:val="auto"/>
              </w:rPr>
            </w:pPr>
          </w:p>
        </w:tc>
        <w:tc>
          <w:tcPr>
            <w:tcW w:w="4200" w:type="dxa"/>
            <w:vAlign w:val="bottom"/>
            <w:shd w:val="clear" w:color="auto" w:fill="1F497D"/>
          </w:tcPr>
          <w:p>
            <w:pPr>
              <w:spacing w:after="0"/>
              <w:rPr>
                <w:sz w:val="12"/>
                <w:szCs w:val="12"/>
                <w:color w:val="auto"/>
              </w:rPr>
            </w:pPr>
          </w:p>
        </w:tc>
        <w:tc>
          <w:tcPr>
            <w:tcW w:w="29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Outright Swaps (Semi Annual)</w:t>
            </w: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vMerge w:val="restart"/>
          </w:tcPr>
          <w:p>
            <w:pPr>
              <w:ind w:left="300"/>
              <w:spacing w:after="0"/>
              <w:rPr>
                <w:sz w:val="20"/>
                <w:szCs w:val="20"/>
                <w:color w:val="auto"/>
              </w:rPr>
            </w:pPr>
            <w:r>
              <w:rPr>
                <w:rFonts w:ascii="Arial" w:cs="Arial" w:eastAsia="Arial" w:hAnsi="Arial"/>
                <w:sz w:val="14"/>
                <w:szCs w:val="14"/>
                <w:color w:val="auto"/>
              </w:rPr>
              <w:t>MAC Swaps</w:t>
            </w:r>
          </w:p>
        </w:tc>
        <w:tc>
          <w:tcPr>
            <w:tcW w:w="4200" w:type="dxa"/>
            <w:vAlign w:val="bottom"/>
          </w:tcPr>
          <w:p>
            <w:pPr>
              <w:ind w:left="420"/>
              <w:spacing w:after="0"/>
              <w:rPr>
                <w:sz w:val="20"/>
                <w:szCs w:val="20"/>
                <w:color w:val="auto"/>
              </w:rPr>
            </w:pPr>
            <w:r>
              <w:rPr>
                <w:rFonts w:ascii="Arial" w:cs="Arial" w:eastAsia="Arial" w:hAnsi="Arial"/>
                <w:sz w:val="14"/>
                <w:szCs w:val="14"/>
                <w:color w:val="auto"/>
              </w:rPr>
              <w:t>IRSJPY, vs 6M JPY Libor</w:t>
            </w:r>
          </w:p>
        </w:tc>
        <w:tc>
          <w:tcPr>
            <w:tcW w:w="2900" w:type="dxa"/>
            <w:vAlign w:val="bottom"/>
          </w:tcPr>
          <w:p>
            <w:pPr>
              <w:ind w:left="15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4200" w:type="dxa"/>
            <w:vAlign w:val="bottom"/>
            <w:vMerge w:val="restart"/>
          </w:tcPr>
          <w:p>
            <w:pPr>
              <w:ind w:left="420"/>
              <w:spacing w:after="0"/>
              <w:rPr>
                <w:sz w:val="20"/>
                <w:szCs w:val="20"/>
                <w:color w:val="auto"/>
              </w:rPr>
            </w:pPr>
            <w:r>
              <w:rPr>
                <w:rFonts w:ascii="Arial" w:cs="Arial" w:eastAsia="Arial" w:hAnsi="Arial"/>
                <w:sz w:val="14"/>
                <w:szCs w:val="14"/>
                <w:color w:val="auto"/>
              </w:rPr>
              <w:t>IRSMACJPY, CME Current Quarter</w:t>
            </w:r>
          </w:p>
        </w:tc>
        <w:tc>
          <w:tcPr>
            <w:tcW w:w="2900" w:type="dxa"/>
            <w:vAlign w:val="bottom"/>
            <w:vMerge w:val="restart"/>
          </w:tcPr>
          <w:p>
            <w:pPr>
              <w:ind w:left="15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200" w:type="dxa"/>
            <w:vAlign w:val="bottom"/>
            <w:vMerge w:val="continue"/>
          </w:tcPr>
          <w:p>
            <w:pPr>
              <w:spacing w:after="0"/>
              <w:rPr>
                <w:sz w:val="9"/>
                <w:szCs w:val="9"/>
                <w:color w:val="auto"/>
              </w:rPr>
            </w:pPr>
          </w:p>
        </w:tc>
        <w:tc>
          <w:tcPr>
            <w:tcW w:w="2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IRSMACJPY, CME 2nd Quarter</w:t>
            </w:r>
          </w:p>
        </w:tc>
        <w:tc>
          <w:tcPr>
            <w:tcW w:w="2900" w:type="dxa"/>
            <w:vAlign w:val="bottom"/>
          </w:tcPr>
          <w:p>
            <w:pPr>
              <w:ind w:left="15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IRSMACJPY, CME 3rd Quarter</w:t>
            </w:r>
          </w:p>
        </w:tc>
        <w:tc>
          <w:tcPr>
            <w:tcW w:w="2900" w:type="dxa"/>
            <w:vAlign w:val="bottom"/>
          </w:tcPr>
          <w:p>
            <w:pPr>
              <w:ind w:left="15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IRSMACJPY, LCH Current Quarter</w:t>
            </w:r>
          </w:p>
        </w:tc>
        <w:tc>
          <w:tcPr>
            <w:tcW w:w="2900" w:type="dxa"/>
            <w:vAlign w:val="bottom"/>
          </w:tcPr>
          <w:p>
            <w:pPr>
              <w:ind w:left="15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IRSMACJPY, LCH 2nd Quarter</w:t>
            </w:r>
          </w:p>
        </w:tc>
        <w:tc>
          <w:tcPr>
            <w:tcW w:w="2900" w:type="dxa"/>
            <w:vAlign w:val="bottom"/>
          </w:tcPr>
          <w:p>
            <w:pPr>
              <w:ind w:left="15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0" w:type="dxa"/>
            <w:vAlign w:val="bottom"/>
          </w:tcPr>
          <w:p>
            <w:pPr>
              <w:ind w:left="420"/>
              <w:spacing w:after="0"/>
              <w:rPr>
                <w:sz w:val="20"/>
                <w:szCs w:val="20"/>
                <w:color w:val="auto"/>
              </w:rPr>
            </w:pPr>
            <w:r>
              <w:rPr>
                <w:rFonts w:ascii="Arial" w:cs="Arial" w:eastAsia="Arial" w:hAnsi="Arial"/>
                <w:sz w:val="14"/>
                <w:szCs w:val="14"/>
                <w:color w:val="auto"/>
              </w:rPr>
              <w:t>IRSMACJPY, LCH 3rd Quarter</w:t>
            </w:r>
          </w:p>
        </w:tc>
        <w:tc>
          <w:tcPr>
            <w:tcW w:w="2900" w:type="dxa"/>
            <w:vAlign w:val="bottom"/>
          </w:tcPr>
          <w:p>
            <w:pPr>
              <w:ind w:left="15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AUD</w:t>
            </w:r>
          </w:p>
        </w:tc>
        <w:tc>
          <w:tcPr>
            <w:tcW w:w="1480" w:type="dxa"/>
            <w:vAlign w:val="bottom"/>
            <w:shd w:val="clear" w:color="auto" w:fill="1F497D"/>
          </w:tcPr>
          <w:p>
            <w:pPr>
              <w:spacing w:after="0"/>
              <w:rPr>
                <w:sz w:val="12"/>
                <w:szCs w:val="12"/>
                <w:color w:val="auto"/>
              </w:rPr>
            </w:pPr>
          </w:p>
        </w:tc>
        <w:tc>
          <w:tcPr>
            <w:tcW w:w="4200" w:type="dxa"/>
            <w:vAlign w:val="bottom"/>
            <w:shd w:val="clear" w:color="auto" w:fill="1F497D"/>
          </w:tcPr>
          <w:p>
            <w:pPr>
              <w:spacing w:after="0"/>
              <w:rPr>
                <w:sz w:val="12"/>
                <w:szCs w:val="12"/>
                <w:color w:val="auto"/>
              </w:rPr>
            </w:pPr>
          </w:p>
        </w:tc>
        <w:tc>
          <w:tcPr>
            <w:tcW w:w="29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Outright Swaps (Semi Annual)</w:t>
            </w: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vMerge w:val="restart"/>
          </w:tcPr>
          <w:p>
            <w:pPr>
              <w:ind w:left="300"/>
              <w:spacing w:after="0"/>
              <w:rPr>
                <w:sz w:val="20"/>
                <w:szCs w:val="20"/>
                <w:color w:val="auto"/>
              </w:rPr>
            </w:pPr>
            <w:r>
              <w:rPr>
                <w:rFonts w:ascii="Arial" w:cs="Arial" w:eastAsia="Arial" w:hAnsi="Arial"/>
                <w:sz w:val="14"/>
                <w:szCs w:val="14"/>
                <w:color w:val="auto"/>
              </w:rPr>
              <w:t>MAC Swaps</w:t>
            </w:r>
          </w:p>
        </w:tc>
        <w:tc>
          <w:tcPr>
            <w:tcW w:w="4200" w:type="dxa"/>
            <w:vAlign w:val="bottom"/>
          </w:tcPr>
          <w:p>
            <w:pPr>
              <w:ind w:left="420"/>
              <w:spacing w:after="0"/>
              <w:rPr>
                <w:sz w:val="20"/>
                <w:szCs w:val="20"/>
                <w:color w:val="auto"/>
              </w:rPr>
            </w:pPr>
            <w:r>
              <w:rPr>
                <w:rFonts w:ascii="Arial" w:cs="Arial" w:eastAsia="Arial" w:hAnsi="Arial"/>
                <w:sz w:val="14"/>
                <w:szCs w:val="14"/>
                <w:color w:val="auto"/>
              </w:rPr>
              <w:t>IRSAUD, vs 6M BBR-BBSW</w:t>
            </w:r>
          </w:p>
        </w:tc>
        <w:tc>
          <w:tcPr>
            <w:tcW w:w="2900" w:type="dxa"/>
            <w:vAlign w:val="bottom"/>
          </w:tcPr>
          <w:p>
            <w:pPr>
              <w:ind w:left="15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4200" w:type="dxa"/>
            <w:vAlign w:val="bottom"/>
            <w:vMerge w:val="restart"/>
          </w:tcPr>
          <w:p>
            <w:pPr>
              <w:ind w:left="420"/>
              <w:spacing w:after="0"/>
              <w:rPr>
                <w:sz w:val="20"/>
                <w:szCs w:val="20"/>
                <w:color w:val="auto"/>
              </w:rPr>
            </w:pPr>
            <w:r>
              <w:rPr>
                <w:rFonts w:ascii="Arial" w:cs="Arial" w:eastAsia="Arial" w:hAnsi="Arial"/>
                <w:sz w:val="14"/>
                <w:szCs w:val="14"/>
                <w:color w:val="auto"/>
              </w:rPr>
              <w:t>IRSMACAUD, CME Current Quarter</w:t>
            </w: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20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IRSMACAUD, CME 2nd Quarter</w:t>
            </w: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IRSMACAUD, CME 3rd Quarter</w:t>
            </w: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IRSMACAUD, LCH Current Quarter</w:t>
            </w: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IRSMACAUD, LCH 2nd Quarter</w:t>
            </w: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0" w:type="dxa"/>
            <w:vAlign w:val="bottom"/>
          </w:tcPr>
          <w:p>
            <w:pPr>
              <w:ind w:left="420"/>
              <w:spacing w:after="0"/>
              <w:rPr>
                <w:sz w:val="20"/>
                <w:szCs w:val="20"/>
                <w:color w:val="auto"/>
              </w:rPr>
            </w:pPr>
            <w:r>
              <w:rPr>
                <w:rFonts w:ascii="Arial" w:cs="Arial" w:eastAsia="Arial" w:hAnsi="Arial"/>
                <w:sz w:val="14"/>
                <w:szCs w:val="14"/>
                <w:color w:val="auto"/>
              </w:rPr>
              <w:t>IRSMACAUD, LCH 3rd Quarter</w:t>
            </w: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NZD</w:t>
            </w:r>
          </w:p>
        </w:tc>
        <w:tc>
          <w:tcPr>
            <w:tcW w:w="1480" w:type="dxa"/>
            <w:vAlign w:val="bottom"/>
            <w:shd w:val="clear" w:color="auto" w:fill="1F497D"/>
          </w:tcPr>
          <w:p>
            <w:pPr>
              <w:spacing w:after="0"/>
              <w:rPr>
                <w:sz w:val="12"/>
                <w:szCs w:val="12"/>
                <w:color w:val="auto"/>
              </w:rPr>
            </w:pPr>
          </w:p>
        </w:tc>
        <w:tc>
          <w:tcPr>
            <w:tcW w:w="4200" w:type="dxa"/>
            <w:vAlign w:val="bottom"/>
            <w:shd w:val="clear" w:color="auto" w:fill="1F497D"/>
          </w:tcPr>
          <w:p>
            <w:pPr>
              <w:spacing w:after="0"/>
              <w:rPr>
                <w:sz w:val="12"/>
                <w:szCs w:val="12"/>
                <w:color w:val="auto"/>
              </w:rPr>
            </w:pPr>
          </w:p>
        </w:tc>
        <w:tc>
          <w:tcPr>
            <w:tcW w:w="29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Outright Swaps (Semi Annual)</w:t>
            </w: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0" w:type="dxa"/>
            <w:vAlign w:val="bottom"/>
          </w:tcPr>
          <w:p>
            <w:pPr>
              <w:ind w:left="420"/>
              <w:spacing w:after="0"/>
              <w:rPr>
                <w:sz w:val="20"/>
                <w:szCs w:val="20"/>
                <w:color w:val="auto"/>
              </w:rPr>
            </w:pPr>
            <w:r>
              <w:rPr>
                <w:rFonts w:ascii="Arial" w:cs="Arial" w:eastAsia="Arial" w:hAnsi="Arial"/>
                <w:sz w:val="14"/>
                <w:szCs w:val="14"/>
                <w:color w:val="auto"/>
              </w:rPr>
              <w:t>IRSNZD, vs 3M BBR-FRA</w:t>
            </w:r>
          </w:p>
        </w:tc>
        <w:tc>
          <w:tcPr>
            <w:tcW w:w="2900" w:type="dxa"/>
            <w:vAlign w:val="bottom"/>
          </w:tcPr>
          <w:p>
            <w:pPr>
              <w:ind w:left="15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HKD</w:t>
            </w:r>
          </w:p>
        </w:tc>
        <w:tc>
          <w:tcPr>
            <w:tcW w:w="1480" w:type="dxa"/>
            <w:vAlign w:val="bottom"/>
            <w:shd w:val="clear" w:color="auto" w:fill="1F497D"/>
          </w:tcPr>
          <w:p>
            <w:pPr>
              <w:spacing w:after="0"/>
              <w:rPr>
                <w:sz w:val="12"/>
                <w:szCs w:val="12"/>
                <w:color w:val="auto"/>
              </w:rPr>
            </w:pPr>
          </w:p>
        </w:tc>
        <w:tc>
          <w:tcPr>
            <w:tcW w:w="4200" w:type="dxa"/>
            <w:vAlign w:val="bottom"/>
            <w:shd w:val="clear" w:color="auto" w:fill="1F497D"/>
          </w:tcPr>
          <w:p>
            <w:pPr>
              <w:spacing w:after="0"/>
              <w:rPr>
                <w:sz w:val="12"/>
                <w:szCs w:val="12"/>
                <w:color w:val="auto"/>
              </w:rPr>
            </w:pPr>
          </w:p>
        </w:tc>
        <w:tc>
          <w:tcPr>
            <w:tcW w:w="29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Outright Swaps (Semi Annual)</w:t>
            </w: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0" w:type="dxa"/>
            <w:vAlign w:val="bottom"/>
          </w:tcPr>
          <w:p>
            <w:pPr>
              <w:ind w:left="420"/>
              <w:spacing w:after="0"/>
              <w:rPr>
                <w:sz w:val="20"/>
                <w:szCs w:val="20"/>
                <w:color w:val="auto"/>
              </w:rPr>
            </w:pPr>
            <w:r>
              <w:rPr>
                <w:rFonts w:ascii="Arial" w:cs="Arial" w:eastAsia="Arial" w:hAnsi="Arial"/>
                <w:sz w:val="14"/>
                <w:szCs w:val="14"/>
                <w:color w:val="auto"/>
              </w:rPr>
              <w:t>IRSHKD, vs 3M HIBOR</w:t>
            </w:r>
          </w:p>
        </w:tc>
        <w:tc>
          <w:tcPr>
            <w:tcW w:w="2900" w:type="dxa"/>
            <w:vAlign w:val="bottom"/>
          </w:tcPr>
          <w:p>
            <w:pPr>
              <w:ind w:left="15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SGD</w:t>
            </w:r>
          </w:p>
        </w:tc>
        <w:tc>
          <w:tcPr>
            <w:tcW w:w="1480" w:type="dxa"/>
            <w:vAlign w:val="bottom"/>
            <w:shd w:val="clear" w:color="auto" w:fill="1F497D"/>
          </w:tcPr>
          <w:p>
            <w:pPr>
              <w:spacing w:after="0"/>
              <w:rPr>
                <w:sz w:val="12"/>
                <w:szCs w:val="12"/>
                <w:color w:val="auto"/>
              </w:rPr>
            </w:pPr>
          </w:p>
        </w:tc>
        <w:tc>
          <w:tcPr>
            <w:tcW w:w="4200" w:type="dxa"/>
            <w:vAlign w:val="bottom"/>
            <w:shd w:val="clear" w:color="auto" w:fill="1F497D"/>
          </w:tcPr>
          <w:p>
            <w:pPr>
              <w:spacing w:after="0"/>
              <w:rPr>
                <w:sz w:val="12"/>
                <w:szCs w:val="12"/>
                <w:color w:val="auto"/>
              </w:rPr>
            </w:pPr>
          </w:p>
        </w:tc>
        <w:tc>
          <w:tcPr>
            <w:tcW w:w="29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Outright Swaps (Semi Annual)</w:t>
            </w: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0" w:type="dxa"/>
            <w:vAlign w:val="bottom"/>
          </w:tcPr>
          <w:p>
            <w:pPr>
              <w:ind w:left="420"/>
              <w:spacing w:after="0"/>
              <w:rPr>
                <w:sz w:val="20"/>
                <w:szCs w:val="20"/>
                <w:color w:val="auto"/>
              </w:rPr>
            </w:pPr>
            <w:r>
              <w:rPr>
                <w:rFonts w:ascii="Arial" w:cs="Arial" w:eastAsia="Arial" w:hAnsi="Arial"/>
                <w:sz w:val="14"/>
                <w:szCs w:val="14"/>
                <w:color w:val="auto"/>
              </w:rPr>
              <w:t>IRSSGD, vs 6M SOR</w:t>
            </w:r>
          </w:p>
        </w:tc>
        <w:tc>
          <w:tcPr>
            <w:tcW w:w="2900" w:type="dxa"/>
            <w:vAlign w:val="bottom"/>
          </w:tcPr>
          <w:p>
            <w:pPr>
              <w:ind w:left="15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5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8" w:right="239" w:bottom="1440" w:gutter="0" w:footer="0" w:header="0"/>
        </w:sectPr>
      </w:pPr>
    </w:p>
    <w:bookmarkStart w:id="307" w:name="page308"/>
    <w:bookmarkEnd w:id="3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2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7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72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4</w:t>
            </w:r>
          </w:p>
        </w:tc>
        <w:tc>
          <w:tcPr>
            <w:tcW w:w="4560" w:type="dxa"/>
            <w:vAlign w:val="bottom"/>
            <w:shd w:val="clear" w:color="auto" w:fill="EEECE1"/>
          </w:tcPr>
          <w:p>
            <w:pPr>
              <w:ind w:left="80"/>
              <w:spacing w:after="0"/>
              <w:rPr>
                <w:sz w:val="20"/>
                <w:szCs w:val="20"/>
                <w:color w:val="auto"/>
              </w:rPr>
            </w:pPr>
            <w:r>
              <w:rPr>
                <w:rFonts w:ascii="Arial" w:cs="Arial" w:eastAsia="Arial" w:hAnsi="Arial"/>
                <w:sz w:val="14"/>
                <w:szCs w:val="14"/>
                <w:b w:val="1"/>
                <w:bCs w:val="1"/>
                <w:color w:val="auto"/>
              </w:rPr>
              <w:t>5</w:t>
            </w:r>
          </w:p>
        </w:tc>
        <w:tc>
          <w:tcPr>
            <w:tcW w:w="2200" w:type="dxa"/>
            <w:vAlign w:val="bottom"/>
            <w:shd w:val="clear" w:color="auto" w:fill="EEECE1"/>
          </w:tcPr>
          <w:p>
            <w:pPr>
              <w:ind w:left="8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180" w:type="dxa"/>
            <w:vAlign w:val="bottom"/>
            <w:gridSpan w:val="2"/>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760" w:type="dxa"/>
            <w:vAlign w:val="bottom"/>
            <w:shd w:val="clear" w:color="auto" w:fill="EEECE1"/>
          </w:tcPr>
          <w:p>
            <w:pPr>
              <w:spacing w:after="0"/>
              <w:rPr>
                <w:sz w:val="12"/>
                <w:szCs w:val="12"/>
                <w:color w:val="auto"/>
              </w:rPr>
            </w:pPr>
          </w:p>
        </w:tc>
        <w:tc>
          <w:tcPr>
            <w:tcW w:w="1720" w:type="dxa"/>
            <w:vAlign w:val="bottom"/>
            <w:shd w:val="clear" w:color="auto" w:fill="EEECE1"/>
          </w:tcPr>
          <w:p>
            <w:pPr>
              <w:spacing w:after="0"/>
              <w:rPr>
                <w:sz w:val="12"/>
                <w:szCs w:val="12"/>
                <w:color w:val="auto"/>
              </w:rPr>
            </w:pPr>
          </w:p>
        </w:tc>
        <w:tc>
          <w:tcPr>
            <w:tcW w:w="4560" w:type="dxa"/>
            <w:vAlign w:val="bottom"/>
            <w:shd w:val="clear" w:color="auto" w:fill="EEECE1"/>
          </w:tcPr>
          <w:p>
            <w:pPr>
              <w:spacing w:after="0"/>
              <w:rPr>
                <w:sz w:val="12"/>
                <w:szCs w:val="12"/>
                <w:color w:val="auto"/>
              </w:rPr>
            </w:pPr>
          </w:p>
        </w:tc>
        <w:tc>
          <w:tcPr>
            <w:tcW w:w="220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shd w:val="clear" w:color="auto" w:fill="EEECE1"/>
          </w:tcPr>
          <w:p>
            <w:pPr>
              <w:spacing w:after="0"/>
              <w:rPr>
                <w:sz w:val="14"/>
                <w:szCs w:val="14"/>
                <w:color w:val="auto"/>
              </w:rPr>
            </w:pPr>
          </w:p>
        </w:tc>
        <w:tc>
          <w:tcPr>
            <w:tcW w:w="12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w w:val="98"/>
              </w:rPr>
              <w:t>Global Derivatives</w:t>
            </w:r>
          </w:p>
        </w:tc>
        <w:tc>
          <w:tcPr>
            <w:tcW w:w="760" w:type="dxa"/>
            <w:vAlign w:val="bottom"/>
            <w:shd w:val="clear" w:color="auto" w:fill="EEECE1"/>
          </w:tcPr>
          <w:p>
            <w:pPr>
              <w:spacing w:after="0"/>
              <w:rPr>
                <w:sz w:val="14"/>
                <w:szCs w:val="14"/>
                <w:color w:val="auto"/>
              </w:rPr>
            </w:pPr>
          </w:p>
        </w:tc>
        <w:tc>
          <w:tcPr>
            <w:tcW w:w="1720" w:type="dxa"/>
            <w:vAlign w:val="bottom"/>
            <w:shd w:val="clear" w:color="auto" w:fill="EEECE1"/>
          </w:tcPr>
          <w:p>
            <w:pPr>
              <w:spacing w:after="0"/>
              <w:rPr>
                <w:sz w:val="14"/>
                <w:szCs w:val="14"/>
                <w:color w:val="auto"/>
              </w:rPr>
            </w:pPr>
          </w:p>
        </w:tc>
        <w:tc>
          <w:tcPr>
            <w:tcW w:w="4560" w:type="dxa"/>
            <w:vAlign w:val="bottom"/>
            <w:shd w:val="clear" w:color="auto" w:fill="EEECE1"/>
          </w:tcPr>
          <w:p>
            <w:pPr>
              <w:spacing w:after="0"/>
              <w:rPr>
                <w:sz w:val="14"/>
                <w:szCs w:val="14"/>
                <w:color w:val="auto"/>
              </w:rPr>
            </w:pPr>
          </w:p>
        </w:tc>
        <w:tc>
          <w:tcPr>
            <w:tcW w:w="220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020" w:type="dxa"/>
            <w:vAlign w:val="bottom"/>
            <w:gridSpan w:val="2"/>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Global Credit Default Swaps</w:t>
            </w:r>
          </w:p>
        </w:tc>
        <w:tc>
          <w:tcPr>
            <w:tcW w:w="1720" w:type="dxa"/>
            <w:vAlign w:val="bottom"/>
            <w:shd w:val="clear" w:color="auto" w:fill="C00000"/>
          </w:tcPr>
          <w:p>
            <w:pPr>
              <w:spacing w:after="0"/>
              <w:rPr>
                <w:sz w:val="12"/>
                <w:szCs w:val="12"/>
                <w:color w:val="auto"/>
              </w:rPr>
            </w:pPr>
          </w:p>
        </w:tc>
        <w:tc>
          <w:tcPr>
            <w:tcW w:w="4560" w:type="dxa"/>
            <w:vAlign w:val="bottom"/>
            <w:shd w:val="clear" w:color="auto" w:fill="C00000"/>
          </w:tcPr>
          <w:p>
            <w:pPr>
              <w:spacing w:after="0"/>
              <w:rPr>
                <w:sz w:val="12"/>
                <w:szCs w:val="12"/>
                <w:color w:val="auto"/>
              </w:rPr>
            </w:pPr>
          </w:p>
        </w:tc>
        <w:tc>
          <w:tcPr>
            <w:tcW w:w="220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North America (CDX)</w:t>
            </w:r>
          </w:p>
        </w:tc>
        <w:tc>
          <w:tcPr>
            <w:tcW w:w="4560" w:type="dxa"/>
            <w:vAlign w:val="bottom"/>
            <w:shd w:val="clear" w:color="auto" w:fill="1F497D"/>
          </w:tcPr>
          <w:p>
            <w:pPr>
              <w:spacing w:after="0"/>
              <w:rPr>
                <w:sz w:val="12"/>
                <w:szCs w:val="12"/>
                <w:color w:val="auto"/>
              </w:rPr>
            </w:pPr>
          </w:p>
        </w:tc>
        <w:tc>
          <w:tcPr>
            <w:tcW w:w="22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auto"/>
              </w:rPr>
              <w:t>Investment Grade (IG)</w:t>
            </w:r>
          </w:p>
        </w:tc>
        <w:tc>
          <w:tcPr>
            <w:tcW w:w="4560" w:type="dxa"/>
            <w:vAlign w:val="bottom"/>
            <w:vMerge w:val="restart"/>
          </w:tcPr>
          <w:p>
            <w:pPr>
              <w:ind w:left="80"/>
              <w:spacing w:after="0"/>
              <w:rPr>
                <w:sz w:val="20"/>
                <w:szCs w:val="20"/>
                <w:color w:val="auto"/>
              </w:rPr>
            </w:pPr>
            <w:r>
              <w:rPr>
                <w:rFonts w:ascii="Arial" w:cs="Arial" w:eastAsia="Arial" w:hAnsi="Arial"/>
                <w:sz w:val="14"/>
                <w:szCs w:val="14"/>
                <w:color w:val="auto"/>
              </w:rPr>
              <w:t>IG, Investment Grade</w:t>
            </w:r>
          </w:p>
        </w:tc>
        <w:tc>
          <w:tcPr>
            <w:tcW w:w="2200" w:type="dxa"/>
            <w:vAlign w:val="bottom"/>
            <w:vMerge w:val="restart"/>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560" w:type="dxa"/>
            <w:vAlign w:val="bottom"/>
            <w:vMerge w:val="continue"/>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4"/>
                <w:szCs w:val="14"/>
                <w:color w:val="auto"/>
              </w:rPr>
              <w:t>HIVOL, Investment Grade High Volatility</w:t>
            </w:r>
          </w:p>
        </w:tc>
        <w:tc>
          <w:tcPr>
            <w:tcW w:w="2200" w:type="dxa"/>
            <w:vAlign w:val="bottom"/>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auto"/>
              </w:rPr>
              <w:t>High Yield (HY)</w:t>
            </w:r>
          </w:p>
        </w:tc>
        <w:tc>
          <w:tcPr>
            <w:tcW w:w="4560" w:type="dxa"/>
            <w:vAlign w:val="bottom"/>
            <w:vMerge w:val="restart"/>
          </w:tcPr>
          <w:p>
            <w:pPr>
              <w:ind w:left="80"/>
              <w:spacing w:after="0"/>
              <w:rPr>
                <w:sz w:val="20"/>
                <w:szCs w:val="20"/>
                <w:color w:val="auto"/>
              </w:rPr>
            </w:pPr>
            <w:r>
              <w:rPr>
                <w:rFonts w:ascii="Arial" w:cs="Arial" w:eastAsia="Arial" w:hAnsi="Arial"/>
                <w:sz w:val="14"/>
                <w:szCs w:val="14"/>
                <w:color w:val="auto"/>
              </w:rPr>
              <w:t>HY, High Yield</w:t>
            </w:r>
          </w:p>
        </w:tc>
        <w:tc>
          <w:tcPr>
            <w:tcW w:w="2200" w:type="dxa"/>
            <w:vAlign w:val="bottom"/>
            <w:vMerge w:val="restart"/>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560" w:type="dxa"/>
            <w:vAlign w:val="bottom"/>
          </w:tcPr>
          <w:p>
            <w:pPr>
              <w:ind w:left="80"/>
              <w:spacing w:after="0" w:line="149" w:lineRule="exact"/>
              <w:rPr>
                <w:sz w:val="20"/>
                <w:szCs w:val="20"/>
                <w:color w:val="auto"/>
              </w:rPr>
            </w:pPr>
            <w:r>
              <w:rPr>
                <w:rFonts w:ascii="Arial" w:cs="Arial" w:eastAsia="Arial" w:hAnsi="Arial"/>
                <w:sz w:val="14"/>
                <w:szCs w:val="14"/>
                <w:color w:val="auto"/>
              </w:rPr>
              <w:t>HY.B, High Yield B</w:t>
            </w:r>
          </w:p>
        </w:tc>
        <w:tc>
          <w:tcPr>
            <w:tcW w:w="2200" w:type="dxa"/>
            <w:vAlign w:val="bottom"/>
          </w:tcPr>
          <w:p>
            <w:pPr>
              <w:ind w:left="8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560" w:type="dxa"/>
            <w:vAlign w:val="bottom"/>
          </w:tcPr>
          <w:p>
            <w:pPr>
              <w:ind w:left="80"/>
              <w:spacing w:after="0" w:line="149" w:lineRule="exact"/>
              <w:rPr>
                <w:sz w:val="20"/>
                <w:szCs w:val="20"/>
                <w:color w:val="auto"/>
              </w:rPr>
            </w:pPr>
            <w:r>
              <w:rPr>
                <w:rFonts w:ascii="Arial" w:cs="Arial" w:eastAsia="Arial" w:hAnsi="Arial"/>
                <w:sz w:val="14"/>
                <w:szCs w:val="14"/>
                <w:color w:val="auto"/>
              </w:rPr>
              <w:t>HY.BB, High Yield BB</w:t>
            </w:r>
          </w:p>
        </w:tc>
        <w:tc>
          <w:tcPr>
            <w:tcW w:w="2200" w:type="dxa"/>
            <w:vAlign w:val="bottom"/>
          </w:tcPr>
          <w:p>
            <w:pPr>
              <w:ind w:left="8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4"/>
                <w:szCs w:val="14"/>
                <w:color w:val="auto"/>
              </w:rPr>
              <w:t>HY.HB, High Yield HB</w:t>
            </w:r>
          </w:p>
        </w:tc>
        <w:tc>
          <w:tcPr>
            <w:tcW w:w="2200" w:type="dxa"/>
            <w:vAlign w:val="bottom"/>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auto"/>
              </w:rPr>
              <w:t>Crossover (XOVER)</w:t>
            </w:r>
          </w:p>
        </w:tc>
        <w:tc>
          <w:tcPr>
            <w:tcW w:w="4560" w:type="dxa"/>
            <w:vAlign w:val="bottom"/>
            <w:vMerge w:val="restart"/>
          </w:tcPr>
          <w:p>
            <w:pPr>
              <w:ind w:left="80"/>
              <w:spacing w:after="0"/>
              <w:rPr>
                <w:sz w:val="20"/>
                <w:szCs w:val="20"/>
                <w:color w:val="auto"/>
              </w:rPr>
            </w:pPr>
            <w:r>
              <w:rPr>
                <w:rFonts w:ascii="Arial" w:cs="Arial" w:eastAsia="Arial" w:hAnsi="Arial"/>
                <w:sz w:val="14"/>
                <w:szCs w:val="14"/>
                <w:color w:val="auto"/>
              </w:rPr>
              <w:t>XOVER, XOVER</w:t>
            </w:r>
          </w:p>
        </w:tc>
        <w:tc>
          <w:tcPr>
            <w:tcW w:w="2200" w:type="dxa"/>
            <w:vAlign w:val="bottom"/>
            <w:vMerge w:val="restart"/>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560" w:type="dxa"/>
            <w:vAlign w:val="bottom"/>
            <w:vMerge w:val="continue"/>
          </w:tcPr>
          <w:p>
            <w:pPr>
              <w:spacing w:after="0"/>
              <w:rPr>
                <w:sz w:val="12"/>
                <w:szCs w:val="12"/>
                <w:color w:val="auto"/>
              </w:rPr>
            </w:pP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auto"/>
              </w:rPr>
              <w:t>Emerging Markets (EM)</w:t>
            </w:r>
          </w:p>
        </w:tc>
        <w:tc>
          <w:tcPr>
            <w:tcW w:w="4560" w:type="dxa"/>
            <w:vAlign w:val="bottom"/>
            <w:vMerge w:val="restart"/>
          </w:tcPr>
          <w:p>
            <w:pPr>
              <w:ind w:left="80"/>
              <w:spacing w:after="0"/>
              <w:rPr>
                <w:sz w:val="20"/>
                <w:szCs w:val="20"/>
                <w:color w:val="auto"/>
              </w:rPr>
            </w:pPr>
            <w:r>
              <w:rPr>
                <w:rFonts w:ascii="Arial" w:cs="Arial" w:eastAsia="Arial" w:hAnsi="Arial"/>
                <w:sz w:val="14"/>
                <w:szCs w:val="14"/>
                <w:color w:val="auto"/>
              </w:rPr>
              <w:t>EM, Emerging Markets (EM)</w:t>
            </w:r>
          </w:p>
        </w:tc>
        <w:tc>
          <w:tcPr>
            <w:tcW w:w="2200" w:type="dxa"/>
            <w:vAlign w:val="bottom"/>
            <w:vMerge w:val="restart"/>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4"/>
                <w:szCs w:val="14"/>
                <w:color w:val="auto"/>
              </w:rPr>
              <w:t>EMDIV, Emerging Markets Diversified (EMDIV)</w:t>
            </w:r>
          </w:p>
        </w:tc>
        <w:tc>
          <w:tcPr>
            <w:tcW w:w="2200" w:type="dxa"/>
            <w:vAlign w:val="bottom"/>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auto"/>
              </w:rPr>
              <w:t>Rolls &amp; Swaps</w:t>
            </w:r>
          </w:p>
        </w:tc>
        <w:tc>
          <w:tcPr>
            <w:tcW w:w="4560" w:type="dxa"/>
            <w:vAlign w:val="bottom"/>
            <w:vMerge w:val="restart"/>
          </w:tcPr>
          <w:p>
            <w:pPr>
              <w:ind w:left="80"/>
              <w:spacing w:after="0"/>
              <w:rPr>
                <w:sz w:val="20"/>
                <w:szCs w:val="20"/>
                <w:color w:val="auto"/>
              </w:rPr>
            </w:pPr>
            <w:r>
              <w:rPr>
                <w:rFonts w:ascii="Arial" w:cs="Arial" w:eastAsia="Arial" w:hAnsi="Arial"/>
                <w:sz w:val="14"/>
                <w:szCs w:val="14"/>
                <w:color w:val="auto"/>
              </w:rPr>
              <w:t>UCDSROLLSWAP, Swap Roll</w:t>
            </w:r>
          </w:p>
        </w:tc>
        <w:tc>
          <w:tcPr>
            <w:tcW w:w="2200" w:type="dxa"/>
            <w:vAlign w:val="bottom"/>
            <w:vMerge w:val="restart"/>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560" w:type="dxa"/>
            <w:vAlign w:val="bottom"/>
          </w:tcPr>
          <w:p>
            <w:pPr>
              <w:ind w:left="80"/>
              <w:spacing w:after="0" w:line="149" w:lineRule="exact"/>
              <w:rPr>
                <w:sz w:val="20"/>
                <w:szCs w:val="20"/>
                <w:color w:val="auto"/>
              </w:rPr>
            </w:pPr>
            <w:r>
              <w:rPr>
                <w:rFonts w:ascii="Arial" w:cs="Arial" w:eastAsia="Arial" w:hAnsi="Arial"/>
                <w:sz w:val="14"/>
                <w:szCs w:val="14"/>
                <w:color w:val="auto"/>
              </w:rPr>
              <w:t>CDSSWAP, Tenor Swap/Roll</w:t>
            </w:r>
          </w:p>
        </w:tc>
        <w:tc>
          <w:tcPr>
            <w:tcW w:w="2200" w:type="dxa"/>
            <w:vAlign w:val="bottom"/>
          </w:tcPr>
          <w:p>
            <w:pPr>
              <w:ind w:left="8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60" w:type="dxa"/>
            <w:vAlign w:val="bottom"/>
          </w:tcPr>
          <w:p>
            <w:pPr>
              <w:ind w:left="80"/>
              <w:spacing w:after="0"/>
              <w:rPr>
                <w:sz w:val="20"/>
                <w:szCs w:val="20"/>
                <w:color w:val="auto"/>
              </w:rPr>
            </w:pPr>
            <w:r>
              <w:rPr>
                <w:rFonts w:ascii="Arial" w:cs="Arial" w:eastAsia="Arial" w:hAnsi="Arial"/>
                <w:sz w:val="14"/>
                <w:szCs w:val="14"/>
                <w:color w:val="auto"/>
              </w:rPr>
              <w:t>CDSUHYROLLSWAP, High Yield Swap/Roll</w:t>
            </w:r>
          </w:p>
        </w:tc>
        <w:tc>
          <w:tcPr>
            <w:tcW w:w="2200" w:type="dxa"/>
            <w:vAlign w:val="bottom"/>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Europe (iTRAXX)</w:t>
            </w:r>
          </w:p>
        </w:tc>
        <w:tc>
          <w:tcPr>
            <w:tcW w:w="4560" w:type="dxa"/>
            <w:vAlign w:val="bottom"/>
            <w:shd w:val="clear" w:color="auto" w:fill="1F497D"/>
          </w:tcPr>
          <w:p>
            <w:pPr>
              <w:spacing w:after="0"/>
              <w:rPr>
                <w:sz w:val="12"/>
                <w:szCs w:val="12"/>
                <w:color w:val="auto"/>
              </w:rPr>
            </w:pPr>
          </w:p>
        </w:tc>
        <w:tc>
          <w:tcPr>
            <w:tcW w:w="220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auto"/>
              </w:rPr>
              <w:t>Europe (ITRAXX)</w:t>
            </w:r>
          </w:p>
        </w:tc>
        <w:tc>
          <w:tcPr>
            <w:tcW w:w="4560" w:type="dxa"/>
            <w:vAlign w:val="bottom"/>
            <w:vMerge w:val="restart"/>
          </w:tcPr>
          <w:p>
            <w:pPr>
              <w:ind w:left="80"/>
              <w:spacing w:after="0"/>
              <w:rPr>
                <w:sz w:val="20"/>
                <w:szCs w:val="20"/>
                <w:color w:val="auto"/>
              </w:rPr>
            </w:pPr>
            <w:r>
              <w:rPr>
                <w:rFonts w:ascii="Arial" w:cs="Arial" w:eastAsia="Arial" w:hAnsi="Arial"/>
                <w:sz w:val="14"/>
                <w:szCs w:val="14"/>
                <w:color w:val="auto"/>
              </w:rPr>
              <w:t>EUR, iTraxx Europe</w:t>
            </w:r>
          </w:p>
        </w:tc>
        <w:tc>
          <w:tcPr>
            <w:tcW w:w="2200" w:type="dxa"/>
            <w:vAlign w:val="bottom"/>
            <w:vMerge w:val="restart"/>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560" w:type="dxa"/>
            <w:vAlign w:val="bottom"/>
            <w:vMerge w:val="continue"/>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auto"/>
              </w:rPr>
              <w:t>Crossover (XOVER)</w:t>
            </w:r>
          </w:p>
        </w:tc>
        <w:tc>
          <w:tcPr>
            <w:tcW w:w="4560" w:type="dxa"/>
            <w:vAlign w:val="bottom"/>
            <w:vMerge w:val="restart"/>
          </w:tcPr>
          <w:p>
            <w:pPr>
              <w:ind w:left="80"/>
              <w:spacing w:after="0"/>
              <w:rPr>
                <w:sz w:val="20"/>
                <w:szCs w:val="20"/>
                <w:color w:val="auto"/>
              </w:rPr>
            </w:pPr>
            <w:r>
              <w:rPr>
                <w:rFonts w:ascii="Arial" w:cs="Arial" w:eastAsia="Arial" w:hAnsi="Arial"/>
                <w:sz w:val="14"/>
                <w:szCs w:val="14"/>
                <w:color w:val="auto"/>
              </w:rPr>
              <w:t>XOVER, iTraxx Crossover</w:t>
            </w:r>
          </w:p>
        </w:tc>
        <w:tc>
          <w:tcPr>
            <w:tcW w:w="2200" w:type="dxa"/>
            <w:vAlign w:val="bottom"/>
            <w:vMerge w:val="restart"/>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560" w:type="dxa"/>
            <w:vAlign w:val="bottom"/>
            <w:vMerge w:val="continue"/>
          </w:tcPr>
          <w:p>
            <w:pPr>
              <w:spacing w:after="0"/>
              <w:rPr>
                <w:sz w:val="12"/>
                <w:szCs w:val="12"/>
                <w:color w:val="auto"/>
              </w:rPr>
            </w:pP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auto"/>
              </w:rPr>
              <w:t>Financials</w:t>
            </w:r>
          </w:p>
        </w:tc>
        <w:tc>
          <w:tcPr>
            <w:tcW w:w="4560" w:type="dxa"/>
            <w:vAlign w:val="bottom"/>
            <w:vMerge w:val="restart"/>
          </w:tcPr>
          <w:p>
            <w:pPr>
              <w:ind w:left="80"/>
              <w:spacing w:after="0"/>
              <w:rPr>
                <w:sz w:val="20"/>
                <w:szCs w:val="20"/>
                <w:color w:val="auto"/>
              </w:rPr>
            </w:pPr>
            <w:r>
              <w:rPr>
                <w:rFonts w:ascii="Arial" w:cs="Arial" w:eastAsia="Arial" w:hAnsi="Arial"/>
                <w:sz w:val="14"/>
                <w:szCs w:val="14"/>
                <w:color w:val="auto"/>
              </w:rPr>
              <w:t>FINSEN, iTraxx Europe Senior Financials</w:t>
            </w:r>
          </w:p>
        </w:tc>
        <w:tc>
          <w:tcPr>
            <w:tcW w:w="2200" w:type="dxa"/>
            <w:vAlign w:val="bottom"/>
            <w:vMerge w:val="restart"/>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4"/>
                <w:szCs w:val="14"/>
                <w:color w:val="auto"/>
              </w:rPr>
              <w:t>FINSUB, iTraxx Europe Subordinate Financials</w:t>
            </w:r>
          </w:p>
        </w:tc>
        <w:tc>
          <w:tcPr>
            <w:tcW w:w="2200" w:type="dxa"/>
            <w:vAlign w:val="bottom"/>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auto"/>
              </w:rPr>
              <w:t>SovX</w:t>
            </w:r>
          </w:p>
        </w:tc>
        <w:tc>
          <w:tcPr>
            <w:tcW w:w="4560" w:type="dxa"/>
            <w:vAlign w:val="bottom"/>
            <w:vMerge w:val="restart"/>
          </w:tcPr>
          <w:p>
            <w:pPr>
              <w:ind w:left="80"/>
              <w:spacing w:after="0"/>
              <w:rPr>
                <w:sz w:val="20"/>
                <w:szCs w:val="20"/>
                <w:color w:val="auto"/>
              </w:rPr>
            </w:pPr>
            <w:r>
              <w:rPr>
                <w:rFonts w:ascii="Arial" w:cs="Arial" w:eastAsia="Arial" w:hAnsi="Arial"/>
                <w:sz w:val="14"/>
                <w:szCs w:val="14"/>
                <w:color w:val="auto"/>
              </w:rPr>
              <w:t>SOVXWE, iTraxx SovX Western Europe</w:t>
            </w:r>
          </w:p>
        </w:tc>
        <w:tc>
          <w:tcPr>
            <w:tcW w:w="2200" w:type="dxa"/>
            <w:vAlign w:val="bottom"/>
            <w:vMerge w:val="restart"/>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560" w:type="dxa"/>
            <w:vAlign w:val="bottom"/>
            <w:vMerge w:val="continue"/>
          </w:tcPr>
          <w:p>
            <w:pPr>
              <w:spacing w:after="0"/>
              <w:rPr>
                <w:sz w:val="12"/>
                <w:szCs w:val="12"/>
                <w:color w:val="auto"/>
              </w:rPr>
            </w:pP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auto"/>
              </w:rPr>
              <w:t>High Volatility</w:t>
            </w:r>
          </w:p>
        </w:tc>
        <w:tc>
          <w:tcPr>
            <w:tcW w:w="4560" w:type="dxa"/>
            <w:vAlign w:val="bottom"/>
            <w:vMerge w:val="restart"/>
          </w:tcPr>
          <w:p>
            <w:pPr>
              <w:ind w:left="80"/>
              <w:spacing w:after="0"/>
              <w:rPr>
                <w:sz w:val="20"/>
                <w:szCs w:val="20"/>
                <w:color w:val="auto"/>
              </w:rPr>
            </w:pPr>
            <w:r>
              <w:rPr>
                <w:rFonts w:ascii="Arial" w:cs="Arial" w:eastAsia="Arial" w:hAnsi="Arial"/>
                <w:sz w:val="14"/>
                <w:szCs w:val="14"/>
                <w:color w:val="auto"/>
              </w:rPr>
              <w:t>HIVOL, iTraxx Europe High Volatility</w:t>
            </w:r>
          </w:p>
        </w:tc>
        <w:tc>
          <w:tcPr>
            <w:tcW w:w="2200" w:type="dxa"/>
            <w:vAlign w:val="bottom"/>
            <w:vMerge w:val="restart"/>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560" w:type="dxa"/>
            <w:vAlign w:val="bottom"/>
            <w:vMerge w:val="continue"/>
          </w:tcPr>
          <w:p>
            <w:pPr>
              <w:spacing w:after="0"/>
              <w:rPr>
                <w:sz w:val="12"/>
                <w:szCs w:val="12"/>
                <w:color w:val="auto"/>
              </w:rPr>
            </w:pP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auto"/>
              </w:rPr>
              <w:t>Rolls &amp; Swaps</w:t>
            </w:r>
          </w:p>
        </w:tc>
        <w:tc>
          <w:tcPr>
            <w:tcW w:w="4560" w:type="dxa"/>
            <w:vAlign w:val="bottom"/>
            <w:vMerge w:val="restart"/>
          </w:tcPr>
          <w:p>
            <w:pPr>
              <w:ind w:left="80"/>
              <w:spacing w:after="0"/>
              <w:rPr>
                <w:sz w:val="20"/>
                <w:szCs w:val="20"/>
                <w:color w:val="auto"/>
              </w:rPr>
            </w:pPr>
            <w:r>
              <w:rPr>
                <w:rFonts w:ascii="Arial" w:cs="Arial" w:eastAsia="Arial" w:hAnsi="Arial"/>
                <w:sz w:val="14"/>
                <w:szCs w:val="14"/>
                <w:color w:val="auto"/>
              </w:rPr>
              <w:t>ECDSROLLSWAP, European Credit Default Swap Index Roll</w:t>
            </w:r>
          </w:p>
        </w:tc>
        <w:tc>
          <w:tcPr>
            <w:tcW w:w="2200" w:type="dxa"/>
            <w:vAlign w:val="bottom"/>
            <w:vMerge w:val="restart"/>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4"/>
                <w:szCs w:val="14"/>
                <w:color w:val="auto"/>
              </w:rPr>
              <w:t>CDSEUSWAP, Tenor Swap/Roll</w:t>
            </w:r>
          </w:p>
        </w:tc>
        <w:tc>
          <w:tcPr>
            <w:tcW w:w="2200" w:type="dxa"/>
            <w:vAlign w:val="bottom"/>
          </w:tcPr>
          <w:p>
            <w:pPr>
              <w:ind w:left="8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08" w:name="page309"/>
    <w:bookmarkEnd w:id="3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1020" w:type="dxa"/>
            <w:vAlign w:val="bottom"/>
            <w:shd w:val="clear" w:color="auto" w:fill="EEECE1"/>
          </w:tcPr>
          <w:p>
            <w:pPr>
              <w:jc w:val="right"/>
              <w:ind w:right="728"/>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jc w:val="right"/>
              <w:ind w:right="1308"/>
              <w:spacing w:after="0"/>
              <w:rPr>
                <w:sz w:val="20"/>
                <w:szCs w:val="20"/>
                <w:color w:val="auto"/>
              </w:rPr>
            </w:pPr>
            <w:r>
              <w:rPr>
                <w:rFonts w:ascii="Arial" w:cs="Arial" w:eastAsia="Arial" w:hAnsi="Arial"/>
                <w:sz w:val="14"/>
                <w:szCs w:val="14"/>
                <w:b w:val="1"/>
                <w:bCs w:val="1"/>
                <w:color w:val="auto"/>
              </w:rPr>
              <w:t>4</w:t>
            </w:r>
          </w:p>
        </w:tc>
        <w:tc>
          <w:tcPr>
            <w:tcW w:w="1100" w:type="dxa"/>
            <w:vAlign w:val="bottom"/>
            <w:shd w:val="clear" w:color="auto" w:fill="EEECE1"/>
          </w:tcPr>
          <w:p>
            <w:pPr>
              <w:jc w:val="right"/>
              <w:ind w:right="908"/>
              <w:spacing w:after="0"/>
              <w:rPr>
                <w:sz w:val="20"/>
                <w:szCs w:val="20"/>
                <w:color w:val="auto"/>
              </w:rPr>
            </w:pPr>
            <w:r>
              <w:rPr>
                <w:rFonts w:ascii="Arial" w:cs="Arial" w:eastAsia="Arial" w:hAnsi="Arial"/>
                <w:sz w:val="14"/>
                <w:szCs w:val="14"/>
                <w:b w:val="1"/>
                <w:bCs w:val="1"/>
                <w:color w:val="auto"/>
              </w:rPr>
              <w:t>5</w:t>
            </w:r>
          </w:p>
        </w:tc>
        <w:tc>
          <w:tcPr>
            <w:tcW w:w="6760" w:type="dxa"/>
            <w:vAlign w:val="bottom"/>
            <w:shd w:val="clear" w:color="auto" w:fill="EEECE1"/>
          </w:tcPr>
          <w:p>
            <w:pPr>
              <w:jc w:val="right"/>
              <w:ind w:right="5628"/>
              <w:spacing w:after="0"/>
              <w:rPr>
                <w:sz w:val="20"/>
                <w:szCs w:val="20"/>
                <w:color w:val="auto"/>
              </w:rPr>
            </w:pPr>
            <w:r>
              <w:rPr>
                <w:rFonts w:ascii="Arial" w:cs="Arial" w:eastAsia="Arial" w:hAnsi="Arial"/>
                <w:sz w:val="14"/>
                <w:szCs w:val="14"/>
                <w:b w:val="1"/>
                <w:bCs w:val="1"/>
                <w:color w:val="auto"/>
              </w:rPr>
              <w:t>6</w:t>
            </w: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100" w:type="dxa"/>
            <w:vAlign w:val="bottom"/>
            <w:shd w:val="clear" w:color="auto" w:fill="EEECE1"/>
          </w:tcPr>
          <w:p>
            <w:pPr>
              <w:spacing w:after="0"/>
              <w:rPr>
                <w:sz w:val="12"/>
                <w:szCs w:val="12"/>
                <w:color w:val="auto"/>
              </w:rPr>
            </w:pPr>
          </w:p>
        </w:tc>
        <w:tc>
          <w:tcPr>
            <w:tcW w:w="6760" w:type="dxa"/>
            <w:vAlign w:val="bottom"/>
            <w:shd w:val="clear" w:color="auto" w:fill="EEECE1"/>
          </w:tcPr>
          <w:p>
            <w:pPr>
              <w:spacing w:after="0"/>
              <w:rPr>
                <w:sz w:val="12"/>
                <w:szCs w:val="12"/>
                <w:color w:val="auto"/>
              </w:rPr>
            </w:pPr>
          </w:p>
        </w:tc>
      </w:tr>
      <w:tr>
        <w:trPr>
          <w:trHeight w:val="171"/>
        </w:trPr>
        <w:tc>
          <w:tcPr>
            <w:tcW w:w="320" w:type="dxa"/>
            <w:vAlign w:val="bottom"/>
            <w:shd w:val="clear" w:color="auto" w:fill="EEECE1"/>
          </w:tcPr>
          <w:p>
            <w:pPr>
              <w:spacing w:after="0"/>
              <w:rPr>
                <w:sz w:val="14"/>
                <w:szCs w:val="14"/>
                <w:color w:val="auto"/>
              </w:rPr>
            </w:pPr>
          </w:p>
        </w:tc>
        <w:tc>
          <w:tcPr>
            <w:tcW w:w="7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10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100" w:type="dxa"/>
            <w:vAlign w:val="bottom"/>
            <w:shd w:val="clear" w:color="auto" w:fill="EEECE1"/>
          </w:tcPr>
          <w:p>
            <w:pPr>
              <w:spacing w:after="0"/>
              <w:rPr>
                <w:sz w:val="14"/>
                <w:szCs w:val="14"/>
                <w:color w:val="auto"/>
              </w:rPr>
            </w:pPr>
          </w:p>
        </w:tc>
        <w:tc>
          <w:tcPr>
            <w:tcW w:w="6760" w:type="dxa"/>
            <w:vAlign w:val="bottom"/>
            <w:shd w:val="clear" w:color="auto" w:fill="EEECE1"/>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176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FFFFFF"/>
                <w:w w:val="85"/>
              </w:rPr>
              <w:t>Corporate Bonds (includes</w:t>
            </w:r>
          </w:p>
        </w:tc>
        <w:tc>
          <w:tcPr>
            <w:tcW w:w="1480" w:type="dxa"/>
            <w:vAlign w:val="bottom"/>
          </w:tcPr>
          <w:p>
            <w:pPr>
              <w:jc w:val="right"/>
              <w:ind w:right="468"/>
              <w:spacing w:after="0" w:line="142" w:lineRule="exact"/>
              <w:rPr>
                <w:sz w:val="20"/>
                <w:szCs w:val="20"/>
                <w:color w:val="auto"/>
              </w:rPr>
            </w:pPr>
            <w:r>
              <w:rPr>
                <w:rFonts w:ascii="Arial" w:cs="Arial" w:eastAsia="Arial" w:hAnsi="Arial"/>
                <w:sz w:val="14"/>
                <w:szCs w:val="14"/>
                <w:b w:val="1"/>
                <w:bCs w:val="1"/>
                <w:color w:val="FFFFFF"/>
              </w:rPr>
              <w:t>Convertibles)</w:t>
            </w:r>
          </w:p>
        </w:tc>
        <w:tc>
          <w:tcPr>
            <w:tcW w:w="1100" w:type="dxa"/>
            <w:vAlign w:val="bottom"/>
          </w:tcPr>
          <w:p>
            <w:pPr>
              <w:spacing w:after="0"/>
              <w:rPr>
                <w:sz w:val="12"/>
                <w:szCs w:val="12"/>
                <w:color w:val="auto"/>
              </w:rPr>
            </w:pPr>
          </w:p>
        </w:tc>
        <w:tc>
          <w:tcPr>
            <w:tcW w:w="67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-89535</wp:posOffset>
            </wp:positionV>
            <wp:extent cx="6955155" cy="9461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955155"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1160" w:type="dxa"/>
            <w:vAlign w:val="bottom"/>
          </w:tcPr>
          <w:p>
            <w:pPr>
              <w:spacing w:after="0"/>
              <w:rPr>
                <w:sz w:val="13"/>
                <w:szCs w:val="13"/>
                <w:color w:val="auto"/>
              </w:rPr>
            </w:pPr>
          </w:p>
        </w:tc>
        <w:tc>
          <w:tcPr>
            <w:tcW w:w="6540" w:type="dxa"/>
            <w:vAlign w:val="bottom"/>
            <w:shd w:val="clear" w:color="auto" w:fill="1F497D"/>
          </w:tcPr>
          <w:p>
            <w:pPr>
              <w:ind w:left="40"/>
              <w:spacing w:after="0" w:line="155" w:lineRule="exact"/>
              <w:rPr>
                <w:sz w:val="20"/>
                <w:szCs w:val="20"/>
                <w:color w:val="auto"/>
              </w:rPr>
            </w:pPr>
            <w:r>
              <w:rPr>
                <w:rFonts w:ascii="Arial" w:cs="Arial" w:eastAsia="Arial" w:hAnsi="Arial"/>
                <w:sz w:val="14"/>
                <w:szCs w:val="14"/>
                <w:b w:val="1"/>
                <w:bCs w:val="1"/>
                <w:color w:val="FFFFFF"/>
              </w:rPr>
              <w:t>AUD</w:t>
            </w:r>
          </w:p>
        </w:tc>
        <w:tc>
          <w:tcPr>
            <w:tcW w:w="3720" w:type="dxa"/>
            <w:vAlign w:val="bottom"/>
            <w:shd w:val="clear" w:color="auto" w:fill="1F497D"/>
          </w:tcPr>
          <w:p>
            <w:pPr>
              <w:spacing w:after="0"/>
              <w:rPr>
                <w:sz w:val="13"/>
                <w:szCs w:val="13"/>
                <w:color w:val="auto"/>
              </w:rPr>
            </w:pPr>
          </w:p>
        </w:tc>
      </w:tr>
      <w:tr>
        <w:trPr>
          <w:trHeight w:val="130"/>
        </w:trPr>
        <w:tc>
          <w:tcPr>
            <w:tcW w:w="1160" w:type="dxa"/>
            <w:vAlign w:val="bottom"/>
          </w:tcPr>
          <w:p>
            <w:pPr>
              <w:spacing w:after="0"/>
              <w:rPr>
                <w:sz w:val="11"/>
                <w:szCs w:val="11"/>
                <w:color w:val="auto"/>
              </w:rPr>
            </w:pPr>
          </w:p>
        </w:tc>
        <w:tc>
          <w:tcPr>
            <w:tcW w:w="6540" w:type="dxa"/>
            <w:vAlign w:val="bottom"/>
          </w:tcPr>
          <w:p>
            <w:pPr>
              <w:ind w:left="960"/>
              <w:spacing w:after="0" w:line="130" w:lineRule="exact"/>
              <w:rPr>
                <w:sz w:val="20"/>
                <w:szCs w:val="20"/>
                <w:color w:val="auto"/>
              </w:rPr>
            </w:pPr>
            <w:r>
              <w:rPr>
                <w:rFonts w:ascii="Arial" w:cs="Arial" w:eastAsia="Arial" w:hAnsi="Arial"/>
                <w:sz w:val="14"/>
                <w:szCs w:val="14"/>
                <w:color w:val="auto"/>
              </w:rPr>
              <w:t>Nort America</w:t>
            </w:r>
          </w:p>
        </w:tc>
        <w:tc>
          <w:tcPr>
            <w:tcW w:w="37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CA, Canada</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160" w:type="dxa"/>
            <w:vAlign w:val="bottom"/>
          </w:tcPr>
          <w:p>
            <w:pPr>
              <w:spacing w:after="0"/>
              <w:rPr>
                <w:sz w:val="15"/>
                <w:szCs w:val="15"/>
                <w:color w:val="auto"/>
              </w:rPr>
            </w:pPr>
          </w:p>
        </w:tc>
        <w:tc>
          <w:tcPr>
            <w:tcW w:w="6540" w:type="dxa"/>
            <w:vAlign w:val="bottom"/>
          </w:tcPr>
          <w:p>
            <w:pPr>
              <w:ind w:left="2440"/>
              <w:spacing w:after="0"/>
              <w:rPr>
                <w:sz w:val="20"/>
                <w:szCs w:val="20"/>
                <w:color w:val="auto"/>
              </w:rPr>
            </w:pPr>
            <w:r>
              <w:rPr>
                <w:rFonts w:ascii="Arial" w:cs="Arial" w:eastAsia="Arial" w:hAnsi="Arial"/>
                <w:sz w:val="14"/>
                <w:szCs w:val="14"/>
                <w:color w:val="auto"/>
              </w:rPr>
              <w:t>US, United States of America</w:t>
            </w:r>
          </w:p>
        </w:tc>
        <w:tc>
          <w:tcPr>
            <w:tcW w:w="3720" w:type="dxa"/>
            <w:vAlign w:val="bottom"/>
          </w:tcPr>
          <w:p>
            <w:pPr>
              <w:ind w:left="2400"/>
              <w:spacing w:after="0"/>
              <w:rPr>
                <w:sz w:val="20"/>
                <w:szCs w:val="20"/>
                <w:color w:val="auto"/>
              </w:rPr>
            </w:pPr>
            <w:r>
              <w:rPr>
                <w:rFonts w:ascii="Arial" w:cs="Arial" w:eastAsia="Arial" w:hAnsi="Arial"/>
                <w:sz w:val="14"/>
                <w:szCs w:val="14"/>
                <w:color w:val="auto"/>
              </w:rPr>
              <w:t>Composite Quote</w:t>
            </w:r>
          </w:p>
        </w:tc>
      </w:tr>
      <w:tr>
        <w:trPr>
          <w:trHeight w:val="263"/>
        </w:trPr>
        <w:tc>
          <w:tcPr>
            <w:tcW w:w="1160" w:type="dxa"/>
            <w:vAlign w:val="bottom"/>
          </w:tcPr>
          <w:p>
            <w:pPr>
              <w:spacing w:after="0"/>
              <w:rPr>
                <w:sz w:val="22"/>
                <w:szCs w:val="22"/>
                <w:color w:val="auto"/>
              </w:rPr>
            </w:pPr>
          </w:p>
        </w:tc>
        <w:tc>
          <w:tcPr>
            <w:tcW w:w="6540" w:type="dxa"/>
            <w:vAlign w:val="bottom"/>
          </w:tcPr>
          <w:p>
            <w:pPr>
              <w:ind w:left="960"/>
              <w:spacing w:after="0"/>
              <w:rPr>
                <w:sz w:val="20"/>
                <w:szCs w:val="20"/>
                <w:color w:val="auto"/>
              </w:rPr>
            </w:pPr>
            <w:r>
              <w:rPr>
                <w:rFonts w:ascii="Arial" w:cs="Arial" w:eastAsia="Arial" w:hAnsi="Arial"/>
                <w:sz w:val="14"/>
                <w:szCs w:val="14"/>
                <w:color w:val="auto"/>
              </w:rPr>
              <w:t>LATAM</w:t>
            </w:r>
          </w:p>
        </w:tc>
        <w:tc>
          <w:tcPr>
            <w:tcW w:w="3720" w:type="dxa"/>
            <w:vAlign w:val="bottom"/>
          </w:tcPr>
          <w:p>
            <w:pPr>
              <w:spacing w:after="0"/>
              <w:rPr>
                <w:sz w:val="22"/>
                <w:szCs w:val="22"/>
                <w:color w:val="auto"/>
              </w:rPr>
            </w:pP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CL, Chile</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KY, Cayman Islands</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MX, Mexico</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160" w:type="dxa"/>
            <w:vAlign w:val="bottom"/>
          </w:tcPr>
          <w:p>
            <w:pPr>
              <w:spacing w:after="0"/>
              <w:rPr>
                <w:sz w:val="15"/>
                <w:szCs w:val="15"/>
                <w:color w:val="auto"/>
              </w:rPr>
            </w:pPr>
          </w:p>
        </w:tc>
        <w:tc>
          <w:tcPr>
            <w:tcW w:w="6540" w:type="dxa"/>
            <w:vAlign w:val="bottom"/>
          </w:tcPr>
          <w:p>
            <w:pPr>
              <w:ind w:left="2440"/>
              <w:spacing w:after="0"/>
              <w:rPr>
                <w:sz w:val="20"/>
                <w:szCs w:val="20"/>
                <w:color w:val="auto"/>
              </w:rPr>
            </w:pPr>
            <w:r>
              <w:rPr>
                <w:rFonts w:ascii="Arial" w:cs="Arial" w:eastAsia="Arial" w:hAnsi="Arial"/>
                <w:sz w:val="14"/>
                <w:szCs w:val="14"/>
                <w:color w:val="auto"/>
              </w:rPr>
              <w:t>VG, Virgin Islands (British)</w:t>
            </w:r>
          </w:p>
        </w:tc>
        <w:tc>
          <w:tcPr>
            <w:tcW w:w="3720" w:type="dxa"/>
            <w:vAlign w:val="bottom"/>
          </w:tcPr>
          <w:p>
            <w:pPr>
              <w:ind w:left="2400"/>
              <w:spacing w:after="0"/>
              <w:rPr>
                <w:sz w:val="20"/>
                <w:szCs w:val="20"/>
                <w:color w:val="auto"/>
              </w:rPr>
            </w:pPr>
            <w:r>
              <w:rPr>
                <w:rFonts w:ascii="Arial" w:cs="Arial" w:eastAsia="Arial" w:hAnsi="Arial"/>
                <w:sz w:val="14"/>
                <w:szCs w:val="14"/>
                <w:color w:val="auto"/>
              </w:rPr>
              <w:t>Composite Quote</w:t>
            </w:r>
          </w:p>
        </w:tc>
      </w:tr>
      <w:tr>
        <w:trPr>
          <w:trHeight w:val="263"/>
        </w:trPr>
        <w:tc>
          <w:tcPr>
            <w:tcW w:w="1160" w:type="dxa"/>
            <w:vAlign w:val="bottom"/>
          </w:tcPr>
          <w:p>
            <w:pPr>
              <w:spacing w:after="0"/>
              <w:rPr>
                <w:sz w:val="22"/>
                <w:szCs w:val="22"/>
                <w:color w:val="auto"/>
              </w:rPr>
            </w:pPr>
          </w:p>
        </w:tc>
        <w:tc>
          <w:tcPr>
            <w:tcW w:w="6540" w:type="dxa"/>
            <w:vAlign w:val="bottom"/>
          </w:tcPr>
          <w:p>
            <w:pPr>
              <w:ind w:left="960"/>
              <w:spacing w:after="0"/>
              <w:rPr>
                <w:sz w:val="20"/>
                <w:szCs w:val="20"/>
                <w:color w:val="auto"/>
              </w:rPr>
            </w:pPr>
            <w:r>
              <w:rPr>
                <w:rFonts w:ascii="Arial" w:cs="Arial" w:eastAsia="Arial" w:hAnsi="Arial"/>
                <w:sz w:val="14"/>
                <w:szCs w:val="14"/>
                <w:color w:val="auto"/>
              </w:rPr>
              <w:t>Western Europe</w:t>
            </w:r>
          </w:p>
        </w:tc>
        <w:tc>
          <w:tcPr>
            <w:tcW w:w="3720" w:type="dxa"/>
            <w:vAlign w:val="bottom"/>
          </w:tcPr>
          <w:p>
            <w:pPr>
              <w:spacing w:after="0"/>
              <w:rPr>
                <w:sz w:val="22"/>
                <w:szCs w:val="22"/>
                <w:color w:val="auto"/>
              </w:rPr>
            </w:pP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AT, Austria</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CH, Switzerland</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DE, Germany</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DK, Denmark</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ES, Spain</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FR, France</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GB, United Kingdom</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IE, Ireland</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IT, Italy</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JE, Jersey</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LU, Luxembourg</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NL, Netherlands</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SE, Sweden</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160" w:type="dxa"/>
            <w:vAlign w:val="bottom"/>
          </w:tcPr>
          <w:p>
            <w:pPr>
              <w:spacing w:after="0"/>
              <w:rPr>
                <w:sz w:val="15"/>
                <w:szCs w:val="15"/>
                <w:color w:val="auto"/>
              </w:rPr>
            </w:pPr>
          </w:p>
        </w:tc>
        <w:tc>
          <w:tcPr>
            <w:tcW w:w="6540" w:type="dxa"/>
            <w:vAlign w:val="bottom"/>
          </w:tcPr>
          <w:p>
            <w:pPr>
              <w:ind w:left="2440"/>
              <w:spacing w:after="0"/>
              <w:rPr>
                <w:sz w:val="20"/>
                <w:szCs w:val="20"/>
                <w:color w:val="auto"/>
              </w:rPr>
            </w:pPr>
            <w:r>
              <w:rPr>
                <w:rFonts w:ascii="Arial" w:cs="Arial" w:eastAsia="Arial" w:hAnsi="Arial"/>
                <w:sz w:val="14"/>
                <w:szCs w:val="14"/>
                <w:color w:val="auto"/>
              </w:rPr>
              <w:t>UK, United Kingdom</w:t>
            </w:r>
          </w:p>
        </w:tc>
        <w:tc>
          <w:tcPr>
            <w:tcW w:w="3720" w:type="dxa"/>
            <w:vAlign w:val="bottom"/>
          </w:tcPr>
          <w:p>
            <w:pPr>
              <w:ind w:left="2400"/>
              <w:spacing w:after="0"/>
              <w:rPr>
                <w:sz w:val="20"/>
                <w:szCs w:val="20"/>
                <w:color w:val="auto"/>
              </w:rPr>
            </w:pPr>
            <w:r>
              <w:rPr>
                <w:rFonts w:ascii="Arial" w:cs="Arial" w:eastAsia="Arial" w:hAnsi="Arial"/>
                <w:sz w:val="14"/>
                <w:szCs w:val="14"/>
                <w:color w:val="auto"/>
              </w:rPr>
              <w:t>Composite Quote</w:t>
            </w:r>
          </w:p>
        </w:tc>
      </w:tr>
      <w:tr>
        <w:trPr>
          <w:trHeight w:val="263"/>
        </w:trPr>
        <w:tc>
          <w:tcPr>
            <w:tcW w:w="1160" w:type="dxa"/>
            <w:vAlign w:val="bottom"/>
          </w:tcPr>
          <w:p>
            <w:pPr>
              <w:spacing w:after="0"/>
              <w:rPr>
                <w:sz w:val="22"/>
                <w:szCs w:val="22"/>
                <w:color w:val="auto"/>
              </w:rPr>
            </w:pPr>
          </w:p>
        </w:tc>
        <w:tc>
          <w:tcPr>
            <w:tcW w:w="6540" w:type="dxa"/>
            <w:vAlign w:val="bottom"/>
          </w:tcPr>
          <w:p>
            <w:pPr>
              <w:ind w:left="960"/>
              <w:spacing w:after="0"/>
              <w:rPr>
                <w:sz w:val="20"/>
                <w:szCs w:val="20"/>
                <w:color w:val="auto"/>
              </w:rPr>
            </w:pPr>
            <w:r>
              <w:rPr>
                <w:rFonts w:ascii="Arial" w:cs="Arial" w:eastAsia="Arial" w:hAnsi="Arial"/>
                <w:sz w:val="14"/>
                <w:szCs w:val="14"/>
                <w:color w:val="auto"/>
              </w:rPr>
              <w:t>CEEMEA</w:t>
            </w:r>
          </w:p>
        </w:tc>
        <w:tc>
          <w:tcPr>
            <w:tcW w:w="3720" w:type="dxa"/>
            <w:vAlign w:val="bottom"/>
          </w:tcPr>
          <w:p>
            <w:pPr>
              <w:spacing w:after="0"/>
              <w:rPr>
                <w:sz w:val="22"/>
                <w:szCs w:val="22"/>
                <w:color w:val="auto"/>
              </w:rPr>
            </w:pP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AE, United Arab Emirates</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BH, Bahrain</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160" w:type="dxa"/>
            <w:vAlign w:val="bottom"/>
          </w:tcPr>
          <w:p>
            <w:pPr>
              <w:spacing w:after="0"/>
              <w:rPr>
                <w:sz w:val="15"/>
                <w:szCs w:val="15"/>
                <w:color w:val="auto"/>
              </w:rPr>
            </w:pPr>
          </w:p>
        </w:tc>
        <w:tc>
          <w:tcPr>
            <w:tcW w:w="6540" w:type="dxa"/>
            <w:vAlign w:val="bottom"/>
          </w:tcPr>
          <w:p>
            <w:pPr>
              <w:ind w:left="2440"/>
              <w:spacing w:after="0"/>
              <w:rPr>
                <w:sz w:val="20"/>
                <w:szCs w:val="20"/>
                <w:color w:val="auto"/>
              </w:rPr>
            </w:pPr>
            <w:r>
              <w:rPr>
                <w:rFonts w:ascii="Arial" w:cs="Arial" w:eastAsia="Arial" w:hAnsi="Arial"/>
                <w:sz w:val="14"/>
                <w:szCs w:val="14"/>
                <w:color w:val="auto"/>
              </w:rPr>
              <w:t>TR, Turkey</w:t>
            </w:r>
          </w:p>
        </w:tc>
        <w:tc>
          <w:tcPr>
            <w:tcW w:w="3720" w:type="dxa"/>
            <w:vAlign w:val="bottom"/>
          </w:tcPr>
          <w:p>
            <w:pPr>
              <w:ind w:left="2400"/>
              <w:spacing w:after="0"/>
              <w:rPr>
                <w:sz w:val="20"/>
                <w:szCs w:val="20"/>
                <w:color w:val="auto"/>
              </w:rPr>
            </w:pPr>
            <w:r>
              <w:rPr>
                <w:rFonts w:ascii="Arial" w:cs="Arial" w:eastAsia="Arial" w:hAnsi="Arial"/>
                <w:sz w:val="14"/>
                <w:szCs w:val="14"/>
                <w:color w:val="auto"/>
              </w:rPr>
              <w:t>Composite Quote</w:t>
            </w:r>
          </w:p>
        </w:tc>
      </w:tr>
      <w:tr>
        <w:trPr>
          <w:trHeight w:val="263"/>
        </w:trPr>
        <w:tc>
          <w:tcPr>
            <w:tcW w:w="1160" w:type="dxa"/>
            <w:vAlign w:val="bottom"/>
          </w:tcPr>
          <w:p>
            <w:pPr>
              <w:spacing w:after="0"/>
              <w:rPr>
                <w:sz w:val="22"/>
                <w:szCs w:val="22"/>
                <w:color w:val="auto"/>
              </w:rPr>
            </w:pPr>
          </w:p>
        </w:tc>
        <w:tc>
          <w:tcPr>
            <w:tcW w:w="6540" w:type="dxa"/>
            <w:vAlign w:val="bottom"/>
          </w:tcPr>
          <w:p>
            <w:pPr>
              <w:ind w:left="960"/>
              <w:spacing w:after="0"/>
              <w:rPr>
                <w:sz w:val="20"/>
                <w:szCs w:val="20"/>
                <w:color w:val="auto"/>
              </w:rPr>
            </w:pPr>
            <w:r>
              <w:rPr>
                <w:rFonts w:ascii="Arial" w:cs="Arial" w:eastAsia="Arial" w:hAnsi="Arial"/>
                <w:sz w:val="14"/>
                <w:szCs w:val="14"/>
                <w:color w:val="auto"/>
              </w:rPr>
              <w:t>Asia</w:t>
            </w:r>
          </w:p>
        </w:tc>
        <w:tc>
          <w:tcPr>
            <w:tcW w:w="3720" w:type="dxa"/>
            <w:vAlign w:val="bottom"/>
          </w:tcPr>
          <w:p>
            <w:pPr>
              <w:spacing w:after="0"/>
              <w:rPr>
                <w:sz w:val="22"/>
                <w:szCs w:val="22"/>
                <w:color w:val="auto"/>
              </w:rPr>
            </w:pP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AU, Australia</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CN, China</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HK, Hong Kong</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IN, India</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JP, Japan</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KR, Korea (Republic of)</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MY, Malaysia</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160" w:type="dxa"/>
            <w:vAlign w:val="bottom"/>
          </w:tcPr>
          <w:p>
            <w:pPr>
              <w:spacing w:after="0"/>
              <w:rPr>
                <w:sz w:val="12"/>
                <w:szCs w:val="12"/>
                <w:color w:val="auto"/>
              </w:rPr>
            </w:pPr>
          </w:p>
        </w:tc>
        <w:tc>
          <w:tcPr>
            <w:tcW w:w="6540" w:type="dxa"/>
            <w:vAlign w:val="bottom"/>
          </w:tcPr>
          <w:p>
            <w:pPr>
              <w:ind w:left="2440"/>
              <w:spacing w:after="0" w:line="149" w:lineRule="exact"/>
              <w:rPr>
                <w:sz w:val="20"/>
                <w:szCs w:val="20"/>
                <w:color w:val="auto"/>
              </w:rPr>
            </w:pPr>
            <w:r>
              <w:rPr>
                <w:rFonts w:ascii="Arial" w:cs="Arial" w:eastAsia="Arial" w:hAnsi="Arial"/>
                <w:sz w:val="14"/>
                <w:szCs w:val="14"/>
                <w:color w:val="auto"/>
              </w:rPr>
              <w:t>NZ, New Zealand</w:t>
            </w:r>
          </w:p>
        </w:tc>
        <w:tc>
          <w:tcPr>
            <w:tcW w:w="3720" w:type="dxa"/>
            <w:vAlign w:val="bottom"/>
          </w:tcPr>
          <w:p>
            <w:pPr>
              <w:ind w:left="240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160" w:type="dxa"/>
            <w:vAlign w:val="bottom"/>
          </w:tcPr>
          <w:p>
            <w:pPr>
              <w:spacing w:after="0"/>
              <w:rPr>
                <w:sz w:val="15"/>
                <w:szCs w:val="15"/>
                <w:color w:val="auto"/>
              </w:rPr>
            </w:pPr>
          </w:p>
        </w:tc>
        <w:tc>
          <w:tcPr>
            <w:tcW w:w="6540" w:type="dxa"/>
            <w:vAlign w:val="bottom"/>
          </w:tcPr>
          <w:p>
            <w:pPr>
              <w:ind w:left="2440"/>
              <w:spacing w:after="0"/>
              <w:rPr>
                <w:sz w:val="20"/>
                <w:szCs w:val="20"/>
                <w:color w:val="auto"/>
              </w:rPr>
            </w:pPr>
            <w:r>
              <w:rPr>
                <w:rFonts w:ascii="Arial" w:cs="Arial" w:eastAsia="Arial" w:hAnsi="Arial"/>
                <w:sz w:val="14"/>
                <w:szCs w:val="14"/>
                <w:color w:val="auto"/>
              </w:rPr>
              <w:t>SG, Singapore</w:t>
            </w:r>
          </w:p>
        </w:tc>
        <w:tc>
          <w:tcPr>
            <w:tcW w:w="3720" w:type="dxa"/>
            <w:vAlign w:val="bottom"/>
          </w:tcPr>
          <w:p>
            <w:pPr>
              <w:ind w:left="2400"/>
              <w:spacing w:after="0"/>
              <w:rPr>
                <w:sz w:val="20"/>
                <w:szCs w:val="20"/>
                <w:color w:val="auto"/>
              </w:rPr>
            </w:pPr>
            <w:r>
              <w:rPr>
                <w:rFonts w:ascii="Arial" w:cs="Arial" w:eastAsia="Arial" w:hAnsi="Arial"/>
                <w:sz w:val="14"/>
                <w:szCs w:val="14"/>
                <w:color w:val="auto"/>
              </w:rPr>
              <w:t>Composite Quote</w:t>
            </w:r>
          </w:p>
        </w:tc>
      </w:tr>
      <w:tr>
        <w:trPr>
          <w:trHeight w:val="633"/>
        </w:trPr>
        <w:tc>
          <w:tcPr>
            <w:tcW w:w="116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8" w:right="239" w:bottom="1440" w:gutter="0" w:footer="0" w:header="0"/>
        </w:sectPr>
      </w:pPr>
    </w:p>
    <w:bookmarkStart w:id="309" w:name="page310"/>
    <w:bookmarkEnd w:id="3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940" w:type="dxa"/>
            <w:vAlign w:val="bottom"/>
            <w:shd w:val="clear" w:color="auto" w:fill="EEECE1"/>
          </w:tcPr>
          <w:p>
            <w:pPr>
              <w:ind w:left="18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20" w:type="dxa"/>
            <w:vAlign w:val="bottom"/>
            <w:shd w:val="clear" w:color="auto" w:fill="EEECE1"/>
          </w:tcPr>
          <w:p>
            <w:pPr>
              <w:spacing w:after="0"/>
              <w:rPr>
                <w:sz w:val="12"/>
                <w:szCs w:val="12"/>
                <w:color w:val="auto"/>
              </w:rPr>
            </w:pPr>
          </w:p>
        </w:tc>
        <w:tc>
          <w:tcPr>
            <w:tcW w:w="594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20" w:type="dxa"/>
            <w:vAlign w:val="bottom"/>
            <w:shd w:val="clear" w:color="auto" w:fill="EEECE1"/>
          </w:tcPr>
          <w:p>
            <w:pPr>
              <w:spacing w:after="0"/>
              <w:rPr>
                <w:sz w:val="14"/>
                <w:szCs w:val="14"/>
                <w:color w:val="auto"/>
              </w:rPr>
            </w:pPr>
          </w:p>
        </w:tc>
        <w:tc>
          <w:tcPr>
            <w:tcW w:w="59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CHF</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 America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BM, Bermuda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BR, Brazil</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CL, Chile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CW, Curaçao</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KY, Cayman Islands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MX, Mexico</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PA, Panama</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PE, Peru</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AT, Austria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CH, Switzerland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ES, Spain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GG, Guernsey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GR, Greece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LI, Liechtenstein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AE, United Arab Emirates</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CZ, Czech Republic</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HU, Hungary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LT, Lithuania</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PL, Poland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QA, Qatar</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SK, Slovakia</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ZA, South Africa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HK, Hong Kong</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JP, Japan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KR, Korea (Republic of)</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MY, Malaysia</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NZ, New Zealand</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10" w:name="page311"/>
    <w:bookmarkEnd w:id="3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940" w:type="dxa"/>
            <w:vAlign w:val="bottom"/>
            <w:shd w:val="clear" w:color="auto" w:fill="EEECE1"/>
          </w:tcPr>
          <w:p>
            <w:pPr>
              <w:ind w:left="18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20" w:type="dxa"/>
            <w:vAlign w:val="bottom"/>
            <w:shd w:val="clear" w:color="auto" w:fill="EEECE1"/>
          </w:tcPr>
          <w:p>
            <w:pPr>
              <w:spacing w:after="0"/>
              <w:rPr>
                <w:sz w:val="12"/>
                <w:szCs w:val="12"/>
                <w:color w:val="auto"/>
              </w:rPr>
            </w:pPr>
          </w:p>
        </w:tc>
        <w:tc>
          <w:tcPr>
            <w:tcW w:w="594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20" w:type="dxa"/>
            <w:vAlign w:val="bottom"/>
            <w:shd w:val="clear" w:color="auto" w:fill="EEECE1"/>
          </w:tcPr>
          <w:p>
            <w:pPr>
              <w:spacing w:after="0"/>
              <w:rPr>
                <w:sz w:val="14"/>
                <w:szCs w:val="14"/>
                <w:color w:val="auto"/>
              </w:rPr>
            </w:pPr>
          </w:p>
        </w:tc>
        <w:tc>
          <w:tcPr>
            <w:tcW w:w="59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CZK</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CZ, Czech Republic</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DKK</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DK, Denmark</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US, United States of America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EUR</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AN, Netherlands Antilles</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AR, Argentina</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BM, Bermuda</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BR, Brazil</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BS, Bahamas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CL, Chile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KY, Cayman Islands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MX, Mexico</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PE, Peru</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VG, Virgin Islands (British)</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AT, Austria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BE, Belgium</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CH, Switzerland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ES, Spain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GB, United Kingdom</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GG, Guernsey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GR, Greece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IS, Iceland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PL, Poland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PT, Portugal</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11" w:name="page312"/>
    <w:bookmarkEnd w:id="3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1020" w:type="dxa"/>
            <w:vAlign w:val="bottom"/>
            <w:shd w:val="clear" w:color="auto" w:fill="EEECE1"/>
          </w:tcPr>
          <w:p>
            <w:pPr>
              <w:jc w:val="right"/>
              <w:ind w:right="728"/>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8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2940" w:type="dxa"/>
            <w:vAlign w:val="bottom"/>
            <w:shd w:val="clear" w:color="auto" w:fill="EEECE1"/>
          </w:tcPr>
          <w:p>
            <w:pPr>
              <w:jc w:val="right"/>
              <w:ind w:right="2548"/>
              <w:spacing w:after="0"/>
              <w:rPr>
                <w:sz w:val="20"/>
                <w:szCs w:val="20"/>
                <w:color w:val="auto"/>
              </w:rPr>
            </w:pPr>
            <w:r>
              <w:rPr>
                <w:rFonts w:ascii="Arial" w:cs="Arial" w:eastAsia="Arial" w:hAnsi="Arial"/>
                <w:sz w:val="14"/>
                <w:szCs w:val="14"/>
                <w:b w:val="1"/>
                <w:bCs w:val="1"/>
                <w:color w:val="auto"/>
              </w:rPr>
              <w:t>6</w:t>
            </w:r>
          </w:p>
        </w:tc>
        <w:tc>
          <w:tcPr>
            <w:tcW w:w="30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840" w:type="dxa"/>
            <w:vAlign w:val="bottom"/>
            <w:shd w:val="clear" w:color="auto" w:fill="EEECE1"/>
          </w:tcPr>
          <w:p>
            <w:pPr>
              <w:spacing w:after="0"/>
              <w:rPr>
                <w:sz w:val="12"/>
                <w:szCs w:val="12"/>
                <w:color w:val="auto"/>
              </w:rPr>
            </w:pPr>
          </w:p>
        </w:tc>
        <w:tc>
          <w:tcPr>
            <w:tcW w:w="2940" w:type="dxa"/>
            <w:vAlign w:val="bottom"/>
            <w:shd w:val="clear" w:color="auto" w:fill="EEECE1"/>
          </w:tcPr>
          <w:p>
            <w:pPr>
              <w:spacing w:after="0"/>
              <w:rPr>
                <w:sz w:val="12"/>
                <w:szCs w:val="12"/>
                <w:color w:val="auto"/>
              </w:rPr>
            </w:pPr>
          </w:p>
        </w:tc>
        <w:tc>
          <w:tcPr>
            <w:tcW w:w="308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7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10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840" w:type="dxa"/>
            <w:vAlign w:val="bottom"/>
            <w:shd w:val="clear" w:color="auto" w:fill="EEECE1"/>
          </w:tcPr>
          <w:p>
            <w:pPr>
              <w:spacing w:after="0"/>
              <w:rPr>
                <w:sz w:val="14"/>
                <w:szCs w:val="14"/>
                <w:color w:val="auto"/>
              </w:rPr>
            </w:pPr>
          </w:p>
        </w:tc>
        <w:tc>
          <w:tcPr>
            <w:tcW w:w="2940" w:type="dxa"/>
            <w:vAlign w:val="bottom"/>
            <w:shd w:val="clear" w:color="auto" w:fill="EEECE1"/>
          </w:tcPr>
          <w:p>
            <w:pPr>
              <w:spacing w:after="0"/>
              <w:rPr>
                <w:sz w:val="14"/>
                <w:szCs w:val="14"/>
                <w:color w:val="auto"/>
              </w:rPr>
            </w:pPr>
          </w:p>
        </w:tc>
        <w:tc>
          <w:tcPr>
            <w:tcW w:w="30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840" w:type="dxa"/>
            <w:vAlign w:val="bottom"/>
            <w:vMerge w:val="restart"/>
          </w:tcPr>
          <w:p>
            <w:pPr>
              <w:ind w:left="40"/>
              <w:spacing w:after="0"/>
              <w:rPr>
                <w:sz w:val="20"/>
                <w:szCs w:val="20"/>
                <w:color w:val="auto"/>
              </w:rPr>
            </w:pPr>
            <w:r>
              <w:rPr>
                <w:rFonts w:ascii="Arial" w:cs="Arial" w:eastAsia="Arial" w:hAnsi="Arial"/>
                <w:sz w:val="14"/>
                <w:szCs w:val="14"/>
                <w:color w:val="auto"/>
              </w:rPr>
              <w:t>AE, United Arab Emirates</w:t>
            </w:r>
          </w:p>
        </w:tc>
        <w:tc>
          <w:tcPr>
            <w:tcW w:w="2940" w:type="dxa"/>
            <w:vAlign w:val="bottom"/>
          </w:tcPr>
          <w:p>
            <w:pPr>
              <w:spacing w:after="0"/>
              <w:rPr>
                <w:sz w:val="15"/>
                <w:szCs w:val="15"/>
                <w:color w:val="auto"/>
              </w:rPr>
            </w:pPr>
          </w:p>
        </w:tc>
        <w:tc>
          <w:tcPr>
            <w:tcW w:w="3080" w:type="dxa"/>
            <w:vAlign w:val="bottom"/>
            <w:vMerge w:val="restart"/>
          </w:tcPr>
          <w:p>
            <w:pPr>
              <w:ind w:left="17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AL, Albania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BG, Bulgaria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CY, Cyprus</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CZ, Czech Republic</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EE, Estonia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HR, Croatia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HU, Hungary</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IL, Israel</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IR, Iraq</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KZ, Kazakhstan</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LB, Lebanon</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LT, Lithuania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LV, Latvia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ME, Montenegro</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MK, Macedonia (the former Yugoslav Republic of)</w:t>
            </w: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QA, Qatar</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RO, Romania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RS, Serbia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RU, Russian Federation</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SI, Slovenia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SK, Slovakia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TN, Tunisia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TR, Turkey</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MA, Morocco</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ZA, South Africa</w:t>
            </w:r>
          </w:p>
        </w:tc>
        <w:tc>
          <w:tcPr>
            <w:tcW w:w="2940" w:type="dxa"/>
            <w:vAlign w:val="bottom"/>
          </w:tcPr>
          <w:p>
            <w:pPr>
              <w:spacing w:after="0"/>
              <w:rPr>
                <w:sz w:val="15"/>
                <w:szCs w:val="15"/>
                <w:color w:val="auto"/>
              </w:rPr>
            </w:pPr>
          </w:p>
        </w:tc>
        <w:tc>
          <w:tcPr>
            <w:tcW w:w="3080" w:type="dxa"/>
            <w:vAlign w:val="bottom"/>
          </w:tcPr>
          <w:p>
            <w:pPr>
              <w:ind w:left="17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84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2940" w:type="dxa"/>
            <w:vAlign w:val="bottom"/>
          </w:tcPr>
          <w:p>
            <w:pPr>
              <w:spacing w:after="0"/>
              <w:rPr>
                <w:sz w:val="24"/>
                <w:szCs w:val="24"/>
                <w:color w:val="auto"/>
              </w:rPr>
            </w:pPr>
          </w:p>
        </w:tc>
        <w:tc>
          <w:tcPr>
            <w:tcW w:w="3080" w:type="dxa"/>
            <w:vAlign w:val="bottom"/>
            <w:vMerge w:val="restart"/>
          </w:tcPr>
          <w:p>
            <w:pPr>
              <w:ind w:left="17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3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CN, China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HK, Hong Kong</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ID, Indonesia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IN, India</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JP, Japan</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KR, Korea (Republic of)</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NZ, New Zealand</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PH, Philippines</w:t>
            </w:r>
          </w:p>
        </w:tc>
        <w:tc>
          <w:tcPr>
            <w:tcW w:w="2940" w:type="dxa"/>
            <w:vAlign w:val="bottom"/>
          </w:tcPr>
          <w:p>
            <w:pPr>
              <w:spacing w:after="0"/>
              <w:rPr>
                <w:sz w:val="12"/>
                <w:szCs w:val="12"/>
                <w:color w:val="auto"/>
              </w:rPr>
            </w:pPr>
          </w:p>
        </w:tc>
        <w:tc>
          <w:tcPr>
            <w:tcW w:w="3080" w:type="dxa"/>
            <w:vAlign w:val="bottom"/>
          </w:tcPr>
          <w:p>
            <w:pPr>
              <w:ind w:left="17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SG, Singapore</w:t>
            </w:r>
          </w:p>
        </w:tc>
        <w:tc>
          <w:tcPr>
            <w:tcW w:w="2940" w:type="dxa"/>
            <w:vAlign w:val="bottom"/>
          </w:tcPr>
          <w:p>
            <w:pPr>
              <w:spacing w:after="0"/>
              <w:rPr>
                <w:sz w:val="15"/>
                <w:szCs w:val="15"/>
                <w:color w:val="auto"/>
              </w:rPr>
            </w:pPr>
          </w:p>
        </w:tc>
        <w:tc>
          <w:tcPr>
            <w:tcW w:w="3080" w:type="dxa"/>
            <w:vAlign w:val="bottom"/>
          </w:tcPr>
          <w:p>
            <w:pPr>
              <w:ind w:left="17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8" w:right="239" w:bottom="1440" w:gutter="0" w:footer="0" w:header="0"/>
        </w:sectPr>
      </w:pPr>
    </w:p>
    <w:bookmarkStart w:id="312" w:name="page313"/>
    <w:bookmarkEnd w:id="3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940" w:type="dxa"/>
            <w:vAlign w:val="bottom"/>
            <w:shd w:val="clear" w:color="auto" w:fill="EEECE1"/>
          </w:tcPr>
          <w:p>
            <w:pPr>
              <w:ind w:left="18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20" w:type="dxa"/>
            <w:vAlign w:val="bottom"/>
            <w:shd w:val="clear" w:color="auto" w:fill="EEECE1"/>
          </w:tcPr>
          <w:p>
            <w:pPr>
              <w:spacing w:after="0"/>
              <w:rPr>
                <w:sz w:val="12"/>
                <w:szCs w:val="12"/>
                <w:color w:val="auto"/>
              </w:rPr>
            </w:pPr>
          </w:p>
        </w:tc>
        <w:tc>
          <w:tcPr>
            <w:tcW w:w="594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20" w:type="dxa"/>
            <w:vAlign w:val="bottom"/>
            <w:shd w:val="clear" w:color="auto" w:fill="EEECE1"/>
          </w:tcPr>
          <w:p>
            <w:pPr>
              <w:spacing w:after="0"/>
              <w:rPr>
                <w:sz w:val="14"/>
                <w:szCs w:val="14"/>
                <w:color w:val="auto"/>
              </w:rPr>
            </w:pPr>
          </w:p>
        </w:tc>
        <w:tc>
          <w:tcPr>
            <w:tcW w:w="59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GBP</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AN, Netherlands Antilles</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BM, Bermuda</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KY, Cayman Islands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MX, Mexico</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BE, Belgium</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CH, Switzerland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ES, Spain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GB, United Kingdom</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GG, Guernsey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PT, Portugal</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AE, United Arab Emirates</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HU, Hungary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IL, Israel</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QA, Qatar</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SK, Slovakia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HK, Hong Kong</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JP, Japan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KR, Korea (Republic of)</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NZ, New Zealand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SG, Singapore</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13" w:name="page314"/>
    <w:bookmarkEnd w:id="3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940" w:type="dxa"/>
            <w:vAlign w:val="bottom"/>
            <w:shd w:val="clear" w:color="auto" w:fill="EEECE1"/>
          </w:tcPr>
          <w:p>
            <w:pPr>
              <w:ind w:left="18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20" w:type="dxa"/>
            <w:vAlign w:val="bottom"/>
            <w:shd w:val="clear" w:color="auto" w:fill="EEECE1"/>
          </w:tcPr>
          <w:p>
            <w:pPr>
              <w:spacing w:after="0"/>
              <w:rPr>
                <w:sz w:val="12"/>
                <w:szCs w:val="12"/>
                <w:color w:val="auto"/>
              </w:rPr>
            </w:pPr>
          </w:p>
        </w:tc>
        <w:tc>
          <w:tcPr>
            <w:tcW w:w="594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20" w:type="dxa"/>
            <w:vAlign w:val="bottom"/>
            <w:shd w:val="clear" w:color="auto" w:fill="EEECE1"/>
          </w:tcPr>
          <w:p>
            <w:pPr>
              <w:spacing w:after="0"/>
              <w:rPr>
                <w:sz w:val="14"/>
                <w:szCs w:val="14"/>
                <w:color w:val="auto"/>
              </w:rPr>
            </w:pPr>
          </w:p>
        </w:tc>
        <w:tc>
          <w:tcPr>
            <w:tcW w:w="59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HUF</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AT, Austria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NL, Neatherlands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XS, Eurobond</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HU, Hungary</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NOK</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BM, Bermuda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KY, Cayman Islands</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AT, Austria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BE, Belgium</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CH, Switzerland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CY, Cyprus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ES, Spain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GG, Guernsey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IS, Iceland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AE, United Arab Emirates</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MC, Monaco</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SK, Slovakia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KR, Korea (Republic of)</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SG, Singapore</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14" w:name="page315"/>
    <w:bookmarkEnd w:id="3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940" w:type="dxa"/>
            <w:vAlign w:val="bottom"/>
            <w:shd w:val="clear" w:color="auto" w:fill="EEECE1"/>
          </w:tcPr>
          <w:p>
            <w:pPr>
              <w:ind w:left="18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20" w:type="dxa"/>
            <w:vAlign w:val="bottom"/>
            <w:shd w:val="clear" w:color="auto" w:fill="EEECE1"/>
          </w:tcPr>
          <w:p>
            <w:pPr>
              <w:spacing w:after="0"/>
              <w:rPr>
                <w:sz w:val="12"/>
                <w:szCs w:val="12"/>
                <w:color w:val="auto"/>
              </w:rPr>
            </w:pPr>
          </w:p>
        </w:tc>
        <w:tc>
          <w:tcPr>
            <w:tcW w:w="594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20" w:type="dxa"/>
            <w:vAlign w:val="bottom"/>
            <w:shd w:val="clear" w:color="auto" w:fill="EEECE1"/>
          </w:tcPr>
          <w:p>
            <w:pPr>
              <w:spacing w:after="0"/>
              <w:rPr>
                <w:sz w:val="14"/>
                <w:szCs w:val="14"/>
                <w:color w:val="auto"/>
              </w:rPr>
            </w:pPr>
          </w:p>
        </w:tc>
        <w:tc>
          <w:tcPr>
            <w:tcW w:w="59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NZD</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DE, Germany</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AE, United Arab Emirates</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HK, Hong Kong</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JP, Japan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KR, Korea (Republic of)</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NZ, New Zealand</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PLN</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PL, Poland</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RUB</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BS, Bahamas</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CH, Switzerland</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UK, United Kingdom</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XS, Eurobond</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RU, Russian Federation</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15" w:name="page316"/>
    <w:bookmarkEnd w:id="3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940" w:type="dxa"/>
            <w:vAlign w:val="bottom"/>
            <w:shd w:val="clear" w:color="auto" w:fill="EEECE1"/>
          </w:tcPr>
          <w:p>
            <w:pPr>
              <w:ind w:left="18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20" w:type="dxa"/>
            <w:vAlign w:val="bottom"/>
            <w:shd w:val="clear" w:color="auto" w:fill="EEECE1"/>
          </w:tcPr>
          <w:p>
            <w:pPr>
              <w:spacing w:after="0"/>
              <w:rPr>
                <w:sz w:val="12"/>
                <w:szCs w:val="12"/>
                <w:color w:val="auto"/>
              </w:rPr>
            </w:pPr>
          </w:p>
        </w:tc>
        <w:tc>
          <w:tcPr>
            <w:tcW w:w="594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20" w:type="dxa"/>
            <w:vAlign w:val="bottom"/>
            <w:shd w:val="clear" w:color="auto" w:fill="EEECE1"/>
          </w:tcPr>
          <w:p>
            <w:pPr>
              <w:spacing w:after="0"/>
              <w:rPr>
                <w:sz w:val="14"/>
                <w:szCs w:val="14"/>
                <w:color w:val="auto"/>
              </w:rPr>
            </w:pPr>
          </w:p>
        </w:tc>
        <w:tc>
          <w:tcPr>
            <w:tcW w:w="59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SEK</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US, United States of America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AN, Netherlands Antilles</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BM, Bermuda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CH, Switzerland</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GG, Guernsey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IS, Iceland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UK, United Kingdom</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XS, Eurobond</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MU, Mauritius</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ZA, South Africa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TRY</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ind w:left="180"/>
              <w:spacing w:after="0" w:line="149" w:lineRule="exact"/>
              <w:rPr>
                <w:sz w:val="20"/>
                <w:szCs w:val="20"/>
                <w:color w:val="auto"/>
              </w:rPr>
            </w:pPr>
            <w:r>
              <w:rPr>
                <w:rFonts w:ascii="Arial" w:cs="Arial" w:eastAsia="Arial" w:hAnsi="Arial"/>
                <w:sz w:val="14"/>
                <w:szCs w:val="14"/>
                <w:b w:val="1"/>
                <w:bCs w:val="1"/>
                <w:color w:val="FFFFFF"/>
              </w:rPr>
              <w:t>NOT ON TR FEED</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US, United States of America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Europe</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AT, Austria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AU, Australia</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TR, Turkey</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16" w:name="page317"/>
    <w:bookmarkEnd w:id="3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21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2340" w:type="dxa"/>
            <w:vAlign w:val="bottom"/>
            <w:shd w:val="clear" w:color="auto" w:fill="EEECE1"/>
          </w:tcPr>
          <w:p>
            <w:pPr>
              <w:jc w:val="right"/>
              <w:ind w:right="2229"/>
              <w:spacing w:after="0"/>
              <w:rPr>
                <w:sz w:val="20"/>
                <w:szCs w:val="20"/>
                <w:color w:val="auto"/>
              </w:rPr>
            </w:pPr>
            <w:r>
              <w:rPr>
                <w:rFonts w:ascii="Arial" w:cs="Arial" w:eastAsia="Arial" w:hAnsi="Arial"/>
                <w:sz w:val="10"/>
                <w:szCs w:val="10"/>
                <w:b w:val="1"/>
                <w:bCs w:val="1"/>
                <w:color w:val="auto"/>
                <w:w w:val="71"/>
              </w:rPr>
              <w:t>6</w:t>
            </w:r>
          </w:p>
        </w:tc>
        <w:tc>
          <w:tcPr>
            <w:tcW w:w="34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2100" w:type="dxa"/>
            <w:vAlign w:val="bottom"/>
            <w:shd w:val="clear" w:color="auto" w:fill="EEECE1"/>
          </w:tcPr>
          <w:p>
            <w:pPr>
              <w:spacing w:after="0"/>
              <w:rPr>
                <w:sz w:val="12"/>
                <w:szCs w:val="12"/>
                <w:color w:val="auto"/>
              </w:rPr>
            </w:pPr>
          </w:p>
        </w:tc>
        <w:tc>
          <w:tcPr>
            <w:tcW w:w="2340" w:type="dxa"/>
            <w:vAlign w:val="bottom"/>
            <w:shd w:val="clear" w:color="auto" w:fill="EEECE1"/>
          </w:tcPr>
          <w:p>
            <w:pPr>
              <w:spacing w:after="0"/>
              <w:rPr>
                <w:sz w:val="12"/>
                <w:szCs w:val="12"/>
                <w:color w:val="auto"/>
              </w:rPr>
            </w:pPr>
          </w:p>
        </w:tc>
        <w:tc>
          <w:tcPr>
            <w:tcW w:w="34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2100" w:type="dxa"/>
            <w:vAlign w:val="bottom"/>
            <w:shd w:val="clear" w:color="auto" w:fill="EEECE1"/>
          </w:tcPr>
          <w:p>
            <w:pPr>
              <w:spacing w:after="0"/>
              <w:rPr>
                <w:sz w:val="14"/>
                <w:szCs w:val="14"/>
                <w:color w:val="auto"/>
              </w:rPr>
            </w:pPr>
          </w:p>
        </w:tc>
        <w:tc>
          <w:tcPr>
            <w:tcW w:w="2340" w:type="dxa"/>
            <w:vAlign w:val="bottom"/>
            <w:shd w:val="clear" w:color="auto" w:fill="EEECE1"/>
          </w:tcPr>
          <w:p>
            <w:pPr>
              <w:spacing w:after="0"/>
              <w:rPr>
                <w:sz w:val="14"/>
                <w:szCs w:val="14"/>
                <w:color w:val="auto"/>
              </w:rPr>
            </w:pPr>
          </w:p>
        </w:tc>
        <w:tc>
          <w:tcPr>
            <w:tcW w:w="34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USD</w:t>
            </w:r>
          </w:p>
        </w:tc>
        <w:tc>
          <w:tcPr>
            <w:tcW w:w="1480" w:type="dxa"/>
            <w:vAlign w:val="bottom"/>
            <w:shd w:val="clear" w:color="auto" w:fill="1F497D"/>
          </w:tcPr>
          <w:p>
            <w:pPr>
              <w:spacing w:after="0"/>
              <w:rPr>
                <w:sz w:val="12"/>
                <w:szCs w:val="12"/>
                <w:color w:val="auto"/>
              </w:rPr>
            </w:pPr>
          </w:p>
        </w:tc>
        <w:tc>
          <w:tcPr>
            <w:tcW w:w="2100" w:type="dxa"/>
            <w:vAlign w:val="bottom"/>
            <w:shd w:val="clear" w:color="auto" w:fill="1F497D"/>
          </w:tcPr>
          <w:p>
            <w:pPr>
              <w:spacing w:after="0"/>
              <w:rPr>
                <w:sz w:val="12"/>
                <w:szCs w:val="12"/>
                <w:color w:val="auto"/>
              </w:rPr>
            </w:pPr>
          </w:p>
        </w:tc>
        <w:tc>
          <w:tcPr>
            <w:tcW w:w="2340" w:type="dxa"/>
            <w:vAlign w:val="bottom"/>
            <w:shd w:val="clear" w:color="auto" w:fill="1F497D"/>
          </w:tcPr>
          <w:p>
            <w:pPr>
              <w:spacing w:after="0"/>
              <w:rPr>
                <w:sz w:val="12"/>
                <w:szCs w:val="12"/>
                <w:color w:val="auto"/>
              </w:rPr>
            </w:pPr>
          </w:p>
        </w:tc>
        <w:tc>
          <w:tcPr>
            <w:tcW w:w="34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2100" w:type="dxa"/>
            <w:vAlign w:val="bottom"/>
            <w:vMerge w:val="restart"/>
          </w:tcPr>
          <w:p>
            <w:pPr>
              <w:ind w:left="40"/>
              <w:spacing w:after="0"/>
              <w:rPr>
                <w:sz w:val="20"/>
                <w:szCs w:val="20"/>
                <w:color w:val="auto"/>
              </w:rPr>
            </w:pPr>
            <w:r>
              <w:rPr>
                <w:rFonts w:ascii="Arial" w:cs="Arial" w:eastAsia="Arial" w:hAnsi="Arial"/>
                <w:sz w:val="14"/>
                <w:szCs w:val="14"/>
                <w:color w:val="auto"/>
              </w:rPr>
              <w:t>CA, Canada</w:t>
            </w:r>
          </w:p>
        </w:tc>
        <w:tc>
          <w:tcPr>
            <w:tcW w:w="2340" w:type="dxa"/>
            <w:vAlign w:val="bottom"/>
          </w:tcPr>
          <w:p>
            <w:pPr>
              <w:spacing w:after="0"/>
              <w:rPr>
                <w:sz w:val="15"/>
                <w:szCs w:val="15"/>
                <w:color w:val="auto"/>
              </w:rPr>
            </w:pPr>
          </w:p>
        </w:tc>
        <w:tc>
          <w:tcPr>
            <w:tcW w:w="3420" w:type="dxa"/>
            <w:vAlign w:val="bottom"/>
            <w:vMerge w:val="restart"/>
          </w:tcPr>
          <w:p>
            <w:pPr>
              <w:ind w:left="21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2340" w:type="dxa"/>
            <w:vAlign w:val="bottom"/>
          </w:tcPr>
          <w:p>
            <w:pPr>
              <w:spacing w:after="0"/>
              <w:rPr>
                <w:sz w:val="8"/>
                <w:szCs w:val="8"/>
                <w:color w:val="auto"/>
              </w:rPr>
            </w:pPr>
          </w:p>
        </w:tc>
        <w:tc>
          <w:tcPr>
            <w:tcW w:w="3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US, United States of America</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Arial" w:cs="Arial" w:eastAsia="Arial" w:hAnsi="Arial"/>
                <w:sz w:val="14"/>
                <w:szCs w:val="14"/>
                <w:color w:val="auto"/>
              </w:rPr>
              <w:t>US, AiPrice</w:t>
            </w:r>
          </w:p>
        </w:tc>
        <w:tc>
          <w:tcPr>
            <w:tcW w:w="2340" w:type="dxa"/>
            <w:vAlign w:val="bottom"/>
          </w:tcPr>
          <w:p>
            <w:pPr>
              <w:spacing w:after="0"/>
              <w:rPr>
                <w:sz w:val="15"/>
                <w:szCs w:val="15"/>
                <w:color w:val="auto"/>
              </w:rPr>
            </w:pPr>
          </w:p>
        </w:tc>
        <w:tc>
          <w:tcPr>
            <w:tcW w:w="3420" w:type="dxa"/>
            <w:vAlign w:val="bottom"/>
          </w:tcPr>
          <w:p>
            <w:pPr>
              <w:ind w:left="2100"/>
              <w:spacing w:after="0"/>
              <w:rPr>
                <w:sz w:val="20"/>
                <w:szCs w:val="20"/>
                <w:color w:val="auto"/>
              </w:rPr>
            </w:pPr>
            <w:r>
              <w:rPr>
                <w:rFonts w:ascii="Arial" w:cs="Arial" w:eastAsia="Arial" w:hAnsi="Arial"/>
                <w:sz w:val="14"/>
                <w:szCs w:val="14"/>
                <w:color w:val="auto"/>
              </w:rPr>
              <w:t>Evaluated Price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LATAM</w:t>
            </w:r>
          </w:p>
        </w:tc>
        <w:tc>
          <w:tcPr>
            <w:tcW w:w="2100" w:type="dxa"/>
            <w:vAlign w:val="bottom"/>
            <w:vMerge w:val="restart"/>
          </w:tcPr>
          <w:p>
            <w:pPr>
              <w:ind w:left="40"/>
              <w:spacing w:after="0"/>
              <w:rPr>
                <w:sz w:val="20"/>
                <w:szCs w:val="20"/>
                <w:color w:val="auto"/>
              </w:rPr>
            </w:pPr>
            <w:r>
              <w:rPr>
                <w:rFonts w:ascii="Arial" w:cs="Arial" w:eastAsia="Arial" w:hAnsi="Arial"/>
                <w:sz w:val="14"/>
                <w:szCs w:val="14"/>
                <w:color w:val="auto"/>
              </w:rPr>
              <w:t>AN, Netherlands Antilles</w:t>
            </w:r>
          </w:p>
        </w:tc>
        <w:tc>
          <w:tcPr>
            <w:tcW w:w="2340" w:type="dxa"/>
            <w:vAlign w:val="bottom"/>
          </w:tcPr>
          <w:p>
            <w:pPr>
              <w:spacing w:after="0"/>
              <w:rPr>
                <w:sz w:val="24"/>
                <w:szCs w:val="24"/>
                <w:color w:val="auto"/>
              </w:rPr>
            </w:pPr>
          </w:p>
        </w:tc>
        <w:tc>
          <w:tcPr>
            <w:tcW w:w="3420" w:type="dxa"/>
            <w:vAlign w:val="bottom"/>
            <w:vMerge w:val="restart"/>
          </w:tcPr>
          <w:p>
            <w:pPr>
              <w:ind w:left="21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2340" w:type="dxa"/>
            <w:vAlign w:val="bottom"/>
          </w:tcPr>
          <w:p>
            <w:pPr>
              <w:spacing w:after="0"/>
              <w:rPr>
                <w:sz w:val="9"/>
                <w:szCs w:val="9"/>
                <w:color w:val="auto"/>
              </w:rPr>
            </w:pP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AR, Argentina</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BB, Barbados</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BM, Bermuda</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w w:val="96"/>
              </w:rPr>
              <w:t>BO, Bolivia (Plurinational State of)</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BR, Brazil</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BS, Bahamas</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BZ, Belize</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CL, Chile</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CO, Colombia</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CR, Costa Rica</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CW, Curaçao</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DO, Dominican Republic</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EC, Ecuador</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GT, Guatemala</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HN, Honduras</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JM, Jamaica</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KY, Cayman Islands</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LC, Saint Lucia</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MX, Mexico</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PA, Panama</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PE, Peru</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PR, Puerto Rico</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PY, Paraguay</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SV, El Salvador</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TT, Trinidad and Tobago</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SX, Sint Maarten</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UY, Uruguay</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VE, Venezuela (Bolivarian Republic of)</w:t>
            </w: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Arial" w:cs="Arial" w:eastAsia="Arial" w:hAnsi="Arial"/>
                <w:sz w:val="14"/>
                <w:szCs w:val="14"/>
                <w:color w:val="auto"/>
              </w:rPr>
              <w:t>VG, Virgin Islands (British)</w:t>
            </w:r>
          </w:p>
        </w:tc>
        <w:tc>
          <w:tcPr>
            <w:tcW w:w="2340" w:type="dxa"/>
            <w:vAlign w:val="bottom"/>
          </w:tcPr>
          <w:p>
            <w:pPr>
              <w:spacing w:after="0"/>
              <w:rPr>
                <w:sz w:val="15"/>
                <w:szCs w:val="15"/>
                <w:color w:val="auto"/>
              </w:rPr>
            </w:pPr>
          </w:p>
        </w:tc>
        <w:tc>
          <w:tcPr>
            <w:tcW w:w="3420" w:type="dxa"/>
            <w:vAlign w:val="bottom"/>
          </w:tcPr>
          <w:p>
            <w:pPr>
              <w:ind w:left="21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2100" w:type="dxa"/>
            <w:vAlign w:val="bottom"/>
            <w:vMerge w:val="restart"/>
          </w:tcPr>
          <w:p>
            <w:pPr>
              <w:ind w:left="40"/>
              <w:spacing w:after="0"/>
              <w:rPr>
                <w:sz w:val="20"/>
                <w:szCs w:val="20"/>
                <w:color w:val="auto"/>
              </w:rPr>
            </w:pPr>
            <w:r>
              <w:rPr>
                <w:rFonts w:ascii="Arial" w:cs="Arial" w:eastAsia="Arial" w:hAnsi="Arial"/>
                <w:sz w:val="14"/>
                <w:szCs w:val="14"/>
                <w:color w:val="auto"/>
              </w:rPr>
              <w:t>AT, Austria</w:t>
            </w:r>
          </w:p>
        </w:tc>
        <w:tc>
          <w:tcPr>
            <w:tcW w:w="2340" w:type="dxa"/>
            <w:vAlign w:val="bottom"/>
          </w:tcPr>
          <w:p>
            <w:pPr>
              <w:spacing w:after="0"/>
              <w:rPr>
                <w:sz w:val="24"/>
                <w:szCs w:val="24"/>
                <w:color w:val="auto"/>
              </w:rPr>
            </w:pPr>
          </w:p>
        </w:tc>
        <w:tc>
          <w:tcPr>
            <w:tcW w:w="3420" w:type="dxa"/>
            <w:vAlign w:val="bottom"/>
            <w:vMerge w:val="restart"/>
          </w:tcPr>
          <w:p>
            <w:pPr>
              <w:ind w:left="21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2340" w:type="dxa"/>
            <w:vAlign w:val="bottom"/>
          </w:tcPr>
          <w:p>
            <w:pPr>
              <w:spacing w:after="0"/>
              <w:rPr>
                <w:sz w:val="9"/>
                <w:szCs w:val="9"/>
                <w:color w:val="auto"/>
              </w:rPr>
            </w:pP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BE, Belgium</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CH, Switzerland</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CY, Cyprus</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DE, Germany</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ES, Spain</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GB, United Kingdom</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GG, Guernsey</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GR, Greece</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IE, Ireland</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IM, Isle of Man</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LU, Luxembourg</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MC, Monaco</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MT, Malta</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PT, Portugal</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0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2340" w:type="dxa"/>
            <w:vAlign w:val="bottom"/>
          </w:tcPr>
          <w:p>
            <w:pPr>
              <w:spacing w:after="0"/>
              <w:rPr>
                <w:sz w:val="12"/>
                <w:szCs w:val="12"/>
                <w:color w:val="auto"/>
              </w:rPr>
            </w:pPr>
          </w:p>
        </w:tc>
        <w:tc>
          <w:tcPr>
            <w:tcW w:w="3420" w:type="dxa"/>
            <w:vAlign w:val="bottom"/>
          </w:tcPr>
          <w:p>
            <w:pPr>
              <w:ind w:left="21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Arial" w:cs="Arial" w:eastAsia="Arial" w:hAnsi="Arial"/>
                <w:sz w:val="14"/>
                <w:szCs w:val="14"/>
                <w:color w:val="auto"/>
              </w:rPr>
              <w:t>UK, United Kingdom</w:t>
            </w:r>
          </w:p>
        </w:tc>
        <w:tc>
          <w:tcPr>
            <w:tcW w:w="2340" w:type="dxa"/>
            <w:vAlign w:val="bottom"/>
          </w:tcPr>
          <w:p>
            <w:pPr>
              <w:spacing w:after="0"/>
              <w:rPr>
                <w:sz w:val="15"/>
                <w:szCs w:val="15"/>
                <w:color w:val="auto"/>
              </w:rPr>
            </w:pPr>
          </w:p>
        </w:tc>
        <w:tc>
          <w:tcPr>
            <w:tcW w:w="3420" w:type="dxa"/>
            <w:vAlign w:val="bottom"/>
          </w:tcPr>
          <w:p>
            <w:pPr>
              <w:ind w:left="21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8" w:right="239" w:bottom="1440" w:gutter="0" w:footer="0" w:header="0"/>
        </w:sectPr>
      </w:pPr>
    </w:p>
    <w:bookmarkStart w:id="317" w:name="page318"/>
    <w:bookmarkEnd w:id="3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1020" w:type="dxa"/>
            <w:vAlign w:val="bottom"/>
            <w:shd w:val="clear" w:color="auto" w:fill="EEECE1"/>
          </w:tcPr>
          <w:p>
            <w:pPr>
              <w:jc w:val="right"/>
              <w:ind w:right="728"/>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880" w:type="dxa"/>
            <w:vAlign w:val="bottom"/>
            <w:shd w:val="clear" w:color="auto" w:fill="EEECE1"/>
          </w:tcPr>
          <w:p>
            <w:pPr>
              <w:ind w:left="12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80" w:type="dxa"/>
            <w:vAlign w:val="bottom"/>
            <w:shd w:val="clear" w:color="auto" w:fill="EEECE1"/>
          </w:tcPr>
          <w:p>
            <w:pPr>
              <w:spacing w:after="0"/>
              <w:rPr>
                <w:sz w:val="12"/>
                <w:szCs w:val="12"/>
                <w:color w:val="auto"/>
              </w:rPr>
            </w:pPr>
          </w:p>
        </w:tc>
        <w:tc>
          <w:tcPr>
            <w:tcW w:w="588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7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10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80" w:type="dxa"/>
            <w:vAlign w:val="bottom"/>
            <w:shd w:val="clear" w:color="auto" w:fill="EEECE1"/>
          </w:tcPr>
          <w:p>
            <w:pPr>
              <w:spacing w:after="0"/>
              <w:rPr>
                <w:sz w:val="14"/>
                <w:szCs w:val="14"/>
                <w:color w:val="auto"/>
              </w:rPr>
            </w:pPr>
          </w:p>
        </w:tc>
        <w:tc>
          <w:tcPr>
            <w:tcW w:w="58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Asia</w:t>
            </w:r>
          </w:p>
        </w:tc>
        <w:tc>
          <w:tcPr>
            <w:tcW w:w="198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880" w:type="dxa"/>
            <w:vAlign w:val="bottom"/>
            <w:vMerge w:val="restart"/>
          </w:tcPr>
          <w:p>
            <w:pPr>
              <w:ind w:left="45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5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BD, Bangladesh</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CN, China</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HK, Hong Kong</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ID, Indonesia</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IN, India</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JP, Japan</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KH, Cambodia</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KR, Korea (Republic of)</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LA, Laos</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MH, Marshall Islands</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MN, Mongolia</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MO, Macao</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MY, Malaysia</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NZ, New Zealand</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PG, Papua New Guinea</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PH, Philippines</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PK, Pakistan</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SH, Saint Helena</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SG, Singapore</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rPr>
              <w:t>TH, Thailand</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color w:val="auto"/>
                <w:w w:val="99"/>
              </w:rPr>
              <w:t>TW, Taiwan, Province of China</w:t>
            </w:r>
          </w:p>
        </w:tc>
        <w:tc>
          <w:tcPr>
            <w:tcW w:w="5880" w:type="dxa"/>
            <w:vAlign w:val="bottom"/>
          </w:tcPr>
          <w:p>
            <w:pPr>
              <w:ind w:left="45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VN, Viet Nam</w:t>
            </w:r>
          </w:p>
        </w:tc>
        <w:tc>
          <w:tcPr>
            <w:tcW w:w="5880" w:type="dxa"/>
            <w:vAlign w:val="bottom"/>
          </w:tcPr>
          <w:p>
            <w:pPr>
              <w:ind w:left="45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18" w:name="page319"/>
    <w:bookmarkEnd w:id="3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7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1020" w:type="dxa"/>
            <w:vAlign w:val="bottom"/>
            <w:shd w:val="clear" w:color="auto" w:fill="EEECE1"/>
          </w:tcPr>
          <w:p>
            <w:pPr>
              <w:jc w:val="right"/>
              <w:ind w:right="728"/>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20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8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2040" w:type="dxa"/>
            <w:vAlign w:val="bottom"/>
            <w:shd w:val="clear" w:color="auto" w:fill="EEECE1"/>
          </w:tcPr>
          <w:p>
            <w:pPr>
              <w:spacing w:after="0"/>
              <w:rPr>
                <w:sz w:val="12"/>
                <w:szCs w:val="12"/>
                <w:color w:val="auto"/>
              </w:rPr>
            </w:pPr>
          </w:p>
        </w:tc>
        <w:tc>
          <w:tcPr>
            <w:tcW w:w="58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7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10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2040" w:type="dxa"/>
            <w:vAlign w:val="bottom"/>
            <w:shd w:val="clear" w:color="auto" w:fill="EEECE1"/>
          </w:tcPr>
          <w:p>
            <w:pPr>
              <w:spacing w:after="0"/>
              <w:rPr>
                <w:sz w:val="14"/>
                <w:szCs w:val="14"/>
                <w:color w:val="auto"/>
              </w:rPr>
            </w:pPr>
          </w:p>
        </w:tc>
        <w:tc>
          <w:tcPr>
            <w:tcW w:w="58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2040" w:type="dxa"/>
            <w:vAlign w:val="bottom"/>
            <w:vMerge w:val="restart"/>
          </w:tcPr>
          <w:p>
            <w:pPr>
              <w:ind w:left="40"/>
              <w:spacing w:after="0"/>
              <w:rPr>
                <w:sz w:val="20"/>
                <w:szCs w:val="20"/>
                <w:color w:val="auto"/>
              </w:rPr>
            </w:pPr>
            <w:r>
              <w:rPr>
                <w:rFonts w:ascii="Arial" w:cs="Arial" w:eastAsia="Arial" w:hAnsi="Arial"/>
                <w:sz w:val="14"/>
                <w:szCs w:val="14"/>
                <w:color w:val="auto"/>
              </w:rPr>
              <w:t>AE, United Arab Emirates</w:t>
            </w:r>
          </w:p>
        </w:tc>
        <w:tc>
          <w:tcPr>
            <w:tcW w:w="5820" w:type="dxa"/>
            <w:vAlign w:val="bottom"/>
            <w:vMerge w:val="restart"/>
          </w:tcPr>
          <w:p>
            <w:pPr>
              <w:ind w:left="45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AL, Albania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AM, Armenia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AO, Angola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AZ, Azerbaijan</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BH, Bahrain</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BY, Belarus</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CG, Congo</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CI, Côte d'Ivoire</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CM, Cameroon</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CZ, Czech Republic</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EG, Egypt</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ET, Ethiopia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GA, Gabon</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GE, Georgia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GH, Ghana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HR, Croatia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HU, Hungary</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IL, Israel</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IM, Isle Of Man</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IQ, Iraq</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IS, Iceland</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JO, Jordan</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KE, Kenya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KW, Kuwait</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KZ, Kazakhstan</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LB, Lebanon</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LI, Liechtenstein</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LK, Sri Lanka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LT, Lithuania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LV, Latvia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MA, Morocco</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MU, Mauritius</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NA, Namibia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NG, Nigeria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OM, Oman</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PL, Poland</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QA, Qatar</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RO, Romania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RS, Serbia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RU, Russian Federation</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RW, Rwanda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SA, Saudi Arabia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SC, Seychelles</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SI, Slovenia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SK, Slovakia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SN, Senegal</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TJ, Tajikistan</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TN, Tunisia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TR, Turkey</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w w:val="96"/>
              </w:rPr>
              <w:t>TZ, Tanzania, United Republic of</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UA, Ukraine</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ind w:left="40"/>
              <w:spacing w:after="0" w:line="149" w:lineRule="exact"/>
              <w:rPr>
                <w:sz w:val="20"/>
                <w:szCs w:val="20"/>
                <w:color w:val="auto"/>
              </w:rPr>
            </w:pPr>
            <w:r>
              <w:rPr>
                <w:rFonts w:ascii="Arial" w:cs="Arial" w:eastAsia="Arial" w:hAnsi="Arial"/>
                <w:sz w:val="14"/>
                <w:szCs w:val="14"/>
                <w:color w:val="auto"/>
              </w:rPr>
              <w:t>ZA, South Africa</w:t>
            </w:r>
          </w:p>
        </w:tc>
        <w:tc>
          <w:tcPr>
            <w:tcW w:w="5820" w:type="dxa"/>
            <w:vAlign w:val="bottom"/>
          </w:tcPr>
          <w:p>
            <w:pPr>
              <w:ind w:left="45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Arial" w:cs="Arial" w:eastAsia="Arial" w:hAnsi="Arial"/>
                <w:sz w:val="14"/>
                <w:szCs w:val="14"/>
                <w:color w:val="auto"/>
              </w:rPr>
              <w:t>ZM, Zambia</w:t>
            </w:r>
          </w:p>
        </w:tc>
        <w:tc>
          <w:tcPr>
            <w:tcW w:w="5820" w:type="dxa"/>
            <w:vAlign w:val="bottom"/>
          </w:tcPr>
          <w:p>
            <w:pPr>
              <w:ind w:left="45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19" w:name="page320"/>
    <w:bookmarkEnd w:id="3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5940" w:type="dxa"/>
            <w:vAlign w:val="bottom"/>
            <w:shd w:val="clear" w:color="auto" w:fill="EEECE1"/>
          </w:tcPr>
          <w:p>
            <w:pPr>
              <w:ind w:left="18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920" w:type="dxa"/>
            <w:vAlign w:val="bottom"/>
            <w:shd w:val="clear" w:color="auto" w:fill="EEECE1"/>
          </w:tcPr>
          <w:p>
            <w:pPr>
              <w:spacing w:after="0"/>
              <w:rPr>
                <w:sz w:val="12"/>
                <w:szCs w:val="12"/>
                <w:color w:val="auto"/>
              </w:rPr>
            </w:pPr>
          </w:p>
        </w:tc>
        <w:tc>
          <w:tcPr>
            <w:tcW w:w="594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920" w:type="dxa"/>
            <w:vAlign w:val="bottom"/>
            <w:shd w:val="clear" w:color="auto" w:fill="EEECE1"/>
          </w:tcPr>
          <w:p>
            <w:pPr>
              <w:spacing w:after="0"/>
              <w:rPr>
                <w:sz w:val="14"/>
                <w:szCs w:val="14"/>
                <w:color w:val="auto"/>
              </w:rPr>
            </w:pPr>
          </w:p>
        </w:tc>
        <w:tc>
          <w:tcPr>
            <w:tcW w:w="594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ZAR</w:t>
            </w:r>
          </w:p>
        </w:tc>
        <w:tc>
          <w:tcPr>
            <w:tcW w:w="1480" w:type="dxa"/>
            <w:vAlign w:val="bottom"/>
            <w:shd w:val="clear" w:color="auto" w:fill="1F497D"/>
          </w:tcPr>
          <w:p>
            <w:pPr>
              <w:spacing w:after="0"/>
              <w:rPr>
                <w:sz w:val="12"/>
                <w:szCs w:val="12"/>
                <w:color w:val="auto"/>
              </w:rPr>
            </w:pPr>
          </w:p>
        </w:tc>
        <w:tc>
          <w:tcPr>
            <w:tcW w:w="1920" w:type="dxa"/>
            <w:vAlign w:val="bottom"/>
            <w:shd w:val="clear" w:color="auto" w:fill="1F497D"/>
          </w:tcPr>
          <w:p>
            <w:pPr>
              <w:spacing w:after="0"/>
              <w:rPr>
                <w:sz w:val="12"/>
                <w:szCs w:val="12"/>
                <w:color w:val="auto"/>
              </w:rPr>
            </w:pPr>
          </w:p>
        </w:tc>
        <w:tc>
          <w:tcPr>
            <w:tcW w:w="594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US, United States of America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Europe</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DE, Germany</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DK, Denmark</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FI, Finland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FR, France</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IT, Italy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JE, Jersey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NL, Netherlands</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NO, Norway</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SE, Sweden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CH, Switzerland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UK, United Kingdom</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XS, Eurobond</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vMerge w:val="restart"/>
          </w:tcPr>
          <w:p>
            <w:pPr>
              <w:ind w:left="40"/>
              <w:spacing w:after="0"/>
              <w:rPr>
                <w:sz w:val="20"/>
                <w:szCs w:val="20"/>
                <w:color w:val="auto"/>
              </w:rPr>
            </w:pPr>
            <w:r>
              <w:rPr>
                <w:rFonts w:ascii="Arial" w:cs="Arial" w:eastAsia="Arial" w:hAnsi="Arial"/>
                <w:sz w:val="14"/>
                <w:szCs w:val="14"/>
                <w:color w:val="auto"/>
              </w:rPr>
              <w:t>Asia</w:t>
            </w:r>
          </w:p>
        </w:tc>
        <w:tc>
          <w:tcPr>
            <w:tcW w:w="1920" w:type="dxa"/>
            <w:vAlign w:val="bottom"/>
          </w:tcPr>
          <w:p>
            <w:pPr>
              <w:spacing w:after="0"/>
              <w:rPr>
                <w:sz w:val="15"/>
                <w:szCs w:val="15"/>
                <w:color w:val="auto"/>
              </w:rPr>
            </w:pP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AU, Australia</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CN, China</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HK, Hong Kong</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JP, Japan</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KR, Korea (Republic of)</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920" w:type="dxa"/>
            <w:vAlign w:val="bottom"/>
            <w:vMerge w:val="restart"/>
          </w:tcPr>
          <w:p>
            <w:pPr>
              <w:ind w:left="40"/>
              <w:spacing w:after="0"/>
              <w:rPr>
                <w:sz w:val="20"/>
                <w:szCs w:val="20"/>
                <w:color w:val="auto"/>
              </w:rPr>
            </w:pPr>
            <w:r>
              <w:rPr>
                <w:rFonts w:ascii="Arial" w:cs="Arial" w:eastAsia="Arial" w:hAnsi="Arial"/>
                <w:sz w:val="14"/>
                <w:szCs w:val="14"/>
                <w:color w:val="auto"/>
              </w:rPr>
              <w:t>HN, Honduras</w:t>
            </w:r>
          </w:p>
        </w:tc>
        <w:tc>
          <w:tcPr>
            <w:tcW w:w="5940" w:type="dxa"/>
            <w:vAlign w:val="bottom"/>
            <w:vMerge w:val="restart"/>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ind w:left="40"/>
              <w:spacing w:after="0" w:line="149" w:lineRule="exact"/>
              <w:rPr>
                <w:sz w:val="20"/>
                <w:szCs w:val="20"/>
                <w:color w:val="auto"/>
              </w:rPr>
            </w:pPr>
            <w:r>
              <w:rPr>
                <w:rFonts w:ascii="Arial" w:cs="Arial" w:eastAsia="Arial" w:hAnsi="Arial"/>
                <w:sz w:val="14"/>
                <w:szCs w:val="14"/>
                <w:color w:val="auto"/>
              </w:rPr>
              <w:t>NA, Namibia</w:t>
            </w:r>
          </w:p>
        </w:tc>
        <w:tc>
          <w:tcPr>
            <w:tcW w:w="5940" w:type="dxa"/>
            <w:vAlign w:val="bottom"/>
          </w:tcPr>
          <w:p>
            <w:pPr>
              <w:ind w:left="462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ZA, South Africa</w:t>
            </w:r>
          </w:p>
        </w:tc>
        <w:tc>
          <w:tcPr>
            <w:tcW w:w="5940" w:type="dxa"/>
            <w:vAlign w:val="bottom"/>
          </w:tcPr>
          <w:p>
            <w:pPr>
              <w:ind w:left="462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8" w:right="239" w:bottom="1440" w:gutter="0" w:footer="0" w:header="0"/>
        </w:sectPr>
      </w:pPr>
    </w:p>
    <w:bookmarkStart w:id="320" w:name="page321"/>
    <w:bookmarkEnd w:id="3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13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5</w:t>
            </w:r>
          </w:p>
        </w:tc>
        <w:tc>
          <w:tcPr>
            <w:tcW w:w="6520" w:type="dxa"/>
            <w:vAlign w:val="bottom"/>
            <w:shd w:val="clear" w:color="auto" w:fill="EEECE1"/>
          </w:tcPr>
          <w:p>
            <w:pPr>
              <w:jc w:val="right"/>
              <w:ind w:right="5628"/>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08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480" w:type="dxa"/>
            <w:vAlign w:val="bottom"/>
            <w:shd w:val="clear" w:color="auto" w:fill="EEECE1"/>
          </w:tcPr>
          <w:p>
            <w:pPr>
              <w:spacing w:after="0"/>
              <w:rPr>
                <w:sz w:val="12"/>
                <w:szCs w:val="12"/>
                <w:color w:val="auto"/>
              </w:rPr>
            </w:pPr>
          </w:p>
        </w:tc>
        <w:tc>
          <w:tcPr>
            <w:tcW w:w="1340" w:type="dxa"/>
            <w:vAlign w:val="bottom"/>
            <w:shd w:val="clear" w:color="auto" w:fill="EEECE1"/>
          </w:tcPr>
          <w:p>
            <w:pPr>
              <w:spacing w:after="0"/>
              <w:rPr>
                <w:sz w:val="12"/>
                <w:szCs w:val="12"/>
                <w:color w:val="auto"/>
              </w:rPr>
            </w:pPr>
          </w:p>
        </w:tc>
        <w:tc>
          <w:tcPr>
            <w:tcW w:w="65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EEECE1"/>
          </w:tcPr>
          <w:p>
            <w:pPr>
              <w:spacing w:after="0"/>
              <w:rPr>
                <w:sz w:val="14"/>
                <w:szCs w:val="14"/>
                <w:color w:val="auto"/>
              </w:rPr>
            </w:pPr>
          </w:p>
        </w:tc>
        <w:tc>
          <w:tcPr>
            <w:tcW w:w="840" w:type="dxa"/>
            <w:vAlign w:val="bottom"/>
            <w:shd w:val="clear" w:color="auto" w:fill="EEECE1"/>
          </w:tcPr>
          <w:p>
            <w:pPr>
              <w:ind w:left="200"/>
              <w:spacing w:after="0"/>
              <w:rPr>
                <w:sz w:val="20"/>
                <w:szCs w:val="20"/>
                <w:color w:val="auto"/>
              </w:rPr>
            </w:pPr>
            <w:r>
              <w:rPr>
                <w:rFonts w:ascii="Arial" w:cs="Arial" w:eastAsia="Arial" w:hAnsi="Arial"/>
                <w:sz w:val="14"/>
                <w:szCs w:val="14"/>
                <w:b w:val="1"/>
                <w:bCs w:val="1"/>
                <w:color w:val="auto"/>
              </w:rPr>
              <w:t>Credit</w:t>
            </w:r>
          </w:p>
        </w:tc>
        <w:tc>
          <w:tcPr>
            <w:tcW w:w="920" w:type="dxa"/>
            <w:vAlign w:val="bottom"/>
            <w:shd w:val="clear" w:color="auto" w:fill="EEECE1"/>
          </w:tcPr>
          <w:p>
            <w:pPr>
              <w:spacing w:after="0"/>
              <w:rPr>
                <w:sz w:val="14"/>
                <w:szCs w:val="14"/>
                <w:color w:val="auto"/>
              </w:rPr>
            </w:pPr>
          </w:p>
        </w:tc>
        <w:tc>
          <w:tcPr>
            <w:tcW w:w="1480" w:type="dxa"/>
            <w:vAlign w:val="bottom"/>
            <w:shd w:val="clear" w:color="auto" w:fill="EEECE1"/>
          </w:tcPr>
          <w:p>
            <w:pPr>
              <w:spacing w:after="0"/>
              <w:rPr>
                <w:sz w:val="14"/>
                <w:szCs w:val="14"/>
                <w:color w:val="auto"/>
              </w:rPr>
            </w:pPr>
          </w:p>
        </w:tc>
        <w:tc>
          <w:tcPr>
            <w:tcW w:w="1340" w:type="dxa"/>
            <w:vAlign w:val="bottom"/>
            <w:shd w:val="clear" w:color="auto" w:fill="EEECE1"/>
          </w:tcPr>
          <w:p>
            <w:pPr>
              <w:spacing w:after="0"/>
              <w:rPr>
                <w:sz w:val="14"/>
                <w:szCs w:val="14"/>
                <w:color w:val="auto"/>
              </w:rPr>
            </w:pPr>
          </w:p>
        </w:tc>
        <w:tc>
          <w:tcPr>
            <w:tcW w:w="65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ILS</w:t>
            </w:r>
          </w:p>
        </w:tc>
        <w:tc>
          <w:tcPr>
            <w:tcW w:w="1480" w:type="dxa"/>
            <w:vAlign w:val="bottom"/>
            <w:shd w:val="clear" w:color="auto" w:fill="1F497D"/>
          </w:tcPr>
          <w:p>
            <w:pPr>
              <w:spacing w:after="0"/>
              <w:rPr>
                <w:sz w:val="12"/>
                <w:szCs w:val="12"/>
                <w:color w:val="auto"/>
              </w:rPr>
            </w:pPr>
          </w:p>
        </w:tc>
        <w:tc>
          <w:tcPr>
            <w:tcW w:w="1340" w:type="dxa"/>
            <w:vAlign w:val="bottom"/>
            <w:shd w:val="clear" w:color="auto" w:fill="1F497D"/>
          </w:tcPr>
          <w:p>
            <w:pPr>
              <w:spacing w:after="0"/>
              <w:rPr>
                <w:sz w:val="12"/>
                <w:szCs w:val="12"/>
                <w:color w:val="auto"/>
              </w:rPr>
            </w:pPr>
          </w:p>
        </w:tc>
        <w:tc>
          <w:tcPr>
            <w:tcW w:w="65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CEEMEA</w:t>
            </w:r>
          </w:p>
        </w:tc>
        <w:tc>
          <w:tcPr>
            <w:tcW w:w="1340" w:type="dxa"/>
            <w:vAlign w:val="bottom"/>
            <w:vMerge w:val="restart"/>
          </w:tcPr>
          <w:p>
            <w:pPr>
              <w:ind w:left="40"/>
              <w:spacing w:after="0"/>
              <w:rPr>
                <w:sz w:val="20"/>
                <w:szCs w:val="20"/>
                <w:color w:val="auto"/>
              </w:rPr>
            </w:pPr>
            <w:r>
              <w:rPr>
                <w:rFonts w:ascii="Arial" w:cs="Arial" w:eastAsia="Arial" w:hAnsi="Arial"/>
                <w:sz w:val="14"/>
                <w:szCs w:val="14"/>
                <w:color w:val="auto"/>
              </w:rPr>
              <w:t>IL, Israel</w:t>
            </w:r>
          </w:p>
        </w:tc>
        <w:tc>
          <w:tcPr>
            <w:tcW w:w="6520" w:type="dxa"/>
            <w:vAlign w:val="bottom"/>
            <w:vMerge w:val="restart"/>
          </w:tcPr>
          <w:p>
            <w:pPr>
              <w:jc w:val="right"/>
              <w:ind w:right="228"/>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6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8" w:right="239" w:bottom="1440" w:gutter="0" w:footer="0" w:header="0"/>
        </w:sectPr>
      </w:pPr>
    </w:p>
    <w:bookmarkStart w:id="321" w:name="page322"/>
    <w:bookmarkEnd w:id="3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640" w:type="dxa"/>
            <w:vAlign w:val="bottom"/>
            <w:shd w:val="clear" w:color="auto" w:fill="EEECE1"/>
          </w:tcPr>
          <w:p>
            <w:pPr>
              <w:ind w:left="260"/>
              <w:spacing w:after="0"/>
              <w:rPr>
                <w:sz w:val="20"/>
                <w:szCs w:val="20"/>
                <w:color w:val="auto"/>
              </w:rPr>
            </w:pPr>
            <w:r>
              <w:rPr>
                <w:rFonts w:ascii="Arial" w:cs="Arial" w:eastAsia="Arial" w:hAnsi="Arial"/>
                <w:sz w:val="14"/>
                <w:szCs w:val="14"/>
                <w:b w:val="1"/>
                <w:bCs w:val="1"/>
                <w:color w:val="auto"/>
              </w:rPr>
              <w:t>2</w:t>
            </w:r>
          </w:p>
        </w:tc>
        <w:tc>
          <w:tcPr>
            <w:tcW w:w="1180" w:type="dxa"/>
            <w:vAlign w:val="bottom"/>
            <w:shd w:val="clear" w:color="auto" w:fill="EEECE1"/>
          </w:tcPr>
          <w:p>
            <w:pPr>
              <w:jc w:val="right"/>
              <w:ind w:right="728"/>
              <w:spacing w:after="0"/>
              <w:rPr>
                <w:sz w:val="20"/>
                <w:szCs w:val="20"/>
                <w:color w:val="auto"/>
              </w:rPr>
            </w:pPr>
            <w:r>
              <w:rPr>
                <w:rFonts w:ascii="Arial" w:cs="Arial" w:eastAsia="Arial" w:hAnsi="Arial"/>
                <w:sz w:val="14"/>
                <w:szCs w:val="14"/>
                <w:b w:val="1"/>
                <w:bCs w:val="1"/>
                <w:color w:val="auto"/>
              </w:rPr>
              <w:t>3</w:t>
            </w:r>
          </w:p>
        </w:tc>
        <w:tc>
          <w:tcPr>
            <w:tcW w:w="900" w:type="dxa"/>
            <w:vAlign w:val="bottom"/>
            <w:shd w:val="clear" w:color="auto" w:fill="EEECE1"/>
          </w:tcPr>
          <w:p>
            <w:pPr>
              <w:jc w:val="right"/>
              <w:ind w:right="708"/>
              <w:spacing w:after="0"/>
              <w:rPr>
                <w:sz w:val="20"/>
                <w:szCs w:val="20"/>
                <w:color w:val="auto"/>
              </w:rPr>
            </w:pPr>
            <w:r>
              <w:rPr>
                <w:rFonts w:ascii="Arial" w:cs="Arial" w:eastAsia="Arial" w:hAnsi="Arial"/>
                <w:sz w:val="14"/>
                <w:szCs w:val="14"/>
                <w:b w:val="1"/>
                <w:bCs w:val="1"/>
                <w:color w:val="auto"/>
              </w:rPr>
              <w:t>4</w:t>
            </w:r>
          </w:p>
        </w:tc>
        <w:tc>
          <w:tcPr>
            <w:tcW w:w="1900" w:type="dxa"/>
            <w:vAlign w:val="bottom"/>
            <w:shd w:val="clear" w:color="auto" w:fill="EEECE1"/>
          </w:tcPr>
          <w:p>
            <w:pPr>
              <w:jc w:val="right"/>
              <w:ind w:right="1028"/>
              <w:spacing w:after="0"/>
              <w:rPr>
                <w:sz w:val="20"/>
                <w:szCs w:val="20"/>
                <w:color w:val="auto"/>
              </w:rPr>
            </w:pPr>
            <w:r>
              <w:rPr>
                <w:rFonts w:ascii="Arial" w:cs="Arial" w:eastAsia="Arial" w:hAnsi="Arial"/>
                <w:sz w:val="14"/>
                <w:szCs w:val="14"/>
                <w:b w:val="1"/>
                <w:bCs w:val="1"/>
                <w:color w:val="auto"/>
              </w:rPr>
              <w:t>5</w:t>
            </w:r>
          </w:p>
        </w:tc>
        <w:tc>
          <w:tcPr>
            <w:tcW w:w="6420" w:type="dxa"/>
            <w:vAlign w:val="bottom"/>
            <w:shd w:val="clear" w:color="auto" w:fill="EEECE1"/>
          </w:tcPr>
          <w:p>
            <w:pPr>
              <w:jc w:val="right"/>
              <w:ind w:right="5168"/>
              <w:spacing w:after="0"/>
              <w:rPr>
                <w:sz w:val="20"/>
                <w:szCs w:val="20"/>
                <w:color w:val="auto"/>
              </w:rPr>
            </w:pPr>
            <w:r>
              <w:rPr>
                <w:rFonts w:ascii="Arial" w:cs="Arial" w:eastAsia="Arial" w:hAnsi="Arial"/>
                <w:sz w:val="14"/>
                <w:szCs w:val="14"/>
                <w:b w:val="1"/>
                <w:bCs w:val="1"/>
                <w:color w:val="auto"/>
              </w:rPr>
              <w:t>6</w:t>
            </w:r>
          </w:p>
        </w:tc>
      </w:tr>
      <w:tr>
        <w:trPr>
          <w:trHeight w:val="149"/>
        </w:trPr>
        <w:tc>
          <w:tcPr>
            <w:tcW w:w="220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900" w:type="dxa"/>
            <w:vAlign w:val="bottom"/>
            <w:shd w:val="clear" w:color="auto" w:fill="EEECE1"/>
          </w:tcPr>
          <w:p>
            <w:pPr>
              <w:spacing w:after="0"/>
              <w:rPr>
                <w:sz w:val="12"/>
                <w:szCs w:val="12"/>
                <w:color w:val="auto"/>
              </w:rPr>
            </w:pPr>
          </w:p>
        </w:tc>
        <w:tc>
          <w:tcPr>
            <w:tcW w:w="1900" w:type="dxa"/>
            <w:vAlign w:val="bottom"/>
            <w:shd w:val="clear" w:color="auto" w:fill="EEECE1"/>
          </w:tcPr>
          <w:p>
            <w:pPr>
              <w:spacing w:after="0"/>
              <w:rPr>
                <w:sz w:val="12"/>
                <w:szCs w:val="12"/>
                <w:color w:val="auto"/>
              </w:rPr>
            </w:pPr>
          </w:p>
        </w:tc>
        <w:tc>
          <w:tcPr>
            <w:tcW w:w="6420" w:type="dxa"/>
            <w:vAlign w:val="bottom"/>
            <w:shd w:val="clear" w:color="auto" w:fill="EEECE1"/>
          </w:tcPr>
          <w:p>
            <w:pPr>
              <w:spacing w:after="0"/>
              <w:rPr>
                <w:sz w:val="12"/>
                <w:szCs w:val="12"/>
                <w:color w:val="auto"/>
              </w:rPr>
            </w:pPr>
          </w:p>
        </w:tc>
      </w:tr>
      <w:tr>
        <w:trPr>
          <w:trHeight w:val="171"/>
        </w:trPr>
        <w:tc>
          <w:tcPr>
            <w:tcW w:w="380" w:type="dxa"/>
            <w:vAlign w:val="bottom"/>
            <w:shd w:val="clear" w:color="auto" w:fill="EEECE1"/>
          </w:tcPr>
          <w:p>
            <w:pPr>
              <w:spacing w:after="0"/>
              <w:rPr>
                <w:sz w:val="14"/>
                <w:szCs w:val="14"/>
                <w:color w:val="auto"/>
              </w:rPr>
            </w:pPr>
          </w:p>
        </w:tc>
        <w:tc>
          <w:tcPr>
            <w:tcW w:w="2720" w:type="dxa"/>
            <w:vAlign w:val="bottom"/>
            <w:gridSpan w:val="3"/>
            <w:shd w:val="clear" w:color="auto" w:fill="EEECE1"/>
          </w:tcPr>
          <w:p>
            <w:pPr>
              <w:ind w:left="260"/>
              <w:spacing w:after="0"/>
              <w:rPr>
                <w:sz w:val="20"/>
                <w:szCs w:val="20"/>
                <w:color w:val="auto"/>
              </w:rPr>
            </w:pPr>
            <w:r>
              <w:rPr>
                <w:rFonts w:ascii="Arial" w:cs="Arial" w:eastAsia="Arial" w:hAnsi="Arial"/>
                <w:sz w:val="14"/>
                <w:szCs w:val="14"/>
                <w:b w:val="1"/>
                <w:bCs w:val="1"/>
                <w:color w:val="auto"/>
              </w:rPr>
              <w:t>Credit - Non North America</w:t>
            </w:r>
          </w:p>
        </w:tc>
        <w:tc>
          <w:tcPr>
            <w:tcW w:w="1900" w:type="dxa"/>
            <w:vAlign w:val="bottom"/>
            <w:shd w:val="clear" w:color="auto" w:fill="EEECE1"/>
          </w:tcPr>
          <w:p>
            <w:pPr>
              <w:spacing w:after="0"/>
              <w:rPr>
                <w:sz w:val="14"/>
                <w:szCs w:val="14"/>
                <w:color w:val="auto"/>
              </w:rPr>
            </w:pPr>
          </w:p>
        </w:tc>
        <w:tc>
          <w:tcPr>
            <w:tcW w:w="6420" w:type="dxa"/>
            <w:vAlign w:val="bottom"/>
            <w:shd w:val="clear" w:color="auto" w:fill="EEECE1"/>
          </w:tcPr>
          <w:p>
            <w:pPr>
              <w:spacing w:after="0"/>
              <w:rPr>
                <w:sz w:val="14"/>
                <w:szCs w:val="14"/>
                <w:color w:val="auto"/>
              </w:rPr>
            </w:pPr>
          </w:p>
        </w:tc>
      </w:tr>
      <w:tr>
        <w:trPr>
          <w:trHeight w:val="142"/>
        </w:trPr>
        <w:tc>
          <w:tcPr>
            <w:tcW w:w="380" w:type="dxa"/>
            <w:vAlign w:val="bottom"/>
          </w:tcPr>
          <w:p>
            <w:pPr>
              <w:spacing w:after="0"/>
              <w:rPr>
                <w:sz w:val="12"/>
                <w:szCs w:val="12"/>
                <w:color w:val="auto"/>
              </w:rPr>
            </w:pPr>
          </w:p>
        </w:tc>
        <w:tc>
          <w:tcPr>
            <w:tcW w:w="182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FFFFFF"/>
              </w:rPr>
              <w:t>Covered Bonds</w:t>
            </w:r>
          </w:p>
        </w:tc>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4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-89535</wp:posOffset>
            </wp:positionV>
            <wp:extent cx="6877685" cy="9461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877685"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1280" w:type="dxa"/>
            <w:vAlign w:val="bottom"/>
          </w:tcPr>
          <w:p>
            <w:pPr>
              <w:spacing w:after="0"/>
              <w:rPr>
                <w:sz w:val="13"/>
                <w:szCs w:val="13"/>
                <w:color w:val="auto"/>
              </w:rPr>
            </w:pPr>
          </w:p>
        </w:tc>
        <w:tc>
          <w:tcPr>
            <w:tcW w:w="6480" w:type="dxa"/>
            <w:vAlign w:val="bottom"/>
            <w:shd w:val="clear" w:color="auto" w:fill="1F497D"/>
          </w:tcPr>
          <w:p>
            <w:pPr>
              <w:ind w:left="40"/>
              <w:spacing w:after="0" w:line="155" w:lineRule="exact"/>
              <w:rPr>
                <w:sz w:val="20"/>
                <w:szCs w:val="20"/>
                <w:color w:val="auto"/>
              </w:rPr>
            </w:pPr>
            <w:r>
              <w:rPr>
                <w:rFonts w:ascii="Arial" w:cs="Arial" w:eastAsia="Arial" w:hAnsi="Arial"/>
                <w:sz w:val="14"/>
                <w:szCs w:val="14"/>
                <w:b w:val="1"/>
                <w:bCs w:val="1"/>
                <w:color w:val="FFFFFF"/>
              </w:rPr>
              <w:t>AUD</w:t>
            </w:r>
          </w:p>
        </w:tc>
        <w:tc>
          <w:tcPr>
            <w:tcW w:w="3660" w:type="dxa"/>
            <w:vAlign w:val="bottom"/>
            <w:shd w:val="clear" w:color="auto" w:fill="1F497D"/>
          </w:tcPr>
          <w:p>
            <w:pPr>
              <w:spacing w:after="0"/>
              <w:rPr>
                <w:sz w:val="13"/>
                <w:szCs w:val="13"/>
                <w:color w:val="auto"/>
              </w:rPr>
            </w:pPr>
          </w:p>
        </w:tc>
      </w:tr>
      <w:tr>
        <w:trPr>
          <w:trHeight w:val="130"/>
        </w:trPr>
        <w:tc>
          <w:tcPr>
            <w:tcW w:w="1280" w:type="dxa"/>
            <w:vAlign w:val="bottom"/>
          </w:tcPr>
          <w:p>
            <w:pPr>
              <w:spacing w:after="0"/>
              <w:rPr>
                <w:sz w:val="11"/>
                <w:szCs w:val="11"/>
                <w:color w:val="auto"/>
              </w:rPr>
            </w:pPr>
          </w:p>
        </w:tc>
        <w:tc>
          <w:tcPr>
            <w:tcW w:w="6480" w:type="dxa"/>
            <w:vAlign w:val="bottom"/>
          </w:tcPr>
          <w:p>
            <w:pPr>
              <w:ind w:left="960"/>
              <w:spacing w:after="0" w:line="130" w:lineRule="exact"/>
              <w:rPr>
                <w:sz w:val="20"/>
                <w:szCs w:val="20"/>
                <w:color w:val="auto"/>
              </w:rPr>
            </w:pPr>
            <w:r>
              <w:rPr>
                <w:rFonts w:ascii="Arial" w:cs="Arial" w:eastAsia="Arial" w:hAnsi="Arial"/>
                <w:sz w:val="14"/>
                <w:szCs w:val="14"/>
                <w:color w:val="auto"/>
              </w:rPr>
              <w:t>North America</w:t>
            </w:r>
          </w:p>
        </w:tc>
        <w:tc>
          <w:tcPr>
            <w:tcW w:w="3660" w:type="dxa"/>
            <w:vAlign w:val="bottom"/>
          </w:tcPr>
          <w:p>
            <w:pPr>
              <w:spacing w:after="0"/>
              <w:rPr>
                <w:sz w:val="11"/>
                <w:szCs w:val="11"/>
                <w:color w:val="auto"/>
              </w:rPr>
            </w:pPr>
          </w:p>
        </w:tc>
      </w:tr>
      <w:tr>
        <w:trPr>
          <w:trHeight w:val="182"/>
        </w:trPr>
        <w:tc>
          <w:tcPr>
            <w:tcW w:w="1280" w:type="dxa"/>
            <w:vAlign w:val="bottom"/>
          </w:tcPr>
          <w:p>
            <w:pPr>
              <w:spacing w:after="0"/>
              <w:rPr>
                <w:sz w:val="15"/>
                <w:szCs w:val="15"/>
                <w:color w:val="auto"/>
              </w:rPr>
            </w:pPr>
          </w:p>
        </w:tc>
        <w:tc>
          <w:tcPr>
            <w:tcW w:w="6480" w:type="dxa"/>
            <w:vAlign w:val="bottom"/>
          </w:tcPr>
          <w:p>
            <w:pPr>
              <w:ind w:left="2560"/>
              <w:spacing w:after="0"/>
              <w:rPr>
                <w:sz w:val="20"/>
                <w:szCs w:val="20"/>
                <w:color w:val="auto"/>
              </w:rPr>
            </w:pPr>
            <w:r>
              <w:rPr>
                <w:rFonts w:ascii="Arial" w:cs="Arial" w:eastAsia="Arial" w:hAnsi="Arial"/>
                <w:sz w:val="14"/>
                <w:szCs w:val="14"/>
                <w:color w:val="auto"/>
              </w:rPr>
              <w:t>CA, Canada</w:t>
            </w:r>
          </w:p>
        </w:tc>
        <w:tc>
          <w:tcPr>
            <w:tcW w:w="3660" w:type="dxa"/>
            <w:vAlign w:val="bottom"/>
          </w:tcPr>
          <w:p>
            <w:pPr>
              <w:ind w:left="2240"/>
              <w:spacing w:after="0"/>
              <w:rPr>
                <w:sz w:val="20"/>
                <w:szCs w:val="20"/>
                <w:color w:val="auto"/>
              </w:rPr>
            </w:pPr>
            <w:r>
              <w:rPr>
                <w:rFonts w:ascii="Arial" w:cs="Arial" w:eastAsia="Arial" w:hAnsi="Arial"/>
                <w:sz w:val="14"/>
                <w:szCs w:val="14"/>
                <w:color w:val="auto"/>
              </w:rPr>
              <w:t>Composite Quote</w:t>
            </w:r>
          </w:p>
        </w:tc>
      </w:tr>
      <w:tr>
        <w:trPr>
          <w:trHeight w:val="263"/>
        </w:trPr>
        <w:tc>
          <w:tcPr>
            <w:tcW w:w="1280" w:type="dxa"/>
            <w:vAlign w:val="bottom"/>
          </w:tcPr>
          <w:p>
            <w:pPr>
              <w:spacing w:after="0"/>
              <w:rPr>
                <w:sz w:val="22"/>
                <w:szCs w:val="22"/>
                <w:color w:val="auto"/>
              </w:rPr>
            </w:pPr>
          </w:p>
        </w:tc>
        <w:tc>
          <w:tcPr>
            <w:tcW w:w="6480" w:type="dxa"/>
            <w:vAlign w:val="bottom"/>
          </w:tcPr>
          <w:p>
            <w:pPr>
              <w:ind w:left="960"/>
              <w:spacing w:after="0"/>
              <w:rPr>
                <w:sz w:val="20"/>
                <w:szCs w:val="20"/>
                <w:color w:val="auto"/>
              </w:rPr>
            </w:pPr>
            <w:r>
              <w:rPr>
                <w:rFonts w:ascii="Arial" w:cs="Arial" w:eastAsia="Arial" w:hAnsi="Arial"/>
                <w:sz w:val="14"/>
                <w:szCs w:val="14"/>
                <w:color w:val="auto"/>
              </w:rPr>
              <w:t>Europe</w:t>
            </w:r>
          </w:p>
        </w:tc>
        <w:tc>
          <w:tcPr>
            <w:tcW w:w="3660" w:type="dxa"/>
            <w:vAlign w:val="bottom"/>
          </w:tcPr>
          <w:p>
            <w:pPr>
              <w:spacing w:after="0"/>
              <w:rPr>
                <w:sz w:val="22"/>
                <w:szCs w:val="22"/>
                <w:color w:val="auto"/>
              </w:rPr>
            </w:pP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DE, Germany</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FR, France</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NO, Norway</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SE, Sweden</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280" w:type="dxa"/>
            <w:vAlign w:val="bottom"/>
          </w:tcPr>
          <w:p>
            <w:pPr>
              <w:spacing w:after="0"/>
              <w:rPr>
                <w:sz w:val="15"/>
                <w:szCs w:val="15"/>
                <w:color w:val="auto"/>
              </w:rPr>
            </w:pPr>
          </w:p>
        </w:tc>
        <w:tc>
          <w:tcPr>
            <w:tcW w:w="6480" w:type="dxa"/>
            <w:vAlign w:val="bottom"/>
          </w:tcPr>
          <w:p>
            <w:pPr>
              <w:ind w:left="2560"/>
              <w:spacing w:after="0"/>
              <w:rPr>
                <w:sz w:val="20"/>
                <w:szCs w:val="20"/>
                <w:color w:val="auto"/>
              </w:rPr>
            </w:pPr>
            <w:r>
              <w:rPr>
                <w:rFonts w:ascii="Arial" w:cs="Arial" w:eastAsia="Arial" w:hAnsi="Arial"/>
                <w:sz w:val="14"/>
                <w:szCs w:val="14"/>
                <w:color w:val="auto"/>
              </w:rPr>
              <w:t>UK, United Kingdom</w:t>
            </w:r>
          </w:p>
        </w:tc>
        <w:tc>
          <w:tcPr>
            <w:tcW w:w="3660" w:type="dxa"/>
            <w:vAlign w:val="bottom"/>
          </w:tcPr>
          <w:p>
            <w:pPr>
              <w:ind w:left="2240"/>
              <w:spacing w:after="0"/>
              <w:rPr>
                <w:sz w:val="20"/>
                <w:szCs w:val="20"/>
                <w:color w:val="auto"/>
              </w:rPr>
            </w:pPr>
            <w:r>
              <w:rPr>
                <w:rFonts w:ascii="Arial" w:cs="Arial" w:eastAsia="Arial" w:hAnsi="Arial"/>
                <w:sz w:val="14"/>
                <w:szCs w:val="14"/>
                <w:color w:val="auto"/>
              </w:rPr>
              <w:t>Composite Quote</w:t>
            </w:r>
          </w:p>
        </w:tc>
      </w:tr>
      <w:tr>
        <w:trPr>
          <w:trHeight w:val="263"/>
        </w:trPr>
        <w:tc>
          <w:tcPr>
            <w:tcW w:w="1280" w:type="dxa"/>
            <w:vAlign w:val="bottom"/>
          </w:tcPr>
          <w:p>
            <w:pPr>
              <w:spacing w:after="0"/>
              <w:rPr>
                <w:sz w:val="22"/>
                <w:szCs w:val="22"/>
                <w:color w:val="auto"/>
              </w:rPr>
            </w:pPr>
          </w:p>
        </w:tc>
        <w:tc>
          <w:tcPr>
            <w:tcW w:w="6480" w:type="dxa"/>
            <w:vAlign w:val="bottom"/>
          </w:tcPr>
          <w:p>
            <w:pPr>
              <w:ind w:left="960"/>
              <w:spacing w:after="0"/>
              <w:rPr>
                <w:sz w:val="20"/>
                <w:szCs w:val="20"/>
                <w:color w:val="auto"/>
              </w:rPr>
            </w:pPr>
            <w:r>
              <w:rPr>
                <w:rFonts w:ascii="Arial" w:cs="Arial" w:eastAsia="Arial" w:hAnsi="Arial"/>
                <w:sz w:val="14"/>
                <w:szCs w:val="14"/>
                <w:color w:val="auto"/>
              </w:rPr>
              <w:t>Asia</w:t>
            </w:r>
          </w:p>
        </w:tc>
        <w:tc>
          <w:tcPr>
            <w:tcW w:w="3660" w:type="dxa"/>
            <w:vAlign w:val="bottom"/>
          </w:tcPr>
          <w:p>
            <w:pPr>
              <w:spacing w:after="0"/>
              <w:rPr>
                <w:sz w:val="22"/>
                <w:szCs w:val="22"/>
                <w:color w:val="auto"/>
              </w:rPr>
            </w:pPr>
          </w:p>
        </w:tc>
      </w:tr>
      <w:tr>
        <w:trPr>
          <w:trHeight w:val="182"/>
        </w:trPr>
        <w:tc>
          <w:tcPr>
            <w:tcW w:w="1280" w:type="dxa"/>
            <w:vAlign w:val="bottom"/>
          </w:tcPr>
          <w:p>
            <w:pPr>
              <w:spacing w:after="0"/>
              <w:rPr>
                <w:sz w:val="15"/>
                <w:szCs w:val="15"/>
                <w:color w:val="auto"/>
              </w:rPr>
            </w:pPr>
          </w:p>
        </w:tc>
        <w:tc>
          <w:tcPr>
            <w:tcW w:w="6480" w:type="dxa"/>
            <w:vAlign w:val="bottom"/>
          </w:tcPr>
          <w:p>
            <w:pPr>
              <w:ind w:left="2560"/>
              <w:spacing w:after="0"/>
              <w:rPr>
                <w:sz w:val="20"/>
                <w:szCs w:val="20"/>
                <w:color w:val="auto"/>
              </w:rPr>
            </w:pPr>
            <w:r>
              <w:rPr>
                <w:rFonts w:ascii="Arial" w:cs="Arial" w:eastAsia="Arial" w:hAnsi="Arial"/>
                <w:sz w:val="14"/>
                <w:szCs w:val="14"/>
                <w:color w:val="auto"/>
              </w:rPr>
              <w:t>AU, Australia</w:t>
            </w:r>
          </w:p>
        </w:tc>
        <w:tc>
          <w:tcPr>
            <w:tcW w:w="3660" w:type="dxa"/>
            <w:vAlign w:val="bottom"/>
          </w:tcPr>
          <w:p>
            <w:pPr>
              <w:ind w:left="2240"/>
              <w:spacing w:after="0"/>
              <w:rPr>
                <w:sz w:val="20"/>
                <w:szCs w:val="20"/>
                <w:color w:val="auto"/>
              </w:rPr>
            </w:pPr>
            <w:r>
              <w:rPr>
                <w:rFonts w:ascii="Arial" w:cs="Arial" w:eastAsia="Arial" w:hAnsi="Arial"/>
                <w:sz w:val="14"/>
                <w:szCs w:val="14"/>
                <w:color w:val="auto"/>
              </w:rPr>
              <w:t>Composite Quote</w:t>
            </w:r>
          </w:p>
        </w:tc>
      </w:tr>
      <w:tr>
        <w:trPr>
          <w:trHeight w:val="134"/>
        </w:trPr>
        <w:tc>
          <w:tcPr>
            <w:tcW w:w="128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3660" w:type="dxa"/>
            <w:vAlign w:val="bottom"/>
          </w:tcPr>
          <w:p>
            <w:pPr>
              <w:spacing w:after="0"/>
              <w:rPr>
                <w:sz w:val="11"/>
                <w:szCs w:val="11"/>
                <w:color w:val="auto"/>
              </w:rPr>
            </w:pPr>
          </w:p>
        </w:tc>
      </w:tr>
      <w:tr>
        <w:trPr>
          <w:trHeight w:val="149"/>
        </w:trPr>
        <w:tc>
          <w:tcPr>
            <w:tcW w:w="1280" w:type="dxa"/>
            <w:vAlign w:val="bottom"/>
          </w:tcPr>
          <w:p>
            <w:pPr>
              <w:spacing w:after="0"/>
              <w:rPr>
                <w:sz w:val="12"/>
                <w:szCs w:val="12"/>
                <w:color w:val="auto"/>
              </w:rPr>
            </w:pPr>
          </w:p>
        </w:tc>
        <w:tc>
          <w:tcPr>
            <w:tcW w:w="648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CHF</w:t>
            </w:r>
          </w:p>
        </w:tc>
        <w:tc>
          <w:tcPr>
            <w:tcW w:w="3660" w:type="dxa"/>
            <w:vAlign w:val="bottom"/>
            <w:shd w:val="clear" w:color="auto" w:fill="1F497D"/>
          </w:tcPr>
          <w:p>
            <w:pPr>
              <w:spacing w:after="0"/>
              <w:rPr>
                <w:sz w:val="12"/>
                <w:szCs w:val="12"/>
                <w:color w:val="auto"/>
              </w:rPr>
            </w:pPr>
          </w:p>
        </w:tc>
      </w:tr>
      <w:tr>
        <w:trPr>
          <w:trHeight w:val="130"/>
        </w:trPr>
        <w:tc>
          <w:tcPr>
            <w:tcW w:w="1280" w:type="dxa"/>
            <w:vAlign w:val="bottom"/>
          </w:tcPr>
          <w:p>
            <w:pPr>
              <w:spacing w:after="0"/>
              <w:rPr>
                <w:sz w:val="11"/>
                <w:szCs w:val="11"/>
                <w:color w:val="auto"/>
              </w:rPr>
            </w:pPr>
          </w:p>
        </w:tc>
        <w:tc>
          <w:tcPr>
            <w:tcW w:w="6480" w:type="dxa"/>
            <w:vAlign w:val="bottom"/>
          </w:tcPr>
          <w:p>
            <w:pPr>
              <w:ind w:left="960"/>
              <w:spacing w:after="0" w:line="130" w:lineRule="exact"/>
              <w:rPr>
                <w:sz w:val="20"/>
                <w:szCs w:val="20"/>
                <w:color w:val="auto"/>
              </w:rPr>
            </w:pPr>
            <w:r>
              <w:rPr>
                <w:rFonts w:ascii="Arial" w:cs="Arial" w:eastAsia="Arial" w:hAnsi="Arial"/>
                <w:sz w:val="14"/>
                <w:szCs w:val="14"/>
                <w:color w:val="auto"/>
              </w:rPr>
              <w:t>Nort America</w:t>
            </w:r>
          </w:p>
        </w:tc>
        <w:tc>
          <w:tcPr>
            <w:tcW w:w="3660" w:type="dxa"/>
            <w:vAlign w:val="bottom"/>
          </w:tcPr>
          <w:p>
            <w:pPr>
              <w:spacing w:after="0"/>
              <w:rPr>
                <w:sz w:val="11"/>
                <w:szCs w:val="11"/>
                <w:color w:val="auto"/>
              </w:rPr>
            </w:pPr>
          </w:p>
        </w:tc>
      </w:tr>
      <w:tr>
        <w:trPr>
          <w:trHeight w:val="182"/>
        </w:trPr>
        <w:tc>
          <w:tcPr>
            <w:tcW w:w="1280" w:type="dxa"/>
            <w:vAlign w:val="bottom"/>
          </w:tcPr>
          <w:p>
            <w:pPr>
              <w:spacing w:after="0"/>
              <w:rPr>
                <w:sz w:val="15"/>
                <w:szCs w:val="15"/>
                <w:color w:val="auto"/>
              </w:rPr>
            </w:pPr>
          </w:p>
        </w:tc>
        <w:tc>
          <w:tcPr>
            <w:tcW w:w="6480" w:type="dxa"/>
            <w:vAlign w:val="bottom"/>
          </w:tcPr>
          <w:p>
            <w:pPr>
              <w:ind w:left="2560"/>
              <w:spacing w:after="0"/>
              <w:rPr>
                <w:sz w:val="20"/>
                <w:szCs w:val="20"/>
                <w:color w:val="auto"/>
              </w:rPr>
            </w:pPr>
            <w:r>
              <w:rPr>
                <w:rFonts w:ascii="Arial" w:cs="Arial" w:eastAsia="Arial" w:hAnsi="Arial"/>
                <w:sz w:val="14"/>
                <w:szCs w:val="14"/>
                <w:color w:val="auto"/>
              </w:rPr>
              <w:t>CA, Canada</w:t>
            </w:r>
          </w:p>
        </w:tc>
        <w:tc>
          <w:tcPr>
            <w:tcW w:w="3660" w:type="dxa"/>
            <w:vAlign w:val="bottom"/>
          </w:tcPr>
          <w:p>
            <w:pPr>
              <w:ind w:left="2240"/>
              <w:spacing w:after="0"/>
              <w:rPr>
                <w:sz w:val="20"/>
                <w:szCs w:val="20"/>
                <w:color w:val="auto"/>
              </w:rPr>
            </w:pPr>
            <w:r>
              <w:rPr>
                <w:rFonts w:ascii="Arial" w:cs="Arial" w:eastAsia="Arial" w:hAnsi="Arial"/>
                <w:sz w:val="14"/>
                <w:szCs w:val="14"/>
                <w:color w:val="auto"/>
              </w:rPr>
              <w:t>Composite Quote</w:t>
            </w:r>
          </w:p>
        </w:tc>
      </w:tr>
      <w:tr>
        <w:trPr>
          <w:trHeight w:val="263"/>
        </w:trPr>
        <w:tc>
          <w:tcPr>
            <w:tcW w:w="1280" w:type="dxa"/>
            <w:vAlign w:val="bottom"/>
          </w:tcPr>
          <w:p>
            <w:pPr>
              <w:spacing w:after="0"/>
              <w:rPr>
                <w:sz w:val="22"/>
                <w:szCs w:val="22"/>
                <w:color w:val="auto"/>
              </w:rPr>
            </w:pPr>
          </w:p>
        </w:tc>
        <w:tc>
          <w:tcPr>
            <w:tcW w:w="6480" w:type="dxa"/>
            <w:vAlign w:val="bottom"/>
          </w:tcPr>
          <w:p>
            <w:pPr>
              <w:ind w:left="960"/>
              <w:spacing w:after="0"/>
              <w:rPr>
                <w:sz w:val="20"/>
                <w:szCs w:val="20"/>
                <w:color w:val="auto"/>
              </w:rPr>
            </w:pPr>
            <w:r>
              <w:rPr>
                <w:rFonts w:ascii="Arial" w:cs="Arial" w:eastAsia="Arial" w:hAnsi="Arial"/>
                <w:sz w:val="14"/>
                <w:szCs w:val="14"/>
                <w:color w:val="auto"/>
              </w:rPr>
              <w:t>Europe</w:t>
            </w:r>
          </w:p>
        </w:tc>
        <w:tc>
          <w:tcPr>
            <w:tcW w:w="3660" w:type="dxa"/>
            <w:vAlign w:val="bottom"/>
          </w:tcPr>
          <w:p>
            <w:pPr>
              <w:spacing w:after="0"/>
              <w:rPr>
                <w:sz w:val="22"/>
                <w:szCs w:val="22"/>
                <w:color w:val="auto"/>
              </w:rPr>
            </w:pP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AT, Austria</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CH, Switzerland</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DE, Germany</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DK, Denmark</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FI, Finland</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LU, Luxembourg</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NL, Netherlands</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NO, Norway</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NZ, New Zealand</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SE, Sweden</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280" w:type="dxa"/>
            <w:vAlign w:val="bottom"/>
          </w:tcPr>
          <w:p>
            <w:pPr>
              <w:spacing w:after="0"/>
              <w:rPr>
                <w:sz w:val="15"/>
                <w:szCs w:val="15"/>
                <w:color w:val="auto"/>
              </w:rPr>
            </w:pPr>
          </w:p>
        </w:tc>
        <w:tc>
          <w:tcPr>
            <w:tcW w:w="6480" w:type="dxa"/>
            <w:vAlign w:val="bottom"/>
          </w:tcPr>
          <w:p>
            <w:pPr>
              <w:ind w:left="2560"/>
              <w:spacing w:after="0"/>
              <w:rPr>
                <w:sz w:val="20"/>
                <w:szCs w:val="20"/>
                <w:color w:val="auto"/>
              </w:rPr>
            </w:pPr>
            <w:r>
              <w:rPr>
                <w:rFonts w:ascii="Arial" w:cs="Arial" w:eastAsia="Arial" w:hAnsi="Arial"/>
                <w:sz w:val="14"/>
                <w:szCs w:val="14"/>
                <w:color w:val="auto"/>
              </w:rPr>
              <w:t>UK, United Kingdom</w:t>
            </w:r>
          </w:p>
        </w:tc>
        <w:tc>
          <w:tcPr>
            <w:tcW w:w="3660" w:type="dxa"/>
            <w:vAlign w:val="bottom"/>
          </w:tcPr>
          <w:p>
            <w:pPr>
              <w:ind w:left="2240"/>
              <w:spacing w:after="0"/>
              <w:rPr>
                <w:sz w:val="20"/>
                <w:szCs w:val="20"/>
                <w:color w:val="auto"/>
              </w:rPr>
            </w:pPr>
            <w:r>
              <w:rPr>
                <w:rFonts w:ascii="Arial" w:cs="Arial" w:eastAsia="Arial" w:hAnsi="Arial"/>
                <w:sz w:val="14"/>
                <w:szCs w:val="14"/>
                <w:color w:val="auto"/>
              </w:rPr>
              <w:t>Composite Quote</w:t>
            </w:r>
          </w:p>
        </w:tc>
      </w:tr>
      <w:tr>
        <w:trPr>
          <w:trHeight w:val="263"/>
        </w:trPr>
        <w:tc>
          <w:tcPr>
            <w:tcW w:w="1280" w:type="dxa"/>
            <w:vAlign w:val="bottom"/>
          </w:tcPr>
          <w:p>
            <w:pPr>
              <w:spacing w:after="0"/>
              <w:rPr>
                <w:sz w:val="22"/>
                <w:szCs w:val="22"/>
                <w:color w:val="auto"/>
              </w:rPr>
            </w:pPr>
          </w:p>
        </w:tc>
        <w:tc>
          <w:tcPr>
            <w:tcW w:w="6480" w:type="dxa"/>
            <w:vAlign w:val="bottom"/>
          </w:tcPr>
          <w:p>
            <w:pPr>
              <w:ind w:left="960"/>
              <w:spacing w:after="0"/>
              <w:rPr>
                <w:sz w:val="20"/>
                <w:szCs w:val="20"/>
                <w:color w:val="auto"/>
              </w:rPr>
            </w:pPr>
            <w:r>
              <w:rPr>
                <w:rFonts w:ascii="Arial" w:cs="Arial" w:eastAsia="Arial" w:hAnsi="Arial"/>
                <w:sz w:val="14"/>
                <w:szCs w:val="14"/>
                <w:color w:val="auto"/>
              </w:rPr>
              <w:t>Asia</w:t>
            </w:r>
          </w:p>
        </w:tc>
        <w:tc>
          <w:tcPr>
            <w:tcW w:w="3660" w:type="dxa"/>
            <w:vAlign w:val="bottom"/>
          </w:tcPr>
          <w:p>
            <w:pPr>
              <w:spacing w:after="0"/>
              <w:rPr>
                <w:sz w:val="22"/>
                <w:szCs w:val="22"/>
                <w:color w:val="auto"/>
              </w:rPr>
            </w:pPr>
          </w:p>
        </w:tc>
      </w:tr>
      <w:tr>
        <w:trPr>
          <w:trHeight w:val="182"/>
        </w:trPr>
        <w:tc>
          <w:tcPr>
            <w:tcW w:w="1280" w:type="dxa"/>
            <w:vAlign w:val="bottom"/>
          </w:tcPr>
          <w:p>
            <w:pPr>
              <w:spacing w:after="0"/>
              <w:rPr>
                <w:sz w:val="15"/>
                <w:szCs w:val="15"/>
                <w:color w:val="auto"/>
              </w:rPr>
            </w:pPr>
          </w:p>
        </w:tc>
        <w:tc>
          <w:tcPr>
            <w:tcW w:w="6480" w:type="dxa"/>
            <w:vAlign w:val="bottom"/>
          </w:tcPr>
          <w:p>
            <w:pPr>
              <w:ind w:left="2560"/>
              <w:spacing w:after="0"/>
              <w:rPr>
                <w:sz w:val="20"/>
                <w:szCs w:val="20"/>
                <w:color w:val="auto"/>
              </w:rPr>
            </w:pPr>
            <w:r>
              <w:rPr>
                <w:rFonts w:ascii="Arial" w:cs="Arial" w:eastAsia="Arial" w:hAnsi="Arial"/>
                <w:sz w:val="14"/>
                <w:szCs w:val="14"/>
                <w:color w:val="auto"/>
              </w:rPr>
              <w:t>AU, Australia</w:t>
            </w:r>
          </w:p>
        </w:tc>
        <w:tc>
          <w:tcPr>
            <w:tcW w:w="3660" w:type="dxa"/>
            <w:vAlign w:val="bottom"/>
          </w:tcPr>
          <w:p>
            <w:pPr>
              <w:ind w:left="2240"/>
              <w:spacing w:after="0"/>
              <w:rPr>
                <w:sz w:val="20"/>
                <w:szCs w:val="20"/>
                <w:color w:val="auto"/>
              </w:rPr>
            </w:pPr>
            <w:r>
              <w:rPr>
                <w:rFonts w:ascii="Arial" w:cs="Arial" w:eastAsia="Arial" w:hAnsi="Arial"/>
                <w:sz w:val="14"/>
                <w:szCs w:val="14"/>
                <w:color w:val="auto"/>
              </w:rPr>
              <w:t>Composite Quote</w:t>
            </w:r>
          </w:p>
        </w:tc>
      </w:tr>
      <w:tr>
        <w:trPr>
          <w:trHeight w:val="134"/>
        </w:trPr>
        <w:tc>
          <w:tcPr>
            <w:tcW w:w="128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3660" w:type="dxa"/>
            <w:vAlign w:val="bottom"/>
          </w:tcPr>
          <w:p>
            <w:pPr>
              <w:spacing w:after="0"/>
              <w:rPr>
                <w:sz w:val="11"/>
                <w:szCs w:val="11"/>
                <w:color w:val="auto"/>
              </w:rPr>
            </w:pPr>
          </w:p>
        </w:tc>
      </w:tr>
      <w:tr>
        <w:trPr>
          <w:trHeight w:val="149"/>
        </w:trPr>
        <w:tc>
          <w:tcPr>
            <w:tcW w:w="1280" w:type="dxa"/>
            <w:vAlign w:val="bottom"/>
          </w:tcPr>
          <w:p>
            <w:pPr>
              <w:spacing w:after="0"/>
              <w:rPr>
                <w:sz w:val="12"/>
                <w:szCs w:val="12"/>
                <w:color w:val="auto"/>
              </w:rPr>
            </w:pPr>
          </w:p>
        </w:tc>
        <w:tc>
          <w:tcPr>
            <w:tcW w:w="648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EUR</w:t>
            </w:r>
          </w:p>
        </w:tc>
        <w:tc>
          <w:tcPr>
            <w:tcW w:w="3660" w:type="dxa"/>
            <w:vAlign w:val="bottom"/>
            <w:shd w:val="clear" w:color="auto" w:fill="1F497D"/>
          </w:tcPr>
          <w:p>
            <w:pPr>
              <w:spacing w:after="0"/>
              <w:rPr>
                <w:sz w:val="12"/>
                <w:szCs w:val="12"/>
                <w:color w:val="auto"/>
              </w:rPr>
            </w:pPr>
          </w:p>
        </w:tc>
      </w:tr>
      <w:tr>
        <w:trPr>
          <w:trHeight w:val="130"/>
        </w:trPr>
        <w:tc>
          <w:tcPr>
            <w:tcW w:w="1280" w:type="dxa"/>
            <w:vAlign w:val="bottom"/>
          </w:tcPr>
          <w:p>
            <w:pPr>
              <w:spacing w:after="0"/>
              <w:rPr>
                <w:sz w:val="11"/>
                <w:szCs w:val="11"/>
                <w:color w:val="auto"/>
              </w:rPr>
            </w:pPr>
          </w:p>
        </w:tc>
        <w:tc>
          <w:tcPr>
            <w:tcW w:w="6480" w:type="dxa"/>
            <w:vAlign w:val="bottom"/>
          </w:tcPr>
          <w:p>
            <w:pPr>
              <w:ind w:left="960"/>
              <w:spacing w:after="0" w:line="130" w:lineRule="exact"/>
              <w:rPr>
                <w:sz w:val="20"/>
                <w:szCs w:val="20"/>
                <w:color w:val="auto"/>
              </w:rPr>
            </w:pPr>
            <w:r>
              <w:rPr>
                <w:rFonts w:ascii="Arial" w:cs="Arial" w:eastAsia="Arial" w:hAnsi="Arial"/>
                <w:sz w:val="14"/>
                <w:szCs w:val="14"/>
                <w:color w:val="auto"/>
              </w:rPr>
              <w:t>North America</w:t>
            </w:r>
          </w:p>
        </w:tc>
        <w:tc>
          <w:tcPr>
            <w:tcW w:w="3660" w:type="dxa"/>
            <w:vAlign w:val="bottom"/>
          </w:tcPr>
          <w:p>
            <w:pPr>
              <w:spacing w:after="0"/>
              <w:rPr>
                <w:sz w:val="11"/>
                <w:szCs w:val="11"/>
                <w:color w:val="auto"/>
              </w:rPr>
            </w:pP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CA, Canada</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280" w:type="dxa"/>
            <w:vAlign w:val="bottom"/>
          </w:tcPr>
          <w:p>
            <w:pPr>
              <w:spacing w:after="0"/>
              <w:rPr>
                <w:sz w:val="15"/>
                <w:szCs w:val="15"/>
                <w:color w:val="auto"/>
              </w:rPr>
            </w:pPr>
          </w:p>
        </w:tc>
        <w:tc>
          <w:tcPr>
            <w:tcW w:w="6480" w:type="dxa"/>
            <w:vAlign w:val="bottom"/>
          </w:tcPr>
          <w:p>
            <w:pPr>
              <w:ind w:left="2560"/>
              <w:spacing w:after="0"/>
              <w:rPr>
                <w:sz w:val="20"/>
                <w:szCs w:val="20"/>
                <w:color w:val="auto"/>
              </w:rPr>
            </w:pPr>
            <w:r>
              <w:rPr>
                <w:rFonts w:ascii="Arial" w:cs="Arial" w:eastAsia="Arial" w:hAnsi="Arial"/>
                <w:sz w:val="14"/>
                <w:szCs w:val="14"/>
                <w:color w:val="auto"/>
              </w:rPr>
              <w:t>US, United States of America</w:t>
            </w:r>
          </w:p>
        </w:tc>
        <w:tc>
          <w:tcPr>
            <w:tcW w:w="3660" w:type="dxa"/>
            <w:vAlign w:val="bottom"/>
          </w:tcPr>
          <w:p>
            <w:pPr>
              <w:ind w:left="2240"/>
              <w:spacing w:after="0"/>
              <w:rPr>
                <w:sz w:val="20"/>
                <w:szCs w:val="20"/>
                <w:color w:val="auto"/>
              </w:rPr>
            </w:pPr>
            <w:r>
              <w:rPr>
                <w:rFonts w:ascii="Arial" w:cs="Arial" w:eastAsia="Arial" w:hAnsi="Arial"/>
                <w:sz w:val="14"/>
                <w:szCs w:val="14"/>
                <w:color w:val="auto"/>
              </w:rPr>
              <w:t>Composite Quote</w:t>
            </w:r>
          </w:p>
        </w:tc>
      </w:tr>
      <w:tr>
        <w:trPr>
          <w:trHeight w:val="263"/>
        </w:trPr>
        <w:tc>
          <w:tcPr>
            <w:tcW w:w="1280" w:type="dxa"/>
            <w:vAlign w:val="bottom"/>
          </w:tcPr>
          <w:p>
            <w:pPr>
              <w:spacing w:after="0"/>
              <w:rPr>
                <w:sz w:val="22"/>
                <w:szCs w:val="22"/>
                <w:color w:val="auto"/>
              </w:rPr>
            </w:pPr>
          </w:p>
        </w:tc>
        <w:tc>
          <w:tcPr>
            <w:tcW w:w="6480" w:type="dxa"/>
            <w:vAlign w:val="bottom"/>
          </w:tcPr>
          <w:p>
            <w:pPr>
              <w:ind w:left="960"/>
              <w:spacing w:after="0"/>
              <w:rPr>
                <w:sz w:val="20"/>
                <w:szCs w:val="20"/>
                <w:color w:val="auto"/>
              </w:rPr>
            </w:pPr>
            <w:r>
              <w:rPr>
                <w:rFonts w:ascii="Arial" w:cs="Arial" w:eastAsia="Arial" w:hAnsi="Arial"/>
                <w:sz w:val="14"/>
                <w:szCs w:val="14"/>
                <w:color w:val="auto"/>
              </w:rPr>
              <w:t>LATAM</w:t>
            </w:r>
          </w:p>
        </w:tc>
        <w:tc>
          <w:tcPr>
            <w:tcW w:w="3660" w:type="dxa"/>
            <w:vAlign w:val="bottom"/>
          </w:tcPr>
          <w:p>
            <w:pPr>
              <w:spacing w:after="0"/>
              <w:rPr>
                <w:sz w:val="22"/>
                <w:szCs w:val="22"/>
                <w:color w:val="auto"/>
              </w:rPr>
            </w:pPr>
          </w:p>
        </w:tc>
      </w:tr>
      <w:tr>
        <w:trPr>
          <w:trHeight w:val="182"/>
        </w:trPr>
        <w:tc>
          <w:tcPr>
            <w:tcW w:w="1280" w:type="dxa"/>
            <w:vAlign w:val="bottom"/>
          </w:tcPr>
          <w:p>
            <w:pPr>
              <w:spacing w:after="0"/>
              <w:rPr>
                <w:sz w:val="15"/>
                <w:szCs w:val="15"/>
                <w:color w:val="auto"/>
              </w:rPr>
            </w:pPr>
          </w:p>
        </w:tc>
        <w:tc>
          <w:tcPr>
            <w:tcW w:w="6480" w:type="dxa"/>
            <w:vAlign w:val="bottom"/>
          </w:tcPr>
          <w:p>
            <w:pPr>
              <w:ind w:left="2560"/>
              <w:spacing w:after="0"/>
              <w:rPr>
                <w:sz w:val="20"/>
                <w:szCs w:val="20"/>
                <w:color w:val="auto"/>
              </w:rPr>
            </w:pPr>
            <w:r>
              <w:rPr>
                <w:rFonts w:ascii="Arial" w:cs="Arial" w:eastAsia="Arial" w:hAnsi="Arial"/>
                <w:sz w:val="14"/>
                <w:szCs w:val="14"/>
                <w:color w:val="auto"/>
              </w:rPr>
              <w:t>PE, Peru</w:t>
            </w:r>
          </w:p>
        </w:tc>
        <w:tc>
          <w:tcPr>
            <w:tcW w:w="3660" w:type="dxa"/>
            <w:vAlign w:val="bottom"/>
          </w:tcPr>
          <w:p>
            <w:pPr>
              <w:ind w:left="2240"/>
              <w:spacing w:after="0"/>
              <w:rPr>
                <w:sz w:val="20"/>
                <w:szCs w:val="20"/>
                <w:color w:val="auto"/>
              </w:rPr>
            </w:pPr>
            <w:r>
              <w:rPr>
                <w:rFonts w:ascii="Arial" w:cs="Arial" w:eastAsia="Arial" w:hAnsi="Arial"/>
                <w:sz w:val="14"/>
                <w:szCs w:val="14"/>
                <w:color w:val="auto"/>
              </w:rPr>
              <w:t>Composite Quote</w:t>
            </w:r>
          </w:p>
        </w:tc>
      </w:tr>
      <w:tr>
        <w:trPr>
          <w:trHeight w:val="263"/>
        </w:trPr>
        <w:tc>
          <w:tcPr>
            <w:tcW w:w="1280" w:type="dxa"/>
            <w:vAlign w:val="bottom"/>
          </w:tcPr>
          <w:p>
            <w:pPr>
              <w:spacing w:after="0"/>
              <w:rPr>
                <w:sz w:val="22"/>
                <w:szCs w:val="22"/>
                <w:color w:val="auto"/>
              </w:rPr>
            </w:pPr>
          </w:p>
        </w:tc>
        <w:tc>
          <w:tcPr>
            <w:tcW w:w="6480" w:type="dxa"/>
            <w:vAlign w:val="bottom"/>
          </w:tcPr>
          <w:p>
            <w:pPr>
              <w:ind w:left="960"/>
              <w:spacing w:after="0"/>
              <w:rPr>
                <w:sz w:val="20"/>
                <w:szCs w:val="20"/>
                <w:color w:val="auto"/>
              </w:rPr>
            </w:pPr>
            <w:r>
              <w:rPr>
                <w:rFonts w:ascii="Arial" w:cs="Arial" w:eastAsia="Arial" w:hAnsi="Arial"/>
                <w:sz w:val="14"/>
                <w:szCs w:val="14"/>
                <w:color w:val="auto"/>
              </w:rPr>
              <w:t>Western Europe</w:t>
            </w:r>
          </w:p>
        </w:tc>
        <w:tc>
          <w:tcPr>
            <w:tcW w:w="3660" w:type="dxa"/>
            <w:vAlign w:val="bottom"/>
          </w:tcPr>
          <w:p>
            <w:pPr>
              <w:spacing w:after="0"/>
              <w:rPr>
                <w:sz w:val="22"/>
                <w:szCs w:val="22"/>
                <w:color w:val="auto"/>
              </w:rPr>
            </w:pP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AT, Austria</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CH, Switzerland</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DE, Germany</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DK, Denmark</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ES, Spain</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FI, Finland</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FR, France</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GR, Greece</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IE, Ireland</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IT, Italy</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LU, Luxembourg</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NL, Netherlands</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NO, Norway</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NZ, New Zealand</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PT, Portugal</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SE, Sweden</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280" w:type="dxa"/>
            <w:vAlign w:val="bottom"/>
          </w:tcPr>
          <w:p>
            <w:pPr>
              <w:spacing w:after="0"/>
              <w:rPr>
                <w:sz w:val="15"/>
                <w:szCs w:val="15"/>
                <w:color w:val="auto"/>
              </w:rPr>
            </w:pPr>
          </w:p>
        </w:tc>
        <w:tc>
          <w:tcPr>
            <w:tcW w:w="6480" w:type="dxa"/>
            <w:vAlign w:val="bottom"/>
          </w:tcPr>
          <w:p>
            <w:pPr>
              <w:ind w:left="2560"/>
              <w:spacing w:after="0"/>
              <w:rPr>
                <w:sz w:val="20"/>
                <w:szCs w:val="20"/>
                <w:color w:val="auto"/>
              </w:rPr>
            </w:pPr>
            <w:r>
              <w:rPr>
                <w:rFonts w:ascii="Arial" w:cs="Arial" w:eastAsia="Arial" w:hAnsi="Arial"/>
                <w:sz w:val="14"/>
                <w:szCs w:val="14"/>
                <w:color w:val="auto"/>
              </w:rPr>
              <w:t>UK, United Kingdom</w:t>
            </w:r>
          </w:p>
        </w:tc>
        <w:tc>
          <w:tcPr>
            <w:tcW w:w="3660" w:type="dxa"/>
            <w:vAlign w:val="bottom"/>
          </w:tcPr>
          <w:p>
            <w:pPr>
              <w:ind w:left="2240"/>
              <w:spacing w:after="0"/>
              <w:rPr>
                <w:sz w:val="20"/>
                <w:szCs w:val="20"/>
                <w:color w:val="auto"/>
              </w:rPr>
            </w:pPr>
            <w:r>
              <w:rPr>
                <w:rFonts w:ascii="Arial" w:cs="Arial" w:eastAsia="Arial" w:hAnsi="Arial"/>
                <w:sz w:val="14"/>
                <w:szCs w:val="14"/>
                <w:color w:val="auto"/>
              </w:rPr>
              <w:t>Composite Quote</w:t>
            </w:r>
          </w:p>
        </w:tc>
      </w:tr>
      <w:tr>
        <w:trPr>
          <w:trHeight w:val="263"/>
        </w:trPr>
        <w:tc>
          <w:tcPr>
            <w:tcW w:w="1280" w:type="dxa"/>
            <w:vAlign w:val="bottom"/>
          </w:tcPr>
          <w:p>
            <w:pPr>
              <w:spacing w:after="0"/>
              <w:rPr>
                <w:sz w:val="22"/>
                <w:szCs w:val="22"/>
                <w:color w:val="auto"/>
              </w:rPr>
            </w:pPr>
          </w:p>
        </w:tc>
        <w:tc>
          <w:tcPr>
            <w:tcW w:w="6480" w:type="dxa"/>
            <w:vAlign w:val="bottom"/>
          </w:tcPr>
          <w:p>
            <w:pPr>
              <w:ind w:left="960"/>
              <w:spacing w:after="0"/>
              <w:rPr>
                <w:sz w:val="20"/>
                <w:szCs w:val="20"/>
                <w:color w:val="auto"/>
              </w:rPr>
            </w:pPr>
            <w:r>
              <w:rPr>
                <w:rFonts w:ascii="Arial" w:cs="Arial" w:eastAsia="Arial" w:hAnsi="Arial"/>
                <w:sz w:val="14"/>
                <w:szCs w:val="14"/>
                <w:color w:val="auto"/>
              </w:rPr>
              <w:t>Asia</w:t>
            </w:r>
          </w:p>
        </w:tc>
        <w:tc>
          <w:tcPr>
            <w:tcW w:w="3660" w:type="dxa"/>
            <w:vAlign w:val="bottom"/>
          </w:tcPr>
          <w:p>
            <w:pPr>
              <w:spacing w:after="0"/>
              <w:rPr>
                <w:sz w:val="22"/>
                <w:szCs w:val="22"/>
                <w:color w:val="auto"/>
              </w:rPr>
            </w:pPr>
          </w:p>
        </w:tc>
      </w:tr>
      <w:tr>
        <w:trPr>
          <w:trHeight w:val="182"/>
        </w:trPr>
        <w:tc>
          <w:tcPr>
            <w:tcW w:w="1280" w:type="dxa"/>
            <w:vAlign w:val="bottom"/>
          </w:tcPr>
          <w:p>
            <w:pPr>
              <w:spacing w:after="0"/>
              <w:rPr>
                <w:sz w:val="15"/>
                <w:szCs w:val="15"/>
                <w:color w:val="auto"/>
              </w:rPr>
            </w:pPr>
          </w:p>
        </w:tc>
        <w:tc>
          <w:tcPr>
            <w:tcW w:w="6480" w:type="dxa"/>
            <w:vAlign w:val="bottom"/>
          </w:tcPr>
          <w:p>
            <w:pPr>
              <w:ind w:left="2560"/>
              <w:spacing w:after="0"/>
              <w:rPr>
                <w:sz w:val="20"/>
                <w:szCs w:val="20"/>
                <w:color w:val="auto"/>
              </w:rPr>
            </w:pPr>
            <w:r>
              <w:rPr>
                <w:rFonts w:ascii="Arial" w:cs="Arial" w:eastAsia="Arial" w:hAnsi="Arial"/>
                <w:sz w:val="14"/>
                <w:szCs w:val="14"/>
                <w:color w:val="auto"/>
              </w:rPr>
              <w:t>AU, Australia</w:t>
            </w:r>
          </w:p>
        </w:tc>
        <w:tc>
          <w:tcPr>
            <w:tcW w:w="3660" w:type="dxa"/>
            <w:vAlign w:val="bottom"/>
          </w:tcPr>
          <w:p>
            <w:pPr>
              <w:ind w:left="2240"/>
              <w:spacing w:after="0"/>
              <w:rPr>
                <w:sz w:val="20"/>
                <w:szCs w:val="20"/>
                <w:color w:val="auto"/>
              </w:rPr>
            </w:pPr>
            <w:r>
              <w:rPr>
                <w:rFonts w:ascii="Arial" w:cs="Arial" w:eastAsia="Arial" w:hAnsi="Arial"/>
                <w:sz w:val="14"/>
                <w:szCs w:val="14"/>
                <w:color w:val="auto"/>
              </w:rPr>
              <w:t>Composite Quote</w:t>
            </w:r>
          </w:p>
        </w:tc>
      </w:tr>
      <w:tr>
        <w:trPr>
          <w:trHeight w:val="263"/>
        </w:trPr>
        <w:tc>
          <w:tcPr>
            <w:tcW w:w="1280" w:type="dxa"/>
            <w:vAlign w:val="bottom"/>
          </w:tcPr>
          <w:p>
            <w:pPr>
              <w:spacing w:after="0"/>
              <w:rPr>
                <w:sz w:val="22"/>
                <w:szCs w:val="22"/>
                <w:color w:val="auto"/>
              </w:rPr>
            </w:pPr>
          </w:p>
        </w:tc>
        <w:tc>
          <w:tcPr>
            <w:tcW w:w="6480" w:type="dxa"/>
            <w:vAlign w:val="bottom"/>
          </w:tcPr>
          <w:p>
            <w:pPr>
              <w:ind w:left="960"/>
              <w:spacing w:after="0"/>
              <w:rPr>
                <w:sz w:val="20"/>
                <w:szCs w:val="20"/>
                <w:color w:val="auto"/>
              </w:rPr>
            </w:pPr>
            <w:r>
              <w:rPr>
                <w:rFonts w:ascii="Arial" w:cs="Arial" w:eastAsia="Arial" w:hAnsi="Arial"/>
                <w:sz w:val="14"/>
                <w:szCs w:val="14"/>
                <w:color w:val="auto"/>
              </w:rPr>
              <w:t>CEEMEA</w:t>
            </w:r>
          </w:p>
        </w:tc>
        <w:tc>
          <w:tcPr>
            <w:tcW w:w="3660" w:type="dxa"/>
            <w:vAlign w:val="bottom"/>
          </w:tcPr>
          <w:p>
            <w:pPr>
              <w:spacing w:after="0"/>
              <w:rPr>
                <w:sz w:val="22"/>
                <w:szCs w:val="22"/>
                <w:color w:val="auto"/>
              </w:rPr>
            </w:pP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HU, Hungary</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49"/>
        </w:trPr>
        <w:tc>
          <w:tcPr>
            <w:tcW w:w="1280" w:type="dxa"/>
            <w:vAlign w:val="bottom"/>
          </w:tcPr>
          <w:p>
            <w:pPr>
              <w:spacing w:after="0"/>
              <w:rPr>
                <w:sz w:val="12"/>
                <w:szCs w:val="12"/>
                <w:color w:val="auto"/>
              </w:rPr>
            </w:pPr>
          </w:p>
        </w:tc>
        <w:tc>
          <w:tcPr>
            <w:tcW w:w="6480" w:type="dxa"/>
            <w:vAlign w:val="bottom"/>
          </w:tcPr>
          <w:p>
            <w:pPr>
              <w:ind w:left="2560"/>
              <w:spacing w:after="0" w:line="149" w:lineRule="exact"/>
              <w:rPr>
                <w:sz w:val="20"/>
                <w:szCs w:val="20"/>
                <w:color w:val="auto"/>
              </w:rPr>
            </w:pPr>
            <w:r>
              <w:rPr>
                <w:rFonts w:ascii="Arial" w:cs="Arial" w:eastAsia="Arial" w:hAnsi="Arial"/>
                <w:sz w:val="14"/>
                <w:szCs w:val="14"/>
                <w:color w:val="auto"/>
              </w:rPr>
              <w:t>CZ, Czech Republic</w:t>
            </w:r>
          </w:p>
        </w:tc>
        <w:tc>
          <w:tcPr>
            <w:tcW w:w="3660" w:type="dxa"/>
            <w:vAlign w:val="bottom"/>
          </w:tcPr>
          <w:p>
            <w:pPr>
              <w:ind w:left="2240"/>
              <w:spacing w:after="0" w:line="149" w:lineRule="exact"/>
              <w:rPr>
                <w:sz w:val="20"/>
                <w:szCs w:val="20"/>
                <w:color w:val="auto"/>
              </w:rPr>
            </w:pPr>
            <w:r>
              <w:rPr>
                <w:rFonts w:ascii="Arial" w:cs="Arial" w:eastAsia="Arial" w:hAnsi="Arial"/>
                <w:sz w:val="14"/>
                <w:szCs w:val="14"/>
                <w:color w:val="auto"/>
              </w:rPr>
              <w:t>Composite Quote</w:t>
            </w:r>
          </w:p>
        </w:tc>
      </w:tr>
      <w:tr>
        <w:trPr>
          <w:trHeight w:val="182"/>
        </w:trPr>
        <w:tc>
          <w:tcPr>
            <w:tcW w:w="1280" w:type="dxa"/>
            <w:vAlign w:val="bottom"/>
          </w:tcPr>
          <w:p>
            <w:pPr>
              <w:spacing w:after="0"/>
              <w:rPr>
                <w:sz w:val="15"/>
                <w:szCs w:val="15"/>
                <w:color w:val="auto"/>
              </w:rPr>
            </w:pPr>
          </w:p>
        </w:tc>
        <w:tc>
          <w:tcPr>
            <w:tcW w:w="6480" w:type="dxa"/>
            <w:vAlign w:val="bottom"/>
          </w:tcPr>
          <w:p>
            <w:pPr>
              <w:ind w:left="2560"/>
              <w:spacing w:after="0"/>
              <w:rPr>
                <w:sz w:val="20"/>
                <w:szCs w:val="20"/>
                <w:color w:val="auto"/>
              </w:rPr>
            </w:pPr>
            <w:r>
              <w:rPr>
                <w:rFonts w:ascii="Arial" w:cs="Arial" w:eastAsia="Arial" w:hAnsi="Arial"/>
                <w:sz w:val="14"/>
                <w:szCs w:val="14"/>
                <w:color w:val="auto"/>
              </w:rPr>
              <w:t>SK, Slovakia</w:t>
            </w:r>
          </w:p>
        </w:tc>
        <w:tc>
          <w:tcPr>
            <w:tcW w:w="3660" w:type="dxa"/>
            <w:vAlign w:val="bottom"/>
          </w:tcPr>
          <w:p>
            <w:pPr>
              <w:ind w:left="2240"/>
              <w:spacing w:after="0"/>
              <w:rPr>
                <w:sz w:val="20"/>
                <w:szCs w:val="20"/>
                <w:color w:val="auto"/>
              </w:rPr>
            </w:pPr>
            <w:r>
              <w:rPr>
                <w:rFonts w:ascii="Arial" w:cs="Arial" w:eastAsia="Arial" w:hAnsi="Arial"/>
                <w:sz w:val="14"/>
                <w:szCs w:val="14"/>
                <w:color w:val="auto"/>
              </w:rPr>
              <w:t>Composite Quote</w:t>
            </w:r>
          </w:p>
        </w:tc>
      </w:tr>
      <w:tr>
        <w:trPr>
          <w:trHeight w:val="633"/>
        </w:trPr>
        <w:tc>
          <w:tcPr>
            <w:tcW w:w="128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8" w:right="239" w:bottom="1440" w:gutter="0" w:footer="0" w:header="0"/>
        </w:sectPr>
      </w:pPr>
    </w:p>
    <w:bookmarkStart w:id="322" w:name="page323"/>
    <w:bookmarkEnd w:id="3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900" w:type="dxa"/>
            <w:vAlign w:val="bottom"/>
            <w:shd w:val="clear" w:color="auto" w:fill="EEECE1"/>
          </w:tcPr>
          <w:p>
            <w:pPr>
              <w:ind w:left="26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3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2100" w:type="dxa"/>
            <w:vAlign w:val="bottom"/>
            <w:shd w:val="clear" w:color="auto" w:fill="EEECE1"/>
          </w:tcPr>
          <w:p>
            <w:pPr>
              <w:ind w:left="340"/>
              <w:spacing w:after="0"/>
              <w:rPr>
                <w:sz w:val="20"/>
                <w:szCs w:val="20"/>
                <w:color w:val="auto"/>
              </w:rPr>
            </w:pPr>
            <w:r>
              <w:rPr>
                <w:rFonts w:ascii="Arial" w:cs="Arial" w:eastAsia="Arial" w:hAnsi="Arial"/>
                <w:sz w:val="14"/>
                <w:szCs w:val="14"/>
                <w:b w:val="1"/>
                <w:bCs w:val="1"/>
                <w:color w:val="auto"/>
              </w:rPr>
              <w:t>5</w:t>
            </w:r>
          </w:p>
        </w:tc>
        <w:tc>
          <w:tcPr>
            <w:tcW w:w="5820" w:type="dxa"/>
            <w:vAlign w:val="bottom"/>
            <w:shd w:val="clear" w:color="auto" w:fill="EEECE1"/>
          </w:tcPr>
          <w:p>
            <w:pPr>
              <w:ind w:left="52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1300" w:type="dxa"/>
            <w:vAlign w:val="bottom"/>
            <w:shd w:val="clear" w:color="auto" w:fill="EEECE1"/>
          </w:tcPr>
          <w:p>
            <w:pPr>
              <w:spacing w:after="0"/>
              <w:rPr>
                <w:sz w:val="12"/>
                <w:szCs w:val="12"/>
                <w:color w:val="auto"/>
              </w:rPr>
            </w:pPr>
          </w:p>
        </w:tc>
        <w:tc>
          <w:tcPr>
            <w:tcW w:w="2100" w:type="dxa"/>
            <w:vAlign w:val="bottom"/>
            <w:shd w:val="clear" w:color="auto" w:fill="EEECE1"/>
          </w:tcPr>
          <w:p>
            <w:pPr>
              <w:spacing w:after="0"/>
              <w:rPr>
                <w:sz w:val="12"/>
                <w:szCs w:val="12"/>
                <w:color w:val="auto"/>
              </w:rPr>
            </w:pPr>
          </w:p>
        </w:tc>
        <w:tc>
          <w:tcPr>
            <w:tcW w:w="58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shd w:val="clear" w:color="auto" w:fill="EEECE1"/>
          </w:tcPr>
          <w:p>
            <w:pPr>
              <w:spacing w:after="0"/>
              <w:rPr>
                <w:sz w:val="14"/>
                <w:szCs w:val="14"/>
                <w:color w:val="auto"/>
              </w:rPr>
            </w:pPr>
          </w:p>
        </w:tc>
        <w:tc>
          <w:tcPr>
            <w:tcW w:w="3120" w:type="dxa"/>
            <w:vAlign w:val="bottom"/>
            <w:gridSpan w:val="3"/>
            <w:shd w:val="clear" w:color="auto" w:fill="EEECE1"/>
          </w:tcPr>
          <w:p>
            <w:pPr>
              <w:ind w:left="260"/>
              <w:spacing w:after="0"/>
              <w:rPr>
                <w:sz w:val="20"/>
                <w:szCs w:val="20"/>
                <w:color w:val="auto"/>
              </w:rPr>
            </w:pPr>
            <w:r>
              <w:rPr>
                <w:rFonts w:ascii="Arial" w:cs="Arial" w:eastAsia="Arial" w:hAnsi="Arial"/>
                <w:sz w:val="14"/>
                <w:szCs w:val="14"/>
                <w:b w:val="1"/>
                <w:bCs w:val="1"/>
                <w:color w:val="auto"/>
              </w:rPr>
              <w:t>Credit - Non North America</w:t>
            </w:r>
          </w:p>
        </w:tc>
        <w:tc>
          <w:tcPr>
            <w:tcW w:w="2100" w:type="dxa"/>
            <w:vAlign w:val="bottom"/>
            <w:shd w:val="clear" w:color="auto" w:fill="EEECE1"/>
          </w:tcPr>
          <w:p>
            <w:pPr>
              <w:spacing w:after="0"/>
              <w:rPr>
                <w:sz w:val="14"/>
                <w:szCs w:val="14"/>
                <w:color w:val="auto"/>
              </w:rPr>
            </w:pPr>
          </w:p>
        </w:tc>
        <w:tc>
          <w:tcPr>
            <w:tcW w:w="58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GBP</w:t>
            </w:r>
          </w:p>
        </w:tc>
        <w:tc>
          <w:tcPr>
            <w:tcW w:w="1300" w:type="dxa"/>
            <w:vAlign w:val="bottom"/>
            <w:shd w:val="clear" w:color="auto" w:fill="1F497D"/>
          </w:tcPr>
          <w:p>
            <w:pPr>
              <w:spacing w:after="0"/>
              <w:rPr>
                <w:sz w:val="12"/>
                <w:szCs w:val="12"/>
                <w:color w:val="auto"/>
              </w:rPr>
            </w:pPr>
          </w:p>
        </w:tc>
        <w:tc>
          <w:tcPr>
            <w:tcW w:w="21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North America</w:t>
            </w:r>
          </w:p>
        </w:tc>
        <w:tc>
          <w:tcPr>
            <w:tcW w:w="2100" w:type="dxa"/>
            <w:vAlign w:val="bottom"/>
            <w:vMerge w:val="restart"/>
          </w:tcPr>
          <w:p>
            <w:pPr>
              <w:ind w:left="340"/>
              <w:spacing w:after="0"/>
              <w:rPr>
                <w:sz w:val="20"/>
                <w:szCs w:val="20"/>
                <w:color w:val="auto"/>
              </w:rPr>
            </w:pPr>
            <w:r>
              <w:rPr>
                <w:rFonts w:ascii="Arial" w:cs="Arial" w:eastAsia="Arial" w:hAnsi="Arial"/>
                <w:sz w:val="14"/>
                <w:szCs w:val="14"/>
                <w:color w:val="auto"/>
              </w:rPr>
              <w:t>CA, Canada</w:t>
            </w:r>
          </w:p>
        </w:tc>
        <w:tc>
          <w:tcPr>
            <w:tcW w:w="5820" w:type="dxa"/>
            <w:vAlign w:val="bottom"/>
            <w:vMerge w:val="restart"/>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5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Asia</w:t>
            </w:r>
          </w:p>
        </w:tc>
        <w:tc>
          <w:tcPr>
            <w:tcW w:w="2100" w:type="dxa"/>
            <w:vAlign w:val="bottom"/>
            <w:vMerge w:val="restart"/>
          </w:tcPr>
          <w:p>
            <w:pPr>
              <w:ind w:left="340"/>
              <w:spacing w:after="0"/>
              <w:rPr>
                <w:sz w:val="20"/>
                <w:szCs w:val="20"/>
                <w:color w:val="auto"/>
              </w:rPr>
            </w:pPr>
            <w:r>
              <w:rPr>
                <w:rFonts w:ascii="Arial" w:cs="Arial" w:eastAsia="Arial" w:hAnsi="Arial"/>
                <w:sz w:val="14"/>
                <w:szCs w:val="14"/>
                <w:color w:val="auto"/>
              </w:rPr>
              <w:t>AU, Australia</w:t>
            </w:r>
          </w:p>
        </w:tc>
        <w:tc>
          <w:tcPr>
            <w:tcW w:w="5820" w:type="dxa"/>
            <w:vAlign w:val="bottom"/>
            <w:vMerge w:val="restart"/>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2100" w:type="dxa"/>
            <w:vAlign w:val="bottom"/>
            <w:vMerge w:val="restart"/>
          </w:tcPr>
          <w:p>
            <w:pPr>
              <w:ind w:left="340"/>
              <w:spacing w:after="0"/>
              <w:rPr>
                <w:sz w:val="20"/>
                <w:szCs w:val="20"/>
                <w:color w:val="auto"/>
              </w:rPr>
            </w:pPr>
            <w:r>
              <w:rPr>
                <w:rFonts w:ascii="Arial" w:cs="Arial" w:eastAsia="Arial" w:hAnsi="Arial"/>
                <w:sz w:val="14"/>
                <w:szCs w:val="14"/>
                <w:color w:val="auto"/>
              </w:rPr>
              <w:t>DE, Germany</w:t>
            </w:r>
          </w:p>
        </w:tc>
        <w:tc>
          <w:tcPr>
            <w:tcW w:w="5820" w:type="dxa"/>
            <w:vAlign w:val="bottom"/>
            <w:vMerge w:val="restart"/>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DK, Denmark</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NO, Norway</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SE, Sweden</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00" w:type="dxa"/>
            <w:vAlign w:val="bottom"/>
          </w:tcPr>
          <w:p>
            <w:pPr>
              <w:ind w:left="340"/>
              <w:spacing w:after="0"/>
              <w:rPr>
                <w:sz w:val="20"/>
                <w:szCs w:val="20"/>
                <w:color w:val="auto"/>
              </w:rPr>
            </w:pPr>
            <w:r>
              <w:rPr>
                <w:rFonts w:ascii="Arial" w:cs="Arial" w:eastAsia="Arial" w:hAnsi="Arial"/>
                <w:sz w:val="14"/>
                <w:szCs w:val="14"/>
                <w:color w:val="auto"/>
              </w:rPr>
              <w:t>UK, United Kingdom</w:t>
            </w:r>
          </w:p>
        </w:tc>
        <w:tc>
          <w:tcPr>
            <w:tcW w:w="5820" w:type="dxa"/>
            <w:vAlign w:val="bottom"/>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HUF</w:t>
            </w:r>
          </w:p>
        </w:tc>
        <w:tc>
          <w:tcPr>
            <w:tcW w:w="1300" w:type="dxa"/>
            <w:vAlign w:val="bottom"/>
            <w:shd w:val="clear" w:color="auto" w:fill="1F497D"/>
          </w:tcPr>
          <w:p>
            <w:pPr>
              <w:spacing w:after="0"/>
              <w:rPr>
                <w:sz w:val="12"/>
                <w:szCs w:val="12"/>
                <w:color w:val="auto"/>
              </w:rPr>
            </w:pPr>
          </w:p>
        </w:tc>
        <w:tc>
          <w:tcPr>
            <w:tcW w:w="21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CEEMEA</w:t>
            </w:r>
          </w:p>
        </w:tc>
        <w:tc>
          <w:tcPr>
            <w:tcW w:w="2100" w:type="dxa"/>
            <w:vAlign w:val="bottom"/>
            <w:vMerge w:val="restart"/>
          </w:tcPr>
          <w:p>
            <w:pPr>
              <w:ind w:left="340"/>
              <w:spacing w:after="0"/>
              <w:rPr>
                <w:sz w:val="20"/>
                <w:szCs w:val="20"/>
                <w:color w:val="auto"/>
              </w:rPr>
            </w:pPr>
            <w:r>
              <w:rPr>
                <w:rFonts w:ascii="Arial" w:cs="Arial" w:eastAsia="Arial" w:hAnsi="Arial"/>
                <w:sz w:val="14"/>
                <w:szCs w:val="14"/>
                <w:color w:val="auto"/>
              </w:rPr>
              <w:t>HU, Hungary</w:t>
            </w:r>
          </w:p>
        </w:tc>
        <w:tc>
          <w:tcPr>
            <w:tcW w:w="5820" w:type="dxa"/>
            <w:vAlign w:val="bottom"/>
            <w:vMerge w:val="restart"/>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5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NOK</w:t>
            </w:r>
          </w:p>
        </w:tc>
        <w:tc>
          <w:tcPr>
            <w:tcW w:w="1300" w:type="dxa"/>
            <w:vAlign w:val="bottom"/>
            <w:shd w:val="clear" w:color="auto" w:fill="1F497D"/>
          </w:tcPr>
          <w:p>
            <w:pPr>
              <w:spacing w:after="0"/>
              <w:rPr>
                <w:sz w:val="12"/>
                <w:szCs w:val="12"/>
                <w:color w:val="auto"/>
              </w:rPr>
            </w:pPr>
          </w:p>
        </w:tc>
        <w:tc>
          <w:tcPr>
            <w:tcW w:w="21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2100" w:type="dxa"/>
            <w:vAlign w:val="bottom"/>
            <w:vMerge w:val="restart"/>
          </w:tcPr>
          <w:p>
            <w:pPr>
              <w:ind w:left="340"/>
              <w:spacing w:after="0"/>
              <w:rPr>
                <w:sz w:val="20"/>
                <w:szCs w:val="20"/>
                <w:color w:val="auto"/>
              </w:rPr>
            </w:pPr>
            <w:r>
              <w:rPr>
                <w:rFonts w:ascii="Arial" w:cs="Arial" w:eastAsia="Arial" w:hAnsi="Arial"/>
                <w:sz w:val="14"/>
                <w:szCs w:val="14"/>
                <w:color w:val="auto"/>
              </w:rPr>
              <w:t>AT, Austria</w:t>
            </w:r>
          </w:p>
        </w:tc>
        <w:tc>
          <w:tcPr>
            <w:tcW w:w="5820" w:type="dxa"/>
            <w:vAlign w:val="bottom"/>
            <w:vMerge w:val="restart"/>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DK, Denmark</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ES, Spain</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LU, Luxembourg</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NL, Netherlands</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NO, Norway</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SE, Sweden</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00" w:type="dxa"/>
            <w:vAlign w:val="bottom"/>
          </w:tcPr>
          <w:p>
            <w:pPr>
              <w:ind w:left="340"/>
              <w:spacing w:after="0"/>
              <w:rPr>
                <w:sz w:val="20"/>
                <w:szCs w:val="20"/>
                <w:color w:val="auto"/>
              </w:rPr>
            </w:pPr>
            <w:r>
              <w:rPr>
                <w:rFonts w:ascii="Arial" w:cs="Arial" w:eastAsia="Arial" w:hAnsi="Arial"/>
                <w:sz w:val="14"/>
                <w:szCs w:val="14"/>
                <w:color w:val="auto"/>
              </w:rPr>
              <w:t>UK, United Kingdom</w:t>
            </w:r>
          </w:p>
        </w:tc>
        <w:tc>
          <w:tcPr>
            <w:tcW w:w="5820" w:type="dxa"/>
            <w:vAlign w:val="bottom"/>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NZD</w:t>
            </w:r>
          </w:p>
        </w:tc>
        <w:tc>
          <w:tcPr>
            <w:tcW w:w="1300" w:type="dxa"/>
            <w:vAlign w:val="bottom"/>
            <w:shd w:val="clear" w:color="auto" w:fill="1F497D"/>
          </w:tcPr>
          <w:p>
            <w:pPr>
              <w:spacing w:after="0"/>
              <w:rPr>
                <w:sz w:val="12"/>
                <w:szCs w:val="12"/>
                <w:color w:val="auto"/>
              </w:rPr>
            </w:pPr>
          </w:p>
        </w:tc>
        <w:tc>
          <w:tcPr>
            <w:tcW w:w="21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Asia</w:t>
            </w:r>
          </w:p>
        </w:tc>
        <w:tc>
          <w:tcPr>
            <w:tcW w:w="2100" w:type="dxa"/>
            <w:vAlign w:val="bottom"/>
            <w:vMerge w:val="restart"/>
          </w:tcPr>
          <w:p>
            <w:pPr>
              <w:ind w:left="340"/>
              <w:spacing w:after="0"/>
              <w:rPr>
                <w:sz w:val="20"/>
                <w:szCs w:val="20"/>
                <w:color w:val="auto"/>
              </w:rPr>
            </w:pPr>
            <w:r>
              <w:rPr>
                <w:rFonts w:ascii="Arial" w:cs="Arial" w:eastAsia="Arial" w:hAnsi="Arial"/>
                <w:sz w:val="14"/>
                <w:szCs w:val="14"/>
                <w:color w:val="auto"/>
              </w:rPr>
              <w:t>AU, Australia</w:t>
            </w:r>
          </w:p>
        </w:tc>
        <w:tc>
          <w:tcPr>
            <w:tcW w:w="5820" w:type="dxa"/>
            <w:vAlign w:val="bottom"/>
            <w:vMerge w:val="restart"/>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00" w:type="dxa"/>
            <w:vAlign w:val="bottom"/>
          </w:tcPr>
          <w:p>
            <w:pPr>
              <w:ind w:left="340"/>
              <w:spacing w:after="0"/>
              <w:rPr>
                <w:sz w:val="20"/>
                <w:szCs w:val="20"/>
                <w:color w:val="auto"/>
              </w:rPr>
            </w:pPr>
            <w:r>
              <w:rPr>
                <w:rFonts w:ascii="Arial" w:cs="Arial" w:eastAsia="Arial" w:hAnsi="Arial"/>
                <w:sz w:val="14"/>
                <w:szCs w:val="14"/>
                <w:color w:val="auto"/>
              </w:rPr>
              <w:t>NZ, New Zealand</w:t>
            </w:r>
          </w:p>
        </w:tc>
        <w:tc>
          <w:tcPr>
            <w:tcW w:w="5820" w:type="dxa"/>
            <w:vAlign w:val="bottom"/>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PLN</w:t>
            </w:r>
          </w:p>
        </w:tc>
        <w:tc>
          <w:tcPr>
            <w:tcW w:w="1300" w:type="dxa"/>
            <w:vAlign w:val="bottom"/>
            <w:shd w:val="clear" w:color="auto" w:fill="1F497D"/>
          </w:tcPr>
          <w:p>
            <w:pPr>
              <w:spacing w:after="0"/>
              <w:rPr>
                <w:sz w:val="12"/>
                <w:szCs w:val="12"/>
                <w:color w:val="auto"/>
              </w:rPr>
            </w:pPr>
          </w:p>
        </w:tc>
        <w:tc>
          <w:tcPr>
            <w:tcW w:w="21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CEEMEA</w:t>
            </w:r>
          </w:p>
        </w:tc>
        <w:tc>
          <w:tcPr>
            <w:tcW w:w="2100" w:type="dxa"/>
            <w:vAlign w:val="bottom"/>
            <w:vMerge w:val="restart"/>
          </w:tcPr>
          <w:p>
            <w:pPr>
              <w:ind w:left="340"/>
              <w:spacing w:after="0"/>
              <w:rPr>
                <w:sz w:val="20"/>
                <w:szCs w:val="20"/>
                <w:color w:val="auto"/>
              </w:rPr>
            </w:pPr>
            <w:r>
              <w:rPr>
                <w:rFonts w:ascii="Arial" w:cs="Arial" w:eastAsia="Arial" w:hAnsi="Arial"/>
                <w:sz w:val="14"/>
                <w:szCs w:val="14"/>
                <w:color w:val="auto"/>
              </w:rPr>
              <w:t>PL, Poland</w:t>
            </w:r>
          </w:p>
        </w:tc>
        <w:tc>
          <w:tcPr>
            <w:tcW w:w="5820" w:type="dxa"/>
            <w:vAlign w:val="bottom"/>
            <w:vMerge w:val="restart"/>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0"/>
        </w:trPr>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5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SEK</w:t>
            </w:r>
          </w:p>
        </w:tc>
        <w:tc>
          <w:tcPr>
            <w:tcW w:w="1300" w:type="dxa"/>
            <w:vAlign w:val="bottom"/>
            <w:shd w:val="clear" w:color="auto" w:fill="1F497D"/>
          </w:tcPr>
          <w:p>
            <w:pPr>
              <w:spacing w:after="0"/>
              <w:rPr>
                <w:sz w:val="12"/>
                <w:szCs w:val="12"/>
                <w:color w:val="auto"/>
              </w:rPr>
            </w:pPr>
          </w:p>
        </w:tc>
        <w:tc>
          <w:tcPr>
            <w:tcW w:w="2100" w:type="dxa"/>
            <w:vAlign w:val="bottom"/>
            <w:shd w:val="clear" w:color="auto" w:fill="1F497D"/>
          </w:tcPr>
          <w:p>
            <w:pPr>
              <w:spacing w:after="0"/>
              <w:rPr>
                <w:sz w:val="12"/>
                <w:szCs w:val="12"/>
                <w:color w:val="auto"/>
              </w:rPr>
            </w:pPr>
          </w:p>
        </w:tc>
        <w:tc>
          <w:tcPr>
            <w:tcW w:w="582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Western Europe</w:t>
            </w:r>
          </w:p>
        </w:tc>
        <w:tc>
          <w:tcPr>
            <w:tcW w:w="2100" w:type="dxa"/>
            <w:vAlign w:val="bottom"/>
            <w:vMerge w:val="restart"/>
          </w:tcPr>
          <w:p>
            <w:pPr>
              <w:ind w:left="340"/>
              <w:spacing w:after="0"/>
              <w:rPr>
                <w:sz w:val="20"/>
                <w:szCs w:val="20"/>
                <w:color w:val="auto"/>
              </w:rPr>
            </w:pPr>
            <w:r>
              <w:rPr>
                <w:rFonts w:ascii="Arial" w:cs="Arial" w:eastAsia="Arial" w:hAnsi="Arial"/>
                <w:sz w:val="14"/>
                <w:szCs w:val="14"/>
                <w:color w:val="auto"/>
              </w:rPr>
              <w:t>DE, Germany</w:t>
            </w:r>
          </w:p>
        </w:tc>
        <w:tc>
          <w:tcPr>
            <w:tcW w:w="5820" w:type="dxa"/>
            <w:vAlign w:val="bottom"/>
            <w:vMerge w:val="restart"/>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DK, Denmark</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FI, Finland</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FR, France</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IE, Ireland</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ind w:left="340"/>
              <w:spacing w:after="0" w:line="149" w:lineRule="exact"/>
              <w:rPr>
                <w:sz w:val="20"/>
                <w:szCs w:val="20"/>
                <w:color w:val="auto"/>
              </w:rPr>
            </w:pPr>
            <w:r>
              <w:rPr>
                <w:rFonts w:ascii="Arial" w:cs="Arial" w:eastAsia="Arial" w:hAnsi="Arial"/>
                <w:sz w:val="14"/>
                <w:szCs w:val="14"/>
                <w:color w:val="auto"/>
              </w:rPr>
              <w:t>NO, Norway</w:t>
            </w:r>
          </w:p>
        </w:tc>
        <w:tc>
          <w:tcPr>
            <w:tcW w:w="5820" w:type="dxa"/>
            <w:vAlign w:val="bottom"/>
          </w:tcPr>
          <w:p>
            <w:pPr>
              <w:ind w:left="44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00" w:type="dxa"/>
            <w:vAlign w:val="bottom"/>
          </w:tcPr>
          <w:p>
            <w:pPr>
              <w:ind w:left="340"/>
              <w:spacing w:after="0"/>
              <w:rPr>
                <w:sz w:val="20"/>
                <w:szCs w:val="20"/>
                <w:color w:val="auto"/>
              </w:rPr>
            </w:pPr>
            <w:r>
              <w:rPr>
                <w:rFonts w:ascii="Arial" w:cs="Arial" w:eastAsia="Arial" w:hAnsi="Arial"/>
                <w:sz w:val="14"/>
                <w:szCs w:val="14"/>
                <w:color w:val="auto"/>
              </w:rPr>
              <w:t>SE, Sweden</w:t>
            </w:r>
          </w:p>
        </w:tc>
        <w:tc>
          <w:tcPr>
            <w:tcW w:w="5820" w:type="dxa"/>
            <w:vAlign w:val="bottom"/>
          </w:tcPr>
          <w:p>
            <w:pPr>
              <w:ind w:left="44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23" w:name="page324"/>
    <w:bookmarkEnd w:id="3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24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2</w:t>
            </w:r>
          </w:p>
        </w:tc>
        <w:tc>
          <w:tcPr>
            <w:tcW w:w="9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900" w:type="dxa"/>
            <w:vAlign w:val="bottom"/>
            <w:shd w:val="clear" w:color="auto" w:fill="EEECE1"/>
          </w:tcPr>
          <w:p>
            <w:pPr>
              <w:spacing w:after="0"/>
              <w:rPr>
                <w:sz w:val="20"/>
                <w:szCs w:val="20"/>
                <w:color w:val="auto"/>
              </w:rPr>
            </w:pPr>
            <w:r>
              <w:rPr>
                <w:rFonts w:ascii="Arial" w:cs="Arial" w:eastAsia="Arial" w:hAnsi="Arial"/>
                <w:sz w:val="14"/>
                <w:szCs w:val="14"/>
                <w:b w:val="1"/>
                <w:bCs w:val="1"/>
                <w:color w:val="auto"/>
              </w:rPr>
              <w:t>4</w:t>
            </w:r>
          </w:p>
        </w:tc>
        <w:tc>
          <w:tcPr>
            <w:tcW w:w="3060" w:type="dxa"/>
            <w:vAlign w:val="bottom"/>
            <w:shd w:val="clear" w:color="auto" w:fill="EEECE1"/>
          </w:tcPr>
          <w:p>
            <w:pPr>
              <w:ind w:left="560"/>
              <w:spacing w:after="0"/>
              <w:rPr>
                <w:sz w:val="20"/>
                <w:szCs w:val="20"/>
                <w:color w:val="auto"/>
              </w:rPr>
            </w:pPr>
            <w:r>
              <w:rPr>
                <w:rFonts w:ascii="Arial" w:cs="Arial" w:eastAsia="Arial" w:hAnsi="Arial"/>
                <w:sz w:val="14"/>
                <w:szCs w:val="14"/>
                <w:b w:val="1"/>
                <w:bCs w:val="1"/>
                <w:color w:val="auto"/>
              </w:rPr>
              <w:t>5</w:t>
            </w:r>
          </w:p>
        </w:tc>
        <w:tc>
          <w:tcPr>
            <w:tcW w:w="3340" w:type="dxa"/>
            <w:vAlign w:val="bottom"/>
            <w:shd w:val="clear" w:color="auto" w:fill="EEECE1"/>
          </w:tcPr>
          <w:p>
            <w:pPr>
              <w:ind w:left="1560"/>
              <w:spacing w:after="0"/>
              <w:rPr>
                <w:sz w:val="20"/>
                <w:szCs w:val="20"/>
                <w:color w:val="auto"/>
              </w:rPr>
            </w:pPr>
            <w:r>
              <w:rPr>
                <w:rFonts w:ascii="Arial" w:cs="Arial" w:eastAsia="Arial" w:hAnsi="Arial"/>
                <w:sz w:val="14"/>
                <w:szCs w:val="14"/>
                <w:color w:val="auto"/>
              </w:rPr>
              <w:t>6</w:t>
            </w:r>
          </w:p>
        </w:tc>
        <w:tc>
          <w:tcPr>
            <w:tcW w:w="12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0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940" w:type="dxa"/>
            <w:vAlign w:val="bottom"/>
            <w:shd w:val="clear" w:color="auto" w:fill="EEECE1"/>
          </w:tcPr>
          <w:p>
            <w:pPr>
              <w:spacing w:after="0"/>
              <w:rPr>
                <w:sz w:val="14"/>
                <w:szCs w:val="14"/>
                <w:color w:val="auto"/>
              </w:rPr>
            </w:pPr>
          </w:p>
        </w:tc>
        <w:tc>
          <w:tcPr>
            <w:tcW w:w="900" w:type="dxa"/>
            <w:vAlign w:val="bottom"/>
            <w:shd w:val="clear" w:color="auto" w:fill="EEECE1"/>
          </w:tcPr>
          <w:p>
            <w:pPr>
              <w:spacing w:after="0"/>
              <w:rPr>
                <w:sz w:val="14"/>
                <w:szCs w:val="14"/>
                <w:color w:val="auto"/>
              </w:rPr>
            </w:pPr>
          </w:p>
        </w:tc>
        <w:tc>
          <w:tcPr>
            <w:tcW w:w="3060" w:type="dxa"/>
            <w:vAlign w:val="bottom"/>
            <w:shd w:val="clear" w:color="auto" w:fill="EEECE1"/>
          </w:tcPr>
          <w:p>
            <w:pPr>
              <w:spacing w:after="0"/>
              <w:rPr>
                <w:sz w:val="14"/>
                <w:szCs w:val="14"/>
                <w:color w:val="auto"/>
              </w:rPr>
            </w:pPr>
          </w:p>
        </w:tc>
        <w:tc>
          <w:tcPr>
            <w:tcW w:w="3340" w:type="dxa"/>
            <w:vAlign w:val="bottom"/>
            <w:shd w:val="clear" w:color="auto" w:fill="EEECE1"/>
          </w:tcPr>
          <w:p>
            <w:pPr>
              <w:spacing w:after="0"/>
              <w:rPr>
                <w:sz w:val="14"/>
                <w:szCs w:val="14"/>
                <w:color w:val="auto"/>
              </w:rPr>
            </w:pPr>
          </w:p>
        </w:tc>
        <w:tc>
          <w:tcPr>
            <w:tcW w:w="12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shd w:val="clear" w:color="auto" w:fill="EEECE1"/>
          </w:tcPr>
          <w:p>
            <w:pPr>
              <w:spacing w:after="0"/>
              <w:rPr>
                <w:sz w:val="12"/>
                <w:szCs w:val="12"/>
                <w:color w:val="auto"/>
              </w:rPr>
            </w:pPr>
          </w:p>
        </w:tc>
        <w:tc>
          <w:tcPr>
            <w:tcW w:w="1240" w:type="dxa"/>
            <w:vAlign w:val="bottom"/>
            <w:shd w:val="clear" w:color="auto" w:fill="EEECE1"/>
          </w:tcPr>
          <w:p>
            <w:pPr>
              <w:spacing w:after="0"/>
              <w:rPr>
                <w:sz w:val="12"/>
                <w:szCs w:val="12"/>
                <w:color w:val="auto"/>
              </w:rPr>
            </w:pPr>
          </w:p>
        </w:tc>
        <w:tc>
          <w:tcPr>
            <w:tcW w:w="940" w:type="dxa"/>
            <w:vAlign w:val="bottom"/>
            <w:shd w:val="clear" w:color="auto" w:fill="EEECE1"/>
          </w:tcPr>
          <w:p>
            <w:pPr>
              <w:spacing w:after="0"/>
              <w:rPr>
                <w:sz w:val="12"/>
                <w:szCs w:val="12"/>
                <w:color w:val="auto"/>
              </w:rPr>
            </w:pPr>
          </w:p>
        </w:tc>
        <w:tc>
          <w:tcPr>
            <w:tcW w:w="900" w:type="dxa"/>
            <w:vAlign w:val="bottom"/>
            <w:shd w:val="clear" w:color="auto" w:fill="EEECE1"/>
          </w:tcPr>
          <w:p>
            <w:pPr>
              <w:spacing w:after="0"/>
              <w:rPr>
                <w:sz w:val="12"/>
                <w:szCs w:val="12"/>
                <w:color w:val="auto"/>
              </w:rPr>
            </w:pPr>
          </w:p>
        </w:tc>
        <w:tc>
          <w:tcPr>
            <w:tcW w:w="3060" w:type="dxa"/>
            <w:vAlign w:val="bottom"/>
            <w:shd w:val="clear" w:color="auto" w:fill="EEECE1"/>
          </w:tcPr>
          <w:p>
            <w:pPr>
              <w:spacing w:after="0"/>
              <w:rPr>
                <w:sz w:val="12"/>
                <w:szCs w:val="12"/>
                <w:color w:val="auto"/>
              </w:rPr>
            </w:pPr>
          </w:p>
        </w:tc>
        <w:tc>
          <w:tcPr>
            <w:tcW w:w="3340" w:type="dxa"/>
            <w:vAlign w:val="bottom"/>
            <w:shd w:val="clear" w:color="auto" w:fill="EEECE1"/>
          </w:tcPr>
          <w:p>
            <w:pPr>
              <w:spacing w:after="0"/>
              <w:rPr>
                <w:sz w:val="12"/>
                <w:szCs w:val="12"/>
                <w:color w:val="auto"/>
              </w:rPr>
            </w:pPr>
          </w:p>
        </w:tc>
        <w:tc>
          <w:tcPr>
            <w:tcW w:w="128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180" w:type="dxa"/>
            <w:vAlign w:val="bottom"/>
            <w:gridSpan w:val="2"/>
            <w:shd w:val="clear" w:color="auto" w:fill="C00000"/>
          </w:tcPr>
          <w:p>
            <w:pPr>
              <w:ind w:left="60"/>
              <w:spacing w:after="0" w:line="149" w:lineRule="exact"/>
              <w:rPr>
                <w:sz w:val="20"/>
                <w:szCs w:val="20"/>
                <w:color w:val="auto"/>
              </w:rPr>
            </w:pPr>
            <w:r>
              <w:rPr>
                <w:rFonts w:ascii="Arial" w:cs="Arial" w:eastAsia="Arial" w:hAnsi="Arial"/>
                <w:sz w:val="14"/>
                <w:szCs w:val="14"/>
                <w:b w:val="1"/>
                <w:bCs w:val="1"/>
                <w:color w:val="FFFFFF"/>
              </w:rPr>
              <w:t>Government Sponsored</w:t>
            </w:r>
          </w:p>
        </w:tc>
        <w:tc>
          <w:tcPr>
            <w:tcW w:w="900" w:type="dxa"/>
            <w:vAlign w:val="bottom"/>
            <w:shd w:val="clear" w:color="auto" w:fill="C00000"/>
          </w:tcPr>
          <w:p>
            <w:pPr>
              <w:spacing w:after="0"/>
              <w:rPr>
                <w:sz w:val="12"/>
                <w:szCs w:val="12"/>
                <w:color w:val="auto"/>
              </w:rPr>
            </w:pPr>
          </w:p>
        </w:tc>
        <w:tc>
          <w:tcPr>
            <w:tcW w:w="3060" w:type="dxa"/>
            <w:vAlign w:val="bottom"/>
            <w:shd w:val="clear" w:color="auto" w:fill="C00000"/>
          </w:tcPr>
          <w:p>
            <w:pPr>
              <w:spacing w:after="0"/>
              <w:rPr>
                <w:sz w:val="12"/>
                <w:szCs w:val="12"/>
                <w:color w:val="auto"/>
              </w:rPr>
            </w:pPr>
          </w:p>
        </w:tc>
        <w:tc>
          <w:tcPr>
            <w:tcW w:w="3340" w:type="dxa"/>
            <w:vAlign w:val="bottom"/>
            <w:shd w:val="clear" w:color="auto" w:fill="C00000"/>
          </w:tcPr>
          <w:p>
            <w:pPr>
              <w:spacing w:after="0"/>
              <w:rPr>
                <w:sz w:val="12"/>
                <w:szCs w:val="12"/>
                <w:color w:val="auto"/>
              </w:rPr>
            </w:pPr>
          </w:p>
        </w:tc>
        <w:tc>
          <w:tcPr>
            <w:tcW w:w="128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w w:val="94"/>
              </w:rPr>
              <w:t>Supranational</w:t>
            </w:r>
          </w:p>
        </w:tc>
        <w:tc>
          <w:tcPr>
            <w:tcW w:w="900" w:type="dxa"/>
            <w:vAlign w:val="bottom"/>
            <w:shd w:val="clear" w:color="auto" w:fill="1F497D"/>
          </w:tcPr>
          <w:p>
            <w:pPr>
              <w:spacing w:after="0"/>
              <w:rPr>
                <w:sz w:val="12"/>
                <w:szCs w:val="12"/>
                <w:color w:val="auto"/>
              </w:rPr>
            </w:pPr>
          </w:p>
        </w:tc>
        <w:tc>
          <w:tcPr>
            <w:tcW w:w="3060" w:type="dxa"/>
            <w:vAlign w:val="bottom"/>
            <w:shd w:val="clear" w:color="auto" w:fill="1F497D"/>
          </w:tcPr>
          <w:p>
            <w:pPr>
              <w:spacing w:after="0"/>
              <w:rPr>
                <w:sz w:val="12"/>
                <w:szCs w:val="12"/>
                <w:color w:val="auto"/>
              </w:rPr>
            </w:pPr>
          </w:p>
        </w:tc>
        <w:tc>
          <w:tcPr>
            <w:tcW w:w="3340" w:type="dxa"/>
            <w:vAlign w:val="bottom"/>
            <w:shd w:val="clear" w:color="auto" w:fill="1F497D"/>
          </w:tcPr>
          <w:p>
            <w:pPr>
              <w:spacing w:after="0"/>
              <w:rPr>
                <w:sz w:val="12"/>
                <w:szCs w:val="12"/>
                <w:color w:val="auto"/>
              </w:rPr>
            </w:pPr>
          </w:p>
        </w:tc>
        <w:tc>
          <w:tcPr>
            <w:tcW w:w="128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USD</w:t>
            </w:r>
          </w:p>
        </w:tc>
        <w:tc>
          <w:tcPr>
            <w:tcW w:w="3060" w:type="dxa"/>
            <w:vAlign w:val="bottom"/>
            <w:vMerge w:val="restart"/>
          </w:tcPr>
          <w:p>
            <w:pPr>
              <w:ind w:left="560"/>
              <w:spacing w:after="0"/>
              <w:rPr>
                <w:sz w:val="20"/>
                <w:szCs w:val="20"/>
                <w:color w:val="auto"/>
              </w:rPr>
            </w:pPr>
            <w:r>
              <w:rPr>
                <w:rFonts w:ascii="Arial" w:cs="Arial" w:eastAsia="Arial" w:hAnsi="Arial"/>
                <w:sz w:val="14"/>
                <w:szCs w:val="14"/>
                <w:color w:val="auto"/>
              </w:rPr>
              <w:t>Nort America</w:t>
            </w:r>
          </w:p>
        </w:tc>
        <w:tc>
          <w:tcPr>
            <w:tcW w:w="3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60" w:type="dxa"/>
            <w:vAlign w:val="bottom"/>
            <w:vMerge w:val="continue"/>
          </w:tcPr>
          <w:p>
            <w:pPr>
              <w:spacing w:after="0"/>
              <w:rPr>
                <w:sz w:val="11"/>
                <w:szCs w:val="11"/>
                <w:color w:val="auto"/>
              </w:rPr>
            </w:pP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CA, Canada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w w:val="96"/>
              </w:rPr>
              <w:t>US, United States of America</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60" w:type="dxa"/>
            <w:vAlign w:val="bottom"/>
          </w:tcPr>
          <w:p>
            <w:pPr>
              <w:ind w:left="560"/>
              <w:spacing w:after="0"/>
              <w:rPr>
                <w:sz w:val="20"/>
                <w:szCs w:val="20"/>
                <w:color w:val="auto"/>
              </w:rPr>
            </w:pPr>
            <w:r>
              <w:rPr>
                <w:rFonts w:ascii="Arial" w:cs="Arial" w:eastAsia="Arial" w:hAnsi="Arial"/>
                <w:sz w:val="14"/>
                <w:szCs w:val="14"/>
                <w:color w:val="auto"/>
              </w:rPr>
              <w:t>LATAM</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JM, Jamaica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PA, Panama</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60" w:type="dxa"/>
            <w:vAlign w:val="bottom"/>
          </w:tcPr>
          <w:p>
            <w:pPr>
              <w:ind w:left="560"/>
              <w:spacing w:after="0"/>
              <w:rPr>
                <w:sz w:val="20"/>
                <w:szCs w:val="20"/>
                <w:color w:val="auto"/>
              </w:rPr>
            </w:pPr>
            <w:r>
              <w:rPr>
                <w:rFonts w:ascii="Arial" w:cs="Arial" w:eastAsia="Arial" w:hAnsi="Arial"/>
                <w:sz w:val="14"/>
                <w:szCs w:val="14"/>
                <w:color w:val="auto"/>
              </w:rPr>
              <w:t>Western Europe</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AT, Austria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BE, Belgium</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CH, Switzerland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DE, Germany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DK, Denmark</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ES, Spain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FI, Finland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FR, France</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IE, Ireland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IS, Iceland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IT, Italy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LU, Luxembourg</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NL, Netherlands</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NO, Norway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PT, Portugal</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SE, Sweden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UK, United Kingdom</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XS, Eurobond</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60" w:type="dxa"/>
            <w:vAlign w:val="bottom"/>
          </w:tcPr>
          <w:p>
            <w:pPr>
              <w:ind w:left="560"/>
              <w:spacing w:after="0"/>
              <w:rPr>
                <w:sz w:val="20"/>
                <w:szCs w:val="20"/>
                <w:color w:val="auto"/>
              </w:rPr>
            </w:pPr>
            <w:r>
              <w:rPr>
                <w:rFonts w:ascii="Arial" w:cs="Arial" w:eastAsia="Arial" w:hAnsi="Arial"/>
                <w:sz w:val="14"/>
                <w:szCs w:val="14"/>
                <w:color w:val="auto"/>
              </w:rPr>
              <w:t>Asia</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AU, Australia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JP, Japan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KR, Korea (Republic of)</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PG, Papua New Guinea</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SG, Singapore</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60" w:type="dxa"/>
            <w:vAlign w:val="bottom"/>
          </w:tcPr>
          <w:p>
            <w:pPr>
              <w:ind w:left="560"/>
              <w:spacing w:after="0"/>
              <w:rPr>
                <w:sz w:val="20"/>
                <w:szCs w:val="20"/>
                <w:color w:val="auto"/>
              </w:rPr>
            </w:pPr>
            <w:r>
              <w:rPr>
                <w:rFonts w:ascii="Arial" w:cs="Arial" w:eastAsia="Arial" w:hAnsi="Arial"/>
                <w:sz w:val="14"/>
                <w:szCs w:val="14"/>
                <w:color w:val="auto"/>
              </w:rPr>
              <w:t>CEEMEA</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EG, Egypt</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vMerge w:val="restart"/>
          </w:tcPr>
          <w:p>
            <w:pPr>
              <w:spacing w:after="0"/>
              <w:rPr>
                <w:sz w:val="20"/>
                <w:szCs w:val="20"/>
                <w:color w:val="auto"/>
              </w:rPr>
            </w:pPr>
            <w:r>
              <w:rPr>
                <w:rFonts w:ascii="Arial" w:cs="Arial" w:eastAsia="Arial" w:hAnsi="Arial"/>
                <w:sz w:val="14"/>
                <w:szCs w:val="14"/>
                <w:color w:val="auto"/>
              </w:rPr>
              <w:t>AUD</w:t>
            </w:r>
          </w:p>
        </w:tc>
        <w:tc>
          <w:tcPr>
            <w:tcW w:w="306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MT, Malta</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060" w:type="dxa"/>
            <w:vAlign w:val="bottom"/>
            <w:vMerge w:val="restart"/>
          </w:tcPr>
          <w:p>
            <w:pPr>
              <w:ind w:left="560"/>
              <w:spacing w:after="0"/>
              <w:rPr>
                <w:sz w:val="20"/>
                <w:szCs w:val="20"/>
                <w:color w:val="auto"/>
              </w:rPr>
            </w:pPr>
            <w:r>
              <w:rPr>
                <w:rFonts w:ascii="Arial" w:cs="Arial" w:eastAsia="Arial" w:hAnsi="Arial"/>
                <w:sz w:val="14"/>
                <w:szCs w:val="14"/>
                <w:color w:val="auto"/>
              </w:rPr>
              <w:t>Nort America</w:t>
            </w:r>
          </w:p>
        </w:tc>
        <w:tc>
          <w:tcPr>
            <w:tcW w:w="3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CA, Canada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60" w:type="dxa"/>
            <w:vAlign w:val="bottom"/>
          </w:tcPr>
          <w:p>
            <w:pPr>
              <w:ind w:left="560"/>
              <w:spacing w:after="0"/>
              <w:rPr>
                <w:sz w:val="20"/>
                <w:szCs w:val="20"/>
                <w:color w:val="auto"/>
              </w:rPr>
            </w:pPr>
            <w:r>
              <w:rPr>
                <w:rFonts w:ascii="Arial" w:cs="Arial" w:eastAsia="Arial" w:hAnsi="Arial"/>
                <w:sz w:val="14"/>
                <w:szCs w:val="14"/>
                <w:color w:val="auto"/>
              </w:rPr>
              <w:t>Europe</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AT, Austria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DE, Germany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DK, Denmark</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FI, Finland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FR, France</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NL, Netherlands</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NO, Norway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NZ, New Zealand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40" w:type="dxa"/>
            <w:vAlign w:val="bottom"/>
          </w:tcPr>
          <w:p>
            <w:pPr>
              <w:ind w:left="1560"/>
              <w:spacing w:after="0" w:line="149" w:lineRule="exact"/>
              <w:rPr>
                <w:sz w:val="20"/>
                <w:szCs w:val="20"/>
                <w:color w:val="auto"/>
              </w:rPr>
            </w:pPr>
            <w:r>
              <w:rPr>
                <w:rFonts w:ascii="Arial" w:cs="Arial" w:eastAsia="Arial" w:hAnsi="Arial"/>
                <w:sz w:val="14"/>
                <w:szCs w:val="14"/>
                <w:color w:val="auto"/>
              </w:rPr>
              <w:t>SE, Sweden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UK, United Kingdom</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60" w:type="dxa"/>
            <w:vAlign w:val="bottom"/>
          </w:tcPr>
          <w:p>
            <w:pPr>
              <w:ind w:left="560"/>
              <w:spacing w:after="0"/>
              <w:rPr>
                <w:sz w:val="20"/>
                <w:szCs w:val="20"/>
                <w:color w:val="auto"/>
              </w:rPr>
            </w:pPr>
            <w:r>
              <w:rPr>
                <w:rFonts w:ascii="Arial" w:cs="Arial" w:eastAsia="Arial" w:hAnsi="Arial"/>
                <w:sz w:val="14"/>
                <w:szCs w:val="14"/>
                <w:color w:val="auto"/>
              </w:rPr>
              <w:t>Asia</w:t>
            </w:r>
          </w:p>
        </w:tc>
        <w:tc>
          <w:tcPr>
            <w:tcW w:w="3340" w:type="dxa"/>
            <w:vAlign w:val="bottom"/>
            <w:vMerge w:val="restart"/>
          </w:tcPr>
          <w:p>
            <w:pPr>
              <w:ind w:left="1560"/>
              <w:spacing w:after="0"/>
              <w:rPr>
                <w:sz w:val="20"/>
                <w:szCs w:val="20"/>
                <w:color w:val="auto"/>
              </w:rPr>
            </w:pPr>
            <w:r>
              <w:rPr>
                <w:rFonts w:ascii="Arial" w:cs="Arial" w:eastAsia="Arial" w:hAnsi="Arial"/>
                <w:sz w:val="14"/>
                <w:szCs w:val="14"/>
                <w:color w:val="auto"/>
              </w:rPr>
              <w:t>AU, Australia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340" w:type="dxa"/>
            <w:vAlign w:val="bottom"/>
          </w:tcPr>
          <w:p>
            <w:pPr>
              <w:ind w:left="1560"/>
              <w:spacing w:after="0"/>
              <w:rPr>
                <w:sz w:val="20"/>
                <w:szCs w:val="20"/>
                <w:color w:val="auto"/>
              </w:rPr>
            </w:pPr>
            <w:r>
              <w:rPr>
                <w:rFonts w:ascii="Arial" w:cs="Arial" w:eastAsia="Arial" w:hAnsi="Arial"/>
                <w:sz w:val="14"/>
                <w:szCs w:val="14"/>
                <w:color w:val="auto"/>
              </w:rPr>
              <w:t>JP, Japan</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6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24" w:name="page325"/>
    <w:bookmarkEnd w:id="3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500" w:type="dxa"/>
            <w:vAlign w:val="bottom"/>
            <w:shd w:val="clear" w:color="auto" w:fill="EEECE1"/>
          </w:tcPr>
          <w:p>
            <w:pPr>
              <w:jc w:val="right"/>
              <w:ind w:right="1068"/>
              <w:spacing w:after="0"/>
              <w:rPr>
                <w:sz w:val="20"/>
                <w:szCs w:val="20"/>
                <w:color w:val="auto"/>
              </w:rPr>
            </w:pPr>
            <w:r>
              <w:rPr>
                <w:rFonts w:ascii="Arial" w:cs="Arial" w:eastAsia="Arial" w:hAnsi="Arial"/>
                <w:sz w:val="14"/>
                <w:szCs w:val="14"/>
                <w:b w:val="1"/>
                <w:bCs w:val="1"/>
                <w:color w:val="auto"/>
              </w:rPr>
              <w:t>2</w:t>
            </w:r>
          </w:p>
        </w:tc>
        <w:tc>
          <w:tcPr>
            <w:tcW w:w="880" w:type="dxa"/>
            <w:vAlign w:val="bottom"/>
            <w:shd w:val="clear" w:color="auto" w:fill="EEECE1"/>
          </w:tcPr>
          <w:p>
            <w:pPr>
              <w:jc w:val="right"/>
              <w:ind w:right="708"/>
              <w:spacing w:after="0"/>
              <w:rPr>
                <w:sz w:val="20"/>
                <w:szCs w:val="20"/>
                <w:color w:val="auto"/>
              </w:rPr>
            </w:pPr>
            <w:r>
              <w:rPr>
                <w:rFonts w:ascii="Arial" w:cs="Arial" w:eastAsia="Arial" w:hAnsi="Arial"/>
                <w:sz w:val="14"/>
                <w:szCs w:val="14"/>
                <w:b w:val="1"/>
                <w:bCs w:val="1"/>
                <w:color w:val="auto"/>
              </w:rPr>
              <w:t>3</w:t>
            </w:r>
          </w:p>
        </w:tc>
        <w:tc>
          <w:tcPr>
            <w:tcW w:w="9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3020" w:type="dxa"/>
            <w:vAlign w:val="bottom"/>
            <w:shd w:val="clear" w:color="auto" w:fill="EEECE1"/>
          </w:tcPr>
          <w:p>
            <w:pPr>
              <w:ind w:left="560"/>
              <w:spacing w:after="0"/>
              <w:rPr>
                <w:sz w:val="20"/>
                <w:szCs w:val="20"/>
                <w:color w:val="auto"/>
              </w:rPr>
            </w:pPr>
            <w:r>
              <w:rPr>
                <w:rFonts w:ascii="Arial" w:cs="Arial" w:eastAsia="Arial" w:hAnsi="Arial"/>
                <w:sz w:val="14"/>
                <w:szCs w:val="14"/>
                <w:b w:val="1"/>
                <w:bCs w:val="1"/>
                <w:color w:val="auto"/>
              </w:rPr>
              <w:t>5</w:t>
            </w:r>
          </w:p>
        </w:tc>
        <w:tc>
          <w:tcPr>
            <w:tcW w:w="3380" w:type="dxa"/>
            <w:vAlign w:val="bottom"/>
            <w:shd w:val="clear" w:color="auto" w:fill="EEECE1"/>
          </w:tcPr>
          <w:p>
            <w:pPr>
              <w:ind w:left="1600"/>
              <w:spacing w:after="0"/>
              <w:rPr>
                <w:sz w:val="20"/>
                <w:szCs w:val="20"/>
                <w:color w:val="auto"/>
              </w:rPr>
            </w:pPr>
            <w:r>
              <w:rPr>
                <w:rFonts w:ascii="Arial" w:cs="Arial" w:eastAsia="Arial" w:hAnsi="Arial"/>
                <w:sz w:val="14"/>
                <w:szCs w:val="14"/>
                <w:color w:val="auto"/>
              </w:rPr>
              <w:t>6</w:t>
            </w:r>
          </w:p>
        </w:tc>
        <w:tc>
          <w:tcPr>
            <w:tcW w:w="12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880" w:type="dxa"/>
            <w:vAlign w:val="bottom"/>
            <w:shd w:val="clear" w:color="auto" w:fill="EEECE1"/>
          </w:tcPr>
          <w:p>
            <w:pPr>
              <w:spacing w:after="0"/>
              <w:rPr>
                <w:sz w:val="14"/>
                <w:szCs w:val="14"/>
                <w:color w:val="auto"/>
              </w:rPr>
            </w:pPr>
          </w:p>
        </w:tc>
        <w:tc>
          <w:tcPr>
            <w:tcW w:w="940" w:type="dxa"/>
            <w:vAlign w:val="bottom"/>
            <w:shd w:val="clear" w:color="auto" w:fill="EEECE1"/>
          </w:tcPr>
          <w:p>
            <w:pPr>
              <w:spacing w:after="0"/>
              <w:rPr>
                <w:sz w:val="14"/>
                <w:szCs w:val="14"/>
                <w:color w:val="auto"/>
              </w:rPr>
            </w:pPr>
          </w:p>
        </w:tc>
        <w:tc>
          <w:tcPr>
            <w:tcW w:w="3020" w:type="dxa"/>
            <w:vAlign w:val="bottom"/>
            <w:shd w:val="clear" w:color="auto" w:fill="EEECE1"/>
          </w:tcPr>
          <w:p>
            <w:pPr>
              <w:spacing w:after="0"/>
              <w:rPr>
                <w:sz w:val="14"/>
                <w:szCs w:val="14"/>
                <w:color w:val="auto"/>
              </w:rPr>
            </w:pPr>
          </w:p>
        </w:tc>
        <w:tc>
          <w:tcPr>
            <w:tcW w:w="3380" w:type="dxa"/>
            <w:vAlign w:val="bottom"/>
            <w:shd w:val="clear" w:color="auto" w:fill="EEECE1"/>
          </w:tcPr>
          <w:p>
            <w:pPr>
              <w:spacing w:after="0"/>
              <w:rPr>
                <w:sz w:val="14"/>
                <w:szCs w:val="14"/>
                <w:color w:val="auto"/>
              </w:rPr>
            </w:pPr>
          </w:p>
        </w:tc>
        <w:tc>
          <w:tcPr>
            <w:tcW w:w="12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EEECE1"/>
          </w:tcPr>
          <w:p>
            <w:pPr>
              <w:spacing w:after="0"/>
              <w:rPr>
                <w:sz w:val="12"/>
                <w:szCs w:val="12"/>
                <w:color w:val="auto"/>
              </w:rPr>
            </w:pPr>
          </w:p>
        </w:tc>
        <w:tc>
          <w:tcPr>
            <w:tcW w:w="1500" w:type="dxa"/>
            <w:vAlign w:val="bottom"/>
            <w:shd w:val="clear" w:color="auto" w:fill="EEECE1"/>
          </w:tcPr>
          <w:p>
            <w:pPr>
              <w:spacing w:after="0"/>
              <w:rPr>
                <w:sz w:val="12"/>
                <w:szCs w:val="12"/>
                <w:color w:val="auto"/>
              </w:rPr>
            </w:pPr>
          </w:p>
        </w:tc>
        <w:tc>
          <w:tcPr>
            <w:tcW w:w="880" w:type="dxa"/>
            <w:vAlign w:val="bottom"/>
            <w:shd w:val="clear" w:color="auto" w:fill="EEECE1"/>
          </w:tcPr>
          <w:p>
            <w:pPr>
              <w:spacing w:after="0"/>
              <w:rPr>
                <w:sz w:val="12"/>
                <w:szCs w:val="12"/>
                <w:color w:val="auto"/>
              </w:rPr>
            </w:pPr>
          </w:p>
        </w:tc>
        <w:tc>
          <w:tcPr>
            <w:tcW w:w="940" w:type="dxa"/>
            <w:vAlign w:val="bottom"/>
            <w:shd w:val="clear" w:color="auto" w:fill="EEECE1"/>
          </w:tcPr>
          <w:p>
            <w:pPr>
              <w:spacing w:after="0"/>
              <w:rPr>
                <w:sz w:val="12"/>
                <w:szCs w:val="12"/>
                <w:color w:val="auto"/>
              </w:rPr>
            </w:pPr>
          </w:p>
        </w:tc>
        <w:tc>
          <w:tcPr>
            <w:tcW w:w="3020" w:type="dxa"/>
            <w:vAlign w:val="bottom"/>
            <w:shd w:val="clear" w:color="auto" w:fill="EEECE1"/>
          </w:tcPr>
          <w:p>
            <w:pPr>
              <w:spacing w:after="0"/>
              <w:rPr>
                <w:sz w:val="12"/>
                <w:szCs w:val="12"/>
                <w:color w:val="auto"/>
              </w:rPr>
            </w:pPr>
          </w:p>
        </w:tc>
        <w:tc>
          <w:tcPr>
            <w:tcW w:w="3380" w:type="dxa"/>
            <w:vAlign w:val="bottom"/>
            <w:shd w:val="clear" w:color="auto" w:fill="EEECE1"/>
          </w:tcPr>
          <w:p>
            <w:pPr>
              <w:spacing w:after="0"/>
              <w:rPr>
                <w:sz w:val="12"/>
                <w:szCs w:val="12"/>
                <w:color w:val="auto"/>
              </w:rPr>
            </w:pPr>
          </w:p>
        </w:tc>
        <w:tc>
          <w:tcPr>
            <w:tcW w:w="128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color w:val="auto"/>
              </w:rPr>
              <w:t>CHF</w:t>
            </w:r>
          </w:p>
        </w:tc>
        <w:tc>
          <w:tcPr>
            <w:tcW w:w="3020" w:type="dxa"/>
            <w:vAlign w:val="bottom"/>
            <w:vMerge w:val="restart"/>
          </w:tcPr>
          <w:p>
            <w:pPr>
              <w:ind w:left="560"/>
              <w:spacing w:after="0"/>
              <w:rPr>
                <w:sz w:val="20"/>
                <w:szCs w:val="20"/>
                <w:color w:val="auto"/>
              </w:rPr>
            </w:pPr>
            <w:r>
              <w:rPr>
                <w:rFonts w:ascii="Arial" w:cs="Arial" w:eastAsia="Arial" w:hAnsi="Arial"/>
                <w:sz w:val="14"/>
                <w:szCs w:val="14"/>
                <w:color w:val="auto"/>
              </w:rPr>
              <w:t>Nort America</w:t>
            </w:r>
          </w:p>
        </w:tc>
        <w:tc>
          <w:tcPr>
            <w:tcW w:w="3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CA, Canada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ind w:left="560"/>
              <w:spacing w:after="0"/>
              <w:rPr>
                <w:sz w:val="20"/>
                <w:szCs w:val="20"/>
                <w:color w:val="auto"/>
              </w:rPr>
            </w:pPr>
            <w:r>
              <w:rPr>
                <w:rFonts w:ascii="Arial" w:cs="Arial" w:eastAsia="Arial" w:hAnsi="Arial"/>
                <w:sz w:val="14"/>
                <w:szCs w:val="14"/>
                <w:color w:val="auto"/>
              </w:rPr>
              <w:t>Europe</w:t>
            </w: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AT, Austria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BE, Belgium</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DE, Germany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DK, Denmark</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ES, Spain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FI, Finland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FR, France</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IT, Italy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NL, Netherlands</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NO, Norway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NZ, New Zealand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SE, Sweden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UK, United Kingdom</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380" w:type="dxa"/>
            <w:vAlign w:val="bottom"/>
          </w:tcPr>
          <w:p>
            <w:pPr>
              <w:ind w:left="1600"/>
              <w:spacing w:after="0"/>
              <w:rPr>
                <w:sz w:val="20"/>
                <w:szCs w:val="20"/>
                <w:color w:val="auto"/>
              </w:rPr>
            </w:pPr>
            <w:r>
              <w:rPr>
                <w:rFonts w:ascii="Arial" w:cs="Arial" w:eastAsia="Arial" w:hAnsi="Arial"/>
                <w:sz w:val="14"/>
                <w:szCs w:val="14"/>
                <w:color w:val="auto"/>
              </w:rPr>
              <w:t>XS, Eurobond</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ind w:left="560"/>
              <w:spacing w:after="0"/>
              <w:rPr>
                <w:sz w:val="20"/>
                <w:szCs w:val="20"/>
                <w:color w:val="auto"/>
              </w:rPr>
            </w:pPr>
            <w:r>
              <w:rPr>
                <w:rFonts w:ascii="Arial" w:cs="Arial" w:eastAsia="Arial" w:hAnsi="Arial"/>
                <w:sz w:val="14"/>
                <w:szCs w:val="14"/>
                <w:color w:val="auto"/>
              </w:rPr>
              <w:t>Asia</w:t>
            </w: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AU, Australia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Arial" w:cs="Arial" w:eastAsia="Arial" w:hAnsi="Arial"/>
                <w:sz w:val="14"/>
                <w:szCs w:val="14"/>
                <w:color w:val="auto"/>
              </w:rPr>
              <w:t>DKK</w:t>
            </w:r>
          </w:p>
        </w:tc>
        <w:tc>
          <w:tcPr>
            <w:tcW w:w="3020" w:type="dxa"/>
            <w:vAlign w:val="bottom"/>
            <w:vMerge w:val="restart"/>
          </w:tcPr>
          <w:p>
            <w:pPr>
              <w:ind w:left="560"/>
              <w:spacing w:after="0"/>
              <w:rPr>
                <w:sz w:val="20"/>
                <w:szCs w:val="20"/>
                <w:color w:val="auto"/>
              </w:rPr>
            </w:pPr>
            <w:r>
              <w:rPr>
                <w:rFonts w:ascii="Arial" w:cs="Arial" w:eastAsia="Arial" w:hAnsi="Arial"/>
                <w:sz w:val="14"/>
                <w:szCs w:val="14"/>
                <w:color w:val="auto"/>
              </w:rPr>
              <w:t>Europe</w:t>
            </w:r>
          </w:p>
        </w:tc>
        <w:tc>
          <w:tcPr>
            <w:tcW w:w="3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vMerge w:val="continue"/>
          </w:tcPr>
          <w:p>
            <w:pPr>
              <w:spacing w:after="0"/>
              <w:rPr>
                <w:sz w:val="12"/>
                <w:szCs w:val="12"/>
                <w:color w:val="auto"/>
              </w:rPr>
            </w:pP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DK, Denmark</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380" w:type="dxa"/>
            <w:vAlign w:val="bottom"/>
          </w:tcPr>
          <w:p>
            <w:pPr>
              <w:ind w:left="1600"/>
              <w:spacing w:after="0"/>
              <w:rPr>
                <w:sz w:val="20"/>
                <w:szCs w:val="20"/>
                <w:color w:val="auto"/>
              </w:rPr>
            </w:pPr>
            <w:r>
              <w:rPr>
                <w:rFonts w:ascii="Arial" w:cs="Arial" w:eastAsia="Arial" w:hAnsi="Arial"/>
                <w:sz w:val="14"/>
                <w:szCs w:val="14"/>
                <w:color w:val="auto"/>
              </w:rPr>
              <w:t>XS, Eurobond</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Arial" w:cs="Arial" w:eastAsia="Arial" w:hAnsi="Arial"/>
                <w:sz w:val="14"/>
                <w:szCs w:val="14"/>
                <w:color w:val="auto"/>
              </w:rPr>
              <w:t>EUR</w:t>
            </w:r>
          </w:p>
        </w:tc>
        <w:tc>
          <w:tcPr>
            <w:tcW w:w="3020" w:type="dxa"/>
            <w:vAlign w:val="bottom"/>
            <w:vMerge w:val="restart"/>
          </w:tcPr>
          <w:p>
            <w:pPr>
              <w:ind w:left="560"/>
              <w:spacing w:after="0"/>
              <w:rPr>
                <w:sz w:val="20"/>
                <w:szCs w:val="20"/>
                <w:color w:val="auto"/>
              </w:rPr>
            </w:pPr>
            <w:r>
              <w:rPr>
                <w:rFonts w:ascii="Arial" w:cs="Arial" w:eastAsia="Arial" w:hAnsi="Arial"/>
                <w:sz w:val="14"/>
                <w:szCs w:val="14"/>
                <w:color w:val="auto"/>
              </w:rPr>
              <w:t>North America</w:t>
            </w:r>
          </w:p>
        </w:tc>
        <w:tc>
          <w:tcPr>
            <w:tcW w:w="3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vMerge w:val="continue"/>
          </w:tcPr>
          <w:p>
            <w:pPr>
              <w:spacing w:after="0"/>
              <w:rPr>
                <w:sz w:val="12"/>
                <w:szCs w:val="12"/>
                <w:color w:val="auto"/>
              </w:rPr>
            </w:pP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CA, Canada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380" w:type="dxa"/>
            <w:vAlign w:val="bottom"/>
          </w:tcPr>
          <w:p>
            <w:pPr>
              <w:ind w:left="1600"/>
              <w:spacing w:after="0"/>
              <w:rPr>
                <w:sz w:val="20"/>
                <w:szCs w:val="20"/>
                <w:color w:val="auto"/>
              </w:rPr>
            </w:pPr>
            <w:r>
              <w:rPr>
                <w:rFonts w:ascii="Arial" w:cs="Arial" w:eastAsia="Arial" w:hAnsi="Arial"/>
                <w:sz w:val="14"/>
                <w:szCs w:val="14"/>
                <w:color w:val="auto"/>
                <w:w w:val="96"/>
              </w:rPr>
              <w:t>US, United States of America</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ind w:left="560"/>
              <w:spacing w:after="0"/>
              <w:rPr>
                <w:sz w:val="20"/>
                <w:szCs w:val="20"/>
                <w:color w:val="auto"/>
              </w:rPr>
            </w:pPr>
            <w:r>
              <w:rPr>
                <w:rFonts w:ascii="Arial" w:cs="Arial" w:eastAsia="Arial" w:hAnsi="Arial"/>
                <w:sz w:val="14"/>
                <w:szCs w:val="14"/>
                <w:color w:val="auto"/>
              </w:rPr>
              <w:t>Europe</w:t>
            </w: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AT, Austria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BE, Belgium</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CY, Cyprus</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DE, Germany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DK, Denmark</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ES, Spain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FI, Finland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FR, France</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GR, Greece</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IE, Ireland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IS, Iceland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IT, Italy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LU, Luxembourg</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NL, Netherlands</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NO, Norway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PT, Portugal</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SE, Sweden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380" w:type="dxa"/>
            <w:vAlign w:val="bottom"/>
          </w:tcPr>
          <w:p>
            <w:pPr>
              <w:ind w:left="1600"/>
              <w:spacing w:after="0"/>
              <w:rPr>
                <w:sz w:val="20"/>
                <w:szCs w:val="20"/>
                <w:color w:val="auto"/>
              </w:rPr>
            </w:pPr>
            <w:r>
              <w:rPr>
                <w:rFonts w:ascii="Arial" w:cs="Arial" w:eastAsia="Arial" w:hAnsi="Arial"/>
                <w:sz w:val="14"/>
                <w:szCs w:val="14"/>
                <w:color w:val="auto"/>
              </w:rPr>
              <w:t>XS, Eurobond</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ind w:left="560"/>
              <w:spacing w:after="0"/>
              <w:rPr>
                <w:sz w:val="20"/>
                <w:szCs w:val="20"/>
                <w:color w:val="auto"/>
              </w:rPr>
            </w:pPr>
            <w:r>
              <w:rPr>
                <w:rFonts w:ascii="Arial" w:cs="Arial" w:eastAsia="Arial" w:hAnsi="Arial"/>
                <w:sz w:val="14"/>
                <w:szCs w:val="14"/>
                <w:color w:val="auto"/>
              </w:rPr>
              <w:t>Asia</w:t>
            </w: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JP, Japan</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ind w:left="560"/>
              <w:spacing w:after="0"/>
              <w:rPr>
                <w:sz w:val="20"/>
                <w:szCs w:val="20"/>
                <w:color w:val="auto"/>
              </w:rPr>
            </w:pPr>
            <w:r>
              <w:rPr>
                <w:rFonts w:ascii="Arial" w:cs="Arial" w:eastAsia="Arial" w:hAnsi="Arial"/>
                <w:sz w:val="14"/>
                <w:szCs w:val="14"/>
                <w:color w:val="auto"/>
              </w:rPr>
              <w:t>CEEMEA</w:t>
            </w: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MT, Malta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3"/>
        </w:trPr>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8" w:right="239" w:bottom="1440" w:gutter="0" w:footer="0" w:header="0"/>
        </w:sectPr>
      </w:pPr>
    </w:p>
    <w:bookmarkStart w:id="325" w:name="page326"/>
    <w:bookmarkEnd w:id="3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500" w:type="dxa"/>
            <w:vAlign w:val="bottom"/>
            <w:shd w:val="clear" w:color="auto" w:fill="EEECE1"/>
          </w:tcPr>
          <w:p>
            <w:pPr>
              <w:jc w:val="right"/>
              <w:ind w:right="1068"/>
              <w:spacing w:after="0"/>
              <w:rPr>
                <w:sz w:val="20"/>
                <w:szCs w:val="20"/>
                <w:color w:val="auto"/>
              </w:rPr>
            </w:pPr>
            <w:r>
              <w:rPr>
                <w:rFonts w:ascii="Arial" w:cs="Arial" w:eastAsia="Arial" w:hAnsi="Arial"/>
                <w:sz w:val="14"/>
                <w:szCs w:val="14"/>
                <w:b w:val="1"/>
                <w:bCs w:val="1"/>
                <w:color w:val="auto"/>
              </w:rPr>
              <w:t>2</w:t>
            </w:r>
          </w:p>
        </w:tc>
        <w:tc>
          <w:tcPr>
            <w:tcW w:w="880" w:type="dxa"/>
            <w:vAlign w:val="bottom"/>
            <w:shd w:val="clear" w:color="auto" w:fill="EEECE1"/>
          </w:tcPr>
          <w:p>
            <w:pPr>
              <w:jc w:val="right"/>
              <w:ind w:right="708"/>
              <w:spacing w:after="0"/>
              <w:rPr>
                <w:sz w:val="20"/>
                <w:szCs w:val="20"/>
                <w:color w:val="auto"/>
              </w:rPr>
            </w:pPr>
            <w:r>
              <w:rPr>
                <w:rFonts w:ascii="Arial" w:cs="Arial" w:eastAsia="Arial" w:hAnsi="Arial"/>
                <w:sz w:val="14"/>
                <w:szCs w:val="14"/>
                <w:b w:val="1"/>
                <w:bCs w:val="1"/>
                <w:color w:val="auto"/>
              </w:rPr>
              <w:t>3</w:t>
            </w:r>
          </w:p>
        </w:tc>
        <w:tc>
          <w:tcPr>
            <w:tcW w:w="9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3020" w:type="dxa"/>
            <w:vAlign w:val="bottom"/>
            <w:shd w:val="clear" w:color="auto" w:fill="EEECE1"/>
          </w:tcPr>
          <w:p>
            <w:pPr>
              <w:ind w:left="560"/>
              <w:spacing w:after="0"/>
              <w:rPr>
                <w:sz w:val="20"/>
                <w:szCs w:val="20"/>
                <w:color w:val="auto"/>
              </w:rPr>
            </w:pPr>
            <w:r>
              <w:rPr>
                <w:rFonts w:ascii="Arial" w:cs="Arial" w:eastAsia="Arial" w:hAnsi="Arial"/>
                <w:sz w:val="14"/>
                <w:szCs w:val="14"/>
                <w:b w:val="1"/>
                <w:bCs w:val="1"/>
                <w:color w:val="auto"/>
              </w:rPr>
              <w:t>5</w:t>
            </w:r>
          </w:p>
        </w:tc>
        <w:tc>
          <w:tcPr>
            <w:tcW w:w="3380" w:type="dxa"/>
            <w:vAlign w:val="bottom"/>
            <w:shd w:val="clear" w:color="auto" w:fill="EEECE1"/>
          </w:tcPr>
          <w:p>
            <w:pPr>
              <w:ind w:left="1600"/>
              <w:spacing w:after="0"/>
              <w:rPr>
                <w:sz w:val="20"/>
                <w:szCs w:val="20"/>
                <w:color w:val="auto"/>
              </w:rPr>
            </w:pPr>
            <w:r>
              <w:rPr>
                <w:rFonts w:ascii="Arial" w:cs="Arial" w:eastAsia="Arial" w:hAnsi="Arial"/>
                <w:sz w:val="14"/>
                <w:szCs w:val="14"/>
                <w:color w:val="auto"/>
              </w:rPr>
              <w:t>6</w:t>
            </w:r>
          </w:p>
        </w:tc>
        <w:tc>
          <w:tcPr>
            <w:tcW w:w="12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880" w:type="dxa"/>
            <w:vAlign w:val="bottom"/>
            <w:shd w:val="clear" w:color="auto" w:fill="EEECE1"/>
          </w:tcPr>
          <w:p>
            <w:pPr>
              <w:spacing w:after="0"/>
              <w:rPr>
                <w:sz w:val="14"/>
                <w:szCs w:val="14"/>
                <w:color w:val="auto"/>
              </w:rPr>
            </w:pPr>
          </w:p>
        </w:tc>
        <w:tc>
          <w:tcPr>
            <w:tcW w:w="940" w:type="dxa"/>
            <w:vAlign w:val="bottom"/>
            <w:shd w:val="clear" w:color="auto" w:fill="EEECE1"/>
          </w:tcPr>
          <w:p>
            <w:pPr>
              <w:spacing w:after="0"/>
              <w:rPr>
                <w:sz w:val="14"/>
                <w:szCs w:val="14"/>
                <w:color w:val="auto"/>
              </w:rPr>
            </w:pPr>
          </w:p>
        </w:tc>
        <w:tc>
          <w:tcPr>
            <w:tcW w:w="3020" w:type="dxa"/>
            <w:vAlign w:val="bottom"/>
            <w:shd w:val="clear" w:color="auto" w:fill="EEECE1"/>
          </w:tcPr>
          <w:p>
            <w:pPr>
              <w:spacing w:after="0"/>
              <w:rPr>
                <w:sz w:val="14"/>
                <w:szCs w:val="14"/>
                <w:color w:val="auto"/>
              </w:rPr>
            </w:pPr>
          </w:p>
        </w:tc>
        <w:tc>
          <w:tcPr>
            <w:tcW w:w="3380" w:type="dxa"/>
            <w:vAlign w:val="bottom"/>
            <w:shd w:val="clear" w:color="auto" w:fill="EEECE1"/>
          </w:tcPr>
          <w:p>
            <w:pPr>
              <w:spacing w:after="0"/>
              <w:rPr>
                <w:sz w:val="14"/>
                <w:szCs w:val="14"/>
                <w:color w:val="auto"/>
              </w:rPr>
            </w:pPr>
          </w:p>
        </w:tc>
        <w:tc>
          <w:tcPr>
            <w:tcW w:w="12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EEECE1"/>
          </w:tcPr>
          <w:p>
            <w:pPr>
              <w:spacing w:after="0"/>
              <w:rPr>
                <w:sz w:val="12"/>
                <w:szCs w:val="12"/>
                <w:color w:val="auto"/>
              </w:rPr>
            </w:pPr>
          </w:p>
        </w:tc>
        <w:tc>
          <w:tcPr>
            <w:tcW w:w="1500" w:type="dxa"/>
            <w:vAlign w:val="bottom"/>
            <w:shd w:val="clear" w:color="auto" w:fill="EEECE1"/>
          </w:tcPr>
          <w:p>
            <w:pPr>
              <w:spacing w:after="0"/>
              <w:rPr>
                <w:sz w:val="12"/>
                <w:szCs w:val="12"/>
                <w:color w:val="auto"/>
              </w:rPr>
            </w:pPr>
          </w:p>
        </w:tc>
        <w:tc>
          <w:tcPr>
            <w:tcW w:w="880" w:type="dxa"/>
            <w:vAlign w:val="bottom"/>
            <w:shd w:val="clear" w:color="auto" w:fill="EEECE1"/>
          </w:tcPr>
          <w:p>
            <w:pPr>
              <w:spacing w:after="0"/>
              <w:rPr>
                <w:sz w:val="12"/>
                <w:szCs w:val="12"/>
                <w:color w:val="auto"/>
              </w:rPr>
            </w:pPr>
          </w:p>
        </w:tc>
        <w:tc>
          <w:tcPr>
            <w:tcW w:w="940" w:type="dxa"/>
            <w:vAlign w:val="bottom"/>
            <w:shd w:val="clear" w:color="auto" w:fill="EEECE1"/>
          </w:tcPr>
          <w:p>
            <w:pPr>
              <w:spacing w:after="0"/>
              <w:rPr>
                <w:sz w:val="12"/>
                <w:szCs w:val="12"/>
                <w:color w:val="auto"/>
              </w:rPr>
            </w:pPr>
          </w:p>
        </w:tc>
        <w:tc>
          <w:tcPr>
            <w:tcW w:w="3020" w:type="dxa"/>
            <w:vAlign w:val="bottom"/>
            <w:shd w:val="clear" w:color="auto" w:fill="EEECE1"/>
          </w:tcPr>
          <w:p>
            <w:pPr>
              <w:spacing w:after="0"/>
              <w:rPr>
                <w:sz w:val="12"/>
                <w:szCs w:val="12"/>
                <w:color w:val="auto"/>
              </w:rPr>
            </w:pPr>
          </w:p>
        </w:tc>
        <w:tc>
          <w:tcPr>
            <w:tcW w:w="3380" w:type="dxa"/>
            <w:vAlign w:val="bottom"/>
            <w:shd w:val="clear" w:color="auto" w:fill="EEECE1"/>
          </w:tcPr>
          <w:p>
            <w:pPr>
              <w:spacing w:after="0"/>
              <w:rPr>
                <w:sz w:val="12"/>
                <w:szCs w:val="12"/>
                <w:color w:val="auto"/>
              </w:rPr>
            </w:pPr>
          </w:p>
        </w:tc>
        <w:tc>
          <w:tcPr>
            <w:tcW w:w="128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color w:val="auto"/>
              </w:rPr>
              <w:t>GBP</w:t>
            </w:r>
          </w:p>
        </w:tc>
        <w:tc>
          <w:tcPr>
            <w:tcW w:w="3020" w:type="dxa"/>
            <w:vAlign w:val="bottom"/>
            <w:vMerge w:val="restart"/>
          </w:tcPr>
          <w:p>
            <w:pPr>
              <w:ind w:left="560"/>
              <w:spacing w:after="0"/>
              <w:rPr>
                <w:sz w:val="20"/>
                <w:szCs w:val="20"/>
                <w:color w:val="auto"/>
              </w:rPr>
            </w:pPr>
            <w:r>
              <w:rPr>
                <w:rFonts w:ascii="Arial" w:cs="Arial" w:eastAsia="Arial" w:hAnsi="Arial"/>
                <w:sz w:val="14"/>
                <w:szCs w:val="14"/>
                <w:color w:val="auto"/>
              </w:rPr>
              <w:t>North America</w:t>
            </w:r>
          </w:p>
        </w:tc>
        <w:tc>
          <w:tcPr>
            <w:tcW w:w="3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CA, Canada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380" w:type="dxa"/>
            <w:vAlign w:val="bottom"/>
          </w:tcPr>
          <w:p>
            <w:pPr>
              <w:ind w:left="1600"/>
              <w:spacing w:after="0"/>
              <w:rPr>
                <w:sz w:val="20"/>
                <w:szCs w:val="20"/>
                <w:color w:val="auto"/>
              </w:rPr>
            </w:pPr>
            <w:r>
              <w:rPr>
                <w:rFonts w:ascii="Arial" w:cs="Arial" w:eastAsia="Arial" w:hAnsi="Arial"/>
                <w:sz w:val="14"/>
                <w:szCs w:val="14"/>
                <w:color w:val="auto"/>
                <w:w w:val="96"/>
              </w:rPr>
              <w:t>US, United States of America</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ind w:left="560"/>
              <w:spacing w:after="0"/>
              <w:rPr>
                <w:sz w:val="20"/>
                <w:szCs w:val="20"/>
                <w:color w:val="auto"/>
              </w:rPr>
            </w:pPr>
            <w:r>
              <w:rPr>
                <w:rFonts w:ascii="Arial" w:cs="Arial" w:eastAsia="Arial" w:hAnsi="Arial"/>
                <w:sz w:val="14"/>
                <w:szCs w:val="14"/>
                <w:color w:val="auto"/>
              </w:rPr>
              <w:t>Europe</w:t>
            </w: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AT, Austria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BE, Belgium</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DE, Germany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DK, Denmark</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ES, Spain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FI, Finland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FR, France</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IM, Isle of Man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IT, Italy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JE, Jersey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NL, Netherlands</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NO, Norway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PT, Portugal</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SE, Sweden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UK, United Kingdom</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380" w:type="dxa"/>
            <w:vAlign w:val="bottom"/>
          </w:tcPr>
          <w:p>
            <w:pPr>
              <w:ind w:left="1600"/>
              <w:spacing w:after="0"/>
              <w:rPr>
                <w:sz w:val="20"/>
                <w:szCs w:val="20"/>
                <w:color w:val="auto"/>
              </w:rPr>
            </w:pPr>
            <w:r>
              <w:rPr>
                <w:rFonts w:ascii="Arial" w:cs="Arial" w:eastAsia="Arial" w:hAnsi="Arial"/>
                <w:sz w:val="14"/>
                <w:szCs w:val="14"/>
                <w:color w:val="auto"/>
              </w:rPr>
              <w:t>XS, Eurobond</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ind w:left="560"/>
              <w:spacing w:after="0"/>
              <w:rPr>
                <w:sz w:val="20"/>
                <w:szCs w:val="20"/>
                <w:color w:val="auto"/>
              </w:rPr>
            </w:pPr>
            <w:r>
              <w:rPr>
                <w:rFonts w:ascii="Arial" w:cs="Arial" w:eastAsia="Arial" w:hAnsi="Arial"/>
                <w:sz w:val="14"/>
                <w:szCs w:val="14"/>
                <w:color w:val="auto"/>
              </w:rPr>
              <w:t>CEEMEA</w:t>
            </w: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AU, Australia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380" w:type="dxa"/>
            <w:vAlign w:val="bottom"/>
          </w:tcPr>
          <w:p>
            <w:pPr>
              <w:ind w:left="1600"/>
              <w:spacing w:after="0"/>
              <w:rPr>
                <w:sz w:val="20"/>
                <w:szCs w:val="20"/>
                <w:color w:val="auto"/>
              </w:rPr>
            </w:pPr>
            <w:r>
              <w:rPr>
                <w:rFonts w:ascii="Arial" w:cs="Arial" w:eastAsia="Arial" w:hAnsi="Arial"/>
                <w:sz w:val="14"/>
                <w:szCs w:val="14"/>
                <w:color w:val="auto"/>
              </w:rPr>
              <w:t>JP, Japan</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Arial" w:cs="Arial" w:eastAsia="Arial" w:hAnsi="Arial"/>
                <w:sz w:val="14"/>
                <w:szCs w:val="14"/>
                <w:color w:val="auto"/>
              </w:rPr>
              <w:t>HUF</w:t>
            </w:r>
          </w:p>
        </w:tc>
        <w:tc>
          <w:tcPr>
            <w:tcW w:w="3020" w:type="dxa"/>
            <w:vAlign w:val="bottom"/>
            <w:vMerge w:val="restart"/>
          </w:tcPr>
          <w:p>
            <w:pPr>
              <w:ind w:left="560"/>
              <w:spacing w:after="0"/>
              <w:rPr>
                <w:sz w:val="20"/>
                <w:szCs w:val="20"/>
                <w:color w:val="auto"/>
              </w:rPr>
            </w:pPr>
            <w:r>
              <w:rPr>
                <w:rFonts w:ascii="Arial" w:cs="Arial" w:eastAsia="Arial" w:hAnsi="Arial"/>
                <w:sz w:val="14"/>
                <w:szCs w:val="14"/>
                <w:color w:val="auto"/>
              </w:rPr>
              <w:t>Europe</w:t>
            </w:r>
          </w:p>
        </w:tc>
        <w:tc>
          <w:tcPr>
            <w:tcW w:w="3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vMerge w:val="continue"/>
          </w:tcPr>
          <w:p>
            <w:pPr>
              <w:spacing w:after="0"/>
              <w:rPr>
                <w:sz w:val="12"/>
                <w:szCs w:val="12"/>
                <w:color w:val="auto"/>
              </w:rPr>
            </w:pP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XS, Eurobond</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Arial" w:cs="Arial" w:eastAsia="Arial" w:hAnsi="Arial"/>
                <w:sz w:val="14"/>
                <w:szCs w:val="14"/>
                <w:color w:val="auto"/>
              </w:rPr>
              <w:t>NOK</w:t>
            </w:r>
          </w:p>
        </w:tc>
        <w:tc>
          <w:tcPr>
            <w:tcW w:w="3020" w:type="dxa"/>
            <w:vAlign w:val="bottom"/>
            <w:vMerge w:val="restart"/>
          </w:tcPr>
          <w:p>
            <w:pPr>
              <w:ind w:left="560"/>
              <w:spacing w:after="0"/>
              <w:rPr>
                <w:sz w:val="20"/>
                <w:szCs w:val="20"/>
                <w:color w:val="auto"/>
              </w:rPr>
            </w:pPr>
            <w:r>
              <w:rPr>
                <w:rFonts w:ascii="Arial" w:cs="Arial" w:eastAsia="Arial" w:hAnsi="Arial"/>
                <w:sz w:val="14"/>
                <w:szCs w:val="14"/>
                <w:color w:val="auto"/>
              </w:rPr>
              <w:t>North America</w:t>
            </w:r>
          </w:p>
        </w:tc>
        <w:tc>
          <w:tcPr>
            <w:tcW w:w="3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vMerge w:val="continue"/>
          </w:tcPr>
          <w:p>
            <w:pPr>
              <w:spacing w:after="0"/>
              <w:rPr>
                <w:sz w:val="12"/>
                <w:szCs w:val="12"/>
                <w:color w:val="auto"/>
              </w:rPr>
            </w:pP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CA, Canada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ind w:left="560"/>
              <w:spacing w:after="0"/>
              <w:rPr>
                <w:sz w:val="20"/>
                <w:szCs w:val="20"/>
                <w:color w:val="auto"/>
              </w:rPr>
            </w:pPr>
            <w:r>
              <w:rPr>
                <w:rFonts w:ascii="Arial" w:cs="Arial" w:eastAsia="Arial" w:hAnsi="Arial"/>
                <w:sz w:val="14"/>
                <w:szCs w:val="14"/>
                <w:color w:val="auto"/>
              </w:rPr>
              <w:t>Europe</w:t>
            </w: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AT, Austria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BE, Belgium</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DE, Germany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DK, Denmark</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ES, Spain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FI, Finland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FR, France</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NL, Netherlands</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NO, Norway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PT, Portugal</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SE, Sweden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UK, United Kingdom</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380" w:type="dxa"/>
            <w:vAlign w:val="bottom"/>
          </w:tcPr>
          <w:p>
            <w:pPr>
              <w:ind w:left="1600"/>
              <w:spacing w:after="0"/>
              <w:rPr>
                <w:sz w:val="20"/>
                <w:szCs w:val="20"/>
                <w:color w:val="auto"/>
              </w:rPr>
            </w:pPr>
            <w:r>
              <w:rPr>
                <w:rFonts w:ascii="Arial" w:cs="Arial" w:eastAsia="Arial" w:hAnsi="Arial"/>
                <w:sz w:val="14"/>
                <w:szCs w:val="14"/>
                <w:color w:val="auto"/>
              </w:rPr>
              <w:t>XS, Eurobond</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Arial" w:cs="Arial" w:eastAsia="Arial" w:hAnsi="Arial"/>
                <w:sz w:val="14"/>
                <w:szCs w:val="14"/>
                <w:color w:val="auto"/>
              </w:rPr>
              <w:t>NZD</w:t>
            </w:r>
          </w:p>
        </w:tc>
        <w:tc>
          <w:tcPr>
            <w:tcW w:w="3020" w:type="dxa"/>
            <w:vAlign w:val="bottom"/>
            <w:vMerge w:val="restart"/>
          </w:tcPr>
          <w:p>
            <w:pPr>
              <w:ind w:left="560"/>
              <w:spacing w:after="0"/>
              <w:rPr>
                <w:sz w:val="20"/>
                <w:szCs w:val="20"/>
                <w:color w:val="auto"/>
              </w:rPr>
            </w:pPr>
            <w:r>
              <w:rPr>
                <w:rFonts w:ascii="Arial" w:cs="Arial" w:eastAsia="Arial" w:hAnsi="Arial"/>
                <w:sz w:val="14"/>
                <w:szCs w:val="14"/>
                <w:color w:val="auto"/>
              </w:rPr>
              <w:t>North America</w:t>
            </w:r>
          </w:p>
        </w:tc>
        <w:tc>
          <w:tcPr>
            <w:tcW w:w="3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vMerge w:val="continue"/>
          </w:tcPr>
          <w:p>
            <w:pPr>
              <w:spacing w:after="0"/>
              <w:rPr>
                <w:sz w:val="12"/>
                <w:szCs w:val="12"/>
                <w:color w:val="auto"/>
              </w:rPr>
            </w:pP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CA, Canada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ind w:left="560"/>
              <w:spacing w:after="0"/>
              <w:rPr>
                <w:sz w:val="20"/>
                <w:szCs w:val="20"/>
                <w:color w:val="auto"/>
              </w:rPr>
            </w:pPr>
            <w:r>
              <w:rPr>
                <w:rFonts w:ascii="Arial" w:cs="Arial" w:eastAsia="Arial" w:hAnsi="Arial"/>
                <w:sz w:val="14"/>
                <w:szCs w:val="14"/>
                <w:color w:val="auto"/>
              </w:rPr>
              <w:t>Europe</w:t>
            </w: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DE, Germany</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FI, Finland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NL, Netherlands</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NO, Norway</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NZ, New Zealand</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tcPr>
          <w:p>
            <w:pPr>
              <w:ind w:left="1600"/>
              <w:spacing w:after="0" w:line="149" w:lineRule="exact"/>
              <w:rPr>
                <w:sz w:val="20"/>
                <w:szCs w:val="20"/>
                <w:color w:val="auto"/>
              </w:rPr>
            </w:pPr>
            <w:r>
              <w:rPr>
                <w:rFonts w:ascii="Arial" w:cs="Arial" w:eastAsia="Arial" w:hAnsi="Arial"/>
                <w:sz w:val="14"/>
                <w:szCs w:val="14"/>
                <w:color w:val="auto"/>
              </w:rPr>
              <w:t>SE, Sweden</w:t>
            </w:r>
          </w:p>
        </w:tc>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380" w:type="dxa"/>
            <w:vAlign w:val="bottom"/>
          </w:tcPr>
          <w:p>
            <w:pPr>
              <w:ind w:left="1600"/>
              <w:spacing w:after="0"/>
              <w:rPr>
                <w:sz w:val="20"/>
                <w:szCs w:val="20"/>
                <w:color w:val="auto"/>
              </w:rPr>
            </w:pPr>
            <w:r>
              <w:rPr>
                <w:rFonts w:ascii="Arial" w:cs="Arial" w:eastAsia="Arial" w:hAnsi="Arial"/>
                <w:sz w:val="14"/>
                <w:szCs w:val="14"/>
                <w:color w:val="auto"/>
              </w:rPr>
              <w:t>XS, Eurobond</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ind w:left="560"/>
              <w:spacing w:after="0"/>
              <w:rPr>
                <w:sz w:val="20"/>
                <w:szCs w:val="20"/>
                <w:color w:val="auto"/>
              </w:rPr>
            </w:pPr>
            <w:r>
              <w:rPr>
                <w:rFonts w:ascii="Arial" w:cs="Arial" w:eastAsia="Arial" w:hAnsi="Arial"/>
                <w:sz w:val="14"/>
                <w:szCs w:val="14"/>
                <w:color w:val="auto"/>
              </w:rPr>
              <w:t>Asia</w:t>
            </w: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AU, Australia</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Arial" w:cs="Arial" w:eastAsia="Arial" w:hAnsi="Arial"/>
                <w:sz w:val="14"/>
                <w:szCs w:val="14"/>
                <w:color w:val="auto"/>
              </w:rPr>
              <w:t>RUB</w:t>
            </w:r>
          </w:p>
        </w:tc>
        <w:tc>
          <w:tcPr>
            <w:tcW w:w="3020" w:type="dxa"/>
            <w:vAlign w:val="bottom"/>
            <w:vMerge w:val="restart"/>
          </w:tcPr>
          <w:p>
            <w:pPr>
              <w:ind w:left="560"/>
              <w:spacing w:after="0"/>
              <w:rPr>
                <w:sz w:val="20"/>
                <w:szCs w:val="20"/>
                <w:color w:val="auto"/>
              </w:rPr>
            </w:pPr>
            <w:r>
              <w:rPr>
                <w:rFonts w:ascii="Arial" w:cs="Arial" w:eastAsia="Arial" w:hAnsi="Arial"/>
                <w:sz w:val="14"/>
                <w:szCs w:val="14"/>
                <w:color w:val="auto"/>
              </w:rPr>
              <w:t>Europe</w:t>
            </w:r>
          </w:p>
        </w:tc>
        <w:tc>
          <w:tcPr>
            <w:tcW w:w="3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20" w:type="dxa"/>
            <w:vAlign w:val="bottom"/>
            <w:vMerge w:val="continue"/>
          </w:tcPr>
          <w:p>
            <w:pPr>
              <w:spacing w:after="0"/>
              <w:rPr>
                <w:sz w:val="12"/>
                <w:szCs w:val="12"/>
                <w:color w:val="auto"/>
              </w:rPr>
            </w:pPr>
          </w:p>
        </w:tc>
        <w:tc>
          <w:tcPr>
            <w:tcW w:w="3380" w:type="dxa"/>
            <w:vAlign w:val="bottom"/>
            <w:vMerge w:val="restart"/>
          </w:tcPr>
          <w:p>
            <w:pPr>
              <w:ind w:left="1600"/>
              <w:spacing w:after="0"/>
              <w:rPr>
                <w:sz w:val="20"/>
                <w:szCs w:val="20"/>
                <w:color w:val="auto"/>
              </w:rPr>
            </w:pPr>
            <w:r>
              <w:rPr>
                <w:rFonts w:ascii="Arial" w:cs="Arial" w:eastAsia="Arial" w:hAnsi="Arial"/>
                <w:sz w:val="14"/>
                <w:szCs w:val="14"/>
                <w:color w:val="auto"/>
              </w:rPr>
              <w:t>DE, Germany</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380" w:type="dxa"/>
            <w:vAlign w:val="bottom"/>
          </w:tcPr>
          <w:p>
            <w:pPr>
              <w:ind w:left="1600"/>
              <w:spacing w:after="0"/>
              <w:rPr>
                <w:sz w:val="20"/>
                <w:szCs w:val="20"/>
                <w:color w:val="auto"/>
              </w:rPr>
            </w:pPr>
            <w:r>
              <w:rPr>
                <w:rFonts w:ascii="Arial" w:cs="Arial" w:eastAsia="Arial" w:hAnsi="Arial"/>
                <w:sz w:val="14"/>
                <w:szCs w:val="14"/>
                <w:color w:val="auto"/>
              </w:rPr>
              <w:t>XS, Eurobond</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8" w:right="239" w:bottom="1440" w:gutter="0" w:footer="0" w:header="0"/>
        </w:sectPr>
      </w:pPr>
    </w:p>
    <w:bookmarkStart w:id="326" w:name="page327"/>
    <w:bookmarkEnd w:id="3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640" w:type="dxa"/>
            <w:vAlign w:val="bottom"/>
            <w:shd w:val="clear" w:color="auto" w:fill="EEECE1"/>
          </w:tcPr>
          <w:p>
            <w:pPr>
              <w:jc w:val="right"/>
              <w:ind w:right="1188"/>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jc w:val="right"/>
              <w:ind w:right="748"/>
              <w:spacing w:after="0"/>
              <w:rPr>
                <w:sz w:val="20"/>
                <w:szCs w:val="20"/>
                <w:color w:val="auto"/>
              </w:rPr>
            </w:pPr>
            <w:r>
              <w:rPr>
                <w:rFonts w:ascii="Arial" w:cs="Arial" w:eastAsia="Arial" w:hAnsi="Arial"/>
                <w:sz w:val="14"/>
                <w:szCs w:val="14"/>
                <w:b w:val="1"/>
                <w:bCs w:val="1"/>
                <w:color w:val="auto"/>
              </w:rPr>
              <w:t>3</w:t>
            </w:r>
          </w:p>
        </w:tc>
        <w:tc>
          <w:tcPr>
            <w:tcW w:w="9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2920" w:type="dxa"/>
            <w:vAlign w:val="bottom"/>
            <w:shd w:val="clear" w:color="auto" w:fill="EEECE1"/>
          </w:tcPr>
          <w:p>
            <w:pPr>
              <w:ind w:left="640"/>
              <w:spacing w:after="0"/>
              <w:rPr>
                <w:sz w:val="20"/>
                <w:szCs w:val="20"/>
                <w:color w:val="auto"/>
              </w:rPr>
            </w:pPr>
            <w:r>
              <w:rPr>
                <w:rFonts w:ascii="Arial" w:cs="Arial" w:eastAsia="Arial" w:hAnsi="Arial"/>
                <w:sz w:val="14"/>
                <w:szCs w:val="14"/>
                <w:b w:val="1"/>
                <w:bCs w:val="1"/>
                <w:color w:val="auto"/>
              </w:rPr>
              <w:t>5</w:t>
            </w:r>
          </w:p>
        </w:tc>
        <w:tc>
          <w:tcPr>
            <w:tcW w:w="3000" w:type="dxa"/>
            <w:vAlign w:val="bottom"/>
            <w:shd w:val="clear" w:color="auto" w:fill="EEECE1"/>
          </w:tcPr>
          <w:p>
            <w:pPr>
              <w:ind w:left="1840"/>
              <w:spacing w:after="0"/>
              <w:rPr>
                <w:sz w:val="20"/>
                <w:szCs w:val="20"/>
                <w:color w:val="auto"/>
              </w:rPr>
            </w:pPr>
            <w:r>
              <w:rPr>
                <w:rFonts w:ascii="Arial" w:cs="Arial" w:eastAsia="Arial" w:hAnsi="Arial"/>
                <w:sz w:val="14"/>
                <w:szCs w:val="14"/>
                <w:color w:val="auto"/>
              </w:rPr>
              <w:t>6</w:t>
            </w:r>
          </w:p>
        </w:tc>
        <w:tc>
          <w:tcPr>
            <w:tcW w:w="15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920" w:type="dxa"/>
            <w:vAlign w:val="bottom"/>
            <w:shd w:val="clear" w:color="auto" w:fill="EEECE1"/>
          </w:tcPr>
          <w:p>
            <w:pPr>
              <w:spacing w:after="0"/>
              <w:rPr>
                <w:sz w:val="14"/>
                <w:szCs w:val="14"/>
                <w:color w:val="auto"/>
              </w:rPr>
            </w:pPr>
          </w:p>
        </w:tc>
        <w:tc>
          <w:tcPr>
            <w:tcW w:w="980" w:type="dxa"/>
            <w:vAlign w:val="bottom"/>
            <w:shd w:val="clear" w:color="auto" w:fill="EEECE1"/>
          </w:tcPr>
          <w:p>
            <w:pPr>
              <w:spacing w:after="0"/>
              <w:rPr>
                <w:sz w:val="14"/>
                <w:szCs w:val="14"/>
                <w:color w:val="auto"/>
              </w:rPr>
            </w:pPr>
          </w:p>
        </w:tc>
        <w:tc>
          <w:tcPr>
            <w:tcW w:w="2920" w:type="dxa"/>
            <w:vAlign w:val="bottom"/>
            <w:shd w:val="clear" w:color="auto" w:fill="EEECE1"/>
          </w:tcPr>
          <w:p>
            <w:pPr>
              <w:spacing w:after="0"/>
              <w:rPr>
                <w:sz w:val="14"/>
                <w:szCs w:val="14"/>
                <w:color w:val="auto"/>
              </w:rPr>
            </w:pPr>
          </w:p>
        </w:tc>
        <w:tc>
          <w:tcPr>
            <w:tcW w:w="3000" w:type="dxa"/>
            <w:vAlign w:val="bottom"/>
            <w:shd w:val="clear" w:color="auto" w:fill="EEECE1"/>
          </w:tcPr>
          <w:p>
            <w:pPr>
              <w:spacing w:after="0"/>
              <w:rPr>
                <w:sz w:val="14"/>
                <w:szCs w:val="14"/>
                <w:color w:val="auto"/>
              </w:rPr>
            </w:pPr>
          </w:p>
        </w:tc>
        <w:tc>
          <w:tcPr>
            <w:tcW w:w="152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shd w:val="clear" w:color="auto" w:fill="EEECE1"/>
          </w:tcPr>
          <w:p>
            <w:pPr>
              <w:spacing w:after="0"/>
              <w:rPr>
                <w:sz w:val="12"/>
                <w:szCs w:val="12"/>
                <w:color w:val="auto"/>
              </w:rPr>
            </w:pPr>
          </w:p>
        </w:tc>
        <w:tc>
          <w:tcPr>
            <w:tcW w:w="1640" w:type="dxa"/>
            <w:vAlign w:val="bottom"/>
            <w:shd w:val="clear" w:color="auto" w:fill="EEECE1"/>
          </w:tcPr>
          <w:p>
            <w:pPr>
              <w:spacing w:after="0"/>
              <w:rPr>
                <w:sz w:val="12"/>
                <w:szCs w:val="12"/>
                <w:color w:val="auto"/>
              </w:rPr>
            </w:pPr>
          </w:p>
        </w:tc>
        <w:tc>
          <w:tcPr>
            <w:tcW w:w="920" w:type="dxa"/>
            <w:vAlign w:val="bottom"/>
            <w:shd w:val="clear" w:color="auto" w:fill="EEECE1"/>
          </w:tcPr>
          <w:p>
            <w:pPr>
              <w:spacing w:after="0"/>
              <w:rPr>
                <w:sz w:val="12"/>
                <w:szCs w:val="12"/>
                <w:color w:val="auto"/>
              </w:rPr>
            </w:pPr>
          </w:p>
        </w:tc>
        <w:tc>
          <w:tcPr>
            <w:tcW w:w="980" w:type="dxa"/>
            <w:vAlign w:val="bottom"/>
            <w:shd w:val="clear" w:color="auto" w:fill="EEECE1"/>
          </w:tcPr>
          <w:p>
            <w:pPr>
              <w:spacing w:after="0"/>
              <w:rPr>
                <w:sz w:val="12"/>
                <w:szCs w:val="12"/>
                <w:color w:val="auto"/>
              </w:rPr>
            </w:pPr>
          </w:p>
        </w:tc>
        <w:tc>
          <w:tcPr>
            <w:tcW w:w="2920" w:type="dxa"/>
            <w:vAlign w:val="bottom"/>
            <w:shd w:val="clear" w:color="auto" w:fill="EEECE1"/>
          </w:tcPr>
          <w:p>
            <w:pPr>
              <w:spacing w:after="0"/>
              <w:rPr>
                <w:sz w:val="12"/>
                <w:szCs w:val="12"/>
                <w:color w:val="auto"/>
              </w:rPr>
            </w:pPr>
          </w:p>
        </w:tc>
        <w:tc>
          <w:tcPr>
            <w:tcW w:w="3000" w:type="dxa"/>
            <w:vAlign w:val="bottom"/>
            <w:shd w:val="clear" w:color="auto" w:fill="EEECE1"/>
          </w:tcPr>
          <w:p>
            <w:pPr>
              <w:spacing w:after="0"/>
              <w:rPr>
                <w:sz w:val="12"/>
                <w:szCs w:val="12"/>
                <w:color w:val="auto"/>
              </w:rPr>
            </w:pPr>
          </w:p>
        </w:tc>
        <w:tc>
          <w:tcPr>
            <w:tcW w:w="152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Arial" w:cs="Arial" w:eastAsia="Arial" w:hAnsi="Arial"/>
                <w:sz w:val="14"/>
                <w:szCs w:val="14"/>
                <w:color w:val="auto"/>
              </w:rPr>
              <w:t>SEK</w:t>
            </w:r>
          </w:p>
        </w:tc>
        <w:tc>
          <w:tcPr>
            <w:tcW w:w="2920" w:type="dxa"/>
            <w:vAlign w:val="bottom"/>
            <w:vMerge w:val="restart"/>
          </w:tcPr>
          <w:p>
            <w:pPr>
              <w:ind w:left="640"/>
              <w:spacing w:after="0"/>
              <w:rPr>
                <w:sz w:val="20"/>
                <w:szCs w:val="20"/>
                <w:color w:val="auto"/>
              </w:rPr>
            </w:pPr>
            <w:r>
              <w:rPr>
                <w:rFonts w:ascii="Arial" w:cs="Arial" w:eastAsia="Arial" w:hAnsi="Arial"/>
                <w:sz w:val="14"/>
                <w:szCs w:val="14"/>
                <w:color w:val="auto"/>
              </w:rPr>
              <w:t>Europe</w:t>
            </w:r>
          </w:p>
        </w:tc>
        <w:tc>
          <w:tcPr>
            <w:tcW w:w="3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3000" w:type="dxa"/>
            <w:vAlign w:val="bottom"/>
            <w:vMerge w:val="restart"/>
          </w:tcPr>
          <w:p>
            <w:pPr>
              <w:ind w:left="1840"/>
              <w:spacing w:after="0"/>
              <w:rPr>
                <w:sz w:val="20"/>
                <w:szCs w:val="20"/>
                <w:color w:val="auto"/>
              </w:rPr>
            </w:pPr>
            <w:r>
              <w:rPr>
                <w:rFonts w:ascii="Arial" w:cs="Arial" w:eastAsia="Arial" w:hAnsi="Arial"/>
                <w:sz w:val="14"/>
                <w:szCs w:val="14"/>
                <w:color w:val="auto"/>
              </w:rPr>
              <w:t>DE, Germany</w:t>
            </w:r>
          </w:p>
        </w:tc>
        <w:tc>
          <w:tcPr>
            <w:tcW w:w="1520" w:type="dxa"/>
            <w:vAlign w:val="bottom"/>
            <w:vMerge w:val="restart"/>
          </w:tcPr>
          <w:p>
            <w:pPr>
              <w:ind w:left="2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0" w:type="dxa"/>
            <w:vAlign w:val="bottom"/>
          </w:tcPr>
          <w:p>
            <w:pPr>
              <w:ind w:left="1840"/>
              <w:spacing w:after="0" w:line="149" w:lineRule="exact"/>
              <w:rPr>
                <w:sz w:val="20"/>
                <w:szCs w:val="20"/>
                <w:color w:val="auto"/>
              </w:rPr>
            </w:pPr>
            <w:r>
              <w:rPr>
                <w:rFonts w:ascii="Arial" w:cs="Arial" w:eastAsia="Arial" w:hAnsi="Arial"/>
                <w:sz w:val="14"/>
                <w:szCs w:val="14"/>
                <w:color w:val="auto"/>
              </w:rPr>
              <w:t>DK, Denmark</w:t>
            </w: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0" w:type="dxa"/>
            <w:vAlign w:val="bottom"/>
          </w:tcPr>
          <w:p>
            <w:pPr>
              <w:ind w:left="1840"/>
              <w:spacing w:after="0" w:line="149" w:lineRule="exact"/>
              <w:rPr>
                <w:sz w:val="20"/>
                <w:szCs w:val="20"/>
                <w:color w:val="auto"/>
              </w:rPr>
            </w:pPr>
            <w:r>
              <w:rPr>
                <w:rFonts w:ascii="Arial" w:cs="Arial" w:eastAsia="Arial" w:hAnsi="Arial"/>
                <w:sz w:val="14"/>
                <w:szCs w:val="14"/>
                <w:color w:val="auto"/>
              </w:rPr>
              <w:t>FI, Finland</w:t>
            </w: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0" w:type="dxa"/>
            <w:vAlign w:val="bottom"/>
          </w:tcPr>
          <w:p>
            <w:pPr>
              <w:ind w:left="1840"/>
              <w:spacing w:after="0" w:line="149" w:lineRule="exact"/>
              <w:rPr>
                <w:sz w:val="20"/>
                <w:szCs w:val="20"/>
                <w:color w:val="auto"/>
              </w:rPr>
            </w:pPr>
            <w:r>
              <w:rPr>
                <w:rFonts w:ascii="Arial" w:cs="Arial" w:eastAsia="Arial" w:hAnsi="Arial"/>
                <w:sz w:val="14"/>
                <w:szCs w:val="14"/>
                <w:color w:val="auto"/>
              </w:rPr>
              <w:t>NL, Netherlands</w:t>
            </w: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0" w:type="dxa"/>
            <w:vAlign w:val="bottom"/>
          </w:tcPr>
          <w:p>
            <w:pPr>
              <w:ind w:left="1840"/>
              <w:spacing w:after="0" w:line="149" w:lineRule="exact"/>
              <w:rPr>
                <w:sz w:val="20"/>
                <w:szCs w:val="20"/>
                <w:color w:val="auto"/>
              </w:rPr>
            </w:pPr>
            <w:r>
              <w:rPr>
                <w:rFonts w:ascii="Arial" w:cs="Arial" w:eastAsia="Arial" w:hAnsi="Arial"/>
                <w:sz w:val="14"/>
                <w:szCs w:val="14"/>
                <w:color w:val="auto"/>
              </w:rPr>
              <w:t>SE, Sweden</w:t>
            </w: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000" w:type="dxa"/>
            <w:vAlign w:val="bottom"/>
          </w:tcPr>
          <w:p>
            <w:pPr>
              <w:ind w:left="1840"/>
              <w:spacing w:after="0"/>
              <w:rPr>
                <w:sz w:val="20"/>
                <w:szCs w:val="20"/>
                <w:color w:val="auto"/>
              </w:rPr>
            </w:pPr>
            <w:r>
              <w:rPr>
                <w:rFonts w:ascii="Arial" w:cs="Arial" w:eastAsia="Arial" w:hAnsi="Arial"/>
                <w:sz w:val="14"/>
                <w:szCs w:val="14"/>
                <w:color w:val="auto"/>
              </w:rPr>
              <w:t>XS, Eurobond</w:t>
            </w:r>
          </w:p>
        </w:tc>
        <w:tc>
          <w:tcPr>
            <w:tcW w:w="1520" w:type="dxa"/>
            <w:vAlign w:val="bottom"/>
          </w:tcPr>
          <w:p>
            <w:pPr>
              <w:ind w:left="2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4"/>
                <w:szCs w:val="14"/>
                <w:color w:val="auto"/>
              </w:rPr>
              <w:t>TRY</w:t>
            </w:r>
          </w:p>
        </w:tc>
        <w:tc>
          <w:tcPr>
            <w:tcW w:w="2920" w:type="dxa"/>
            <w:vAlign w:val="bottom"/>
            <w:vMerge w:val="restart"/>
          </w:tcPr>
          <w:p>
            <w:pPr>
              <w:ind w:left="640"/>
              <w:spacing w:after="0"/>
              <w:rPr>
                <w:sz w:val="20"/>
                <w:szCs w:val="20"/>
                <w:color w:val="auto"/>
              </w:rPr>
            </w:pPr>
            <w:r>
              <w:rPr>
                <w:rFonts w:ascii="Arial" w:cs="Arial" w:eastAsia="Arial" w:hAnsi="Arial"/>
                <w:sz w:val="14"/>
                <w:szCs w:val="14"/>
                <w:color w:val="auto"/>
              </w:rPr>
              <w:t>Europe</w:t>
            </w:r>
          </w:p>
        </w:tc>
        <w:tc>
          <w:tcPr>
            <w:tcW w:w="3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vMerge w:val="continue"/>
          </w:tcPr>
          <w:p>
            <w:pPr>
              <w:spacing w:after="0"/>
              <w:rPr>
                <w:sz w:val="12"/>
                <w:szCs w:val="12"/>
                <w:color w:val="auto"/>
              </w:rPr>
            </w:pPr>
          </w:p>
        </w:tc>
        <w:tc>
          <w:tcPr>
            <w:tcW w:w="3000" w:type="dxa"/>
            <w:vAlign w:val="bottom"/>
            <w:vMerge w:val="restart"/>
          </w:tcPr>
          <w:p>
            <w:pPr>
              <w:ind w:left="1840"/>
              <w:spacing w:after="0"/>
              <w:rPr>
                <w:sz w:val="20"/>
                <w:szCs w:val="20"/>
                <w:color w:val="auto"/>
              </w:rPr>
            </w:pPr>
            <w:r>
              <w:rPr>
                <w:rFonts w:ascii="Arial" w:cs="Arial" w:eastAsia="Arial" w:hAnsi="Arial"/>
                <w:sz w:val="14"/>
                <w:szCs w:val="14"/>
                <w:color w:val="auto"/>
              </w:rPr>
              <w:t>DE, Germany</w:t>
            </w:r>
          </w:p>
        </w:tc>
        <w:tc>
          <w:tcPr>
            <w:tcW w:w="1520" w:type="dxa"/>
            <w:vAlign w:val="bottom"/>
            <w:vMerge w:val="restart"/>
          </w:tcPr>
          <w:p>
            <w:pPr>
              <w:ind w:left="2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0" w:type="dxa"/>
            <w:vAlign w:val="bottom"/>
          </w:tcPr>
          <w:p>
            <w:pPr>
              <w:ind w:left="1840"/>
              <w:spacing w:after="0" w:line="149" w:lineRule="exact"/>
              <w:rPr>
                <w:sz w:val="20"/>
                <w:szCs w:val="20"/>
                <w:color w:val="auto"/>
              </w:rPr>
            </w:pPr>
            <w:r>
              <w:rPr>
                <w:rFonts w:ascii="Arial" w:cs="Arial" w:eastAsia="Arial" w:hAnsi="Arial"/>
                <w:sz w:val="14"/>
                <w:szCs w:val="14"/>
                <w:color w:val="auto"/>
              </w:rPr>
              <w:t>FI, Finland</w:t>
            </w: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0" w:type="dxa"/>
            <w:vAlign w:val="bottom"/>
          </w:tcPr>
          <w:p>
            <w:pPr>
              <w:ind w:left="1840"/>
              <w:spacing w:after="0" w:line="149" w:lineRule="exact"/>
              <w:rPr>
                <w:sz w:val="20"/>
                <w:szCs w:val="20"/>
                <w:color w:val="auto"/>
              </w:rPr>
            </w:pPr>
            <w:r>
              <w:rPr>
                <w:rFonts w:ascii="Arial" w:cs="Arial" w:eastAsia="Arial" w:hAnsi="Arial"/>
                <w:sz w:val="14"/>
                <w:szCs w:val="14"/>
                <w:color w:val="auto"/>
              </w:rPr>
              <w:t>NL, Netherlands</w:t>
            </w: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0" w:type="dxa"/>
            <w:vAlign w:val="bottom"/>
          </w:tcPr>
          <w:p>
            <w:pPr>
              <w:ind w:left="1840"/>
              <w:spacing w:after="0" w:line="149" w:lineRule="exact"/>
              <w:rPr>
                <w:sz w:val="20"/>
                <w:szCs w:val="20"/>
                <w:color w:val="auto"/>
              </w:rPr>
            </w:pPr>
            <w:r>
              <w:rPr>
                <w:rFonts w:ascii="Arial" w:cs="Arial" w:eastAsia="Arial" w:hAnsi="Arial"/>
                <w:sz w:val="14"/>
                <w:szCs w:val="14"/>
                <w:color w:val="auto"/>
              </w:rPr>
              <w:t>NO, Norway</w:t>
            </w: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0" w:type="dxa"/>
            <w:vAlign w:val="bottom"/>
          </w:tcPr>
          <w:p>
            <w:pPr>
              <w:ind w:left="1840"/>
              <w:spacing w:after="0" w:line="149" w:lineRule="exact"/>
              <w:rPr>
                <w:sz w:val="20"/>
                <w:szCs w:val="20"/>
                <w:color w:val="auto"/>
              </w:rPr>
            </w:pPr>
            <w:r>
              <w:rPr>
                <w:rFonts w:ascii="Arial" w:cs="Arial" w:eastAsia="Arial" w:hAnsi="Arial"/>
                <w:sz w:val="14"/>
                <w:szCs w:val="14"/>
                <w:color w:val="auto"/>
              </w:rPr>
              <w:t>SE, Sweden</w:t>
            </w: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000" w:type="dxa"/>
            <w:vAlign w:val="bottom"/>
          </w:tcPr>
          <w:p>
            <w:pPr>
              <w:ind w:left="1840"/>
              <w:spacing w:after="0"/>
              <w:rPr>
                <w:sz w:val="20"/>
                <w:szCs w:val="20"/>
                <w:color w:val="auto"/>
              </w:rPr>
            </w:pPr>
            <w:r>
              <w:rPr>
                <w:rFonts w:ascii="Arial" w:cs="Arial" w:eastAsia="Arial" w:hAnsi="Arial"/>
                <w:sz w:val="14"/>
                <w:szCs w:val="14"/>
                <w:color w:val="auto"/>
              </w:rPr>
              <w:t>XS, Eurobond</w:t>
            </w:r>
          </w:p>
        </w:tc>
        <w:tc>
          <w:tcPr>
            <w:tcW w:w="1520" w:type="dxa"/>
            <w:vAlign w:val="bottom"/>
          </w:tcPr>
          <w:p>
            <w:pPr>
              <w:ind w:left="2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4"/>
                <w:szCs w:val="14"/>
                <w:color w:val="auto"/>
              </w:rPr>
              <w:t>ZAR</w:t>
            </w:r>
          </w:p>
        </w:tc>
        <w:tc>
          <w:tcPr>
            <w:tcW w:w="2920" w:type="dxa"/>
            <w:vAlign w:val="bottom"/>
            <w:vMerge w:val="restart"/>
          </w:tcPr>
          <w:p>
            <w:pPr>
              <w:ind w:left="640"/>
              <w:spacing w:after="0"/>
              <w:rPr>
                <w:sz w:val="20"/>
                <w:szCs w:val="20"/>
                <w:color w:val="auto"/>
              </w:rPr>
            </w:pPr>
            <w:r>
              <w:rPr>
                <w:rFonts w:ascii="Arial" w:cs="Arial" w:eastAsia="Arial" w:hAnsi="Arial"/>
                <w:sz w:val="14"/>
                <w:szCs w:val="14"/>
                <w:color w:val="auto"/>
              </w:rPr>
              <w:t>Europe</w:t>
            </w:r>
          </w:p>
        </w:tc>
        <w:tc>
          <w:tcPr>
            <w:tcW w:w="3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vMerge w:val="continue"/>
          </w:tcPr>
          <w:p>
            <w:pPr>
              <w:spacing w:after="0"/>
              <w:rPr>
                <w:sz w:val="12"/>
                <w:szCs w:val="12"/>
                <w:color w:val="auto"/>
              </w:rPr>
            </w:pPr>
          </w:p>
        </w:tc>
        <w:tc>
          <w:tcPr>
            <w:tcW w:w="3000" w:type="dxa"/>
            <w:vAlign w:val="bottom"/>
            <w:vMerge w:val="restart"/>
          </w:tcPr>
          <w:p>
            <w:pPr>
              <w:ind w:left="1840"/>
              <w:spacing w:after="0"/>
              <w:rPr>
                <w:sz w:val="20"/>
                <w:szCs w:val="20"/>
                <w:color w:val="auto"/>
              </w:rPr>
            </w:pPr>
            <w:r>
              <w:rPr>
                <w:rFonts w:ascii="Arial" w:cs="Arial" w:eastAsia="Arial" w:hAnsi="Arial"/>
                <w:sz w:val="14"/>
                <w:szCs w:val="14"/>
                <w:color w:val="auto"/>
              </w:rPr>
              <w:t>DE, Germany</w:t>
            </w:r>
          </w:p>
        </w:tc>
        <w:tc>
          <w:tcPr>
            <w:tcW w:w="1520" w:type="dxa"/>
            <w:vAlign w:val="bottom"/>
            <w:vMerge w:val="restart"/>
          </w:tcPr>
          <w:p>
            <w:pPr>
              <w:ind w:left="2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0" w:type="dxa"/>
            <w:vAlign w:val="bottom"/>
          </w:tcPr>
          <w:p>
            <w:pPr>
              <w:ind w:left="1840"/>
              <w:spacing w:after="0" w:line="149" w:lineRule="exact"/>
              <w:rPr>
                <w:sz w:val="20"/>
                <w:szCs w:val="20"/>
                <w:color w:val="auto"/>
              </w:rPr>
            </w:pPr>
            <w:r>
              <w:rPr>
                <w:rFonts w:ascii="Arial" w:cs="Arial" w:eastAsia="Arial" w:hAnsi="Arial"/>
                <w:sz w:val="14"/>
                <w:szCs w:val="14"/>
                <w:color w:val="auto"/>
              </w:rPr>
              <w:t>FI, Finland</w:t>
            </w: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0" w:type="dxa"/>
            <w:vAlign w:val="bottom"/>
          </w:tcPr>
          <w:p>
            <w:pPr>
              <w:ind w:left="1840"/>
              <w:spacing w:after="0" w:line="149" w:lineRule="exact"/>
              <w:rPr>
                <w:sz w:val="20"/>
                <w:szCs w:val="20"/>
                <w:color w:val="auto"/>
              </w:rPr>
            </w:pPr>
            <w:r>
              <w:rPr>
                <w:rFonts w:ascii="Arial" w:cs="Arial" w:eastAsia="Arial" w:hAnsi="Arial"/>
                <w:sz w:val="14"/>
                <w:szCs w:val="14"/>
                <w:color w:val="auto"/>
              </w:rPr>
              <w:t>NL, Netherlands</w:t>
            </w: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0" w:type="dxa"/>
            <w:vAlign w:val="bottom"/>
          </w:tcPr>
          <w:p>
            <w:pPr>
              <w:ind w:left="1840"/>
              <w:spacing w:after="0" w:line="149" w:lineRule="exact"/>
              <w:rPr>
                <w:sz w:val="20"/>
                <w:szCs w:val="20"/>
                <w:color w:val="auto"/>
              </w:rPr>
            </w:pPr>
            <w:r>
              <w:rPr>
                <w:rFonts w:ascii="Arial" w:cs="Arial" w:eastAsia="Arial" w:hAnsi="Arial"/>
                <w:sz w:val="14"/>
                <w:szCs w:val="14"/>
                <w:color w:val="auto"/>
              </w:rPr>
              <w:t>NO, Norway</w:t>
            </w: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0" w:type="dxa"/>
            <w:vAlign w:val="bottom"/>
          </w:tcPr>
          <w:p>
            <w:pPr>
              <w:ind w:left="1840"/>
              <w:spacing w:after="0" w:line="149" w:lineRule="exact"/>
              <w:rPr>
                <w:sz w:val="20"/>
                <w:szCs w:val="20"/>
                <w:color w:val="auto"/>
              </w:rPr>
            </w:pPr>
            <w:r>
              <w:rPr>
                <w:rFonts w:ascii="Arial" w:cs="Arial" w:eastAsia="Arial" w:hAnsi="Arial"/>
                <w:sz w:val="14"/>
                <w:szCs w:val="14"/>
                <w:color w:val="auto"/>
              </w:rPr>
              <w:t>SE, Sweden</w:t>
            </w: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000" w:type="dxa"/>
            <w:vAlign w:val="bottom"/>
          </w:tcPr>
          <w:p>
            <w:pPr>
              <w:ind w:left="1840"/>
              <w:spacing w:after="0"/>
              <w:rPr>
                <w:sz w:val="20"/>
                <w:szCs w:val="20"/>
                <w:color w:val="auto"/>
              </w:rPr>
            </w:pPr>
            <w:r>
              <w:rPr>
                <w:rFonts w:ascii="Arial" w:cs="Arial" w:eastAsia="Arial" w:hAnsi="Arial"/>
                <w:sz w:val="14"/>
                <w:szCs w:val="14"/>
                <w:color w:val="auto"/>
              </w:rPr>
              <w:t>XS, Eurobond</w:t>
            </w:r>
          </w:p>
        </w:tc>
        <w:tc>
          <w:tcPr>
            <w:tcW w:w="1520" w:type="dxa"/>
            <w:vAlign w:val="bottom"/>
          </w:tcPr>
          <w:p>
            <w:pPr>
              <w:ind w:left="20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633"/>
        </w:trPr>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8" w:right="239" w:bottom="1440" w:gutter="0" w:footer="0" w:header="0"/>
        </w:sectPr>
      </w:pPr>
    </w:p>
    <w:bookmarkStart w:id="327" w:name="page328"/>
    <w:bookmarkEnd w:id="3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500" w:type="dxa"/>
            <w:vAlign w:val="bottom"/>
            <w:shd w:val="clear" w:color="auto" w:fill="EEECE1"/>
          </w:tcPr>
          <w:p>
            <w:pPr>
              <w:jc w:val="right"/>
              <w:ind w:right="1068"/>
              <w:spacing w:after="0"/>
              <w:rPr>
                <w:sz w:val="20"/>
                <w:szCs w:val="20"/>
                <w:color w:val="auto"/>
              </w:rPr>
            </w:pPr>
            <w:r>
              <w:rPr>
                <w:rFonts w:ascii="Arial" w:cs="Arial" w:eastAsia="Arial" w:hAnsi="Arial"/>
                <w:sz w:val="14"/>
                <w:szCs w:val="14"/>
                <w:b w:val="1"/>
                <w:bCs w:val="1"/>
                <w:color w:val="auto"/>
              </w:rPr>
              <w:t>2</w:t>
            </w:r>
          </w:p>
        </w:tc>
        <w:tc>
          <w:tcPr>
            <w:tcW w:w="9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0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2720" w:type="dxa"/>
            <w:vAlign w:val="bottom"/>
            <w:shd w:val="clear" w:color="auto" w:fill="EEECE1"/>
          </w:tcPr>
          <w:p>
            <w:pPr>
              <w:ind w:left="480"/>
              <w:spacing w:after="0"/>
              <w:rPr>
                <w:sz w:val="20"/>
                <w:szCs w:val="20"/>
                <w:color w:val="auto"/>
              </w:rPr>
            </w:pPr>
            <w:r>
              <w:rPr>
                <w:rFonts w:ascii="Arial" w:cs="Arial" w:eastAsia="Arial" w:hAnsi="Arial"/>
                <w:sz w:val="14"/>
                <w:szCs w:val="14"/>
                <w:b w:val="1"/>
                <w:bCs w:val="1"/>
                <w:color w:val="auto"/>
              </w:rPr>
              <w:t>5</w:t>
            </w:r>
          </w:p>
        </w:tc>
        <w:tc>
          <w:tcPr>
            <w:tcW w:w="3580" w:type="dxa"/>
            <w:vAlign w:val="bottom"/>
            <w:shd w:val="clear" w:color="auto" w:fill="EEECE1"/>
          </w:tcPr>
          <w:p>
            <w:pPr>
              <w:ind w:left="1360"/>
              <w:spacing w:after="0"/>
              <w:rPr>
                <w:sz w:val="20"/>
                <w:szCs w:val="20"/>
                <w:color w:val="auto"/>
              </w:rPr>
            </w:pPr>
            <w:r>
              <w:rPr>
                <w:rFonts w:ascii="Arial" w:cs="Arial" w:eastAsia="Arial" w:hAnsi="Arial"/>
                <w:sz w:val="14"/>
                <w:szCs w:val="14"/>
                <w:color w:val="auto"/>
              </w:rPr>
              <w:t>6</w:t>
            </w:r>
          </w:p>
        </w:tc>
        <w:tc>
          <w:tcPr>
            <w:tcW w:w="12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Tradeweb Institutional</w:t>
            </w:r>
          </w:p>
        </w:tc>
        <w:tc>
          <w:tcPr>
            <w:tcW w:w="900" w:type="dxa"/>
            <w:vAlign w:val="bottom"/>
            <w:shd w:val="clear" w:color="auto" w:fill="EEECE1"/>
          </w:tcPr>
          <w:p>
            <w:pPr>
              <w:spacing w:after="0"/>
              <w:rPr>
                <w:sz w:val="14"/>
                <w:szCs w:val="14"/>
                <w:color w:val="auto"/>
              </w:rPr>
            </w:pPr>
          </w:p>
        </w:tc>
        <w:tc>
          <w:tcPr>
            <w:tcW w:w="1020" w:type="dxa"/>
            <w:vAlign w:val="bottom"/>
            <w:shd w:val="clear" w:color="auto" w:fill="EEECE1"/>
          </w:tcPr>
          <w:p>
            <w:pPr>
              <w:spacing w:after="0"/>
              <w:rPr>
                <w:sz w:val="14"/>
                <w:szCs w:val="14"/>
                <w:color w:val="auto"/>
              </w:rPr>
            </w:pPr>
          </w:p>
        </w:tc>
        <w:tc>
          <w:tcPr>
            <w:tcW w:w="2720" w:type="dxa"/>
            <w:vAlign w:val="bottom"/>
            <w:shd w:val="clear" w:color="auto" w:fill="EEECE1"/>
          </w:tcPr>
          <w:p>
            <w:pPr>
              <w:spacing w:after="0"/>
              <w:rPr>
                <w:sz w:val="14"/>
                <w:szCs w:val="14"/>
                <w:color w:val="auto"/>
              </w:rPr>
            </w:pPr>
          </w:p>
        </w:tc>
        <w:tc>
          <w:tcPr>
            <w:tcW w:w="3580" w:type="dxa"/>
            <w:vAlign w:val="bottom"/>
            <w:shd w:val="clear" w:color="auto" w:fill="EEECE1"/>
          </w:tcPr>
          <w:p>
            <w:pPr>
              <w:spacing w:after="0"/>
              <w:rPr>
                <w:sz w:val="14"/>
                <w:szCs w:val="14"/>
                <w:color w:val="auto"/>
              </w:rPr>
            </w:pPr>
          </w:p>
        </w:tc>
        <w:tc>
          <w:tcPr>
            <w:tcW w:w="12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EEECE1"/>
          </w:tcPr>
          <w:p>
            <w:pPr>
              <w:spacing w:after="0"/>
              <w:rPr>
                <w:sz w:val="12"/>
                <w:szCs w:val="12"/>
                <w:color w:val="auto"/>
              </w:rPr>
            </w:pPr>
          </w:p>
        </w:tc>
        <w:tc>
          <w:tcPr>
            <w:tcW w:w="1500" w:type="dxa"/>
            <w:vAlign w:val="bottom"/>
            <w:shd w:val="clear" w:color="auto" w:fill="EEECE1"/>
          </w:tcPr>
          <w:p>
            <w:pPr>
              <w:spacing w:after="0"/>
              <w:rPr>
                <w:sz w:val="12"/>
                <w:szCs w:val="12"/>
                <w:color w:val="auto"/>
              </w:rPr>
            </w:pPr>
          </w:p>
        </w:tc>
        <w:tc>
          <w:tcPr>
            <w:tcW w:w="900" w:type="dxa"/>
            <w:vAlign w:val="bottom"/>
            <w:shd w:val="clear" w:color="auto" w:fill="EEECE1"/>
          </w:tcPr>
          <w:p>
            <w:pPr>
              <w:spacing w:after="0"/>
              <w:rPr>
                <w:sz w:val="12"/>
                <w:szCs w:val="12"/>
                <w:color w:val="auto"/>
              </w:rPr>
            </w:pPr>
          </w:p>
        </w:tc>
        <w:tc>
          <w:tcPr>
            <w:tcW w:w="1020" w:type="dxa"/>
            <w:vAlign w:val="bottom"/>
            <w:shd w:val="clear" w:color="auto" w:fill="EEECE1"/>
          </w:tcPr>
          <w:p>
            <w:pPr>
              <w:spacing w:after="0"/>
              <w:rPr>
                <w:sz w:val="12"/>
                <w:szCs w:val="12"/>
                <w:color w:val="auto"/>
              </w:rPr>
            </w:pPr>
          </w:p>
        </w:tc>
        <w:tc>
          <w:tcPr>
            <w:tcW w:w="2720" w:type="dxa"/>
            <w:vAlign w:val="bottom"/>
            <w:shd w:val="clear" w:color="auto" w:fill="EEECE1"/>
          </w:tcPr>
          <w:p>
            <w:pPr>
              <w:spacing w:after="0"/>
              <w:rPr>
                <w:sz w:val="12"/>
                <w:szCs w:val="12"/>
                <w:color w:val="auto"/>
              </w:rPr>
            </w:pPr>
          </w:p>
        </w:tc>
        <w:tc>
          <w:tcPr>
            <w:tcW w:w="3580" w:type="dxa"/>
            <w:vAlign w:val="bottom"/>
            <w:shd w:val="clear" w:color="auto" w:fill="EEECE1"/>
          </w:tcPr>
          <w:p>
            <w:pPr>
              <w:spacing w:after="0"/>
              <w:rPr>
                <w:sz w:val="12"/>
                <w:szCs w:val="12"/>
                <w:color w:val="auto"/>
              </w:rPr>
            </w:pPr>
          </w:p>
        </w:tc>
        <w:tc>
          <w:tcPr>
            <w:tcW w:w="128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w w:val="98"/>
              </w:rPr>
              <w:t>US Agencies</w:t>
            </w:r>
          </w:p>
        </w:tc>
        <w:tc>
          <w:tcPr>
            <w:tcW w:w="1020" w:type="dxa"/>
            <w:vAlign w:val="bottom"/>
            <w:shd w:val="clear" w:color="auto" w:fill="1F497D"/>
          </w:tcPr>
          <w:p>
            <w:pPr>
              <w:spacing w:after="0"/>
              <w:rPr>
                <w:sz w:val="12"/>
                <w:szCs w:val="12"/>
                <w:color w:val="auto"/>
              </w:rPr>
            </w:pPr>
          </w:p>
        </w:tc>
        <w:tc>
          <w:tcPr>
            <w:tcW w:w="2720" w:type="dxa"/>
            <w:vAlign w:val="bottom"/>
            <w:shd w:val="clear" w:color="auto" w:fill="1F497D"/>
          </w:tcPr>
          <w:p>
            <w:pPr>
              <w:spacing w:after="0"/>
              <w:rPr>
                <w:sz w:val="12"/>
                <w:szCs w:val="12"/>
                <w:color w:val="auto"/>
              </w:rPr>
            </w:pPr>
          </w:p>
        </w:tc>
        <w:tc>
          <w:tcPr>
            <w:tcW w:w="3580" w:type="dxa"/>
            <w:vAlign w:val="bottom"/>
            <w:shd w:val="clear" w:color="auto" w:fill="1F497D"/>
          </w:tcPr>
          <w:p>
            <w:pPr>
              <w:spacing w:after="0"/>
              <w:rPr>
                <w:sz w:val="12"/>
                <w:szCs w:val="12"/>
                <w:color w:val="auto"/>
              </w:rPr>
            </w:pPr>
          </w:p>
        </w:tc>
        <w:tc>
          <w:tcPr>
            <w:tcW w:w="128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Arial" w:cs="Arial" w:eastAsia="Arial" w:hAnsi="Arial"/>
                <w:sz w:val="14"/>
                <w:szCs w:val="14"/>
                <w:color w:val="auto"/>
              </w:rPr>
              <w:t>FNMA</w:t>
            </w: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Notes/Bonds</w:t>
            </w:r>
          </w:p>
        </w:tc>
        <w:tc>
          <w:tcPr>
            <w:tcW w:w="3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REGFNMA, On The Run</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Short Maturity</w:t>
            </w:r>
          </w:p>
        </w:tc>
        <w:tc>
          <w:tcPr>
            <w:tcW w:w="3580" w:type="dxa"/>
            <w:vAlign w:val="bottom"/>
          </w:tcPr>
          <w:p>
            <w:pPr>
              <w:ind w:left="1360"/>
              <w:spacing w:after="0"/>
              <w:rPr>
                <w:sz w:val="20"/>
                <w:szCs w:val="20"/>
                <w:color w:val="auto"/>
              </w:rPr>
            </w:pPr>
            <w:r>
              <w:rPr>
                <w:rFonts w:ascii="Arial" w:cs="Arial" w:eastAsia="Arial" w:hAnsi="Arial"/>
                <w:sz w:val="14"/>
                <w:szCs w:val="14"/>
                <w:color w:val="auto"/>
              </w:rPr>
              <w:t>REGFNMA, Off The Run</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REGFNMA, Short Maturity</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Callable</w:t>
            </w:r>
          </w:p>
        </w:tc>
        <w:tc>
          <w:tcPr>
            <w:tcW w:w="35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REGFNMACALL, Callable Bonds</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tcPr>
          <w:p>
            <w:pPr>
              <w:ind w:left="480"/>
              <w:spacing w:after="0"/>
              <w:rPr>
                <w:sz w:val="20"/>
                <w:szCs w:val="20"/>
                <w:color w:val="auto"/>
              </w:rPr>
            </w:pPr>
            <w:r>
              <w:rPr>
                <w:rFonts w:ascii="Arial" w:cs="Arial" w:eastAsia="Arial" w:hAnsi="Arial"/>
                <w:sz w:val="14"/>
                <w:szCs w:val="14"/>
                <w:color w:val="auto"/>
              </w:rPr>
              <w:t>Discount Notes</w:t>
            </w:r>
          </w:p>
        </w:tc>
        <w:tc>
          <w:tcPr>
            <w:tcW w:w="358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4"/>
                <w:szCs w:val="14"/>
                <w:color w:val="auto"/>
              </w:rPr>
              <w:t>FHLMC</w:t>
            </w: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Notes/Bonds</w:t>
            </w: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REGFHLMC, On The Run</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Short Maturity</w:t>
            </w:r>
          </w:p>
        </w:tc>
        <w:tc>
          <w:tcPr>
            <w:tcW w:w="3580" w:type="dxa"/>
            <w:vAlign w:val="bottom"/>
          </w:tcPr>
          <w:p>
            <w:pPr>
              <w:ind w:left="1360"/>
              <w:spacing w:after="0"/>
              <w:rPr>
                <w:sz w:val="20"/>
                <w:szCs w:val="20"/>
                <w:color w:val="auto"/>
              </w:rPr>
            </w:pPr>
            <w:r>
              <w:rPr>
                <w:rFonts w:ascii="Arial" w:cs="Arial" w:eastAsia="Arial" w:hAnsi="Arial"/>
                <w:sz w:val="14"/>
                <w:szCs w:val="14"/>
                <w:color w:val="auto"/>
              </w:rPr>
              <w:t>REGFHLMC, Off The Run</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REGFHLMC, Short Maturity</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Callable Bonds</w:t>
            </w:r>
          </w:p>
        </w:tc>
        <w:tc>
          <w:tcPr>
            <w:tcW w:w="35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REGFHLMCCALL, Callable Bonds</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tcPr>
          <w:p>
            <w:pPr>
              <w:ind w:left="480"/>
              <w:spacing w:after="0"/>
              <w:rPr>
                <w:sz w:val="20"/>
                <w:szCs w:val="20"/>
                <w:color w:val="auto"/>
              </w:rPr>
            </w:pPr>
            <w:r>
              <w:rPr>
                <w:rFonts w:ascii="Arial" w:cs="Arial" w:eastAsia="Arial" w:hAnsi="Arial"/>
                <w:sz w:val="14"/>
                <w:szCs w:val="14"/>
                <w:color w:val="auto"/>
              </w:rPr>
              <w:t>Discount Notes</w:t>
            </w:r>
          </w:p>
        </w:tc>
        <w:tc>
          <w:tcPr>
            <w:tcW w:w="358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4"/>
                <w:szCs w:val="14"/>
                <w:color w:val="auto"/>
              </w:rPr>
              <w:t>FHLB</w:t>
            </w: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Notes/Bonds</w:t>
            </w: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REGFHLB, On The Run</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Short Maturity</w:t>
            </w:r>
          </w:p>
        </w:tc>
        <w:tc>
          <w:tcPr>
            <w:tcW w:w="3580" w:type="dxa"/>
            <w:vAlign w:val="bottom"/>
          </w:tcPr>
          <w:p>
            <w:pPr>
              <w:ind w:left="1360"/>
              <w:spacing w:after="0"/>
              <w:rPr>
                <w:sz w:val="20"/>
                <w:szCs w:val="20"/>
                <w:color w:val="auto"/>
              </w:rPr>
            </w:pPr>
            <w:r>
              <w:rPr>
                <w:rFonts w:ascii="Arial" w:cs="Arial" w:eastAsia="Arial" w:hAnsi="Arial"/>
                <w:sz w:val="14"/>
                <w:szCs w:val="14"/>
                <w:color w:val="auto"/>
              </w:rPr>
              <w:t>REGFHLB, Off The Run</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REGFHLB, Notes/Bonds</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Taps</w:t>
            </w:r>
          </w:p>
        </w:tc>
        <w:tc>
          <w:tcPr>
            <w:tcW w:w="3580" w:type="dxa"/>
            <w:vAlign w:val="bottom"/>
          </w:tcPr>
          <w:p>
            <w:pPr>
              <w:ind w:left="1360"/>
              <w:spacing w:after="0"/>
              <w:rPr>
                <w:sz w:val="20"/>
                <w:szCs w:val="20"/>
                <w:color w:val="auto"/>
              </w:rPr>
            </w:pPr>
            <w:r>
              <w:rPr>
                <w:rFonts w:ascii="Arial" w:cs="Arial" w:eastAsia="Arial" w:hAnsi="Arial"/>
                <w:sz w:val="14"/>
                <w:szCs w:val="14"/>
                <w:color w:val="auto"/>
              </w:rPr>
              <w:t>REGFHLB, Taps</w:t>
            </w: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REGFHLB, Notes/Bonds</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Subordinated</w:t>
            </w:r>
          </w:p>
        </w:tc>
        <w:tc>
          <w:tcPr>
            <w:tcW w:w="35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REGFHLB, Notes/Bonds</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Callable</w:t>
            </w:r>
          </w:p>
        </w:tc>
        <w:tc>
          <w:tcPr>
            <w:tcW w:w="35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REGFHLBCALL, Notes/Bonds</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tcPr>
          <w:p>
            <w:pPr>
              <w:ind w:left="480"/>
              <w:spacing w:after="0"/>
              <w:rPr>
                <w:sz w:val="20"/>
                <w:szCs w:val="20"/>
                <w:color w:val="auto"/>
              </w:rPr>
            </w:pPr>
            <w:r>
              <w:rPr>
                <w:rFonts w:ascii="Arial" w:cs="Arial" w:eastAsia="Arial" w:hAnsi="Arial"/>
                <w:sz w:val="14"/>
                <w:szCs w:val="14"/>
                <w:color w:val="auto"/>
              </w:rPr>
              <w:t>Discount Notes</w:t>
            </w:r>
          </w:p>
        </w:tc>
        <w:tc>
          <w:tcPr>
            <w:tcW w:w="358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4"/>
                <w:szCs w:val="14"/>
                <w:color w:val="auto"/>
              </w:rPr>
              <w:t>FFCB</w:t>
            </w: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Notes/Bonds</w:t>
            </w: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REGFFCB, Off the Run</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Callable</w:t>
            </w:r>
          </w:p>
        </w:tc>
        <w:tc>
          <w:tcPr>
            <w:tcW w:w="35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REGFFCBCALL, Notes/Bonds</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4"/>
                <w:szCs w:val="14"/>
                <w:color w:val="auto"/>
              </w:rPr>
              <w:t>TVA</w:t>
            </w: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Notes/Bonds</w:t>
            </w: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REGTVA, Off the Run</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Callable</w:t>
            </w:r>
          </w:p>
        </w:tc>
        <w:tc>
          <w:tcPr>
            <w:tcW w:w="35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REGTVACALL, Notes/Bonds</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4"/>
                <w:szCs w:val="14"/>
                <w:color w:val="auto"/>
              </w:rPr>
              <w:t>TLG</w:t>
            </w: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Notes/Bonds</w:t>
            </w: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w w:val="94"/>
              </w:rPr>
              <w:t>REGAGCY, Government Guaranteed</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4"/>
                <w:szCs w:val="14"/>
                <w:color w:val="auto"/>
              </w:rPr>
              <w:t>FAMC</w:t>
            </w:r>
          </w:p>
        </w:tc>
        <w:tc>
          <w:tcPr>
            <w:tcW w:w="2720" w:type="dxa"/>
            <w:vAlign w:val="bottom"/>
            <w:vMerge w:val="restart"/>
          </w:tcPr>
          <w:p>
            <w:pPr>
              <w:ind w:left="480"/>
              <w:spacing w:after="0"/>
              <w:rPr>
                <w:sz w:val="20"/>
                <w:szCs w:val="20"/>
                <w:color w:val="auto"/>
              </w:rPr>
            </w:pPr>
            <w:r>
              <w:rPr>
                <w:rFonts w:ascii="Arial" w:cs="Arial" w:eastAsia="Arial" w:hAnsi="Arial"/>
                <w:sz w:val="14"/>
                <w:szCs w:val="14"/>
                <w:color w:val="auto"/>
              </w:rPr>
              <w:t>Notes/Bonds</w:t>
            </w: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color w:val="auto"/>
              </w:rPr>
              <w:t>REGFAMC, Agricultural Mtge Corp</w:t>
            </w:r>
          </w:p>
        </w:tc>
        <w:tc>
          <w:tcPr>
            <w:tcW w:w="1280" w:type="dxa"/>
            <w:vAlign w:val="bottom"/>
            <w:vMerge w:val="restart"/>
          </w:tcPr>
          <w:p>
            <w:pPr>
              <w:ind w:left="8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3"/>
        </w:trPr>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28" w:name="page329"/>
    <w:bookmarkEnd w:id="3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180" w:type="dxa"/>
            <w:vAlign w:val="bottom"/>
            <w:tcBorders>
              <w:right w:val="single" w:sz="8" w:color="EEECE1"/>
            </w:tcBorders>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680" w:type="dxa"/>
            <w:vAlign w:val="bottom"/>
            <w:shd w:val="clear" w:color="auto" w:fill="EEECE1"/>
          </w:tcPr>
          <w:p>
            <w:pPr>
              <w:ind w:left="20"/>
              <w:spacing w:after="0"/>
              <w:rPr>
                <w:sz w:val="20"/>
                <w:szCs w:val="20"/>
                <w:color w:val="auto"/>
              </w:rPr>
            </w:pPr>
            <w:r>
              <w:rPr>
                <w:rFonts w:ascii="Arial" w:cs="Arial" w:eastAsia="Arial" w:hAnsi="Arial"/>
                <w:sz w:val="14"/>
                <w:szCs w:val="14"/>
                <w:b w:val="1"/>
                <w:bCs w:val="1"/>
                <w:color w:val="auto"/>
              </w:rPr>
              <w:t>3</w:t>
            </w:r>
          </w:p>
        </w:tc>
        <w:tc>
          <w:tcPr>
            <w:tcW w:w="1600" w:type="dxa"/>
            <w:vAlign w:val="bottom"/>
            <w:shd w:val="clear" w:color="auto" w:fill="EEECE1"/>
          </w:tcPr>
          <w:p>
            <w:pPr>
              <w:ind w:left="260"/>
              <w:spacing w:after="0"/>
              <w:rPr>
                <w:sz w:val="20"/>
                <w:szCs w:val="20"/>
                <w:color w:val="auto"/>
              </w:rPr>
            </w:pPr>
            <w:r>
              <w:rPr>
                <w:rFonts w:ascii="Arial" w:cs="Arial" w:eastAsia="Arial" w:hAnsi="Arial"/>
                <w:sz w:val="14"/>
                <w:szCs w:val="14"/>
                <w:b w:val="1"/>
                <w:bCs w:val="1"/>
                <w:color w:val="auto"/>
              </w:rPr>
              <w:t>4</w:t>
            </w:r>
          </w:p>
        </w:tc>
        <w:tc>
          <w:tcPr>
            <w:tcW w:w="5260" w:type="dxa"/>
            <w:vAlign w:val="bottom"/>
            <w:shd w:val="clear" w:color="auto" w:fill="EEECE1"/>
          </w:tcPr>
          <w:p>
            <w:pPr>
              <w:ind w:left="240"/>
              <w:spacing w:after="0"/>
              <w:rPr>
                <w:sz w:val="20"/>
                <w:szCs w:val="20"/>
                <w:color w:val="auto"/>
              </w:rPr>
            </w:pPr>
            <w:r>
              <w:rPr>
                <w:rFonts w:ascii="Arial" w:cs="Arial" w:eastAsia="Arial" w:hAnsi="Arial"/>
                <w:sz w:val="14"/>
                <w:szCs w:val="14"/>
                <w:b w:val="1"/>
                <w:bCs w:val="1"/>
                <w:color w:val="auto"/>
              </w:rPr>
              <w:t>5</w:t>
            </w:r>
          </w:p>
        </w:tc>
        <w:tc>
          <w:tcPr>
            <w:tcW w:w="1780" w:type="dxa"/>
            <w:vAlign w:val="bottom"/>
            <w:shd w:val="clear" w:color="auto" w:fill="EEECE1"/>
          </w:tcPr>
          <w:p>
            <w:pPr>
              <w:ind w:left="46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2100" w:type="dxa"/>
            <w:vAlign w:val="bottom"/>
            <w:tcBorders>
              <w:right w:val="single" w:sz="8" w:color="EEECE1"/>
            </w:tcBorders>
            <w:gridSpan w:val="2"/>
            <w:shd w:val="clear" w:color="auto" w:fill="EEECE1"/>
          </w:tcPr>
          <w:p>
            <w:pPr>
              <w:ind w:left="60"/>
              <w:spacing w:after="0" w:line="149" w:lineRule="exact"/>
              <w:rPr>
                <w:sz w:val="20"/>
                <w:szCs w:val="20"/>
                <w:color w:val="auto"/>
              </w:rPr>
            </w:pPr>
            <w:r>
              <w:rPr>
                <w:rFonts w:ascii="Arial" w:cs="Arial" w:eastAsia="Arial" w:hAnsi="Arial"/>
                <w:sz w:val="14"/>
                <w:szCs w:val="14"/>
                <w:b w:val="1"/>
                <w:bCs w:val="1"/>
                <w:color w:val="auto"/>
              </w:rPr>
              <w:t>Tradeweb Institutional</w:t>
            </w:r>
          </w:p>
        </w:tc>
        <w:tc>
          <w:tcPr>
            <w:tcW w:w="680" w:type="dxa"/>
            <w:vAlign w:val="bottom"/>
            <w:shd w:val="clear" w:color="auto" w:fill="EEECE1"/>
          </w:tcPr>
          <w:p>
            <w:pPr>
              <w:spacing w:after="0"/>
              <w:rPr>
                <w:sz w:val="12"/>
                <w:szCs w:val="12"/>
                <w:color w:val="auto"/>
              </w:rPr>
            </w:pPr>
          </w:p>
        </w:tc>
        <w:tc>
          <w:tcPr>
            <w:tcW w:w="1600" w:type="dxa"/>
            <w:vAlign w:val="bottom"/>
            <w:shd w:val="clear" w:color="auto" w:fill="EEECE1"/>
          </w:tcPr>
          <w:p>
            <w:pPr>
              <w:spacing w:after="0"/>
              <w:rPr>
                <w:sz w:val="12"/>
                <w:szCs w:val="12"/>
                <w:color w:val="auto"/>
              </w:rPr>
            </w:pPr>
          </w:p>
        </w:tc>
        <w:tc>
          <w:tcPr>
            <w:tcW w:w="5260" w:type="dxa"/>
            <w:vAlign w:val="bottom"/>
            <w:shd w:val="clear" w:color="auto" w:fill="EEECE1"/>
          </w:tcPr>
          <w:p>
            <w:pPr>
              <w:spacing w:after="0"/>
              <w:rPr>
                <w:sz w:val="12"/>
                <w:szCs w:val="12"/>
                <w:color w:val="auto"/>
              </w:rPr>
            </w:pPr>
          </w:p>
        </w:tc>
        <w:tc>
          <w:tcPr>
            <w:tcW w:w="1780" w:type="dxa"/>
            <w:vAlign w:val="bottom"/>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shd w:val="clear" w:color="auto" w:fill="EEECE1"/>
          </w:tcPr>
          <w:p>
            <w:pPr>
              <w:spacing w:after="0"/>
              <w:rPr>
                <w:sz w:val="14"/>
                <w:szCs w:val="14"/>
                <w:color w:val="auto"/>
              </w:rPr>
            </w:pPr>
          </w:p>
        </w:tc>
        <w:tc>
          <w:tcPr>
            <w:tcW w:w="1180" w:type="dxa"/>
            <w:vAlign w:val="bottom"/>
            <w:tcBorders>
              <w:right w:val="single" w:sz="8" w:color="EEECE1"/>
            </w:tcBorders>
            <w:shd w:val="clear" w:color="auto" w:fill="EEECE1"/>
          </w:tcPr>
          <w:p>
            <w:pPr>
              <w:ind w:left="40"/>
              <w:spacing w:after="0"/>
              <w:rPr>
                <w:sz w:val="20"/>
                <w:szCs w:val="20"/>
                <w:color w:val="auto"/>
              </w:rPr>
            </w:pPr>
            <w:r>
              <w:rPr>
                <w:rFonts w:ascii="Arial" w:cs="Arial" w:eastAsia="Arial" w:hAnsi="Arial"/>
                <w:sz w:val="14"/>
                <w:szCs w:val="14"/>
                <w:b w:val="1"/>
                <w:bCs w:val="1"/>
                <w:color w:val="auto"/>
                <w:w w:val="93"/>
              </w:rPr>
              <w:t>Short Term Paper</w:t>
            </w:r>
          </w:p>
        </w:tc>
        <w:tc>
          <w:tcPr>
            <w:tcW w:w="680" w:type="dxa"/>
            <w:vAlign w:val="bottom"/>
            <w:shd w:val="clear" w:color="auto" w:fill="EEECE1"/>
          </w:tcPr>
          <w:p>
            <w:pPr>
              <w:spacing w:after="0"/>
              <w:rPr>
                <w:sz w:val="14"/>
                <w:szCs w:val="14"/>
                <w:color w:val="auto"/>
              </w:rPr>
            </w:pPr>
          </w:p>
        </w:tc>
        <w:tc>
          <w:tcPr>
            <w:tcW w:w="1600" w:type="dxa"/>
            <w:vAlign w:val="bottom"/>
            <w:shd w:val="clear" w:color="auto" w:fill="EEECE1"/>
          </w:tcPr>
          <w:p>
            <w:pPr>
              <w:spacing w:after="0"/>
              <w:rPr>
                <w:sz w:val="14"/>
                <w:szCs w:val="14"/>
                <w:color w:val="auto"/>
              </w:rPr>
            </w:pPr>
          </w:p>
        </w:tc>
        <w:tc>
          <w:tcPr>
            <w:tcW w:w="5260" w:type="dxa"/>
            <w:vAlign w:val="bottom"/>
            <w:shd w:val="clear" w:color="auto" w:fill="EEECE1"/>
          </w:tcPr>
          <w:p>
            <w:pPr>
              <w:spacing w:after="0"/>
              <w:rPr>
                <w:sz w:val="14"/>
                <w:szCs w:val="14"/>
                <w:color w:val="auto"/>
              </w:rPr>
            </w:pPr>
          </w:p>
        </w:tc>
        <w:tc>
          <w:tcPr>
            <w:tcW w:w="1780" w:type="dxa"/>
            <w:vAlign w:val="bottom"/>
            <w:shd w:val="clear" w:color="auto" w:fill="EEEC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Borders>
              <w:right w:val="single" w:sz="8" w:color="C00000"/>
            </w:tcBorders>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Money Markets</w:t>
            </w:r>
          </w:p>
        </w:tc>
        <w:tc>
          <w:tcPr>
            <w:tcW w:w="680" w:type="dxa"/>
            <w:vAlign w:val="bottom"/>
            <w:shd w:val="clear" w:color="auto" w:fill="C00000"/>
          </w:tcPr>
          <w:p>
            <w:pPr>
              <w:spacing w:after="0"/>
              <w:rPr>
                <w:sz w:val="12"/>
                <w:szCs w:val="12"/>
                <w:color w:val="auto"/>
              </w:rPr>
            </w:pPr>
          </w:p>
        </w:tc>
        <w:tc>
          <w:tcPr>
            <w:tcW w:w="1600" w:type="dxa"/>
            <w:vAlign w:val="bottom"/>
            <w:shd w:val="clear" w:color="auto" w:fill="C00000"/>
          </w:tcPr>
          <w:p>
            <w:pPr>
              <w:spacing w:after="0"/>
              <w:rPr>
                <w:sz w:val="12"/>
                <w:szCs w:val="12"/>
                <w:color w:val="auto"/>
              </w:rPr>
            </w:pPr>
          </w:p>
        </w:tc>
        <w:tc>
          <w:tcPr>
            <w:tcW w:w="5260" w:type="dxa"/>
            <w:vAlign w:val="bottom"/>
            <w:shd w:val="clear" w:color="auto" w:fill="C00000"/>
          </w:tcPr>
          <w:p>
            <w:pPr>
              <w:spacing w:after="0"/>
              <w:rPr>
                <w:sz w:val="12"/>
                <w:szCs w:val="12"/>
                <w:color w:val="auto"/>
              </w:rPr>
            </w:pPr>
          </w:p>
        </w:tc>
        <w:tc>
          <w:tcPr>
            <w:tcW w:w="178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Borders>
              <w:right w:val="single" w:sz="8" w:color="1F497D"/>
            </w:tcBorders>
          </w:tcPr>
          <w:p>
            <w:pPr>
              <w:spacing w:after="0"/>
              <w:rPr>
                <w:sz w:val="12"/>
                <w:szCs w:val="12"/>
                <w:color w:val="auto"/>
              </w:rPr>
            </w:pPr>
          </w:p>
        </w:tc>
        <w:tc>
          <w:tcPr>
            <w:tcW w:w="680" w:type="dxa"/>
            <w:vAlign w:val="bottom"/>
            <w:shd w:val="clear" w:color="auto" w:fill="1F497D"/>
          </w:tcPr>
          <w:p>
            <w:pPr>
              <w:ind w:left="20"/>
              <w:spacing w:after="0" w:line="149" w:lineRule="exact"/>
              <w:rPr>
                <w:sz w:val="20"/>
                <w:szCs w:val="20"/>
                <w:color w:val="auto"/>
              </w:rPr>
            </w:pPr>
            <w:r>
              <w:rPr>
                <w:rFonts w:ascii="Arial" w:cs="Arial" w:eastAsia="Arial" w:hAnsi="Arial"/>
                <w:sz w:val="14"/>
                <w:szCs w:val="14"/>
                <w:b w:val="1"/>
                <w:bCs w:val="1"/>
                <w:color w:val="FFFFFF"/>
              </w:rPr>
              <w:t>DEPO</w:t>
            </w:r>
          </w:p>
        </w:tc>
        <w:tc>
          <w:tcPr>
            <w:tcW w:w="1600" w:type="dxa"/>
            <w:vAlign w:val="bottom"/>
            <w:shd w:val="clear" w:color="auto" w:fill="1F497D"/>
          </w:tcPr>
          <w:p>
            <w:pPr>
              <w:spacing w:after="0"/>
              <w:rPr>
                <w:sz w:val="12"/>
                <w:szCs w:val="12"/>
                <w:color w:val="auto"/>
              </w:rPr>
            </w:pPr>
          </w:p>
        </w:tc>
        <w:tc>
          <w:tcPr>
            <w:tcW w:w="5260" w:type="dxa"/>
            <w:vAlign w:val="bottom"/>
            <w:shd w:val="clear" w:color="auto" w:fill="1F497D"/>
          </w:tcPr>
          <w:p>
            <w:pPr>
              <w:spacing w:after="0"/>
              <w:rPr>
                <w:sz w:val="12"/>
                <w:szCs w:val="12"/>
                <w:color w:val="auto"/>
              </w:rPr>
            </w:pPr>
          </w:p>
        </w:tc>
        <w:tc>
          <w:tcPr>
            <w:tcW w:w="178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0" w:type="dxa"/>
            <w:vAlign w:val="bottom"/>
          </w:tcPr>
          <w:p>
            <w:pPr>
              <w:ind w:left="260"/>
              <w:spacing w:after="0" w:line="130" w:lineRule="exact"/>
              <w:rPr>
                <w:sz w:val="20"/>
                <w:szCs w:val="20"/>
                <w:color w:val="auto"/>
              </w:rPr>
            </w:pPr>
            <w:r>
              <w:rPr>
                <w:rFonts w:ascii="Arial" w:cs="Arial" w:eastAsia="Arial" w:hAnsi="Arial"/>
                <w:sz w:val="14"/>
                <w:szCs w:val="14"/>
                <w:color w:val="auto"/>
              </w:rPr>
              <w:t>USD</w:t>
            </w:r>
          </w:p>
        </w:tc>
        <w:tc>
          <w:tcPr>
            <w:tcW w:w="5260" w:type="dxa"/>
            <w:vAlign w:val="bottom"/>
          </w:tcPr>
          <w:p>
            <w:pPr>
              <w:ind w:left="240"/>
              <w:spacing w:after="0" w:line="130" w:lineRule="exact"/>
              <w:rPr>
                <w:sz w:val="20"/>
                <w:szCs w:val="20"/>
                <w:color w:val="auto"/>
              </w:rPr>
            </w:pPr>
            <w:r>
              <w:rPr>
                <w:rFonts w:ascii="Arial" w:cs="Arial" w:eastAsia="Arial" w:hAnsi="Arial"/>
                <w:sz w:val="14"/>
                <w:szCs w:val="14"/>
                <w:color w:val="auto"/>
              </w:rPr>
              <w:t>DPUSD, USD Depo Rates</w:t>
            </w:r>
          </w:p>
        </w:tc>
        <w:tc>
          <w:tcPr>
            <w:tcW w:w="1780" w:type="dxa"/>
            <w:vAlign w:val="bottom"/>
          </w:tcPr>
          <w:p>
            <w:pPr>
              <w:ind w:left="460"/>
              <w:spacing w:after="0" w:line="130"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EUR</w:t>
            </w:r>
          </w:p>
        </w:tc>
        <w:tc>
          <w:tcPr>
            <w:tcW w:w="5260" w:type="dxa"/>
            <w:vAlign w:val="bottom"/>
          </w:tcPr>
          <w:p>
            <w:pPr>
              <w:ind w:left="240"/>
              <w:spacing w:after="0" w:line="149" w:lineRule="exact"/>
              <w:rPr>
                <w:sz w:val="20"/>
                <w:szCs w:val="20"/>
                <w:color w:val="auto"/>
              </w:rPr>
            </w:pPr>
            <w:r>
              <w:rPr>
                <w:rFonts w:ascii="Arial" w:cs="Arial" w:eastAsia="Arial" w:hAnsi="Arial"/>
                <w:sz w:val="14"/>
                <w:szCs w:val="14"/>
                <w:color w:val="auto"/>
              </w:rPr>
              <w:t>DPEUR, EUR Depo Rates</w:t>
            </w:r>
          </w:p>
        </w:tc>
        <w:tc>
          <w:tcPr>
            <w:tcW w:w="1780" w:type="dxa"/>
            <w:vAlign w:val="bottom"/>
          </w:tcPr>
          <w:p>
            <w:pPr>
              <w:ind w:left="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GBP</w:t>
            </w:r>
          </w:p>
        </w:tc>
        <w:tc>
          <w:tcPr>
            <w:tcW w:w="5260" w:type="dxa"/>
            <w:vAlign w:val="bottom"/>
          </w:tcPr>
          <w:p>
            <w:pPr>
              <w:ind w:left="240"/>
              <w:spacing w:after="0" w:line="149" w:lineRule="exact"/>
              <w:rPr>
                <w:sz w:val="20"/>
                <w:szCs w:val="20"/>
                <w:color w:val="auto"/>
              </w:rPr>
            </w:pPr>
            <w:r>
              <w:rPr>
                <w:rFonts w:ascii="Arial" w:cs="Arial" w:eastAsia="Arial" w:hAnsi="Arial"/>
                <w:sz w:val="14"/>
                <w:szCs w:val="14"/>
                <w:color w:val="auto"/>
              </w:rPr>
              <w:t>DPGBP, British Pound Depo Rates</w:t>
            </w:r>
          </w:p>
        </w:tc>
        <w:tc>
          <w:tcPr>
            <w:tcW w:w="1780" w:type="dxa"/>
            <w:vAlign w:val="bottom"/>
          </w:tcPr>
          <w:p>
            <w:pPr>
              <w:ind w:left="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CHF</w:t>
            </w:r>
          </w:p>
        </w:tc>
        <w:tc>
          <w:tcPr>
            <w:tcW w:w="5260" w:type="dxa"/>
            <w:vAlign w:val="bottom"/>
          </w:tcPr>
          <w:p>
            <w:pPr>
              <w:ind w:left="240"/>
              <w:spacing w:after="0" w:line="149" w:lineRule="exact"/>
              <w:rPr>
                <w:sz w:val="20"/>
                <w:szCs w:val="20"/>
                <w:color w:val="auto"/>
              </w:rPr>
            </w:pPr>
            <w:r>
              <w:rPr>
                <w:rFonts w:ascii="Arial" w:cs="Arial" w:eastAsia="Arial" w:hAnsi="Arial"/>
                <w:sz w:val="14"/>
                <w:szCs w:val="14"/>
                <w:color w:val="auto"/>
              </w:rPr>
              <w:t>DPCHF, Swiss Franc Depo Rates</w:t>
            </w:r>
          </w:p>
        </w:tc>
        <w:tc>
          <w:tcPr>
            <w:tcW w:w="1780" w:type="dxa"/>
            <w:vAlign w:val="bottom"/>
          </w:tcPr>
          <w:p>
            <w:pPr>
              <w:ind w:left="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JPY</w:t>
            </w:r>
          </w:p>
        </w:tc>
        <w:tc>
          <w:tcPr>
            <w:tcW w:w="5260" w:type="dxa"/>
            <w:vAlign w:val="bottom"/>
          </w:tcPr>
          <w:p>
            <w:pPr>
              <w:ind w:left="240"/>
              <w:spacing w:after="0" w:line="149" w:lineRule="exact"/>
              <w:rPr>
                <w:sz w:val="20"/>
                <w:szCs w:val="20"/>
                <w:color w:val="auto"/>
              </w:rPr>
            </w:pPr>
            <w:r>
              <w:rPr>
                <w:rFonts w:ascii="Arial" w:cs="Arial" w:eastAsia="Arial" w:hAnsi="Arial"/>
                <w:sz w:val="14"/>
                <w:szCs w:val="14"/>
                <w:color w:val="auto"/>
              </w:rPr>
              <w:t>DPJPY, Japanese Yen Depo Rates</w:t>
            </w:r>
          </w:p>
        </w:tc>
        <w:tc>
          <w:tcPr>
            <w:tcW w:w="1780" w:type="dxa"/>
            <w:vAlign w:val="bottom"/>
          </w:tcPr>
          <w:p>
            <w:pPr>
              <w:ind w:left="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CAD</w:t>
            </w:r>
          </w:p>
        </w:tc>
        <w:tc>
          <w:tcPr>
            <w:tcW w:w="5260" w:type="dxa"/>
            <w:vAlign w:val="bottom"/>
          </w:tcPr>
          <w:p>
            <w:pPr>
              <w:ind w:left="240"/>
              <w:spacing w:after="0" w:line="149" w:lineRule="exact"/>
              <w:rPr>
                <w:sz w:val="20"/>
                <w:szCs w:val="20"/>
                <w:color w:val="auto"/>
              </w:rPr>
            </w:pPr>
            <w:r>
              <w:rPr>
                <w:rFonts w:ascii="Arial" w:cs="Arial" w:eastAsia="Arial" w:hAnsi="Arial"/>
                <w:sz w:val="14"/>
                <w:szCs w:val="14"/>
                <w:color w:val="auto"/>
              </w:rPr>
              <w:t>DPCAD, Canadian Dollar Depo Rates</w:t>
            </w:r>
          </w:p>
        </w:tc>
        <w:tc>
          <w:tcPr>
            <w:tcW w:w="1780" w:type="dxa"/>
            <w:vAlign w:val="bottom"/>
          </w:tcPr>
          <w:p>
            <w:pPr>
              <w:ind w:left="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HKD</w:t>
            </w:r>
          </w:p>
        </w:tc>
        <w:tc>
          <w:tcPr>
            <w:tcW w:w="5260" w:type="dxa"/>
            <w:vAlign w:val="bottom"/>
          </w:tcPr>
          <w:p>
            <w:pPr>
              <w:ind w:left="240"/>
              <w:spacing w:after="0" w:line="149" w:lineRule="exact"/>
              <w:rPr>
                <w:sz w:val="20"/>
                <w:szCs w:val="20"/>
                <w:color w:val="auto"/>
              </w:rPr>
            </w:pPr>
            <w:r>
              <w:rPr>
                <w:rFonts w:ascii="Arial" w:cs="Arial" w:eastAsia="Arial" w:hAnsi="Arial"/>
                <w:sz w:val="14"/>
                <w:szCs w:val="14"/>
                <w:color w:val="auto"/>
              </w:rPr>
              <w:t>DPHKD, Hong Kong Dollar Depo Rates</w:t>
            </w:r>
          </w:p>
        </w:tc>
        <w:tc>
          <w:tcPr>
            <w:tcW w:w="1780" w:type="dxa"/>
            <w:vAlign w:val="bottom"/>
          </w:tcPr>
          <w:p>
            <w:pPr>
              <w:ind w:left="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NZD</w:t>
            </w:r>
          </w:p>
        </w:tc>
        <w:tc>
          <w:tcPr>
            <w:tcW w:w="5260" w:type="dxa"/>
            <w:vAlign w:val="bottom"/>
          </w:tcPr>
          <w:p>
            <w:pPr>
              <w:ind w:left="240"/>
              <w:spacing w:after="0" w:line="149" w:lineRule="exact"/>
              <w:rPr>
                <w:sz w:val="20"/>
                <w:szCs w:val="20"/>
                <w:color w:val="auto"/>
              </w:rPr>
            </w:pPr>
            <w:r>
              <w:rPr>
                <w:rFonts w:ascii="Arial" w:cs="Arial" w:eastAsia="Arial" w:hAnsi="Arial"/>
                <w:sz w:val="14"/>
                <w:szCs w:val="14"/>
                <w:color w:val="auto"/>
              </w:rPr>
              <w:t>DPNZD, New Zealand Dollar Depo Rates</w:t>
            </w:r>
          </w:p>
        </w:tc>
        <w:tc>
          <w:tcPr>
            <w:tcW w:w="1780" w:type="dxa"/>
            <w:vAlign w:val="bottom"/>
          </w:tcPr>
          <w:p>
            <w:pPr>
              <w:ind w:left="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AUD</w:t>
            </w:r>
          </w:p>
        </w:tc>
        <w:tc>
          <w:tcPr>
            <w:tcW w:w="5260" w:type="dxa"/>
            <w:vAlign w:val="bottom"/>
          </w:tcPr>
          <w:p>
            <w:pPr>
              <w:ind w:left="240"/>
              <w:spacing w:after="0" w:line="149" w:lineRule="exact"/>
              <w:rPr>
                <w:sz w:val="20"/>
                <w:szCs w:val="20"/>
                <w:color w:val="auto"/>
              </w:rPr>
            </w:pPr>
            <w:r>
              <w:rPr>
                <w:rFonts w:ascii="Arial" w:cs="Arial" w:eastAsia="Arial" w:hAnsi="Arial"/>
                <w:sz w:val="14"/>
                <w:szCs w:val="14"/>
                <w:color w:val="auto"/>
              </w:rPr>
              <w:t>DPAUD, Australian Dollar Depo Rates</w:t>
            </w:r>
          </w:p>
        </w:tc>
        <w:tc>
          <w:tcPr>
            <w:tcW w:w="1780" w:type="dxa"/>
            <w:vAlign w:val="bottom"/>
          </w:tcPr>
          <w:p>
            <w:pPr>
              <w:ind w:left="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DKK</w:t>
            </w:r>
          </w:p>
        </w:tc>
        <w:tc>
          <w:tcPr>
            <w:tcW w:w="5260" w:type="dxa"/>
            <w:vAlign w:val="bottom"/>
          </w:tcPr>
          <w:p>
            <w:pPr>
              <w:ind w:left="240"/>
              <w:spacing w:after="0" w:line="149" w:lineRule="exact"/>
              <w:rPr>
                <w:sz w:val="20"/>
                <w:szCs w:val="20"/>
                <w:color w:val="auto"/>
              </w:rPr>
            </w:pPr>
            <w:r>
              <w:rPr>
                <w:rFonts w:ascii="Arial" w:cs="Arial" w:eastAsia="Arial" w:hAnsi="Arial"/>
                <w:sz w:val="14"/>
                <w:szCs w:val="14"/>
                <w:color w:val="auto"/>
              </w:rPr>
              <w:t>DPDKK, Danish Krone Depo Rates</w:t>
            </w:r>
          </w:p>
        </w:tc>
        <w:tc>
          <w:tcPr>
            <w:tcW w:w="1780" w:type="dxa"/>
            <w:vAlign w:val="bottom"/>
          </w:tcPr>
          <w:p>
            <w:pPr>
              <w:ind w:left="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NOK</w:t>
            </w:r>
          </w:p>
        </w:tc>
        <w:tc>
          <w:tcPr>
            <w:tcW w:w="5260" w:type="dxa"/>
            <w:vAlign w:val="bottom"/>
          </w:tcPr>
          <w:p>
            <w:pPr>
              <w:ind w:left="240"/>
              <w:spacing w:after="0" w:line="149" w:lineRule="exact"/>
              <w:rPr>
                <w:sz w:val="20"/>
                <w:szCs w:val="20"/>
                <w:color w:val="auto"/>
              </w:rPr>
            </w:pPr>
            <w:r>
              <w:rPr>
                <w:rFonts w:ascii="Arial" w:cs="Arial" w:eastAsia="Arial" w:hAnsi="Arial"/>
                <w:sz w:val="14"/>
                <w:szCs w:val="14"/>
                <w:color w:val="auto"/>
              </w:rPr>
              <w:t>DPNOK, Norwegian Krone Depo Rates</w:t>
            </w:r>
          </w:p>
        </w:tc>
        <w:tc>
          <w:tcPr>
            <w:tcW w:w="1780" w:type="dxa"/>
            <w:vAlign w:val="bottom"/>
          </w:tcPr>
          <w:p>
            <w:pPr>
              <w:ind w:left="460"/>
              <w:spacing w:after="0" w:line="149" w:lineRule="exact"/>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SEK</w:t>
            </w:r>
          </w:p>
        </w:tc>
        <w:tc>
          <w:tcPr>
            <w:tcW w:w="5260" w:type="dxa"/>
            <w:vAlign w:val="bottom"/>
          </w:tcPr>
          <w:p>
            <w:pPr>
              <w:ind w:left="240"/>
              <w:spacing w:after="0"/>
              <w:rPr>
                <w:sz w:val="20"/>
                <w:szCs w:val="20"/>
                <w:color w:val="auto"/>
              </w:rPr>
            </w:pPr>
            <w:r>
              <w:rPr>
                <w:rFonts w:ascii="Arial" w:cs="Arial" w:eastAsia="Arial" w:hAnsi="Arial"/>
                <w:sz w:val="14"/>
                <w:szCs w:val="14"/>
                <w:color w:val="auto"/>
              </w:rPr>
              <w:t>DPSEK, Swedish Krona Depo Rates</w:t>
            </w:r>
          </w:p>
        </w:tc>
        <w:tc>
          <w:tcPr>
            <w:tcW w:w="1780" w:type="dxa"/>
            <w:vAlign w:val="bottom"/>
          </w:tcPr>
          <w:p>
            <w:pPr>
              <w:ind w:left="4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Borders>
              <w:right w:val="single" w:sz="8" w:color="1F497D"/>
            </w:tcBorders>
          </w:tcPr>
          <w:p>
            <w:pPr>
              <w:spacing w:after="0"/>
              <w:rPr>
                <w:sz w:val="12"/>
                <w:szCs w:val="12"/>
                <w:color w:val="auto"/>
              </w:rPr>
            </w:pPr>
          </w:p>
        </w:tc>
        <w:tc>
          <w:tcPr>
            <w:tcW w:w="680" w:type="dxa"/>
            <w:vAlign w:val="bottom"/>
            <w:shd w:val="clear" w:color="auto" w:fill="1F497D"/>
          </w:tcPr>
          <w:p>
            <w:pPr>
              <w:ind w:left="20"/>
              <w:spacing w:after="0" w:line="149" w:lineRule="exact"/>
              <w:rPr>
                <w:sz w:val="20"/>
                <w:szCs w:val="20"/>
                <w:color w:val="auto"/>
              </w:rPr>
            </w:pPr>
            <w:r>
              <w:rPr>
                <w:rFonts w:ascii="Arial" w:cs="Arial" w:eastAsia="Arial" w:hAnsi="Arial"/>
                <w:sz w:val="14"/>
                <w:szCs w:val="14"/>
                <w:b w:val="1"/>
                <w:bCs w:val="1"/>
                <w:color w:val="FFFFFF"/>
              </w:rPr>
              <w:t>CD</w:t>
            </w:r>
          </w:p>
        </w:tc>
        <w:tc>
          <w:tcPr>
            <w:tcW w:w="1600" w:type="dxa"/>
            <w:vAlign w:val="bottom"/>
            <w:shd w:val="clear" w:color="auto" w:fill="1F497D"/>
          </w:tcPr>
          <w:p>
            <w:pPr>
              <w:spacing w:after="0"/>
              <w:rPr>
                <w:sz w:val="12"/>
                <w:szCs w:val="12"/>
                <w:color w:val="auto"/>
              </w:rPr>
            </w:pPr>
          </w:p>
        </w:tc>
        <w:tc>
          <w:tcPr>
            <w:tcW w:w="5260" w:type="dxa"/>
            <w:vAlign w:val="bottom"/>
            <w:shd w:val="clear" w:color="auto" w:fill="1F497D"/>
          </w:tcPr>
          <w:p>
            <w:pPr>
              <w:spacing w:after="0"/>
              <w:rPr>
                <w:sz w:val="12"/>
                <w:szCs w:val="12"/>
                <w:color w:val="auto"/>
              </w:rPr>
            </w:pPr>
          </w:p>
        </w:tc>
        <w:tc>
          <w:tcPr>
            <w:tcW w:w="178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EUR</w:t>
            </w:r>
          </w:p>
        </w:tc>
        <w:tc>
          <w:tcPr>
            <w:tcW w:w="5260" w:type="dxa"/>
            <w:vAlign w:val="bottom"/>
            <w:vMerge w:val="restart"/>
          </w:tcPr>
          <w:p>
            <w:pPr>
              <w:ind w:left="240"/>
              <w:spacing w:after="0"/>
              <w:rPr>
                <w:sz w:val="20"/>
                <w:szCs w:val="20"/>
                <w:color w:val="auto"/>
              </w:rPr>
            </w:pPr>
            <w:r>
              <w:rPr>
                <w:rFonts w:ascii="Arial" w:cs="Arial" w:eastAsia="Arial" w:hAnsi="Arial"/>
                <w:sz w:val="14"/>
                <w:szCs w:val="14"/>
                <w:color w:val="auto"/>
              </w:rPr>
              <w:t>ECD, European CDs issued by European Banks</w:t>
            </w:r>
          </w:p>
        </w:tc>
        <w:tc>
          <w:tcPr>
            <w:tcW w:w="1780" w:type="dxa"/>
            <w:vAlign w:val="bottom"/>
            <w:vMerge w:val="restart"/>
          </w:tcPr>
          <w:p>
            <w:pPr>
              <w:ind w:left="4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26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0" w:type="dxa"/>
            <w:vAlign w:val="bottom"/>
            <w:vMerge w:val="restart"/>
          </w:tcPr>
          <w:p>
            <w:pPr>
              <w:ind w:left="260"/>
              <w:spacing w:after="0"/>
              <w:rPr>
                <w:sz w:val="20"/>
                <w:szCs w:val="20"/>
                <w:color w:val="auto"/>
              </w:rPr>
            </w:pPr>
            <w:r>
              <w:rPr>
                <w:rFonts w:ascii="Arial" w:cs="Arial" w:eastAsia="Arial" w:hAnsi="Arial"/>
                <w:sz w:val="14"/>
                <w:szCs w:val="14"/>
                <w:color w:val="auto"/>
              </w:rPr>
              <w:t>GBP</w:t>
            </w:r>
          </w:p>
        </w:tc>
        <w:tc>
          <w:tcPr>
            <w:tcW w:w="5260" w:type="dxa"/>
            <w:vAlign w:val="bottom"/>
          </w:tcPr>
          <w:p>
            <w:pPr>
              <w:ind w:left="240"/>
              <w:spacing w:after="0"/>
              <w:rPr>
                <w:sz w:val="20"/>
                <w:szCs w:val="20"/>
                <w:color w:val="auto"/>
              </w:rPr>
            </w:pPr>
            <w:r>
              <w:rPr>
                <w:rFonts w:ascii="Arial" w:cs="Arial" w:eastAsia="Arial" w:hAnsi="Arial"/>
                <w:sz w:val="14"/>
                <w:szCs w:val="14"/>
                <w:color w:val="auto"/>
              </w:rPr>
              <w:t>FCD, French CDs issued by French Banks regulated by the COB</w:t>
            </w:r>
          </w:p>
        </w:tc>
        <w:tc>
          <w:tcPr>
            <w:tcW w:w="1780" w:type="dxa"/>
            <w:vAlign w:val="bottom"/>
          </w:tcPr>
          <w:p>
            <w:pPr>
              <w:ind w:left="4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5260" w:type="dxa"/>
            <w:vAlign w:val="bottom"/>
            <w:vMerge w:val="restart"/>
          </w:tcPr>
          <w:p>
            <w:pPr>
              <w:ind w:left="240"/>
              <w:spacing w:after="0"/>
              <w:rPr>
                <w:sz w:val="20"/>
                <w:szCs w:val="20"/>
                <w:color w:val="auto"/>
              </w:rPr>
            </w:pPr>
            <w:r>
              <w:rPr>
                <w:rFonts w:ascii="Arial" w:cs="Arial" w:eastAsia="Arial" w:hAnsi="Arial"/>
                <w:sz w:val="14"/>
                <w:szCs w:val="14"/>
                <w:color w:val="auto"/>
              </w:rPr>
              <w:t>LCD, London CDs issued by London Banks regulated by the Bank of England.</w:t>
            </w:r>
          </w:p>
        </w:tc>
        <w:tc>
          <w:tcPr>
            <w:tcW w:w="1780" w:type="dxa"/>
            <w:vAlign w:val="bottom"/>
            <w:vMerge w:val="restart"/>
          </w:tcPr>
          <w:p>
            <w:pPr>
              <w:ind w:left="460"/>
              <w:spacing w:after="0"/>
              <w:rPr>
                <w:sz w:val="20"/>
                <w:szCs w:val="20"/>
                <w:color w:val="auto"/>
              </w:rPr>
            </w:pPr>
            <w:r>
              <w:rPr>
                <w:rFonts w:ascii="Arial" w:cs="Arial" w:eastAsia="Arial" w:hAnsi="Arial"/>
                <w:sz w:val="14"/>
                <w:szCs w:val="14"/>
                <w:color w:val="auto"/>
              </w:rPr>
              <w:t>Composite Quote</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26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Borders>
              <w:right w:val="single" w:sz="8" w:color="1F497D"/>
            </w:tcBorders>
          </w:tcPr>
          <w:p>
            <w:pPr>
              <w:spacing w:after="0"/>
              <w:rPr>
                <w:sz w:val="12"/>
                <w:szCs w:val="12"/>
                <w:color w:val="auto"/>
              </w:rPr>
            </w:pPr>
          </w:p>
        </w:tc>
        <w:tc>
          <w:tcPr>
            <w:tcW w:w="2280" w:type="dxa"/>
            <w:vAlign w:val="bottom"/>
            <w:gridSpan w:val="2"/>
            <w:shd w:val="clear" w:color="auto" w:fill="1F497D"/>
          </w:tcPr>
          <w:p>
            <w:pPr>
              <w:ind w:left="20"/>
              <w:spacing w:after="0" w:line="149" w:lineRule="exact"/>
              <w:rPr>
                <w:sz w:val="20"/>
                <w:szCs w:val="20"/>
                <w:color w:val="auto"/>
              </w:rPr>
            </w:pPr>
            <w:r>
              <w:rPr>
                <w:rFonts w:ascii="Arial" w:cs="Arial" w:eastAsia="Arial" w:hAnsi="Arial"/>
                <w:sz w:val="14"/>
                <w:szCs w:val="14"/>
                <w:b w:val="1"/>
                <w:bCs w:val="1"/>
                <w:color w:val="FFFFFF"/>
              </w:rPr>
              <w:t>Commercial Paper</w:t>
            </w:r>
          </w:p>
        </w:tc>
        <w:tc>
          <w:tcPr>
            <w:tcW w:w="5260" w:type="dxa"/>
            <w:vAlign w:val="bottom"/>
            <w:shd w:val="clear" w:color="auto" w:fill="1F497D"/>
          </w:tcPr>
          <w:p>
            <w:pPr>
              <w:spacing w:after="0"/>
              <w:rPr>
                <w:sz w:val="12"/>
                <w:szCs w:val="12"/>
                <w:color w:val="auto"/>
              </w:rPr>
            </w:pPr>
          </w:p>
        </w:tc>
        <w:tc>
          <w:tcPr>
            <w:tcW w:w="1780" w:type="dxa"/>
            <w:vAlign w:val="bottom"/>
            <w:shd w:val="clear" w:color="auto" w:fill="1F497D"/>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Commercial Paper</w:t>
            </w:r>
          </w:p>
        </w:tc>
        <w:tc>
          <w:tcPr>
            <w:tcW w:w="5260" w:type="dxa"/>
            <w:vAlign w:val="bottom"/>
            <w:vMerge w:val="restart"/>
          </w:tcPr>
          <w:p>
            <w:pPr>
              <w:ind w:left="240"/>
              <w:spacing w:after="0"/>
              <w:rPr>
                <w:sz w:val="20"/>
                <w:szCs w:val="20"/>
                <w:color w:val="auto"/>
              </w:rPr>
            </w:pPr>
            <w:r>
              <w:rPr>
                <w:rFonts w:ascii="Arial" w:cs="Arial" w:eastAsia="Arial" w:hAnsi="Arial"/>
                <w:sz w:val="14"/>
                <w:szCs w:val="14"/>
                <w:color w:val="auto"/>
              </w:rPr>
              <w:t>USD</w:t>
            </w:r>
          </w:p>
        </w:tc>
        <w:tc>
          <w:tcPr>
            <w:tcW w:w="1780" w:type="dxa"/>
            <w:vAlign w:val="bottom"/>
            <w:vMerge w:val="restart"/>
          </w:tcPr>
          <w:p>
            <w:pPr>
              <w:ind w:left="460"/>
              <w:spacing w:after="0"/>
              <w:rPr>
                <w:sz w:val="20"/>
                <w:szCs w:val="20"/>
                <w:color w:val="auto"/>
              </w:rPr>
            </w:pPr>
            <w:r>
              <w:rPr>
                <w:rFonts w:ascii="Arial" w:cs="Arial" w:eastAsia="Arial" w:hAnsi="Arial"/>
                <w:sz w:val="14"/>
                <w:szCs w:val="14"/>
                <w:color w:val="auto"/>
              </w:rPr>
              <w:t>Summary Data</w:t>
            </w: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26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260" w:type="dxa"/>
            <w:vAlign w:val="bottom"/>
          </w:tcPr>
          <w:p>
            <w:pPr>
              <w:ind w:left="240"/>
              <w:spacing w:after="0"/>
              <w:rPr>
                <w:sz w:val="20"/>
                <w:szCs w:val="20"/>
                <w:color w:val="auto"/>
              </w:rPr>
            </w:pPr>
            <w:r>
              <w:rPr>
                <w:rFonts w:ascii="Arial" w:cs="Arial" w:eastAsia="Arial" w:hAnsi="Arial"/>
                <w:sz w:val="14"/>
                <w:szCs w:val="14"/>
                <w:color w:val="auto"/>
              </w:rPr>
              <w:t>Non - USD</w:t>
            </w:r>
          </w:p>
        </w:tc>
        <w:tc>
          <w:tcPr>
            <w:tcW w:w="1780" w:type="dxa"/>
            <w:vAlign w:val="bottom"/>
          </w:tcPr>
          <w:p>
            <w:pPr>
              <w:ind w:left="460"/>
              <w:spacing w:after="0"/>
              <w:rPr>
                <w:sz w:val="20"/>
                <w:szCs w:val="20"/>
                <w:color w:val="auto"/>
              </w:rPr>
            </w:pPr>
            <w:r>
              <w:rPr>
                <w:rFonts w:ascii="Arial" w:cs="Arial" w:eastAsia="Arial" w:hAnsi="Arial"/>
                <w:sz w:val="14"/>
                <w:szCs w:val="14"/>
                <w:color w:val="auto"/>
              </w:rPr>
              <w:t>Inventory</w:t>
            </w:r>
          </w:p>
        </w:tc>
        <w:tc>
          <w:tcPr>
            <w:tcW w:w="0" w:type="dxa"/>
            <w:vAlign w:val="bottom"/>
          </w:tcPr>
          <w:p>
            <w:pPr>
              <w:spacing w:after="0"/>
              <w:rPr>
                <w:sz w:val="1"/>
                <w:szCs w:val="1"/>
                <w:color w:val="auto"/>
              </w:rPr>
            </w:pPr>
          </w:p>
        </w:tc>
      </w:tr>
      <w:tr>
        <w:trPr>
          <w:trHeight w:val="633"/>
        </w:trPr>
        <w:tc>
          <w:tcPr>
            <w:tcW w:w="9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329" w:name="page330"/>
    <w:bookmarkEnd w:id="3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38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92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150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4</w:t>
            </w:r>
          </w:p>
        </w:tc>
        <w:tc>
          <w:tcPr>
            <w:tcW w:w="5020" w:type="dxa"/>
            <w:vAlign w:val="bottom"/>
            <w:shd w:val="clear" w:color="auto" w:fill="EEECE1"/>
          </w:tcPr>
          <w:p>
            <w:pPr>
              <w:ind w:left="140"/>
              <w:spacing w:after="0"/>
              <w:rPr>
                <w:sz w:val="20"/>
                <w:szCs w:val="20"/>
                <w:color w:val="auto"/>
              </w:rPr>
            </w:pPr>
            <w:r>
              <w:rPr>
                <w:rFonts w:ascii="Arial" w:cs="Arial" w:eastAsia="Arial" w:hAnsi="Arial"/>
                <w:sz w:val="14"/>
                <w:szCs w:val="14"/>
                <w:b w:val="1"/>
                <w:bCs w:val="1"/>
                <w:color w:val="auto"/>
              </w:rPr>
              <w:t>5</w:t>
            </w:r>
          </w:p>
        </w:tc>
        <w:tc>
          <w:tcPr>
            <w:tcW w:w="1680" w:type="dxa"/>
            <w:vAlign w:val="bottom"/>
            <w:shd w:val="clear" w:color="auto" w:fill="EEECE1"/>
          </w:tcPr>
          <w:p>
            <w:pPr>
              <w:jc w:val="right"/>
              <w:ind w:right="1168"/>
              <w:spacing w:after="0"/>
              <w:rPr>
                <w:sz w:val="20"/>
                <w:szCs w:val="20"/>
                <w:color w:val="auto"/>
              </w:rPr>
            </w:pPr>
            <w:r>
              <w:rPr>
                <w:rFonts w:ascii="Arial" w:cs="Arial" w:eastAsia="Arial" w:hAnsi="Arial"/>
                <w:sz w:val="14"/>
                <w:szCs w:val="14"/>
                <w:b w:val="1"/>
                <w:bCs w:val="1"/>
                <w:color w:val="auto"/>
              </w:rPr>
              <w:t>6</w:t>
            </w:r>
          </w:p>
        </w:tc>
      </w:tr>
      <w:tr>
        <w:trPr>
          <w:trHeight w:val="171"/>
        </w:trPr>
        <w:tc>
          <w:tcPr>
            <w:tcW w:w="2300" w:type="dxa"/>
            <w:vAlign w:val="bottom"/>
            <w:gridSpan w:val="2"/>
            <w:shd w:val="clear" w:color="auto" w:fill="EEECE1"/>
          </w:tcPr>
          <w:p>
            <w:pPr>
              <w:ind w:left="60"/>
              <w:spacing w:after="0"/>
              <w:rPr>
                <w:sz w:val="20"/>
                <w:szCs w:val="20"/>
                <w:color w:val="auto"/>
              </w:rPr>
            </w:pPr>
            <w:r>
              <w:rPr>
                <w:rFonts w:ascii="Arial" w:cs="Arial" w:eastAsia="Arial" w:hAnsi="Arial"/>
                <w:sz w:val="14"/>
                <w:szCs w:val="14"/>
                <w:b w:val="1"/>
                <w:bCs w:val="1"/>
                <w:color w:val="auto"/>
              </w:rPr>
              <w:t>Tradeweb Direct</w:t>
            </w:r>
          </w:p>
        </w:tc>
        <w:tc>
          <w:tcPr>
            <w:tcW w:w="920" w:type="dxa"/>
            <w:vAlign w:val="bottom"/>
            <w:shd w:val="clear" w:color="auto" w:fill="EEECE1"/>
          </w:tcPr>
          <w:p>
            <w:pPr>
              <w:spacing w:after="0"/>
              <w:rPr>
                <w:sz w:val="14"/>
                <w:szCs w:val="14"/>
                <w:color w:val="auto"/>
              </w:rPr>
            </w:pPr>
          </w:p>
        </w:tc>
        <w:tc>
          <w:tcPr>
            <w:tcW w:w="1500" w:type="dxa"/>
            <w:vAlign w:val="bottom"/>
            <w:shd w:val="clear" w:color="auto" w:fill="EEECE1"/>
          </w:tcPr>
          <w:p>
            <w:pPr>
              <w:spacing w:after="0"/>
              <w:rPr>
                <w:sz w:val="14"/>
                <w:szCs w:val="14"/>
                <w:color w:val="auto"/>
              </w:rPr>
            </w:pPr>
          </w:p>
        </w:tc>
        <w:tc>
          <w:tcPr>
            <w:tcW w:w="5020" w:type="dxa"/>
            <w:vAlign w:val="bottom"/>
            <w:shd w:val="clear" w:color="auto" w:fill="EEECE1"/>
          </w:tcPr>
          <w:p>
            <w:pPr>
              <w:spacing w:after="0"/>
              <w:rPr>
                <w:sz w:val="14"/>
                <w:szCs w:val="14"/>
                <w:color w:val="auto"/>
              </w:rPr>
            </w:pPr>
          </w:p>
        </w:tc>
        <w:tc>
          <w:tcPr>
            <w:tcW w:w="1680" w:type="dxa"/>
            <w:vAlign w:val="bottom"/>
            <w:shd w:val="clear" w:color="auto" w:fill="EEECE1"/>
          </w:tcPr>
          <w:p>
            <w:pPr>
              <w:spacing w:after="0"/>
              <w:rPr>
                <w:sz w:val="14"/>
                <w:szCs w:val="14"/>
                <w:color w:val="auto"/>
              </w:rPr>
            </w:pPr>
          </w:p>
        </w:tc>
      </w:tr>
      <w:tr>
        <w:trPr>
          <w:trHeight w:val="149"/>
        </w:trPr>
        <w:tc>
          <w:tcPr>
            <w:tcW w:w="920" w:type="dxa"/>
            <w:vAlign w:val="bottom"/>
            <w:shd w:val="clear" w:color="auto" w:fill="EEECE1"/>
          </w:tcPr>
          <w:p>
            <w:pPr>
              <w:spacing w:after="0"/>
              <w:rPr>
                <w:sz w:val="12"/>
                <w:szCs w:val="12"/>
                <w:color w:val="auto"/>
              </w:rPr>
            </w:pPr>
          </w:p>
        </w:tc>
        <w:tc>
          <w:tcPr>
            <w:tcW w:w="1380" w:type="dxa"/>
            <w:vAlign w:val="bottom"/>
            <w:shd w:val="clear" w:color="auto" w:fill="EEECE1"/>
          </w:tcPr>
          <w:p>
            <w:pPr>
              <w:spacing w:after="0"/>
              <w:rPr>
                <w:sz w:val="12"/>
                <w:szCs w:val="12"/>
                <w:color w:val="auto"/>
              </w:rPr>
            </w:pPr>
          </w:p>
        </w:tc>
        <w:tc>
          <w:tcPr>
            <w:tcW w:w="920" w:type="dxa"/>
            <w:vAlign w:val="bottom"/>
            <w:shd w:val="clear" w:color="auto" w:fill="EEECE1"/>
          </w:tcPr>
          <w:p>
            <w:pPr>
              <w:spacing w:after="0"/>
              <w:rPr>
                <w:sz w:val="12"/>
                <w:szCs w:val="12"/>
                <w:color w:val="auto"/>
              </w:rPr>
            </w:pPr>
          </w:p>
        </w:tc>
        <w:tc>
          <w:tcPr>
            <w:tcW w:w="1500" w:type="dxa"/>
            <w:vAlign w:val="bottom"/>
            <w:shd w:val="clear" w:color="auto" w:fill="EEECE1"/>
          </w:tcPr>
          <w:p>
            <w:pPr>
              <w:spacing w:after="0"/>
              <w:rPr>
                <w:sz w:val="12"/>
                <w:szCs w:val="12"/>
                <w:color w:val="auto"/>
              </w:rPr>
            </w:pPr>
          </w:p>
        </w:tc>
        <w:tc>
          <w:tcPr>
            <w:tcW w:w="5020" w:type="dxa"/>
            <w:vAlign w:val="bottom"/>
            <w:shd w:val="clear" w:color="auto" w:fill="EEECE1"/>
          </w:tcPr>
          <w:p>
            <w:pPr>
              <w:spacing w:after="0"/>
              <w:rPr>
                <w:sz w:val="12"/>
                <w:szCs w:val="12"/>
                <w:color w:val="auto"/>
              </w:rPr>
            </w:pPr>
          </w:p>
        </w:tc>
        <w:tc>
          <w:tcPr>
            <w:tcW w:w="1680" w:type="dxa"/>
            <w:vAlign w:val="bottom"/>
            <w:shd w:val="clear" w:color="auto" w:fill="EEECE1"/>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380" w:type="dxa"/>
            <w:vAlign w:val="bottom"/>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USD</w:t>
            </w:r>
          </w:p>
        </w:tc>
        <w:tc>
          <w:tcPr>
            <w:tcW w:w="920" w:type="dxa"/>
            <w:vAlign w:val="bottom"/>
            <w:shd w:val="clear" w:color="auto" w:fill="C00000"/>
          </w:tcPr>
          <w:p>
            <w:pPr>
              <w:spacing w:after="0"/>
              <w:rPr>
                <w:sz w:val="12"/>
                <w:szCs w:val="12"/>
                <w:color w:val="auto"/>
              </w:rPr>
            </w:pPr>
          </w:p>
        </w:tc>
        <w:tc>
          <w:tcPr>
            <w:tcW w:w="1500" w:type="dxa"/>
            <w:vAlign w:val="bottom"/>
            <w:shd w:val="clear" w:color="auto" w:fill="C00000"/>
          </w:tcPr>
          <w:p>
            <w:pPr>
              <w:spacing w:after="0"/>
              <w:rPr>
                <w:sz w:val="12"/>
                <w:szCs w:val="12"/>
                <w:color w:val="auto"/>
              </w:rPr>
            </w:pPr>
          </w:p>
        </w:tc>
        <w:tc>
          <w:tcPr>
            <w:tcW w:w="5020" w:type="dxa"/>
            <w:vAlign w:val="bottom"/>
            <w:shd w:val="clear" w:color="auto" w:fill="C00000"/>
          </w:tcPr>
          <w:p>
            <w:pPr>
              <w:spacing w:after="0"/>
              <w:rPr>
                <w:sz w:val="12"/>
                <w:szCs w:val="12"/>
                <w:color w:val="auto"/>
              </w:rPr>
            </w:pPr>
          </w:p>
        </w:tc>
        <w:tc>
          <w:tcPr>
            <w:tcW w:w="1680" w:type="dxa"/>
            <w:vAlign w:val="bottom"/>
            <w:shd w:val="clear" w:color="auto" w:fill="C00000"/>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ABS</w:t>
            </w:r>
          </w:p>
        </w:tc>
        <w:tc>
          <w:tcPr>
            <w:tcW w:w="1500" w:type="dxa"/>
            <w:vAlign w:val="bottom"/>
            <w:shd w:val="clear" w:color="auto" w:fill="1F497D"/>
          </w:tcPr>
          <w:p>
            <w:pPr>
              <w:spacing w:after="0"/>
              <w:rPr>
                <w:sz w:val="12"/>
                <w:szCs w:val="12"/>
                <w:color w:val="auto"/>
              </w:rPr>
            </w:pPr>
          </w:p>
        </w:tc>
        <w:tc>
          <w:tcPr>
            <w:tcW w:w="5020" w:type="dxa"/>
            <w:vAlign w:val="bottom"/>
            <w:shd w:val="clear" w:color="auto" w:fill="1F497D"/>
          </w:tcPr>
          <w:p>
            <w:pPr>
              <w:spacing w:after="0"/>
              <w:rPr>
                <w:sz w:val="12"/>
                <w:szCs w:val="12"/>
                <w:color w:val="auto"/>
              </w:rPr>
            </w:pPr>
          </w:p>
        </w:tc>
        <w:tc>
          <w:tcPr>
            <w:tcW w:w="16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ind w:left="40"/>
              <w:spacing w:after="0" w:line="130" w:lineRule="exact"/>
              <w:rPr>
                <w:sz w:val="20"/>
                <w:szCs w:val="20"/>
                <w:color w:val="auto"/>
              </w:rPr>
            </w:pPr>
            <w:r>
              <w:rPr>
                <w:rFonts w:ascii="Arial" w:cs="Arial" w:eastAsia="Arial" w:hAnsi="Arial"/>
                <w:sz w:val="14"/>
                <w:szCs w:val="14"/>
                <w:color w:val="auto"/>
              </w:rPr>
              <w:t>Inventory</w:t>
            </w:r>
          </w:p>
        </w:tc>
        <w:tc>
          <w:tcPr>
            <w:tcW w:w="50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Response to RFQ</w:t>
            </w:r>
          </w:p>
        </w:tc>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9"/>
              </w:rPr>
              <w:t>pre-trade bids and offers from. Responses for unfilled RFQs are delayed 24hrs</w:t>
            </w:r>
          </w:p>
        </w:tc>
        <w:tc>
          <w:tcPr>
            <w:tcW w:w="168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Arial" w:cs="Arial" w:eastAsia="Arial" w:hAnsi="Arial"/>
                <w:sz w:val="14"/>
                <w:szCs w:val="14"/>
                <w:color w:val="auto"/>
              </w:rPr>
              <w:t>Trade Reports</w:t>
            </w:r>
          </w:p>
        </w:tc>
        <w:tc>
          <w:tcPr>
            <w:tcW w:w="5020" w:type="dxa"/>
            <w:vAlign w:val="bottom"/>
          </w:tcPr>
          <w:p>
            <w:pPr>
              <w:ind w:left="140"/>
              <w:spacing w:after="0"/>
              <w:rPr>
                <w:sz w:val="20"/>
                <w:szCs w:val="20"/>
                <w:color w:val="auto"/>
              </w:rPr>
            </w:pPr>
            <w:r>
              <w:rPr>
                <w:rFonts w:ascii="Arial" w:cs="Arial" w:eastAsia="Arial" w:hAnsi="Arial"/>
                <w:sz w:val="14"/>
                <w:szCs w:val="14"/>
                <w:color w:val="auto"/>
              </w:rPr>
              <w:t>Price and Side</w:t>
            </w:r>
          </w:p>
        </w:tc>
        <w:tc>
          <w:tcPr>
            <w:tcW w:w="168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Certificates of Deposit (CDs)</w:t>
            </w:r>
          </w:p>
        </w:tc>
        <w:tc>
          <w:tcPr>
            <w:tcW w:w="5020" w:type="dxa"/>
            <w:vAlign w:val="bottom"/>
            <w:shd w:val="clear" w:color="auto" w:fill="1F497D"/>
          </w:tcPr>
          <w:p>
            <w:pPr>
              <w:spacing w:after="0"/>
              <w:rPr>
                <w:sz w:val="12"/>
                <w:szCs w:val="12"/>
                <w:color w:val="auto"/>
              </w:rPr>
            </w:pPr>
          </w:p>
        </w:tc>
        <w:tc>
          <w:tcPr>
            <w:tcW w:w="16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ind w:left="40"/>
              <w:spacing w:after="0" w:line="130" w:lineRule="exact"/>
              <w:rPr>
                <w:sz w:val="20"/>
                <w:szCs w:val="20"/>
                <w:color w:val="auto"/>
              </w:rPr>
            </w:pPr>
            <w:r>
              <w:rPr>
                <w:rFonts w:ascii="Arial" w:cs="Arial" w:eastAsia="Arial" w:hAnsi="Arial"/>
                <w:sz w:val="14"/>
                <w:szCs w:val="14"/>
                <w:color w:val="auto"/>
              </w:rPr>
              <w:t>Inventory</w:t>
            </w:r>
          </w:p>
        </w:tc>
        <w:tc>
          <w:tcPr>
            <w:tcW w:w="50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Response to RFQ</w:t>
            </w:r>
          </w:p>
        </w:tc>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9"/>
              </w:rPr>
              <w:t>pre-trade bids and offers from. Responses for unfilled RFQs are delayed 24hrs</w:t>
            </w:r>
          </w:p>
        </w:tc>
        <w:tc>
          <w:tcPr>
            <w:tcW w:w="168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Arial" w:cs="Arial" w:eastAsia="Arial" w:hAnsi="Arial"/>
                <w:sz w:val="14"/>
                <w:szCs w:val="14"/>
                <w:color w:val="auto"/>
              </w:rPr>
              <w:t>Trade Reports</w:t>
            </w:r>
          </w:p>
        </w:tc>
        <w:tc>
          <w:tcPr>
            <w:tcW w:w="5020" w:type="dxa"/>
            <w:vAlign w:val="bottom"/>
          </w:tcPr>
          <w:p>
            <w:pPr>
              <w:ind w:left="140"/>
              <w:spacing w:after="0"/>
              <w:rPr>
                <w:sz w:val="20"/>
                <w:szCs w:val="20"/>
                <w:color w:val="auto"/>
              </w:rPr>
            </w:pPr>
            <w:r>
              <w:rPr>
                <w:rFonts w:ascii="Arial" w:cs="Arial" w:eastAsia="Arial" w:hAnsi="Arial"/>
                <w:sz w:val="14"/>
                <w:szCs w:val="14"/>
                <w:color w:val="auto"/>
              </w:rPr>
              <w:t>Price and Side</w:t>
            </w:r>
          </w:p>
        </w:tc>
        <w:tc>
          <w:tcPr>
            <w:tcW w:w="168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w w:val="98"/>
              </w:rPr>
              <w:t>Collateralized Mortgage Obligations</w:t>
            </w:r>
          </w:p>
        </w:tc>
        <w:tc>
          <w:tcPr>
            <w:tcW w:w="5020" w:type="dxa"/>
            <w:vAlign w:val="bottom"/>
            <w:shd w:val="clear" w:color="auto" w:fill="1F497D"/>
          </w:tcPr>
          <w:p>
            <w:pPr>
              <w:spacing w:after="0"/>
              <w:rPr>
                <w:sz w:val="12"/>
                <w:szCs w:val="12"/>
                <w:color w:val="auto"/>
              </w:rPr>
            </w:pPr>
          </w:p>
        </w:tc>
        <w:tc>
          <w:tcPr>
            <w:tcW w:w="16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ind w:left="40"/>
              <w:spacing w:after="0" w:line="130" w:lineRule="exact"/>
              <w:rPr>
                <w:sz w:val="20"/>
                <w:szCs w:val="20"/>
                <w:color w:val="auto"/>
              </w:rPr>
            </w:pPr>
            <w:r>
              <w:rPr>
                <w:rFonts w:ascii="Arial" w:cs="Arial" w:eastAsia="Arial" w:hAnsi="Arial"/>
                <w:sz w:val="14"/>
                <w:szCs w:val="14"/>
                <w:color w:val="auto"/>
              </w:rPr>
              <w:t>Inventory</w:t>
            </w:r>
          </w:p>
        </w:tc>
        <w:tc>
          <w:tcPr>
            <w:tcW w:w="50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Response to RFQ</w:t>
            </w:r>
          </w:p>
        </w:tc>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9"/>
              </w:rPr>
              <w:t>pre-trade bids and offers from. Responses for unfilled RFQs are delayed 24hrs</w:t>
            </w:r>
          </w:p>
        </w:tc>
        <w:tc>
          <w:tcPr>
            <w:tcW w:w="168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Arial" w:cs="Arial" w:eastAsia="Arial" w:hAnsi="Arial"/>
                <w:sz w:val="14"/>
                <w:szCs w:val="14"/>
                <w:color w:val="auto"/>
              </w:rPr>
              <w:t>Trade Reports</w:t>
            </w:r>
          </w:p>
        </w:tc>
        <w:tc>
          <w:tcPr>
            <w:tcW w:w="5020" w:type="dxa"/>
            <w:vAlign w:val="bottom"/>
          </w:tcPr>
          <w:p>
            <w:pPr>
              <w:ind w:left="140"/>
              <w:spacing w:after="0"/>
              <w:rPr>
                <w:sz w:val="20"/>
                <w:szCs w:val="20"/>
                <w:color w:val="auto"/>
              </w:rPr>
            </w:pPr>
            <w:r>
              <w:rPr>
                <w:rFonts w:ascii="Arial" w:cs="Arial" w:eastAsia="Arial" w:hAnsi="Arial"/>
                <w:sz w:val="14"/>
                <w:szCs w:val="14"/>
                <w:color w:val="auto"/>
              </w:rPr>
              <w:t>Price and Side</w:t>
            </w:r>
          </w:p>
        </w:tc>
        <w:tc>
          <w:tcPr>
            <w:tcW w:w="168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Corporate Bond</w:t>
            </w:r>
          </w:p>
        </w:tc>
        <w:tc>
          <w:tcPr>
            <w:tcW w:w="5020" w:type="dxa"/>
            <w:vAlign w:val="bottom"/>
            <w:shd w:val="clear" w:color="auto" w:fill="1F497D"/>
          </w:tcPr>
          <w:p>
            <w:pPr>
              <w:spacing w:after="0"/>
              <w:rPr>
                <w:sz w:val="12"/>
                <w:szCs w:val="12"/>
                <w:color w:val="auto"/>
              </w:rPr>
            </w:pPr>
          </w:p>
        </w:tc>
        <w:tc>
          <w:tcPr>
            <w:tcW w:w="1680" w:type="dxa"/>
            <w:vAlign w:val="bottom"/>
            <w:shd w:val="clear" w:color="auto" w:fill="1F497D"/>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Composite Data</w:t>
            </w:r>
          </w:p>
        </w:tc>
        <w:tc>
          <w:tcPr>
            <w:tcW w:w="50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Mortgage-Backed Securities (MBS)</w:t>
            </w:r>
          </w:p>
        </w:tc>
        <w:tc>
          <w:tcPr>
            <w:tcW w:w="5020" w:type="dxa"/>
            <w:vAlign w:val="bottom"/>
            <w:shd w:val="clear" w:color="auto" w:fill="1F497D"/>
          </w:tcPr>
          <w:p>
            <w:pPr>
              <w:spacing w:after="0"/>
              <w:rPr>
                <w:sz w:val="12"/>
                <w:szCs w:val="12"/>
                <w:color w:val="auto"/>
              </w:rPr>
            </w:pPr>
          </w:p>
        </w:tc>
        <w:tc>
          <w:tcPr>
            <w:tcW w:w="16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ind w:left="40"/>
              <w:spacing w:after="0" w:line="130" w:lineRule="exact"/>
              <w:rPr>
                <w:sz w:val="20"/>
                <w:szCs w:val="20"/>
                <w:color w:val="auto"/>
              </w:rPr>
            </w:pPr>
            <w:r>
              <w:rPr>
                <w:rFonts w:ascii="Arial" w:cs="Arial" w:eastAsia="Arial" w:hAnsi="Arial"/>
                <w:sz w:val="14"/>
                <w:szCs w:val="14"/>
                <w:color w:val="auto"/>
              </w:rPr>
              <w:t>Inventory</w:t>
            </w:r>
          </w:p>
        </w:tc>
        <w:tc>
          <w:tcPr>
            <w:tcW w:w="50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Response to RFQ</w:t>
            </w:r>
          </w:p>
        </w:tc>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9"/>
              </w:rPr>
              <w:t>pre-trade bids and offers from. Responses for unfilled RFQs are delayed 24hrs</w:t>
            </w:r>
          </w:p>
        </w:tc>
        <w:tc>
          <w:tcPr>
            <w:tcW w:w="168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Arial" w:cs="Arial" w:eastAsia="Arial" w:hAnsi="Arial"/>
                <w:sz w:val="14"/>
                <w:szCs w:val="14"/>
                <w:color w:val="auto"/>
              </w:rPr>
              <w:t>Trade Reports</w:t>
            </w:r>
          </w:p>
        </w:tc>
        <w:tc>
          <w:tcPr>
            <w:tcW w:w="5020" w:type="dxa"/>
            <w:vAlign w:val="bottom"/>
          </w:tcPr>
          <w:p>
            <w:pPr>
              <w:ind w:left="140"/>
              <w:spacing w:after="0"/>
              <w:rPr>
                <w:sz w:val="20"/>
                <w:szCs w:val="20"/>
                <w:color w:val="auto"/>
              </w:rPr>
            </w:pPr>
            <w:r>
              <w:rPr>
                <w:rFonts w:ascii="Arial" w:cs="Arial" w:eastAsia="Arial" w:hAnsi="Arial"/>
                <w:sz w:val="14"/>
                <w:szCs w:val="14"/>
                <w:color w:val="auto"/>
              </w:rPr>
              <w:t>Price and Side</w:t>
            </w:r>
          </w:p>
        </w:tc>
        <w:tc>
          <w:tcPr>
            <w:tcW w:w="168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Municipal Bonds</w:t>
            </w:r>
          </w:p>
        </w:tc>
        <w:tc>
          <w:tcPr>
            <w:tcW w:w="5020" w:type="dxa"/>
            <w:vAlign w:val="bottom"/>
            <w:shd w:val="clear" w:color="auto" w:fill="1F497D"/>
          </w:tcPr>
          <w:p>
            <w:pPr>
              <w:spacing w:after="0"/>
              <w:rPr>
                <w:sz w:val="12"/>
                <w:szCs w:val="12"/>
                <w:color w:val="auto"/>
              </w:rPr>
            </w:pPr>
          </w:p>
        </w:tc>
        <w:tc>
          <w:tcPr>
            <w:tcW w:w="16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ind w:left="40"/>
              <w:spacing w:after="0" w:line="130" w:lineRule="exact"/>
              <w:rPr>
                <w:sz w:val="20"/>
                <w:szCs w:val="20"/>
                <w:color w:val="auto"/>
              </w:rPr>
            </w:pPr>
            <w:r>
              <w:rPr>
                <w:rFonts w:ascii="Arial" w:cs="Arial" w:eastAsia="Arial" w:hAnsi="Arial"/>
                <w:sz w:val="14"/>
                <w:szCs w:val="14"/>
                <w:color w:val="auto"/>
              </w:rPr>
              <w:t>Inventory</w:t>
            </w:r>
          </w:p>
        </w:tc>
        <w:tc>
          <w:tcPr>
            <w:tcW w:w="50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Response to RFQ</w:t>
            </w:r>
          </w:p>
        </w:tc>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9"/>
              </w:rPr>
              <w:t>pre-trade bids and offers from. Responses for unfilled RFQs are delayed 24hrs</w:t>
            </w:r>
          </w:p>
        </w:tc>
        <w:tc>
          <w:tcPr>
            <w:tcW w:w="168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Arial" w:cs="Arial" w:eastAsia="Arial" w:hAnsi="Arial"/>
                <w:sz w:val="14"/>
                <w:szCs w:val="14"/>
                <w:color w:val="auto"/>
              </w:rPr>
              <w:t>Trade Reports</w:t>
            </w:r>
          </w:p>
        </w:tc>
        <w:tc>
          <w:tcPr>
            <w:tcW w:w="5020" w:type="dxa"/>
            <w:vAlign w:val="bottom"/>
          </w:tcPr>
          <w:p>
            <w:pPr>
              <w:ind w:left="140"/>
              <w:spacing w:after="0"/>
              <w:rPr>
                <w:sz w:val="20"/>
                <w:szCs w:val="20"/>
                <w:color w:val="auto"/>
              </w:rPr>
            </w:pPr>
            <w:r>
              <w:rPr>
                <w:rFonts w:ascii="Arial" w:cs="Arial" w:eastAsia="Arial" w:hAnsi="Arial"/>
                <w:sz w:val="14"/>
                <w:szCs w:val="14"/>
                <w:color w:val="auto"/>
              </w:rPr>
              <w:t>Price and Side</w:t>
            </w:r>
          </w:p>
        </w:tc>
        <w:tc>
          <w:tcPr>
            <w:tcW w:w="168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Preferred Securities</w:t>
            </w:r>
          </w:p>
        </w:tc>
        <w:tc>
          <w:tcPr>
            <w:tcW w:w="5020" w:type="dxa"/>
            <w:vAlign w:val="bottom"/>
            <w:shd w:val="clear" w:color="auto" w:fill="1F497D"/>
          </w:tcPr>
          <w:p>
            <w:pPr>
              <w:spacing w:after="0"/>
              <w:rPr>
                <w:sz w:val="12"/>
                <w:szCs w:val="12"/>
                <w:color w:val="auto"/>
              </w:rPr>
            </w:pPr>
          </w:p>
        </w:tc>
        <w:tc>
          <w:tcPr>
            <w:tcW w:w="16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ind w:left="40"/>
              <w:spacing w:after="0" w:line="130" w:lineRule="exact"/>
              <w:rPr>
                <w:sz w:val="20"/>
                <w:szCs w:val="20"/>
                <w:color w:val="auto"/>
              </w:rPr>
            </w:pPr>
            <w:r>
              <w:rPr>
                <w:rFonts w:ascii="Arial" w:cs="Arial" w:eastAsia="Arial" w:hAnsi="Arial"/>
                <w:sz w:val="14"/>
                <w:szCs w:val="14"/>
                <w:color w:val="auto"/>
              </w:rPr>
              <w:t>Inventory</w:t>
            </w:r>
          </w:p>
        </w:tc>
        <w:tc>
          <w:tcPr>
            <w:tcW w:w="50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Response to RFQ</w:t>
            </w:r>
          </w:p>
        </w:tc>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9"/>
              </w:rPr>
              <w:t>pre-trade bids and offers from. Responses for unfilled RFQs are delayed 24hrs</w:t>
            </w:r>
          </w:p>
        </w:tc>
        <w:tc>
          <w:tcPr>
            <w:tcW w:w="168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Arial" w:cs="Arial" w:eastAsia="Arial" w:hAnsi="Arial"/>
                <w:sz w:val="14"/>
                <w:szCs w:val="14"/>
                <w:color w:val="auto"/>
              </w:rPr>
              <w:t>Trade Reports</w:t>
            </w:r>
          </w:p>
        </w:tc>
        <w:tc>
          <w:tcPr>
            <w:tcW w:w="5020" w:type="dxa"/>
            <w:vAlign w:val="bottom"/>
          </w:tcPr>
          <w:p>
            <w:pPr>
              <w:ind w:left="140"/>
              <w:spacing w:after="0"/>
              <w:rPr>
                <w:sz w:val="20"/>
                <w:szCs w:val="20"/>
                <w:color w:val="auto"/>
              </w:rPr>
            </w:pPr>
            <w:r>
              <w:rPr>
                <w:rFonts w:ascii="Arial" w:cs="Arial" w:eastAsia="Arial" w:hAnsi="Arial"/>
                <w:sz w:val="14"/>
                <w:szCs w:val="14"/>
                <w:color w:val="auto"/>
              </w:rPr>
              <w:t>Price and Side</w:t>
            </w:r>
          </w:p>
        </w:tc>
        <w:tc>
          <w:tcPr>
            <w:tcW w:w="168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Unit Investment Trusts (UITs)</w:t>
            </w:r>
          </w:p>
        </w:tc>
        <w:tc>
          <w:tcPr>
            <w:tcW w:w="5020" w:type="dxa"/>
            <w:vAlign w:val="bottom"/>
            <w:shd w:val="clear" w:color="auto" w:fill="1F497D"/>
          </w:tcPr>
          <w:p>
            <w:pPr>
              <w:spacing w:after="0"/>
              <w:rPr>
                <w:sz w:val="12"/>
                <w:szCs w:val="12"/>
                <w:color w:val="auto"/>
              </w:rPr>
            </w:pPr>
          </w:p>
        </w:tc>
        <w:tc>
          <w:tcPr>
            <w:tcW w:w="16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ind w:left="40"/>
              <w:spacing w:after="0" w:line="130" w:lineRule="exact"/>
              <w:rPr>
                <w:sz w:val="20"/>
                <w:szCs w:val="20"/>
                <w:color w:val="auto"/>
              </w:rPr>
            </w:pPr>
            <w:r>
              <w:rPr>
                <w:rFonts w:ascii="Arial" w:cs="Arial" w:eastAsia="Arial" w:hAnsi="Arial"/>
                <w:sz w:val="14"/>
                <w:szCs w:val="14"/>
                <w:color w:val="auto"/>
              </w:rPr>
              <w:t>Inventory</w:t>
            </w:r>
          </w:p>
        </w:tc>
        <w:tc>
          <w:tcPr>
            <w:tcW w:w="50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Response to RFQ</w:t>
            </w:r>
          </w:p>
        </w:tc>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9"/>
              </w:rPr>
              <w:t>pre-trade bids and offers from. Responses for unfilled RFQs are delayed 24hrs</w:t>
            </w:r>
          </w:p>
        </w:tc>
        <w:tc>
          <w:tcPr>
            <w:tcW w:w="168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Arial" w:cs="Arial" w:eastAsia="Arial" w:hAnsi="Arial"/>
                <w:sz w:val="14"/>
                <w:szCs w:val="14"/>
                <w:color w:val="auto"/>
              </w:rPr>
              <w:t>Trade Reports</w:t>
            </w:r>
          </w:p>
        </w:tc>
        <w:tc>
          <w:tcPr>
            <w:tcW w:w="5020" w:type="dxa"/>
            <w:vAlign w:val="bottom"/>
          </w:tcPr>
          <w:p>
            <w:pPr>
              <w:ind w:left="140"/>
              <w:spacing w:after="0"/>
              <w:rPr>
                <w:sz w:val="20"/>
                <w:szCs w:val="20"/>
                <w:color w:val="auto"/>
              </w:rPr>
            </w:pPr>
            <w:r>
              <w:rPr>
                <w:rFonts w:ascii="Arial" w:cs="Arial" w:eastAsia="Arial" w:hAnsi="Arial"/>
                <w:sz w:val="14"/>
                <w:szCs w:val="14"/>
                <w:color w:val="auto"/>
              </w:rPr>
              <w:t>Price and Side</w:t>
            </w:r>
          </w:p>
        </w:tc>
        <w:tc>
          <w:tcPr>
            <w:tcW w:w="168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w w:val="92"/>
              </w:rPr>
              <w:t>U.S. Agencies</w:t>
            </w:r>
          </w:p>
        </w:tc>
        <w:tc>
          <w:tcPr>
            <w:tcW w:w="1500" w:type="dxa"/>
            <w:vAlign w:val="bottom"/>
            <w:shd w:val="clear" w:color="auto" w:fill="1F497D"/>
          </w:tcPr>
          <w:p>
            <w:pPr>
              <w:spacing w:after="0"/>
              <w:rPr>
                <w:sz w:val="12"/>
                <w:szCs w:val="12"/>
                <w:color w:val="auto"/>
              </w:rPr>
            </w:pPr>
          </w:p>
        </w:tc>
        <w:tc>
          <w:tcPr>
            <w:tcW w:w="5020" w:type="dxa"/>
            <w:vAlign w:val="bottom"/>
            <w:shd w:val="clear" w:color="auto" w:fill="1F497D"/>
          </w:tcPr>
          <w:p>
            <w:pPr>
              <w:spacing w:after="0"/>
              <w:rPr>
                <w:sz w:val="12"/>
                <w:szCs w:val="12"/>
                <w:color w:val="auto"/>
              </w:rPr>
            </w:pPr>
          </w:p>
        </w:tc>
        <w:tc>
          <w:tcPr>
            <w:tcW w:w="16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ind w:left="40"/>
              <w:spacing w:after="0" w:line="130" w:lineRule="exact"/>
              <w:rPr>
                <w:sz w:val="20"/>
                <w:szCs w:val="20"/>
                <w:color w:val="auto"/>
              </w:rPr>
            </w:pPr>
            <w:r>
              <w:rPr>
                <w:rFonts w:ascii="Arial" w:cs="Arial" w:eastAsia="Arial" w:hAnsi="Arial"/>
                <w:sz w:val="14"/>
                <w:szCs w:val="14"/>
                <w:color w:val="auto"/>
              </w:rPr>
              <w:t>Inventory</w:t>
            </w:r>
          </w:p>
        </w:tc>
        <w:tc>
          <w:tcPr>
            <w:tcW w:w="50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Response to RFQ</w:t>
            </w:r>
          </w:p>
        </w:tc>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9"/>
              </w:rPr>
              <w:t>pre-trade bids and offers from. Responses for unfilled RFQs are delayed 24hrs</w:t>
            </w:r>
          </w:p>
        </w:tc>
        <w:tc>
          <w:tcPr>
            <w:tcW w:w="168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Arial" w:cs="Arial" w:eastAsia="Arial" w:hAnsi="Arial"/>
                <w:sz w:val="14"/>
                <w:szCs w:val="14"/>
                <w:color w:val="auto"/>
              </w:rPr>
              <w:t>Trade Reports</w:t>
            </w:r>
          </w:p>
        </w:tc>
        <w:tc>
          <w:tcPr>
            <w:tcW w:w="5020" w:type="dxa"/>
            <w:vAlign w:val="bottom"/>
          </w:tcPr>
          <w:p>
            <w:pPr>
              <w:ind w:left="140"/>
              <w:spacing w:after="0"/>
              <w:rPr>
                <w:sz w:val="20"/>
                <w:szCs w:val="20"/>
                <w:color w:val="auto"/>
              </w:rPr>
            </w:pPr>
            <w:r>
              <w:rPr>
                <w:rFonts w:ascii="Arial" w:cs="Arial" w:eastAsia="Arial" w:hAnsi="Arial"/>
                <w:sz w:val="14"/>
                <w:szCs w:val="14"/>
                <w:color w:val="auto"/>
              </w:rPr>
              <w:t>Price and Side</w:t>
            </w:r>
          </w:p>
        </w:tc>
        <w:tc>
          <w:tcPr>
            <w:tcW w:w="168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U.S. Corporate Bonds</w:t>
            </w:r>
          </w:p>
        </w:tc>
        <w:tc>
          <w:tcPr>
            <w:tcW w:w="5020" w:type="dxa"/>
            <w:vAlign w:val="bottom"/>
            <w:shd w:val="clear" w:color="auto" w:fill="1F497D"/>
          </w:tcPr>
          <w:p>
            <w:pPr>
              <w:spacing w:after="0"/>
              <w:rPr>
                <w:sz w:val="12"/>
                <w:szCs w:val="12"/>
                <w:color w:val="auto"/>
              </w:rPr>
            </w:pPr>
          </w:p>
        </w:tc>
        <w:tc>
          <w:tcPr>
            <w:tcW w:w="16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ind w:left="40"/>
              <w:spacing w:after="0" w:line="130" w:lineRule="exact"/>
              <w:rPr>
                <w:sz w:val="20"/>
                <w:szCs w:val="20"/>
                <w:color w:val="auto"/>
              </w:rPr>
            </w:pPr>
            <w:r>
              <w:rPr>
                <w:rFonts w:ascii="Arial" w:cs="Arial" w:eastAsia="Arial" w:hAnsi="Arial"/>
                <w:sz w:val="14"/>
                <w:szCs w:val="14"/>
                <w:color w:val="auto"/>
              </w:rPr>
              <w:t>Inventory</w:t>
            </w:r>
          </w:p>
        </w:tc>
        <w:tc>
          <w:tcPr>
            <w:tcW w:w="50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Response to RFQ</w:t>
            </w:r>
          </w:p>
        </w:tc>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9"/>
              </w:rPr>
              <w:t>pre-trade bids and offers from. Responses for unfilled RFQs are delayed 24hrs</w:t>
            </w:r>
          </w:p>
        </w:tc>
        <w:tc>
          <w:tcPr>
            <w:tcW w:w="168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Arial" w:cs="Arial" w:eastAsia="Arial" w:hAnsi="Arial"/>
                <w:sz w:val="14"/>
                <w:szCs w:val="14"/>
                <w:color w:val="auto"/>
              </w:rPr>
              <w:t>Trade Reports</w:t>
            </w:r>
          </w:p>
        </w:tc>
        <w:tc>
          <w:tcPr>
            <w:tcW w:w="5020" w:type="dxa"/>
            <w:vAlign w:val="bottom"/>
          </w:tcPr>
          <w:p>
            <w:pPr>
              <w:ind w:left="140"/>
              <w:spacing w:after="0"/>
              <w:rPr>
                <w:sz w:val="20"/>
                <w:szCs w:val="20"/>
                <w:color w:val="auto"/>
              </w:rPr>
            </w:pPr>
            <w:r>
              <w:rPr>
                <w:rFonts w:ascii="Arial" w:cs="Arial" w:eastAsia="Arial" w:hAnsi="Arial"/>
                <w:sz w:val="14"/>
                <w:szCs w:val="14"/>
                <w:color w:val="auto"/>
              </w:rPr>
              <w:t>Price and Side</w:t>
            </w:r>
          </w:p>
        </w:tc>
        <w:tc>
          <w:tcPr>
            <w:tcW w:w="168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20" w:type="dxa"/>
            <w:vAlign w:val="bottom"/>
            <w:gridSpan w:val="2"/>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U.S. Treasuries</w:t>
            </w:r>
          </w:p>
        </w:tc>
        <w:tc>
          <w:tcPr>
            <w:tcW w:w="5020" w:type="dxa"/>
            <w:vAlign w:val="bottom"/>
            <w:shd w:val="clear" w:color="auto" w:fill="1F497D"/>
          </w:tcPr>
          <w:p>
            <w:pPr>
              <w:spacing w:after="0"/>
              <w:rPr>
                <w:sz w:val="12"/>
                <w:szCs w:val="12"/>
                <w:color w:val="auto"/>
              </w:rPr>
            </w:pPr>
          </w:p>
        </w:tc>
        <w:tc>
          <w:tcPr>
            <w:tcW w:w="168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Pr>
          <w:p>
            <w:pPr>
              <w:ind w:left="40"/>
              <w:spacing w:after="0" w:line="130" w:lineRule="exact"/>
              <w:rPr>
                <w:sz w:val="20"/>
                <w:szCs w:val="20"/>
                <w:color w:val="auto"/>
              </w:rPr>
            </w:pPr>
            <w:r>
              <w:rPr>
                <w:rFonts w:ascii="Arial" w:cs="Arial" w:eastAsia="Arial" w:hAnsi="Arial"/>
                <w:sz w:val="14"/>
                <w:szCs w:val="14"/>
                <w:color w:val="auto"/>
              </w:rPr>
              <w:t>Inventory</w:t>
            </w:r>
          </w:p>
        </w:tc>
        <w:tc>
          <w:tcPr>
            <w:tcW w:w="50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Response to RFQ</w:t>
            </w:r>
          </w:p>
        </w:tc>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9"/>
              </w:rPr>
              <w:t>pre-trade bids and offers from. Responses for unfilled RFQs are delayed 24hrs</w:t>
            </w:r>
          </w:p>
        </w:tc>
        <w:tc>
          <w:tcPr>
            <w:tcW w:w="1680" w:type="dxa"/>
            <w:vAlign w:val="bottom"/>
          </w:tcPr>
          <w:p>
            <w:pPr>
              <w:spacing w:after="0"/>
              <w:rPr>
                <w:sz w:val="12"/>
                <w:szCs w:val="12"/>
                <w:color w:val="auto"/>
              </w:rPr>
            </w:pPr>
          </w:p>
        </w:tc>
      </w:tr>
      <w:tr>
        <w:trPr>
          <w:trHeight w:val="182"/>
        </w:trPr>
        <w:tc>
          <w:tcPr>
            <w:tcW w:w="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Pr>
          <w:p>
            <w:pPr>
              <w:ind w:left="40"/>
              <w:spacing w:after="0"/>
              <w:rPr>
                <w:sz w:val="20"/>
                <w:szCs w:val="20"/>
                <w:color w:val="auto"/>
              </w:rPr>
            </w:pPr>
            <w:r>
              <w:rPr>
                <w:rFonts w:ascii="Arial" w:cs="Arial" w:eastAsia="Arial" w:hAnsi="Arial"/>
                <w:sz w:val="14"/>
                <w:szCs w:val="14"/>
                <w:color w:val="auto"/>
              </w:rPr>
              <w:t>Trade Reports</w:t>
            </w:r>
          </w:p>
        </w:tc>
        <w:tc>
          <w:tcPr>
            <w:tcW w:w="5020" w:type="dxa"/>
            <w:vAlign w:val="bottom"/>
          </w:tcPr>
          <w:p>
            <w:pPr>
              <w:ind w:left="140"/>
              <w:spacing w:after="0"/>
              <w:rPr>
                <w:sz w:val="20"/>
                <w:szCs w:val="20"/>
                <w:color w:val="auto"/>
              </w:rPr>
            </w:pPr>
            <w:r>
              <w:rPr>
                <w:rFonts w:ascii="Arial" w:cs="Arial" w:eastAsia="Arial" w:hAnsi="Arial"/>
                <w:sz w:val="14"/>
                <w:szCs w:val="14"/>
                <w:color w:val="auto"/>
              </w:rPr>
              <w:t>Price and Side</w:t>
            </w:r>
          </w:p>
        </w:tc>
        <w:tc>
          <w:tcPr>
            <w:tcW w:w="1680" w:type="dxa"/>
            <w:vAlign w:val="bottom"/>
          </w:tcPr>
          <w:p>
            <w:pPr>
              <w:spacing w:after="0"/>
              <w:rPr>
                <w:sz w:val="15"/>
                <w:szCs w:val="15"/>
                <w:color w:val="auto"/>
              </w:rPr>
            </w:pPr>
          </w:p>
        </w:tc>
      </w:tr>
      <w:tr>
        <w:trPr>
          <w:trHeight w:val="633"/>
        </w:trPr>
        <w:tc>
          <w:tcPr>
            <w:tcW w:w="9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7" w:right="239" w:bottom="1440" w:gutter="0" w:footer="0" w:header="0"/>
        </w:sectPr>
      </w:pPr>
    </w:p>
    <w:bookmarkStart w:id="330" w:name="page331"/>
    <w:bookmarkEnd w:id="3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1</w:t>
            </w:r>
          </w:p>
        </w:tc>
        <w:tc>
          <w:tcPr>
            <w:tcW w:w="126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2</w:t>
            </w:r>
          </w:p>
        </w:tc>
        <w:tc>
          <w:tcPr>
            <w:tcW w:w="840" w:type="dxa"/>
            <w:vAlign w:val="bottom"/>
            <w:shd w:val="clear" w:color="auto" w:fill="EEECE1"/>
          </w:tcPr>
          <w:p>
            <w:pPr>
              <w:ind w:left="40"/>
              <w:spacing w:after="0"/>
              <w:rPr>
                <w:sz w:val="20"/>
                <w:szCs w:val="20"/>
                <w:color w:val="auto"/>
              </w:rPr>
            </w:pPr>
            <w:r>
              <w:rPr>
                <w:rFonts w:ascii="Arial" w:cs="Arial" w:eastAsia="Arial" w:hAnsi="Arial"/>
                <w:sz w:val="14"/>
                <w:szCs w:val="14"/>
                <w:b w:val="1"/>
                <w:bCs w:val="1"/>
                <w:color w:val="auto"/>
              </w:rPr>
              <w:t>3</w:t>
            </w:r>
          </w:p>
        </w:tc>
        <w:tc>
          <w:tcPr>
            <w:tcW w:w="2360" w:type="dxa"/>
            <w:vAlign w:val="bottom"/>
            <w:shd w:val="clear" w:color="auto" w:fill="EEECE1"/>
          </w:tcPr>
          <w:p>
            <w:pPr>
              <w:ind w:left="120"/>
              <w:spacing w:after="0"/>
              <w:rPr>
                <w:sz w:val="20"/>
                <w:szCs w:val="20"/>
                <w:color w:val="auto"/>
              </w:rPr>
            </w:pPr>
            <w:r>
              <w:rPr>
                <w:rFonts w:ascii="Arial" w:cs="Arial" w:eastAsia="Arial" w:hAnsi="Arial"/>
                <w:sz w:val="14"/>
                <w:szCs w:val="14"/>
                <w:b w:val="1"/>
                <w:bCs w:val="1"/>
                <w:color w:val="auto"/>
              </w:rPr>
              <w:t>4</w:t>
            </w:r>
          </w:p>
        </w:tc>
        <w:tc>
          <w:tcPr>
            <w:tcW w:w="5200" w:type="dxa"/>
            <w:vAlign w:val="bottom"/>
            <w:shd w:val="clear" w:color="auto" w:fill="EEECE1"/>
          </w:tcPr>
          <w:p>
            <w:pPr>
              <w:ind w:left="280"/>
              <w:spacing w:after="0"/>
              <w:rPr>
                <w:sz w:val="20"/>
                <w:szCs w:val="20"/>
                <w:color w:val="auto"/>
              </w:rPr>
            </w:pPr>
            <w:r>
              <w:rPr>
                <w:rFonts w:ascii="Arial" w:cs="Arial" w:eastAsia="Arial" w:hAnsi="Arial"/>
                <w:sz w:val="14"/>
                <w:szCs w:val="14"/>
                <w:b w:val="1"/>
                <w:bCs w:val="1"/>
                <w:color w:val="auto"/>
              </w:rPr>
              <w:t>5</w:t>
            </w:r>
          </w:p>
        </w:tc>
        <w:tc>
          <w:tcPr>
            <w:tcW w:w="840" w:type="dxa"/>
            <w:vAlign w:val="bottom"/>
            <w:shd w:val="clear" w:color="auto" w:fill="EEECE1"/>
          </w:tcPr>
          <w:p>
            <w:pPr>
              <w:jc w:val="right"/>
              <w:ind w:right="488"/>
              <w:spacing w:after="0"/>
              <w:rPr>
                <w:sz w:val="20"/>
                <w:szCs w:val="20"/>
                <w:color w:val="auto"/>
              </w:rPr>
            </w:pPr>
            <w:r>
              <w:rPr>
                <w:rFonts w:ascii="Arial" w:cs="Arial" w:eastAsia="Arial" w:hAnsi="Arial"/>
                <w:sz w:val="14"/>
                <w:szCs w:val="14"/>
                <w:b w:val="1"/>
                <w:bCs w:val="1"/>
                <w:color w:val="auto"/>
              </w:rPr>
              <w:t>6</w:t>
            </w:r>
          </w:p>
        </w:tc>
      </w:tr>
      <w:tr>
        <w:trPr>
          <w:trHeight w:val="171"/>
        </w:trPr>
        <w:tc>
          <w:tcPr>
            <w:tcW w:w="920" w:type="dxa"/>
            <w:vAlign w:val="bottom"/>
            <w:shd w:val="clear" w:color="auto" w:fill="EEECE1"/>
          </w:tcPr>
          <w:p>
            <w:pPr>
              <w:ind w:left="60"/>
              <w:spacing w:after="0"/>
              <w:rPr>
                <w:sz w:val="20"/>
                <w:szCs w:val="20"/>
                <w:color w:val="auto"/>
              </w:rPr>
            </w:pPr>
            <w:r>
              <w:rPr>
                <w:rFonts w:ascii="Arial" w:cs="Arial" w:eastAsia="Arial" w:hAnsi="Arial"/>
                <w:sz w:val="14"/>
                <w:szCs w:val="14"/>
                <w:b w:val="1"/>
                <w:bCs w:val="1"/>
                <w:color w:val="auto"/>
              </w:rPr>
              <w:t>Dealerweb</w:t>
            </w:r>
          </w:p>
        </w:tc>
        <w:tc>
          <w:tcPr>
            <w:tcW w:w="1260" w:type="dxa"/>
            <w:vAlign w:val="bottom"/>
            <w:shd w:val="clear" w:color="auto" w:fill="EEECE1"/>
          </w:tcPr>
          <w:p>
            <w:pPr>
              <w:spacing w:after="0"/>
              <w:rPr>
                <w:sz w:val="14"/>
                <w:szCs w:val="14"/>
                <w:color w:val="auto"/>
              </w:rPr>
            </w:pPr>
          </w:p>
        </w:tc>
        <w:tc>
          <w:tcPr>
            <w:tcW w:w="840" w:type="dxa"/>
            <w:vAlign w:val="bottom"/>
            <w:shd w:val="clear" w:color="auto" w:fill="EEECE1"/>
          </w:tcPr>
          <w:p>
            <w:pPr>
              <w:spacing w:after="0"/>
              <w:rPr>
                <w:sz w:val="14"/>
                <w:szCs w:val="14"/>
                <w:color w:val="auto"/>
              </w:rPr>
            </w:pPr>
          </w:p>
        </w:tc>
        <w:tc>
          <w:tcPr>
            <w:tcW w:w="2360" w:type="dxa"/>
            <w:vAlign w:val="bottom"/>
            <w:shd w:val="clear" w:color="auto" w:fill="EEECE1"/>
          </w:tcPr>
          <w:p>
            <w:pPr>
              <w:spacing w:after="0"/>
              <w:rPr>
                <w:sz w:val="14"/>
                <w:szCs w:val="14"/>
                <w:color w:val="auto"/>
              </w:rPr>
            </w:pPr>
          </w:p>
        </w:tc>
        <w:tc>
          <w:tcPr>
            <w:tcW w:w="5200" w:type="dxa"/>
            <w:vAlign w:val="bottom"/>
            <w:shd w:val="clear" w:color="auto" w:fill="EEECE1"/>
          </w:tcPr>
          <w:p>
            <w:pPr>
              <w:spacing w:after="0"/>
              <w:rPr>
                <w:sz w:val="14"/>
                <w:szCs w:val="14"/>
                <w:color w:val="auto"/>
              </w:rPr>
            </w:pPr>
          </w:p>
        </w:tc>
        <w:tc>
          <w:tcPr>
            <w:tcW w:w="840" w:type="dxa"/>
            <w:vAlign w:val="bottom"/>
            <w:shd w:val="clear" w:color="auto" w:fill="EEECE1"/>
          </w:tcPr>
          <w:p>
            <w:pPr>
              <w:spacing w:after="0"/>
              <w:rPr>
                <w:sz w:val="14"/>
                <w:szCs w:val="14"/>
                <w:color w:val="auto"/>
              </w:rPr>
            </w:pPr>
          </w:p>
        </w:tc>
      </w:tr>
      <w:tr>
        <w:trPr>
          <w:trHeight w:val="149"/>
        </w:trPr>
        <w:tc>
          <w:tcPr>
            <w:tcW w:w="920" w:type="dxa"/>
            <w:vAlign w:val="bottom"/>
            <w:shd w:val="clear" w:color="auto" w:fill="EEECE1"/>
          </w:tcPr>
          <w:p>
            <w:pPr>
              <w:spacing w:after="0"/>
              <w:rPr>
                <w:sz w:val="12"/>
                <w:szCs w:val="12"/>
                <w:color w:val="auto"/>
              </w:rPr>
            </w:pPr>
          </w:p>
        </w:tc>
        <w:tc>
          <w:tcPr>
            <w:tcW w:w="1260" w:type="dxa"/>
            <w:vAlign w:val="bottom"/>
            <w:shd w:val="clear" w:color="auto" w:fill="EEECE1"/>
          </w:tcPr>
          <w:p>
            <w:pPr>
              <w:spacing w:after="0"/>
              <w:rPr>
                <w:sz w:val="12"/>
                <w:szCs w:val="12"/>
                <w:color w:val="auto"/>
              </w:rPr>
            </w:pPr>
          </w:p>
        </w:tc>
        <w:tc>
          <w:tcPr>
            <w:tcW w:w="840" w:type="dxa"/>
            <w:vAlign w:val="bottom"/>
            <w:shd w:val="clear" w:color="auto" w:fill="EEECE1"/>
          </w:tcPr>
          <w:p>
            <w:pPr>
              <w:spacing w:after="0"/>
              <w:rPr>
                <w:sz w:val="12"/>
                <w:szCs w:val="12"/>
                <w:color w:val="auto"/>
              </w:rPr>
            </w:pPr>
          </w:p>
        </w:tc>
        <w:tc>
          <w:tcPr>
            <w:tcW w:w="2360" w:type="dxa"/>
            <w:vAlign w:val="bottom"/>
            <w:shd w:val="clear" w:color="auto" w:fill="EEECE1"/>
          </w:tcPr>
          <w:p>
            <w:pPr>
              <w:spacing w:after="0"/>
              <w:rPr>
                <w:sz w:val="12"/>
                <w:szCs w:val="12"/>
                <w:color w:val="auto"/>
              </w:rPr>
            </w:pPr>
          </w:p>
        </w:tc>
        <w:tc>
          <w:tcPr>
            <w:tcW w:w="5200" w:type="dxa"/>
            <w:vAlign w:val="bottom"/>
            <w:shd w:val="clear" w:color="auto" w:fill="EEECE1"/>
          </w:tcPr>
          <w:p>
            <w:pPr>
              <w:spacing w:after="0"/>
              <w:rPr>
                <w:sz w:val="12"/>
                <w:szCs w:val="12"/>
                <w:color w:val="auto"/>
              </w:rPr>
            </w:pPr>
          </w:p>
        </w:tc>
        <w:tc>
          <w:tcPr>
            <w:tcW w:w="840" w:type="dxa"/>
            <w:vAlign w:val="bottom"/>
            <w:shd w:val="clear" w:color="auto" w:fill="EEECE1"/>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60" w:type="dxa"/>
            <w:vAlign w:val="bottom"/>
            <w:shd w:val="clear" w:color="auto" w:fill="C00000"/>
          </w:tcPr>
          <w:p>
            <w:pPr>
              <w:ind w:left="40"/>
              <w:spacing w:after="0" w:line="149" w:lineRule="exact"/>
              <w:rPr>
                <w:sz w:val="20"/>
                <w:szCs w:val="20"/>
                <w:color w:val="auto"/>
              </w:rPr>
            </w:pPr>
            <w:r>
              <w:rPr>
                <w:rFonts w:ascii="Arial" w:cs="Arial" w:eastAsia="Arial" w:hAnsi="Arial"/>
                <w:sz w:val="14"/>
                <w:szCs w:val="14"/>
                <w:b w:val="1"/>
                <w:bCs w:val="1"/>
                <w:color w:val="FFFFFF"/>
              </w:rPr>
              <w:t>USD</w:t>
            </w:r>
          </w:p>
        </w:tc>
        <w:tc>
          <w:tcPr>
            <w:tcW w:w="840" w:type="dxa"/>
            <w:vAlign w:val="bottom"/>
            <w:shd w:val="clear" w:color="auto" w:fill="C00000"/>
          </w:tcPr>
          <w:p>
            <w:pPr>
              <w:spacing w:after="0"/>
              <w:rPr>
                <w:sz w:val="12"/>
                <w:szCs w:val="12"/>
                <w:color w:val="auto"/>
              </w:rPr>
            </w:pPr>
          </w:p>
        </w:tc>
        <w:tc>
          <w:tcPr>
            <w:tcW w:w="2360" w:type="dxa"/>
            <w:vAlign w:val="bottom"/>
            <w:shd w:val="clear" w:color="auto" w:fill="C00000"/>
          </w:tcPr>
          <w:p>
            <w:pPr>
              <w:spacing w:after="0"/>
              <w:rPr>
                <w:sz w:val="12"/>
                <w:szCs w:val="12"/>
                <w:color w:val="auto"/>
              </w:rPr>
            </w:pPr>
          </w:p>
        </w:tc>
        <w:tc>
          <w:tcPr>
            <w:tcW w:w="5200" w:type="dxa"/>
            <w:vAlign w:val="bottom"/>
            <w:shd w:val="clear" w:color="auto" w:fill="C00000"/>
          </w:tcPr>
          <w:p>
            <w:pPr>
              <w:spacing w:after="0"/>
              <w:rPr>
                <w:sz w:val="12"/>
                <w:szCs w:val="12"/>
                <w:color w:val="auto"/>
              </w:rPr>
            </w:pPr>
          </w:p>
        </w:tc>
        <w:tc>
          <w:tcPr>
            <w:tcW w:w="840" w:type="dxa"/>
            <w:vAlign w:val="bottom"/>
            <w:shd w:val="clear" w:color="auto" w:fill="C00000"/>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Actives</w:t>
            </w:r>
          </w:p>
        </w:tc>
        <w:tc>
          <w:tcPr>
            <w:tcW w:w="2360" w:type="dxa"/>
            <w:vAlign w:val="bottom"/>
            <w:shd w:val="clear" w:color="auto" w:fill="1F497D"/>
          </w:tcPr>
          <w:p>
            <w:pPr>
              <w:spacing w:after="0"/>
              <w:rPr>
                <w:sz w:val="12"/>
                <w:szCs w:val="12"/>
                <w:color w:val="auto"/>
              </w:rPr>
            </w:pPr>
          </w:p>
        </w:tc>
        <w:tc>
          <w:tcPr>
            <w:tcW w:w="5200" w:type="dxa"/>
            <w:vAlign w:val="bottom"/>
            <w:shd w:val="clear" w:color="auto" w:fill="1F497D"/>
          </w:tcPr>
          <w:p>
            <w:pPr>
              <w:spacing w:after="0"/>
              <w:rPr>
                <w:sz w:val="12"/>
                <w:szCs w:val="12"/>
                <w:color w:val="auto"/>
              </w:rPr>
            </w:pPr>
          </w:p>
        </w:tc>
        <w:tc>
          <w:tcPr>
            <w:tcW w:w="84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US Treasury On-the-Run Quotes</w:t>
            </w:r>
          </w:p>
        </w:tc>
        <w:tc>
          <w:tcPr>
            <w:tcW w:w="5200" w:type="dxa"/>
            <w:vAlign w:val="bottom"/>
          </w:tcPr>
          <w:p>
            <w:pPr>
              <w:ind w:left="280"/>
              <w:spacing w:after="0" w:line="130" w:lineRule="exact"/>
              <w:rPr>
                <w:sz w:val="20"/>
                <w:szCs w:val="20"/>
                <w:color w:val="auto"/>
              </w:rPr>
            </w:pPr>
            <w:r>
              <w:rPr>
                <w:rFonts w:ascii="Arial" w:cs="Arial" w:eastAsia="Arial" w:hAnsi="Arial"/>
                <w:sz w:val="14"/>
                <w:szCs w:val="14"/>
                <w:color w:val="auto"/>
              </w:rPr>
              <w:t>Top of Book</w:t>
            </w:r>
          </w:p>
        </w:tc>
        <w:tc>
          <w:tcPr>
            <w:tcW w:w="840" w:type="dxa"/>
            <w:vAlign w:val="bottom"/>
          </w:tcPr>
          <w:p>
            <w:pPr>
              <w:spacing w:after="0"/>
              <w:rPr>
                <w:sz w:val="11"/>
                <w:szCs w:val="11"/>
                <w:color w:val="auto"/>
              </w:rPr>
            </w:pPr>
          </w:p>
        </w:tc>
      </w:tr>
      <w:tr>
        <w:trPr>
          <w:trHeight w:val="167"/>
        </w:trPr>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US Treasury On-the-Run Trades</w:t>
            </w:r>
          </w:p>
        </w:tc>
        <w:tc>
          <w:tcPr>
            <w:tcW w:w="5200" w:type="dxa"/>
            <w:vAlign w:val="bottom"/>
          </w:tcPr>
          <w:p>
            <w:pPr>
              <w:ind w:left="280"/>
              <w:spacing w:after="0"/>
              <w:rPr>
                <w:sz w:val="20"/>
                <w:szCs w:val="20"/>
                <w:color w:val="auto"/>
              </w:rPr>
            </w:pPr>
            <w:r>
              <w:rPr>
                <w:rFonts w:ascii="Arial" w:cs="Arial" w:eastAsia="Arial" w:hAnsi="Arial"/>
                <w:sz w:val="14"/>
                <w:szCs w:val="14"/>
                <w:color w:val="auto"/>
              </w:rPr>
              <w:t>Hit and Take Indication</w:t>
            </w:r>
          </w:p>
        </w:tc>
        <w:tc>
          <w:tcPr>
            <w:tcW w:w="84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Equities</w:t>
            </w:r>
          </w:p>
        </w:tc>
        <w:tc>
          <w:tcPr>
            <w:tcW w:w="2360" w:type="dxa"/>
            <w:vAlign w:val="bottom"/>
            <w:shd w:val="clear" w:color="auto" w:fill="1F497D"/>
          </w:tcPr>
          <w:p>
            <w:pPr>
              <w:spacing w:after="0"/>
              <w:rPr>
                <w:sz w:val="12"/>
                <w:szCs w:val="12"/>
                <w:color w:val="auto"/>
              </w:rPr>
            </w:pPr>
          </w:p>
        </w:tc>
        <w:tc>
          <w:tcPr>
            <w:tcW w:w="5200" w:type="dxa"/>
            <w:vAlign w:val="bottom"/>
            <w:shd w:val="clear" w:color="auto" w:fill="1F497D"/>
          </w:tcPr>
          <w:p>
            <w:pPr>
              <w:spacing w:after="0"/>
              <w:rPr>
                <w:sz w:val="12"/>
                <w:szCs w:val="12"/>
                <w:color w:val="auto"/>
              </w:rPr>
            </w:pPr>
          </w:p>
        </w:tc>
        <w:tc>
          <w:tcPr>
            <w:tcW w:w="84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Delta One - EFP (DW)</w:t>
            </w:r>
          </w:p>
        </w:tc>
        <w:tc>
          <w:tcPr>
            <w:tcW w:w="5200" w:type="dxa"/>
            <w:vAlign w:val="bottom"/>
          </w:tcPr>
          <w:p>
            <w:pPr>
              <w:ind w:left="280"/>
              <w:spacing w:after="0" w:line="130" w:lineRule="exact"/>
              <w:rPr>
                <w:sz w:val="20"/>
                <w:szCs w:val="20"/>
                <w:color w:val="auto"/>
              </w:rPr>
            </w:pPr>
            <w:r>
              <w:rPr>
                <w:rFonts w:ascii="Arial" w:cs="Arial" w:eastAsia="Arial" w:hAnsi="Arial"/>
                <w:sz w:val="14"/>
                <w:szCs w:val="14"/>
                <w:color w:val="auto"/>
              </w:rPr>
              <w:t>Trades and quotes</w:t>
            </w:r>
          </w:p>
        </w:tc>
        <w:tc>
          <w:tcPr>
            <w:tcW w:w="840" w:type="dxa"/>
            <w:vAlign w:val="bottom"/>
          </w:tcPr>
          <w:p>
            <w:pPr>
              <w:spacing w:after="0"/>
              <w:rPr>
                <w:sz w:val="11"/>
                <w:szCs w:val="11"/>
                <w:color w:val="auto"/>
              </w:rPr>
            </w:pPr>
          </w:p>
        </w:tc>
      </w:tr>
      <w:tr>
        <w:trPr>
          <w:trHeight w:val="167"/>
        </w:trPr>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ETF NAV Cross (DW)</w:t>
            </w:r>
          </w:p>
        </w:tc>
        <w:tc>
          <w:tcPr>
            <w:tcW w:w="5200" w:type="dxa"/>
            <w:vAlign w:val="bottom"/>
          </w:tcPr>
          <w:p>
            <w:pPr>
              <w:ind w:left="280"/>
              <w:spacing w:after="0"/>
              <w:rPr>
                <w:sz w:val="20"/>
                <w:szCs w:val="20"/>
                <w:color w:val="auto"/>
              </w:rPr>
            </w:pPr>
            <w:r>
              <w:rPr>
                <w:rFonts w:ascii="Arial" w:cs="Arial" w:eastAsia="Arial" w:hAnsi="Arial"/>
                <w:sz w:val="14"/>
                <w:szCs w:val="14"/>
                <w:color w:val="auto"/>
              </w:rPr>
              <w:t>Trades and quotes</w:t>
            </w:r>
          </w:p>
        </w:tc>
        <w:tc>
          <w:tcPr>
            <w:tcW w:w="84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Finance</w:t>
            </w:r>
          </w:p>
        </w:tc>
        <w:tc>
          <w:tcPr>
            <w:tcW w:w="2360" w:type="dxa"/>
            <w:vAlign w:val="bottom"/>
            <w:shd w:val="clear" w:color="auto" w:fill="1F497D"/>
          </w:tcPr>
          <w:p>
            <w:pPr>
              <w:spacing w:after="0"/>
              <w:rPr>
                <w:sz w:val="12"/>
                <w:szCs w:val="12"/>
                <w:color w:val="auto"/>
              </w:rPr>
            </w:pPr>
          </w:p>
        </w:tc>
        <w:tc>
          <w:tcPr>
            <w:tcW w:w="5200" w:type="dxa"/>
            <w:vAlign w:val="bottom"/>
            <w:shd w:val="clear" w:color="auto" w:fill="1F497D"/>
          </w:tcPr>
          <w:p>
            <w:pPr>
              <w:spacing w:after="0"/>
              <w:rPr>
                <w:sz w:val="12"/>
                <w:szCs w:val="12"/>
                <w:color w:val="auto"/>
              </w:rPr>
            </w:pPr>
          </w:p>
        </w:tc>
        <w:tc>
          <w:tcPr>
            <w:tcW w:w="84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US TSY Repo Regular Start</w:t>
            </w:r>
          </w:p>
        </w:tc>
        <w:tc>
          <w:tcPr>
            <w:tcW w:w="5200" w:type="dxa"/>
            <w:vAlign w:val="bottom"/>
          </w:tcPr>
          <w:p>
            <w:pPr>
              <w:ind w:left="280"/>
              <w:spacing w:after="0" w:line="130" w:lineRule="exact"/>
              <w:rPr>
                <w:sz w:val="20"/>
                <w:szCs w:val="20"/>
                <w:color w:val="auto"/>
              </w:rPr>
            </w:pPr>
            <w:r>
              <w:rPr>
                <w:rFonts w:ascii="Arial" w:cs="Arial" w:eastAsia="Arial" w:hAnsi="Arial"/>
                <w:sz w:val="14"/>
                <w:szCs w:val="14"/>
                <w:color w:val="auto"/>
                <w:w w:val="97"/>
              </w:rPr>
              <w:t>Snap quotes at 10am, 12pm, 3pm, 5:30pm. Quotes include High, Low and VWAP</w:t>
            </w:r>
          </w:p>
        </w:tc>
        <w:tc>
          <w:tcPr>
            <w:tcW w:w="84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US TSY Cash Start , Benchmarks</w:t>
            </w:r>
          </w:p>
        </w:tc>
        <w:tc>
          <w:tcPr>
            <w:tcW w:w="5200" w:type="dxa"/>
            <w:vAlign w:val="bottom"/>
          </w:tcPr>
          <w:p>
            <w:pPr>
              <w:ind w:left="280"/>
              <w:spacing w:after="0" w:line="149" w:lineRule="exact"/>
              <w:rPr>
                <w:sz w:val="20"/>
                <w:szCs w:val="20"/>
                <w:color w:val="auto"/>
              </w:rPr>
            </w:pPr>
            <w:r>
              <w:rPr>
                <w:rFonts w:ascii="Arial" w:cs="Arial" w:eastAsia="Arial" w:hAnsi="Arial"/>
                <w:sz w:val="14"/>
                <w:szCs w:val="14"/>
                <w:color w:val="auto"/>
                <w:w w:val="97"/>
              </w:rPr>
              <w:t>Snap quotes at 10am, 12pm, 3pm, 5:30pm. Quotes include High, Low and VWAP</w:t>
            </w:r>
          </w:p>
        </w:tc>
        <w:tc>
          <w:tcPr>
            <w:tcW w:w="84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US Repo Specials</w:t>
            </w:r>
          </w:p>
        </w:tc>
        <w:tc>
          <w:tcPr>
            <w:tcW w:w="5200" w:type="dxa"/>
            <w:vAlign w:val="bottom"/>
          </w:tcPr>
          <w:p>
            <w:pPr>
              <w:ind w:left="280"/>
              <w:spacing w:after="0" w:line="149" w:lineRule="exact"/>
              <w:rPr>
                <w:sz w:val="20"/>
                <w:szCs w:val="20"/>
                <w:color w:val="auto"/>
              </w:rPr>
            </w:pPr>
            <w:r>
              <w:rPr>
                <w:rFonts w:ascii="Arial" w:cs="Arial" w:eastAsia="Arial" w:hAnsi="Arial"/>
                <w:sz w:val="14"/>
                <w:szCs w:val="14"/>
                <w:color w:val="auto"/>
                <w:w w:val="97"/>
              </w:rPr>
              <w:t>Snap quotes at 10am, 12pm, 3pm, 5:30pm. Quotes include High, Low and VWAP</w:t>
            </w:r>
          </w:p>
        </w:tc>
        <w:tc>
          <w:tcPr>
            <w:tcW w:w="84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GC and GCF</w:t>
            </w:r>
          </w:p>
        </w:tc>
        <w:tc>
          <w:tcPr>
            <w:tcW w:w="5200" w:type="dxa"/>
            <w:vAlign w:val="bottom"/>
          </w:tcPr>
          <w:p>
            <w:pPr>
              <w:ind w:left="280"/>
              <w:spacing w:after="0"/>
              <w:rPr>
                <w:sz w:val="20"/>
                <w:szCs w:val="20"/>
                <w:color w:val="auto"/>
              </w:rPr>
            </w:pPr>
            <w:r>
              <w:rPr>
                <w:rFonts w:ascii="Arial" w:cs="Arial" w:eastAsia="Arial" w:hAnsi="Arial"/>
                <w:sz w:val="14"/>
                <w:szCs w:val="14"/>
                <w:color w:val="auto"/>
                <w:w w:val="97"/>
              </w:rPr>
              <w:t>Snap quotes at 10am, 12pm, 3pm, 5:30pm. Quotes include High, Low and VWAP</w:t>
            </w:r>
          </w:p>
        </w:tc>
        <w:tc>
          <w:tcPr>
            <w:tcW w:w="84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Mortgages</w:t>
            </w:r>
          </w:p>
        </w:tc>
        <w:tc>
          <w:tcPr>
            <w:tcW w:w="2360" w:type="dxa"/>
            <w:vAlign w:val="bottom"/>
            <w:shd w:val="clear" w:color="auto" w:fill="1F497D"/>
          </w:tcPr>
          <w:p>
            <w:pPr>
              <w:spacing w:after="0"/>
              <w:rPr>
                <w:sz w:val="12"/>
                <w:szCs w:val="12"/>
                <w:color w:val="auto"/>
              </w:rPr>
            </w:pPr>
          </w:p>
        </w:tc>
        <w:tc>
          <w:tcPr>
            <w:tcW w:w="5200" w:type="dxa"/>
            <w:vAlign w:val="bottom"/>
            <w:shd w:val="clear" w:color="auto" w:fill="1F497D"/>
          </w:tcPr>
          <w:p>
            <w:pPr>
              <w:spacing w:after="0"/>
              <w:rPr>
                <w:sz w:val="12"/>
                <w:szCs w:val="12"/>
                <w:color w:val="auto"/>
              </w:rPr>
            </w:pPr>
          </w:p>
        </w:tc>
        <w:tc>
          <w:tcPr>
            <w:tcW w:w="84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TBA-MBS Outright Quotes</w:t>
            </w:r>
          </w:p>
        </w:tc>
        <w:tc>
          <w:tcPr>
            <w:tcW w:w="5200" w:type="dxa"/>
            <w:vAlign w:val="bottom"/>
          </w:tcPr>
          <w:p>
            <w:pPr>
              <w:ind w:left="280"/>
              <w:spacing w:after="0" w:line="130" w:lineRule="exact"/>
              <w:rPr>
                <w:sz w:val="20"/>
                <w:szCs w:val="20"/>
                <w:color w:val="auto"/>
              </w:rPr>
            </w:pPr>
            <w:r>
              <w:rPr>
                <w:rFonts w:ascii="Arial" w:cs="Arial" w:eastAsia="Arial" w:hAnsi="Arial"/>
                <w:sz w:val="14"/>
                <w:szCs w:val="14"/>
                <w:color w:val="auto"/>
              </w:rPr>
              <w:t>Top of Book</w:t>
            </w:r>
          </w:p>
        </w:tc>
        <w:tc>
          <w:tcPr>
            <w:tcW w:w="84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TBA-MBS Outright Trades</w:t>
            </w:r>
          </w:p>
        </w:tc>
        <w:tc>
          <w:tcPr>
            <w:tcW w:w="5200" w:type="dxa"/>
            <w:vAlign w:val="bottom"/>
          </w:tcPr>
          <w:p>
            <w:pPr>
              <w:ind w:left="280"/>
              <w:spacing w:after="0" w:line="149" w:lineRule="exact"/>
              <w:rPr>
                <w:sz w:val="20"/>
                <w:szCs w:val="20"/>
                <w:color w:val="auto"/>
              </w:rPr>
            </w:pPr>
            <w:r>
              <w:rPr>
                <w:rFonts w:ascii="Arial" w:cs="Arial" w:eastAsia="Arial" w:hAnsi="Arial"/>
                <w:sz w:val="14"/>
                <w:szCs w:val="14"/>
                <w:color w:val="auto"/>
              </w:rPr>
              <w:t>Price</w:t>
            </w:r>
          </w:p>
        </w:tc>
        <w:tc>
          <w:tcPr>
            <w:tcW w:w="84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TBA Swaps Quotes</w:t>
            </w:r>
          </w:p>
        </w:tc>
        <w:tc>
          <w:tcPr>
            <w:tcW w:w="5200" w:type="dxa"/>
            <w:vAlign w:val="bottom"/>
          </w:tcPr>
          <w:p>
            <w:pPr>
              <w:ind w:left="280"/>
              <w:spacing w:after="0" w:line="149" w:lineRule="exact"/>
              <w:rPr>
                <w:sz w:val="20"/>
                <w:szCs w:val="20"/>
                <w:color w:val="auto"/>
              </w:rPr>
            </w:pPr>
            <w:r>
              <w:rPr>
                <w:rFonts w:ascii="Arial" w:cs="Arial" w:eastAsia="Arial" w:hAnsi="Arial"/>
                <w:sz w:val="14"/>
                <w:szCs w:val="14"/>
                <w:color w:val="auto"/>
              </w:rPr>
              <w:t>Top of Book</w:t>
            </w:r>
          </w:p>
        </w:tc>
        <w:tc>
          <w:tcPr>
            <w:tcW w:w="84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TBA Swaps Trades</w:t>
            </w:r>
          </w:p>
        </w:tc>
        <w:tc>
          <w:tcPr>
            <w:tcW w:w="5200" w:type="dxa"/>
            <w:vAlign w:val="bottom"/>
          </w:tcPr>
          <w:p>
            <w:pPr>
              <w:ind w:left="280"/>
              <w:spacing w:after="0" w:line="149" w:lineRule="exact"/>
              <w:rPr>
                <w:sz w:val="20"/>
                <w:szCs w:val="20"/>
                <w:color w:val="auto"/>
              </w:rPr>
            </w:pPr>
            <w:r>
              <w:rPr>
                <w:rFonts w:ascii="Arial" w:cs="Arial" w:eastAsia="Arial" w:hAnsi="Arial"/>
                <w:sz w:val="14"/>
                <w:szCs w:val="14"/>
                <w:color w:val="auto"/>
              </w:rPr>
              <w:t>Price</w:t>
            </w:r>
          </w:p>
        </w:tc>
        <w:tc>
          <w:tcPr>
            <w:tcW w:w="84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TBA Butterflies Quotes</w:t>
            </w:r>
          </w:p>
        </w:tc>
        <w:tc>
          <w:tcPr>
            <w:tcW w:w="5200" w:type="dxa"/>
            <w:vAlign w:val="bottom"/>
          </w:tcPr>
          <w:p>
            <w:pPr>
              <w:ind w:left="280"/>
              <w:spacing w:after="0" w:line="149" w:lineRule="exact"/>
              <w:rPr>
                <w:sz w:val="20"/>
                <w:szCs w:val="20"/>
                <w:color w:val="auto"/>
              </w:rPr>
            </w:pPr>
            <w:r>
              <w:rPr>
                <w:rFonts w:ascii="Arial" w:cs="Arial" w:eastAsia="Arial" w:hAnsi="Arial"/>
                <w:sz w:val="14"/>
                <w:szCs w:val="14"/>
                <w:color w:val="auto"/>
              </w:rPr>
              <w:t>Top of Book</w:t>
            </w:r>
          </w:p>
        </w:tc>
        <w:tc>
          <w:tcPr>
            <w:tcW w:w="84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TBA Butterflies Trades</w:t>
            </w:r>
          </w:p>
        </w:tc>
        <w:tc>
          <w:tcPr>
            <w:tcW w:w="5200" w:type="dxa"/>
            <w:vAlign w:val="bottom"/>
          </w:tcPr>
          <w:p>
            <w:pPr>
              <w:ind w:left="280"/>
              <w:spacing w:after="0" w:line="149" w:lineRule="exact"/>
              <w:rPr>
                <w:sz w:val="20"/>
                <w:szCs w:val="20"/>
                <w:color w:val="auto"/>
              </w:rPr>
            </w:pPr>
            <w:r>
              <w:rPr>
                <w:rFonts w:ascii="Arial" w:cs="Arial" w:eastAsia="Arial" w:hAnsi="Arial"/>
                <w:sz w:val="14"/>
                <w:szCs w:val="14"/>
                <w:color w:val="auto"/>
              </w:rPr>
              <w:t>Price</w:t>
            </w:r>
          </w:p>
        </w:tc>
        <w:tc>
          <w:tcPr>
            <w:tcW w:w="840" w:type="dxa"/>
            <w:vAlign w:val="bottom"/>
          </w:tcPr>
          <w:p>
            <w:pPr>
              <w:spacing w:after="0"/>
              <w:rPr>
                <w:sz w:val="12"/>
                <w:szCs w:val="12"/>
                <w:color w:val="auto"/>
              </w:rPr>
            </w:pPr>
          </w:p>
        </w:tc>
      </w:tr>
      <w:tr>
        <w:trPr>
          <w:trHeight w:val="167"/>
        </w:trPr>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TBA-Mortgage Roll</w:t>
            </w:r>
          </w:p>
        </w:tc>
        <w:tc>
          <w:tcPr>
            <w:tcW w:w="5200" w:type="dxa"/>
            <w:vAlign w:val="bottom"/>
          </w:tcPr>
          <w:p>
            <w:pPr>
              <w:ind w:left="280"/>
              <w:spacing w:after="0"/>
              <w:rPr>
                <w:sz w:val="20"/>
                <w:szCs w:val="20"/>
                <w:color w:val="auto"/>
              </w:rPr>
            </w:pPr>
            <w:r>
              <w:rPr>
                <w:rFonts w:ascii="Arial" w:cs="Arial" w:eastAsia="Arial" w:hAnsi="Arial"/>
                <w:sz w:val="14"/>
                <w:szCs w:val="14"/>
                <w:color w:val="auto"/>
              </w:rPr>
              <w:t>Month End Summary Data</w:t>
            </w:r>
          </w:p>
        </w:tc>
        <w:tc>
          <w:tcPr>
            <w:tcW w:w="84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Municipals</w:t>
            </w:r>
          </w:p>
        </w:tc>
        <w:tc>
          <w:tcPr>
            <w:tcW w:w="2360" w:type="dxa"/>
            <w:vAlign w:val="bottom"/>
            <w:shd w:val="clear" w:color="auto" w:fill="1F497D"/>
          </w:tcPr>
          <w:p>
            <w:pPr>
              <w:spacing w:after="0"/>
              <w:rPr>
                <w:sz w:val="12"/>
                <w:szCs w:val="12"/>
                <w:color w:val="auto"/>
              </w:rPr>
            </w:pPr>
          </w:p>
        </w:tc>
        <w:tc>
          <w:tcPr>
            <w:tcW w:w="5200" w:type="dxa"/>
            <w:vAlign w:val="bottom"/>
            <w:shd w:val="clear" w:color="auto" w:fill="1F497D"/>
          </w:tcPr>
          <w:p>
            <w:pPr>
              <w:spacing w:after="0"/>
              <w:rPr>
                <w:sz w:val="12"/>
                <w:szCs w:val="12"/>
                <w:color w:val="auto"/>
              </w:rPr>
            </w:pPr>
          </w:p>
        </w:tc>
        <w:tc>
          <w:tcPr>
            <w:tcW w:w="84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Tax Free Quotes Voice</w:t>
            </w:r>
          </w:p>
        </w:tc>
        <w:tc>
          <w:tcPr>
            <w:tcW w:w="5200" w:type="dxa"/>
            <w:vAlign w:val="bottom"/>
          </w:tcPr>
          <w:p>
            <w:pPr>
              <w:ind w:left="280"/>
              <w:spacing w:after="0" w:line="130" w:lineRule="exact"/>
              <w:rPr>
                <w:sz w:val="20"/>
                <w:szCs w:val="20"/>
                <w:color w:val="auto"/>
              </w:rPr>
            </w:pPr>
            <w:r>
              <w:rPr>
                <w:rFonts w:ascii="Arial" w:cs="Arial" w:eastAsia="Arial" w:hAnsi="Arial"/>
                <w:sz w:val="14"/>
                <w:szCs w:val="14"/>
                <w:color w:val="auto"/>
              </w:rPr>
              <w:t>Pre-trade bids and offers from. Responses for unfilled RFQs are delayed 24hrs</w:t>
            </w:r>
          </w:p>
        </w:tc>
        <w:tc>
          <w:tcPr>
            <w:tcW w:w="840" w:type="dxa"/>
            <w:vAlign w:val="bottom"/>
          </w:tcPr>
          <w:p>
            <w:pPr>
              <w:spacing w:after="0"/>
              <w:rPr>
                <w:sz w:val="11"/>
                <w:szCs w:val="11"/>
                <w:color w:val="auto"/>
              </w:rPr>
            </w:pPr>
          </w:p>
        </w:tc>
      </w:tr>
      <w:tr>
        <w:trPr>
          <w:trHeight w:val="167"/>
        </w:trPr>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Tax Free Trades Voice</w:t>
            </w:r>
          </w:p>
        </w:tc>
        <w:tc>
          <w:tcPr>
            <w:tcW w:w="5200" w:type="dxa"/>
            <w:vAlign w:val="bottom"/>
          </w:tcPr>
          <w:p>
            <w:pPr>
              <w:ind w:left="280"/>
              <w:spacing w:after="0"/>
              <w:rPr>
                <w:sz w:val="20"/>
                <w:szCs w:val="20"/>
                <w:color w:val="auto"/>
              </w:rPr>
            </w:pPr>
            <w:r>
              <w:rPr>
                <w:rFonts w:ascii="Arial" w:cs="Arial" w:eastAsia="Arial" w:hAnsi="Arial"/>
                <w:sz w:val="14"/>
                <w:szCs w:val="14"/>
                <w:color w:val="auto"/>
              </w:rPr>
              <w:t>Price</w:t>
            </w:r>
          </w:p>
        </w:tc>
        <w:tc>
          <w:tcPr>
            <w:tcW w:w="84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shd w:val="clear" w:color="auto" w:fill="1F497D"/>
          </w:tcPr>
          <w:p>
            <w:pPr>
              <w:ind w:left="40"/>
              <w:spacing w:after="0" w:line="149" w:lineRule="exact"/>
              <w:rPr>
                <w:sz w:val="20"/>
                <w:szCs w:val="20"/>
                <w:color w:val="auto"/>
              </w:rPr>
            </w:pPr>
            <w:r>
              <w:rPr>
                <w:rFonts w:ascii="Arial" w:cs="Arial" w:eastAsia="Arial" w:hAnsi="Arial"/>
                <w:sz w:val="14"/>
                <w:szCs w:val="14"/>
                <w:b w:val="1"/>
                <w:bCs w:val="1"/>
                <w:color w:val="FFFFFF"/>
              </w:rPr>
              <w:t>Rates</w:t>
            </w:r>
          </w:p>
        </w:tc>
        <w:tc>
          <w:tcPr>
            <w:tcW w:w="2360" w:type="dxa"/>
            <w:vAlign w:val="bottom"/>
            <w:shd w:val="clear" w:color="auto" w:fill="1F497D"/>
          </w:tcPr>
          <w:p>
            <w:pPr>
              <w:spacing w:after="0"/>
              <w:rPr>
                <w:sz w:val="12"/>
                <w:szCs w:val="12"/>
                <w:color w:val="auto"/>
              </w:rPr>
            </w:pPr>
          </w:p>
        </w:tc>
        <w:tc>
          <w:tcPr>
            <w:tcW w:w="5200" w:type="dxa"/>
            <w:vAlign w:val="bottom"/>
            <w:shd w:val="clear" w:color="auto" w:fill="1F497D"/>
          </w:tcPr>
          <w:p>
            <w:pPr>
              <w:spacing w:after="0"/>
              <w:rPr>
                <w:sz w:val="12"/>
                <w:szCs w:val="12"/>
                <w:color w:val="auto"/>
              </w:rPr>
            </w:pPr>
          </w:p>
        </w:tc>
        <w:tc>
          <w:tcPr>
            <w:tcW w:w="840" w:type="dxa"/>
            <w:vAlign w:val="bottom"/>
            <w:shd w:val="clear" w:color="auto" w:fill="1F497D"/>
          </w:tcPr>
          <w:p>
            <w:pPr>
              <w:spacing w:after="0"/>
              <w:rPr>
                <w:sz w:val="12"/>
                <w:szCs w:val="12"/>
                <w:color w:val="auto"/>
              </w:rPr>
            </w:pPr>
          </w:p>
        </w:tc>
      </w:tr>
      <w:tr>
        <w:trPr>
          <w:trHeight w:val="130"/>
        </w:trPr>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US Dollar Swaps Voice</w:t>
            </w:r>
          </w:p>
        </w:tc>
        <w:tc>
          <w:tcPr>
            <w:tcW w:w="5200" w:type="dxa"/>
            <w:vAlign w:val="bottom"/>
          </w:tcPr>
          <w:p>
            <w:pPr>
              <w:ind w:left="280"/>
              <w:spacing w:after="0" w:line="130" w:lineRule="exact"/>
              <w:rPr>
                <w:sz w:val="20"/>
                <w:szCs w:val="20"/>
                <w:color w:val="auto"/>
              </w:rPr>
            </w:pPr>
            <w:r>
              <w:rPr>
                <w:rFonts w:ascii="Arial" w:cs="Arial" w:eastAsia="Arial" w:hAnsi="Arial"/>
                <w:sz w:val="14"/>
                <w:szCs w:val="14"/>
                <w:color w:val="auto"/>
              </w:rPr>
              <w:t>Voice Tades</w:t>
            </w:r>
          </w:p>
        </w:tc>
        <w:tc>
          <w:tcPr>
            <w:tcW w:w="84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US Dollar Swaps Quotes</w:t>
            </w:r>
          </w:p>
        </w:tc>
        <w:tc>
          <w:tcPr>
            <w:tcW w:w="5200" w:type="dxa"/>
            <w:vAlign w:val="bottom"/>
          </w:tcPr>
          <w:p>
            <w:pPr>
              <w:ind w:left="280"/>
              <w:spacing w:after="0" w:line="149" w:lineRule="exact"/>
              <w:rPr>
                <w:sz w:val="20"/>
                <w:szCs w:val="20"/>
                <w:color w:val="auto"/>
              </w:rPr>
            </w:pPr>
            <w:r>
              <w:rPr>
                <w:rFonts w:ascii="Arial" w:cs="Arial" w:eastAsia="Arial" w:hAnsi="Arial"/>
                <w:sz w:val="14"/>
                <w:szCs w:val="14"/>
                <w:color w:val="auto"/>
              </w:rPr>
              <w:t>Full Stack</w:t>
            </w:r>
          </w:p>
        </w:tc>
        <w:tc>
          <w:tcPr>
            <w:tcW w:w="84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US Dollar Swaps Trades</w:t>
            </w:r>
          </w:p>
        </w:tc>
        <w:tc>
          <w:tcPr>
            <w:tcW w:w="5200" w:type="dxa"/>
            <w:vAlign w:val="bottom"/>
          </w:tcPr>
          <w:p>
            <w:pPr>
              <w:ind w:left="280"/>
              <w:spacing w:after="0" w:line="149" w:lineRule="exact"/>
              <w:rPr>
                <w:sz w:val="20"/>
                <w:szCs w:val="20"/>
                <w:color w:val="auto"/>
              </w:rPr>
            </w:pPr>
            <w:r>
              <w:rPr>
                <w:rFonts w:ascii="Arial" w:cs="Arial" w:eastAsia="Arial" w:hAnsi="Arial"/>
                <w:sz w:val="14"/>
                <w:szCs w:val="14"/>
                <w:color w:val="auto"/>
              </w:rPr>
              <w:t>Price and Side</w:t>
            </w:r>
          </w:p>
        </w:tc>
        <w:tc>
          <w:tcPr>
            <w:tcW w:w="84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US Treasury Bills Quotes</w:t>
            </w:r>
          </w:p>
        </w:tc>
        <w:tc>
          <w:tcPr>
            <w:tcW w:w="5200" w:type="dxa"/>
            <w:vAlign w:val="bottom"/>
          </w:tcPr>
          <w:p>
            <w:pPr>
              <w:ind w:left="280"/>
              <w:spacing w:after="0" w:line="149" w:lineRule="exact"/>
              <w:rPr>
                <w:sz w:val="20"/>
                <w:szCs w:val="20"/>
                <w:color w:val="auto"/>
              </w:rPr>
            </w:pPr>
            <w:r>
              <w:rPr>
                <w:rFonts w:ascii="Arial" w:cs="Arial" w:eastAsia="Arial" w:hAnsi="Arial"/>
                <w:sz w:val="14"/>
                <w:szCs w:val="14"/>
                <w:color w:val="auto"/>
              </w:rPr>
              <w:t>Full Stack</w:t>
            </w:r>
          </w:p>
        </w:tc>
        <w:tc>
          <w:tcPr>
            <w:tcW w:w="84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US Treasury Bills Trades</w:t>
            </w:r>
          </w:p>
        </w:tc>
        <w:tc>
          <w:tcPr>
            <w:tcW w:w="5200" w:type="dxa"/>
            <w:vAlign w:val="bottom"/>
          </w:tcPr>
          <w:p>
            <w:pPr>
              <w:ind w:left="280"/>
              <w:spacing w:after="0" w:line="149" w:lineRule="exact"/>
              <w:rPr>
                <w:sz w:val="20"/>
                <w:szCs w:val="20"/>
                <w:color w:val="auto"/>
              </w:rPr>
            </w:pPr>
            <w:r>
              <w:rPr>
                <w:rFonts w:ascii="Arial" w:cs="Arial" w:eastAsia="Arial" w:hAnsi="Arial"/>
                <w:sz w:val="14"/>
                <w:szCs w:val="14"/>
                <w:color w:val="auto"/>
              </w:rPr>
              <w:t>Price</w:t>
            </w:r>
          </w:p>
        </w:tc>
        <w:tc>
          <w:tcPr>
            <w:tcW w:w="84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US Treasury Off-the-Run Quotes</w:t>
            </w:r>
          </w:p>
        </w:tc>
        <w:tc>
          <w:tcPr>
            <w:tcW w:w="5200" w:type="dxa"/>
            <w:vAlign w:val="bottom"/>
          </w:tcPr>
          <w:p>
            <w:pPr>
              <w:ind w:left="280"/>
              <w:spacing w:after="0" w:line="149" w:lineRule="exact"/>
              <w:rPr>
                <w:sz w:val="20"/>
                <w:szCs w:val="20"/>
                <w:color w:val="auto"/>
              </w:rPr>
            </w:pPr>
            <w:r>
              <w:rPr>
                <w:rFonts w:ascii="Arial" w:cs="Arial" w:eastAsia="Arial" w:hAnsi="Arial"/>
                <w:sz w:val="14"/>
                <w:szCs w:val="14"/>
                <w:color w:val="auto"/>
              </w:rPr>
              <w:t>Top of Book</w:t>
            </w:r>
          </w:p>
        </w:tc>
        <w:tc>
          <w:tcPr>
            <w:tcW w:w="840" w:type="dxa"/>
            <w:vAlign w:val="bottom"/>
          </w:tcPr>
          <w:p>
            <w:pPr>
              <w:spacing w:after="0"/>
              <w:rPr>
                <w:sz w:val="12"/>
                <w:szCs w:val="12"/>
                <w:color w:val="auto"/>
              </w:rPr>
            </w:pPr>
          </w:p>
        </w:tc>
      </w:tr>
      <w:tr>
        <w:trPr>
          <w:trHeight w:val="182"/>
        </w:trPr>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US Treasury Off-the-Run Trades</w:t>
            </w:r>
          </w:p>
        </w:tc>
        <w:tc>
          <w:tcPr>
            <w:tcW w:w="5200" w:type="dxa"/>
            <w:vAlign w:val="bottom"/>
          </w:tcPr>
          <w:p>
            <w:pPr>
              <w:ind w:left="280"/>
              <w:spacing w:after="0"/>
              <w:rPr>
                <w:sz w:val="20"/>
                <w:szCs w:val="20"/>
                <w:color w:val="auto"/>
              </w:rPr>
            </w:pPr>
            <w:r>
              <w:rPr>
                <w:rFonts w:ascii="Arial" w:cs="Arial" w:eastAsia="Arial" w:hAnsi="Arial"/>
                <w:sz w:val="14"/>
                <w:szCs w:val="14"/>
                <w:color w:val="auto"/>
              </w:rPr>
              <w:t>Price</w:t>
            </w:r>
          </w:p>
        </w:tc>
        <w:tc>
          <w:tcPr>
            <w:tcW w:w="840" w:type="dxa"/>
            <w:vAlign w:val="bottom"/>
          </w:tcPr>
          <w:p>
            <w:pPr>
              <w:spacing w:after="0"/>
              <w:rPr>
                <w:sz w:val="15"/>
                <w:szCs w:val="15"/>
                <w:color w:val="auto"/>
              </w:rPr>
            </w:pPr>
          </w:p>
        </w:tc>
      </w:tr>
      <w:tr>
        <w:trPr>
          <w:trHeight w:val="876"/>
        </w:trPr>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8" w:right="239" w:bottom="1440" w:gutter="0" w:footer="0" w:header="0"/>
        </w:sectPr>
      </w:pPr>
    </w:p>
    <w:bookmarkStart w:id="331" w:name="page332"/>
    <w:bookmarkEnd w:id="331"/>
    <w:p>
      <w:pPr>
        <w:jc w:val="center"/>
        <w:ind w:right="-59"/>
        <w:spacing w:after="0"/>
        <w:rPr>
          <w:sz w:val="20"/>
          <w:szCs w:val="20"/>
          <w:color w:val="auto"/>
        </w:rPr>
      </w:pPr>
      <w:r>
        <w:rPr>
          <w:rFonts w:ascii="Arial" w:cs="Arial" w:eastAsia="Arial" w:hAnsi="Arial"/>
          <w:sz w:val="18"/>
          <w:szCs w:val="18"/>
          <w:b w:val="1"/>
          <w:bCs w:val="1"/>
          <w:u w:val="single" w:color="auto"/>
          <w:color w:val="auto"/>
        </w:rPr>
        <w:t>SCHEDULE B-1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Treasuries Actives Data</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Anonymous, on-the-run single Bid/Ask price and yield from the fully executable Dealerweb Actives Central Limit Order Book and Dealerweb Active Streams marketplaces, as supplemented, as necessary, by other Tradeweb UST data, for UST benchmarks 2, 3, 5, 7, 10 and 30Y, and additionally includes the following information derived from such data or made available from the Dealerweb platform:</w:t>
      </w:r>
    </w:p>
    <w:p>
      <w:pPr>
        <w:spacing w:after="0" w:line="181" w:lineRule="exact"/>
        <w:rPr>
          <w:sz w:val="20"/>
          <w:szCs w:val="20"/>
          <w:color w:val="auto"/>
        </w:rPr>
      </w:pPr>
    </w:p>
    <w:p>
      <w:pPr>
        <w:ind w:left="700" w:hanging="368"/>
        <w:spacing w:after="0"/>
        <w:tabs>
          <w:tab w:leader="none" w:pos="7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Mid-Yield for the above benchmark tenors</w:t>
      </w:r>
    </w:p>
    <w:p>
      <w:pPr>
        <w:spacing w:after="0" w:line="23" w:lineRule="exact"/>
        <w:rPr>
          <w:rFonts w:ascii="Arial" w:cs="Arial" w:eastAsia="Arial" w:hAnsi="Arial"/>
          <w:sz w:val="18"/>
          <w:szCs w:val="18"/>
          <w:color w:val="auto"/>
        </w:rPr>
      </w:pPr>
    </w:p>
    <w:p>
      <w:pPr>
        <w:ind w:left="700" w:hanging="368"/>
        <w:spacing w:after="0"/>
        <w:tabs>
          <w:tab w:leader="none" w:pos="7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Hit/Take direction signal</w:t>
      </w:r>
    </w:p>
    <w:p>
      <w:pPr>
        <w:spacing w:after="0" w:line="9" w:lineRule="exact"/>
        <w:rPr>
          <w:rFonts w:ascii="Arial" w:cs="Arial" w:eastAsia="Arial" w:hAnsi="Arial"/>
          <w:sz w:val="18"/>
          <w:szCs w:val="18"/>
          <w:color w:val="auto"/>
        </w:rPr>
      </w:pPr>
    </w:p>
    <w:p>
      <w:pPr>
        <w:ind w:left="640" w:hanging="308"/>
        <w:spacing w:after="0" w:line="185" w:lineRule="auto"/>
        <w:tabs>
          <w:tab w:leader="none" w:pos="6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Official O/H/L/C</w:t>
      </w:r>
      <w:r>
        <w:rPr>
          <w:rFonts w:ascii="Arial" w:cs="Arial" w:eastAsia="Arial" w:hAnsi="Arial"/>
          <w:sz w:val="29"/>
          <w:szCs w:val="29"/>
          <w:color w:val="auto"/>
          <w:vertAlign w:val="superscript"/>
        </w:rPr>
        <w:t>*</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Last traded price and yield</w:t>
      </w:r>
    </w:p>
    <w:p>
      <w:pPr>
        <w:spacing w:after="0" w:line="7" w:lineRule="exact"/>
        <w:rPr>
          <w:rFonts w:ascii="Arial" w:cs="Arial" w:eastAsia="Arial" w:hAnsi="Arial"/>
          <w:sz w:val="18"/>
          <w:szCs w:val="18"/>
          <w:color w:val="auto"/>
        </w:rPr>
      </w:pPr>
    </w:p>
    <w:p>
      <w:pPr>
        <w:ind w:left="640" w:hanging="308"/>
        <w:spacing w:after="0"/>
        <w:tabs>
          <w:tab w:leader="none" w:pos="6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Mid-Yield for interpolated tenors (4, 6, 8, 9, 12, 15, 20, 25Y)</w:t>
      </w:r>
    </w:p>
    <w:p>
      <w:pPr>
        <w:spacing w:after="0" w:line="210" w:lineRule="exact"/>
        <w:rPr>
          <w:rFonts w:ascii="Arial" w:cs="Arial" w:eastAsia="Arial" w:hAnsi="Arial"/>
          <w:sz w:val="18"/>
          <w:szCs w:val="18"/>
          <w:color w:val="auto"/>
        </w:rPr>
      </w:pPr>
    </w:p>
    <w:p>
      <w:pPr>
        <w:ind w:right="200"/>
        <w:spacing w:after="0" w:line="277" w:lineRule="auto"/>
        <w:rPr>
          <w:rFonts w:ascii="Arial" w:cs="Arial" w:eastAsia="Arial" w:hAnsi="Arial"/>
          <w:sz w:val="18"/>
          <w:szCs w:val="18"/>
          <w:color w:val="auto"/>
        </w:rPr>
      </w:pPr>
      <w:r>
        <w:rPr>
          <w:rFonts w:ascii="Arial" w:cs="Arial" w:eastAsia="Arial" w:hAnsi="Arial"/>
          <w:sz w:val="18"/>
          <w:szCs w:val="18"/>
          <w:color w:val="auto"/>
        </w:rPr>
        <w:t>* Will be included promptly after such time as Tradeweb and/or Dealerweb create and implement such data point, which process shall not be unreasonably delayed by Tradeweb or Dealerweb.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332" w:name="page333"/>
    <w:bookmarkEnd w:id="332"/>
    <w:p>
      <w:pPr>
        <w:jc w:val="center"/>
        <w:spacing w:after="0"/>
        <w:rPr>
          <w:sz w:val="20"/>
          <w:szCs w:val="20"/>
          <w:color w:val="auto"/>
        </w:rPr>
      </w:pPr>
      <w:r>
        <w:rPr>
          <w:rFonts w:ascii="Arial" w:cs="Arial" w:eastAsia="Arial" w:hAnsi="Arial"/>
          <w:sz w:val="18"/>
          <w:szCs w:val="18"/>
          <w:b w:val="1"/>
          <w:bCs w:val="1"/>
          <w:u w:val="single" w:color="auto"/>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Non-Exclusive Licensed Market Data Sets</w:t>
      </w:r>
    </w:p>
    <w:p>
      <w:pPr>
        <w:spacing w:after="0" w:line="229" w:lineRule="exact"/>
        <w:rPr>
          <w:sz w:val="20"/>
          <w:szCs w:val="20"/>
          <w:color w:val="auto"/>
        </w:rPr>
      </w:pPr>
    </w:p>
    <w:p>
      <w:pPr>
        <w:ind w:left="700" w:hanging="368"/>
        <w:spacing w:after="0"/>
        <w:tabs>
          <w:tab w:leader="none" w:pos="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UK Gilts</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MiFID II Outbound Data (APA and MTF)</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Parties acknowledge and agree that the consideration for the Market Data License and Limited Trading Data License in respect of delayed (but for the avoidance of doubt, not real-time) MiFID II Outbound Data (other than pre-trade APA data (“</w:t>
      </w:r>
      <w:r>
        <w:rPr>
          <w:rFonts w:ascii="Arial" w:cs="Arial" w:eastAsia="Arial" w:hAnsi="Arial"/>
          <w:sz w:val="18"/>
          <w:szCs w:val="18"/>
          <w:u w:val="single" w:color="auto"/>
          <w:color w:val="auto"/>
        </w:rPr>
        <w:t>MiFID II Pre-Trade APA Market Data</w:t>
      </w:r>
      <w:r>
        <w:rPr>
          <w:rFonts w:ascii="Arial" w:cs="Arial" w:eastAsia="Arial" w:hAnsi="Arial"/>
          <w:sz w:val="18"/>
          <w:szCs w:val="18"/>
          <w:color w:val="auto"/>
        </w:rPr>
        <w:t xml:space="preserve">”)) shall be [***]. Tradeweb agrees that the restrictions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this Second A&amp;R Agreement related to TW Competitors and UST Competitors, as applicable, shall not apply to delayed MiFID II Outbound Data (other than MiFID II Pre-Trade APA Market Data).</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Tradeweb acknowledges that Refinitiv has created an aggregated bond service, which includes delayed post-trade MiFID II Outbound Data (APA and MTF). Tradeweb agrees that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of this Second A&amp;R Agreement will not apply, and that GRC and its Affiliates shall not be obligated to provide attribution to Tradeweb or any of its Subsidiaries, in connection with such aggregated bond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GRC and its Affiliates intend to create marketing and other promotional materials that provide attribution, and to the extent that such parties do so, Tradeweb shall be included in such attribution;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to the extent that GRC provides additional attribution to other similarly situated third party providers to the aggregated bond service, GRC or its Affiliates shall provide attribution to Tradeweb consistent therewith. For the avoidance of doubt, GRC and its Affiliates shall not be obligated to pay any additional fees in respect of the aggregated bond service, except to the extent Licensed Market Data included therein is subject to a revenue share fee as explicitly set forth in this Second A&amp;R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SCHEDULE D</w:t>
            </w:r>
          </w:p>
        </w:tc>
        <w:tc>
          <w:tcPr>
            <w:tcW w:w="22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53"/>
        </w:trPr>
        <w:tc>
          <w:tcPr>
            <w:tcW w:w="2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980" w:type="dxa"/>
            <w:vAlign w:val="bottom"/>
            <w:gridSpan w:val="5"/>
          </w:tcPr>
          <w:p>
            <w:pPr>
              <w:jc w:val="center"/>
              <w:ind w:right="1760"/>
              <w:spacing w:after="0"/>
              <w:rPr>
                <w:sz w:val="20"/>
                <w:szCs w:val="20"/>
                <w:color w:val="auto"/>
              </w:rPr>
            </w:pPr>
            <w:r>
              <w:rPr>
                <w:rFonts w:ascii="Arial" w:cs="Arial" w:eastAsia="Arial" w:hAnsi="Arial"/>
                <w:sz w:val="18"/>
                <w:szCs w:val="18"/>
                <w:b w:val="1"/>
                <w:bCs w:val="1"/>
                <w:color w:val="auto"/>
                <w:w w:val="88"/>
              </w:rPr>
              <w:t>Annual License Fee</w:t>
            </w:r>
          </w:p>
        </w:tc>
        <w:tc>
          <w:tcPr>
            <w:tcW w:w="2840" w:type="dxa"/>
            <w:vAlign w:val="bottom"/>
          </w:tcPr>
          <w:p>
            <w:pPr>
              <w:spacing w:after="0"/>
              <w:rPr>
                <w:sz w:val="24"/>
                <w:szCs w:val="24"/>
                <w:color w:val="auto"/>
              </w:rPr>
            </w:pPr>
          </w:p>
        </w:tc>
      </w:tr>
      <w:tr>
        <w:trPr>
          <w:trHeight w:val="439"/>
        </w:trPr>
        <w:tc>
          <w:tcPr>
            <w:tcW w:w="2880" w:type="dxa"/>
            <w:vAlign w:val="bottom"/>
          </w:tcPr>
          <w:p>
            <w:pPr>
              <w:spacing w:after="0"/>
              <w:rPr>
                <w:sz w:val="24"/>
                <w:szCs w:val="24"/>
                <w:color w:val="auto"/>
              </w:rPr>
            </w:pPr>
          </w:p>
        </w:tc>
        <w:tc>
          <w:tcPr>
            <w:tcW w:w="172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2"/>
              </w:rPr>
              <w:t>Year</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9"/>
              </w:rPr>
              <w:t>Annual License Fee</w:t>
            </w:r>
          </w:p>
        </w:tc>
        <w:tc>
          <w:tcPr>
            <w:tcW w:w="284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7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6"/>
              </w:rPr>
              <w:t>Year 1</w:t>
            </w:r>
          </w:p>
        </w:tc>
        <w:tc>
          <w:tcPr>
            <w:tcW w:w="3980" w:type="dxa"/>
            <w:vAlign w:val="bottom"/>
            <w:gridSpan w:val="5"/>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7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6"/>
              </w:rPr>
              <w:t>Year 2</w:t>
            </w:r>
          </w:p>
        </w:tc>
        <w:tc>
          <w:tcPr>
            <w:tcW w:w="3980" w:type="dxa"/>
            <w:vAlign w:val="bottom"/>
            <w:gridSpan w:val="5"/>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7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6"/>
              </w:rPr>
              <w:t>Year 3</w:t>
            </w:r>
          </w:p>
        </w:tc>
        <w:tc>
          <w:tcPr>
            <w:tcW w:w="3980" w:type="dxa"/>
            <w:vAlign w:val="bottom"/>
            <w:gridSpan w:val="5"/>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7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6"/>
              </w:rPr>
              <w:t>Year 4</w:t>
            </w:r>
          </w:p>
        </w:tc>
        <w:tc>
          <w:tcPr>
            <w:tcW w:w="3980" w:type="dxa"/>
            <w:vAlign w:val="bottom"/>
            <w:gridSpan w:val="5"/>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7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6"/>
              </w:rPr>
              <w:t>Year 5</w:t>
            </w:r>
          </w:p>
        </w:tc>
        <w:tc>
          <w:tcPr>
            <w:tcW w:w="3980" w:type="dxa"/>
            <w:vAlign w:val="bottom"/>
            <w:gridSpan w:val="5"/>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r>
      <w:tr>
        <w:trPr>
          <w:trHeight w:val="675"/>
        </w:trPr>
        <w:tc>
          <w:tcPr>
            <w:tcW w:w="28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b w:val="1"/>
          <w:bCs w:val="1"/>
          <w:u w:val="single" w:color="auto"/>
          <w:color w:val="auto"/>
        </w:rPr>
        <w:t>SCHEDULE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Level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Preface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the circumstances require and as determined exclusively by GRC on notice to Tradeweb, references in this Service Level Agreement (“</w:t>
      </w:r>
      <w:r>
        <w:rPr>
          <w:rFonts w:ascii="Arial" w:cs="Arial" w:eastAsia="Arial" w:hAnsi="Arial"/>
          <w:sz w:val="18"/>
          <w:szCs w:val="18"/>
          <w:u w:val="single" w:color="auto"/>
          <w:color w:val="auto"/>
        </w:rPr>
        <w:t>SLA</w:t>
      </w:r>
      <w:r>
        <w:rPr>
          <w:rFonts w:ascii="Arial" w:cs="Arial" w:eastAsia="Arial" w:hAnsi="Arial"/>
          <w:sz w:val="18"/>
          <w:szCs w:val="18"/>
          <w:color w:val="auto"/>
        </w:rPr>
        <w:t>”) to GRC shall be understood to include GRC’s Affiliate sublicensees and subcontractors, including TRM.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Tradeweb will use commercially reasonable efforts to provide GRC with the Licensed Data as set forth in this SLA. If there is a conflict between the SLA and this Second A&amp;R Agreement, the terms of the SLA shall control. The Parties agree that Tradeweb’s obligations and liability under this SLA are subject to (i) any Force Majeure Event, (ii) any Tradeweb obligation that is contingent upon a Refinitiv Party’s performance, and (iii) any downtime that is permitted under this SLA or otherwise agreed to by the Parties.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Definition of Terms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Below are the agreed definitions for the terms used throughout this SLA which set forth the quality of service that Tradeweb will provide to GRC with respect to the Licensed Data. Capitalized terms used but not defined in this SLA shall have the meanings given to them in this Second A&amp;R Agreement.</w:t>
      </w:r>
    </w:p>
    <w:p>
      <w:pPr>
        <w:spacing w:after="0" w:line="12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Manner of Transmission – </w:t>
      </w:r>
      <w:r>
        <w:rPr>
          <w:rFonts w:ascii="Arial" w:cs="Arial" w:eastAsia="Arial" w:hAnsi="Arial"/>
          <w:sz w:val="18"/>
          <w:szCs w:val="18"/>
          <w:color w:val="auto"/>
        </w:rPr>
        <w:t>Transmissions of Licensed Data will be transmitted to GRC in the form and manner as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Second A&amp;R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Accuracy – </w:t>
      </w:r>
      <w:r>
        <w:rPr>
          <w:rFonts w:ascii="Arial" w:cs="Arial" w:eastAsia="Arial" w:hAnsi="Arial"/>
          <w:sz w:val="18"/>
          <w:szCs w:val="18"/>
          <w:color w:val="auto"/>
        </w:rPr>
        <w:t>Transmissions of Licensed Data shall be at least as accurate in all material respects as the Licensed Data that Tradeweb provides to</w:t>
      </w:r>
      <w:r>
        <w:rPr>
          <w:rFonts w:ascii="Arial" w:cs="Arial" w:eastAsia="Arial" w:hAnsi="Arial"/>
          <w:sz w:val="18"/>
          <w:szCs w:val="18"/>
          <w:b w:val="1"/>
          <w:bCs w:val="1"/>
          <w:color w:val="auto"/>
        </w:rPr>
        <w:t xml:space="preserve"> </w:t>
      </w:r>
      <w:r>
        <w:rPr>
          <w:rFonts w:ascii="Arial" w:cs="Arial" w:eastAsia="Arial" w:hAnsi="Arial"/>
          <w:sz w:val="18"/>
          <w:szCs w:val="18"/>
          <w:color w:val="auto"/>
        </w:rPr>
        <w:t>Users, except with respect to variances between what a Tradeweb Viewer and a user of Refinitiv Services is permitted to view as reasonably determined and documented by Tradeweb in consultation with GRC.</w:t>
      </w:r>
    </w:p>
    <w:p>
      <w:pPr>
        <w:spacing w:after="0" w:line="17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Completeness – </w:t>
      </w:r>
      <w:r>
        <w:rPr>
          <w:rFonts w:ascii="Arial" w:cs="Arial" w:eastAsia="Arial" w:hAnsi="Arial"/>
          <w:sz w:val="17"/>
          <w:szCs w:val="17"/>
          <w:color w:val="auto"/>
        </w:rPr>
        <w:t>Transmissions of Licensed Data shall be at least as complete in all material respects as the Licensed Data that Tradeweb provides to</w:t>
      </w:r>
      <w:r>
        <w:rPr>
          <w:rFonts w:ascii="Arial" w:cs="Arial" w:eastAsia="Arial" w:hAnsi="Arial"/>
          <w:sz w:val="17"/>
          <w:szCs w:val="17"/>
          <w:b w:val="1"/>
          <w:bCs w:val="1"/>
          <w:color w:val="auto"/>
        </w:rPr>
        <w:t xml:space="preserve"> </w:t>
      </w:r>
      <w:r>
        <w:rPr>
          <w:rFonts w:ascii="Arial" w:cs="Arial" w:eastAsia="Arial" w:hAnsi="Arial"/>
          <w:sz w:val="17"/>
          <w:szCs w:val="17"/>
          <w:color w:val="auto"/>
        </w:rPr>
        <w:t>Users. Tradeweb will ensure that the Refinitiv Parties are aware of all current and future fields available for Licensed Data.</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Data Set </w:t>
      </w:r>
      <w:r>
        <w:rPr>
          <w:rFonts w:ascii="Arial" w:cs="Arial" w:eastAsia="Arial" w:hAnsi="Arial"/>
          <w:sz w:val="18"/>
          <w:szCs w:val="18"/>
          <w:color w:val="auto"/>
        </w:rPr>
        <w:t>– has the meaning set forth in this Second A&amp;R Agreement. As of the Effective Date, there are twelve (12) Data Sets that make up the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Licensed Market Data and two (2) Data Sets that make up Non-Exclusive Licensed Market Data.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Resolution </w:t>
      </w:r>
      <w:r>
        <w:rPr>
          <w:rFonts w:ascii="Arial" w:cs="Arial" w:eastAsia="Arial" w:hAnsi="Arial"/>
          <w:sz w:val="18"/>
          <w:szCs w:val="18"/>
          <w:color w:val="auto"/>
        </w:rPr>
        <w:t>– means Tradeweb has researched and replied with findings to a query.</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Fee Per Data Set </w:t>
      </w:r>
      <w:r>
        <w:rPr>
          <w:rFonts w:ascii="Arial" w:cs="Arial" w:eastAsia="Arial" w:hAnsi="Arial"/>
          <w:sz w:val="18"/>
          <w:szCs w:val="18"/>
          <w:color w:val="auto"/>
        </w:rPr>
        <w:t>– (1) for each Data Set that constitutes Non-Exclusive Licensed Market Data, the Non-Exclusive Licensed Market Data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Distributor Fee with respect thereto; and (2) for each Data Set that constitutes Exclusive Licensed Market Data, the Annual License Fee then in effect </w:t>
      </w:r>
      <w:r>
        <w:rPr>
          <w:rFonts w:ascii="Arial" w:cs="Arial" w:eastAsia="Arial" w:hAnsi="Arial"/>
          <w:sz w:val="18"/>
          <w:szCs w:val="18"/>
          <w:i w:val="1"/>
          <w:iCs w:val="1"/>
          <w:color w:val="auto"/>
        </w:rPr>
        <w:t>minus</w:t>
      </w:r>
      <w:r>
        <w:rPr>
          <w:rFonts w:ascii="Arial" w:cs="Arial" w:eastAsia="Arial" w:hAnsi="Arial"/>
          <w:sz w:val="18"/>
          <w:szCs w:val="18"/>
          <w:color w:val="auto"/>
        </w:rPr>
        <w:t xml:space="preserve"> all Non-Exclusive Licensed Market Data Distributor Fees hereunder, such result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number of Data Sets then provided by Tradeweb that make up the Exclusive Licensed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Support Hours </w:t>
      </w:r>
      <w:r>
        <w:rPr>
          <w:rFonts w:ascii="Arial" w:cs="Arial" w:eastAsia="Arial" w:hAnsi="Arial"/>
          <w:sz w:val="18"/>
          <w:szCs w:val="18"/>
          <w:color w:val="auto"/>
        </w:rPr>
        <w:t>- 9AM London Time to 4PM New York Time, subject to local holidays and weekends. The Parties commit to a formal review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Hours on or about the first anniversary 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Timeliness – </w:t>
      </w:r>
      <w:r>
        <w:rPr>
          <w:rFonts w:ascii="Arial" w:cs="Arial" w:eastAsia="Arial" w:hAnsi="Arial"/>
          <w:sz w:val="18"/>
          <w:szCs w:val="18"/>
          <w:color w:val="auto"/>
        </w:rPr>
        <w:t>Transmission of Licensed Data will update at least as frequently as Licensed Data provided to Users.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Service Response – </w:t>
      </w:r>
      <w:r>
        <w:rPr>
          <w:rFonts w:ascii="Arial" w:cs="Arial" w:eastAsia="Arial" w:hAnsi="Arial"/>
          <w:sz w:val="18"/>
          <w:szCs w:val="18"/>
          <w:color w:val="auto"/>
        </w:rPr>
        <w:t>means that Tradeweb will act on an issue reported by GRC within the agreed time periods and according to the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outlined in this SLA.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Quality Measurements Methodology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requirements to provide high quality data and service to its customers are actively promoted and supported throughout Refinitiv. Quality is defined in terms of the following parameters:</w:t>
      </w:r>
    </w:p>
    <w:p>
      <w:pPr>
        <w:spacing w:after="0" w:line="170"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Accuracy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Completeness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Timeliness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Service Response/Resolution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Once a month, a random sample of records and associated fields will be selected for assessment of data quality for all or some of the above parameters.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 bi-monthly basis, Tradeweb and GRC will discuss performance service issues (covering the above quality parameters) of which they are aware.</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bi-monthly schedule to review and publish data quality measurements and results will be set up with the Tradeweb vendor relation manager. Meetings will initially be conducted on a bi-monthly basis, covering issues around the Licensed Data. Subject to progress and performance, GRC and Tradeweb will review the meeting frequency on a bi-monthly basis.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Should GRC detect a decline in performance below the agreed service levels over a period of two (2) months, GRC has the right to arrange a meeting with Tradeweb at a mutually agreed date and time to further discuss the issue. GRC and Tradeweb shall make reasonable efforts to hold such meeting within seven (7) Business Days after a request.</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Section 2</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targets are set out for Service Response times from Tradeweb to GRC’s queries. All support will be during Support Hours. All metrics around response times will include the proviso that the clock stops when the Support Hours end in a day, and begins at that time when the Support Hours next begin (for example, if a query is received thirty-five (35) minutes before the 4pm New York time deadline, then an acknowledgement of receipt is required within twenty-five (25) minutes of London opening in greater than ninety percent ( &gt;90%) of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GRC agrees that all communication with Tradeweb will be channeled through the Tradeweb Customer Support desks (see Section 5 below for contact details).</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Missing data</w:t>
      </w:r>
      <w:r>
        <w:rPr>
          <w:rFonts w:ascii="Arial" w:cs="Arial" w:eastAsia="Arial" w:hAnsi="Arial"/>
          <w:sz w:val="18"/>
          <w:szCs w:val="18"/>
          <w:color w:val="auto"/>
        </w:rPr>
        <w:t>: Tradeweb must provide a response to GRC’s requests providing acknowledgement of receipt, the status of the request, and the likely resolution time. Tradeweb will target resolution of fifty percent (50%) of queries within ninety (90) minutes of receipt, ninety-five percent (95%) of queries within eighteen (18) hours of receipt and greater than ninety percent (&gt;90%) of GRC requests to be acknowledged within sixty (60) minutes of request submission.</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Suspect data</w:t>
      </w:r>
      <w:r>
        <w:rPr>
          <w:rFonts w:ascii="Arial" w:cs="Arial" w:eastAsia="Arial" w:hAnsi="Arial"/>
          <w:sz w:val="18"/>
          <w:szCs w:val="18"/>
          <w:color w:val="auto"/>
        </w:rPr>
        <w:t>: Tradeweb must provide a response to GRC’s requests providing acknowledgement of receipt, the status of the request, and the likely resolution time. Tradeweb will target resolution of fifty percent (50%) of queries within ninety (90) minutes of receipt, ninety-five percent (95%) of queries within eighteen (18) hours of receipt and greater than ninety percent (&gt;90%) of GRC requests to be acknowledged within sixty (60) minutes of request submission.</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Explanation and clarifications/searches</w:t>
      </w:r>
      <w:r>
        <w:rPr>
          <w:rFonts w:ascii="Arial" w:cs="Arial" w:eastAsia="Arial" w:hAnsi="Arial"/>
          <w:sz w:val="18"/>
          <w:szCs w:val="18"/>
          <w:color w:val="auto"/>
        </w:rPr>
        <w:t>: Tradeweb must provide a response to GRC’s requests providing acknowledgement of receipt, the status of the request, and the likely resolution time. Tradeweb will target resolution of fifty percent (50%) of queries within ninety (90) minutes of receipt, ninety-five (95%) of queries within eighteen (18) hours of receipt and greater than ninety percent (&gt;90%) of GRC requests to be acknowledged within sixty (60) minutes of request submission.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queries where a material data correction is made must contain the following elements within the response:</w:t>
      </w:r>
    </w:p>
    <w:p>
      <w:pPr>
        <w:spacing w:after="0" w:line="225"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Root Cause - What was the root cause of the problem for the incorrect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Corrective Action - What action has been taken to correct the problem?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Prevention - What sustainable action has been taken to prevent recurrence of the problem or to significantly reduce the risk of recurrence?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Expectations on Responsiveness/Actions to Issues by Severity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inquiry responsiveness targets shown above represent the targets for the typical inquiries. The table below provides information on responsiveness targets by severity level as well as escalation paths to be followed by GRC and action items that Tradeweb must progress as the inquiries are received by 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7" w:name="page338"/>
    <w:bookmarkEnd w:id="337"/>
    <w:p>
      <w:pPr>
        <w:jc w:val="center"/>
        <w:ind w:right="-39"/>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spacing w:after="0"/>
        <w:tabs>
          <w:tab w:leader="none" w:pos="3140" w:val="left"/>
          <w:tab w:leader="none" w:pos="7300" w:val="left"/>
        </w:tabs>
        <w:rPr>
          <w:sz w:val="20"/>
          <w:szCs w:val="20"/>
          <w:color w:val="auto"/>
        </w:rPr>
      </w:pPr>
      <w:r>
        <w:rPr>
          <w:rFonts w:ascii="Arial" w:cs="Arial" w:eastAsia="Arial" w:hAnsi="Arial"/>
          <w:sz w:val="18"/>
          <w:szCs w:val="18"/>
          <w:b w:val="1"/>
          <w:bCs w:val="1"/>
          <w:color w:val="auto"/>
        </w:rPr>
        <w:t>Severity</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5"/>
          <w:szCs w:val="15"/>
          <w:b w:val="1"/>
          <w:bCs w:val="1"/>
          <w:color w:val="auto"/>
        </w:rPr>
        <w:t>Responsiveness/Escalations/Actions</w:t>
      </w:r>
    </w:p>
    <w:p>
      <w:pPr>
        <w:sectPr>
          <w:pgSz w:w="11900" w:h="16838" w:orient="portrait"/>
          <w:cols w:equalWidth="0" w:num="1">
            <w:col w:w="11400"/>
          </w:cols>
          <w:pgMar w:left="240" w:top="904" w:right="259" w:bottom="1440" w:gutter="0" w:footer="0" w:header="0"/>
        </w:sectPr>
      </w:pPr>
    </w:p>
    <w:p>
      <w:pPr>
        <w:spacing w:after="0" w:line="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 – Critical</w:t>
      </w:r>
      <w:r>
        <w:rPr>
          <w:sz w:val="20"/>
          <w:szCs w:val="20"/>
          <w:color w:val="auto"/>
        </w:rPr>
        <w:tab/>
      </w:r>
      <w:r>
        <w:rPr>
          <w:rFonts w:ascii="Arial" w:cs="Arial" w:eastAsia="Arial" w:hAnsi="Arial"/>
          <w:sz w:val="16"/>
          <w:szCs w:val="16"/>
          <w:color w:val="auto"/>
        </w:rPr>
        <w:t>Single Outages for Data Set(s) over 10 minutes.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7045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30" w:hanging="330"/>
        <w:spacing w:after="0" w:line="276" w:lineRule="auto"/>
        <w:tabs>
          <w:tab w:leader="none" w:pos="27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Tradeweb Support Desk to call GRC within 10 minutes of a feed outage being identified by 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-301625</wp:posOffset>
            </wp:positionV>
            <wp:extent cx="347345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5230" w:space="720"/>
            <w:col w:w="5450"/>
          </w:cols>
          <w:pgMar w:left="240" w:top="904" w:right="259" w:bottom="1440" w:gutter="0" w:footer="0" w:header="0"/>
          <w:type w:val="continuous"/>
        </w:sectPr>
      </w:pPr>
    </w:p>
    <w:p>
      <w:pPr>
        <w:spacing w:after="0" w:line="202" w:lineRule="exact"/>
        <w:rPr>
          <w:sz w:val="20"/>
          <w:szCs w:val="20"/>
          <w:color w:val="auto"/>
        </w:rPr>
      </w:pPr>
    </w:p>
    <w:p>
      <w:pPr>
        <w:ind w:left="1380"/>
        <w:spacing w:after="0" w:line="258" w:lineRule="auto"/>
        <w:rPr>
          <w:sz w:val="20"/>
          <w:szCs w:val="20"/>
          <w:color w:val="auto"/>
        </w:rPr>
      </w:pPr>
      <w:r>
        <w:rPr>
          <w:rFonts w:ascii="Arial" w:cs="Arial" w:eastAsia="Arial" w:hAnsi="Arial"/>
          <w:sz w:val="18"/>
          <w:szCs w:val="18"/>
          <w:color w:val="auto"/>
        </w:rPr>
        <w:t>Latency of over 30 seconds lasting over 2 hours on Data Set(s).</w:t>
      </w:r>
    </w:p>
    <w:p>
      <w:pPr>
        <w:spacing w:after="0" w:line="20" w:lineRule="exact"/>
        <w:rPr>
          <w:sz w:val="20"/>
          <w:szCs w:val="20"/>
          <w:color w:val="auto"/>
        </w:rPr>
      </w:pPr>
      <w:r>
        <w:rPr>
          <w:sz w:val="20"/>
          <w:szCs w:val="20"/>
          <w:color w:val="auto"/>
        </w:rPr>
        <w:br w:type="column"/>
      </w:r>
    </w:p>
    <w:p>
      <w:pPr>
        <w:ind w:left="330" w:right="260" w:hanging="330"/>
        <w:spacing w:after="0" w:line="261" w:lineRule="auto"/>
        <w:tabs>
          <w:tab w:leader="none" w:pos="27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GRC to follow reporting procedures (as per ‘Support and Escalation Procedures’ section).</w:t>
      </w:r>
    </w:p>
    <w:p>
      <w:pPr>
        <w:spacing w:after="0" w:line="197" w:lineRule="exact"/>
        <w:rPr>
          <w:sz w:val="20"/>
          <w:szCs w:val="20"/>
          <w:color w:val="auto"/>
        </w:rPr>
      </w:pPr>
    </w:p>
    <w:p>
      <w:pPr>
        <w:sectPr>
          <w:pgSz w:w="11900" w:h="16838" w:orient="portrait"/>
          <w:cols w:equalWidth="0" w:num="2">
            <w:col w:w="5440" w:space="510"/>
            <w:col w:w="5450"/>
          </w:cols>
          <w:pgMar w:left="240" w:top="904" w:right="259" w:bottom="1440" w:gutter="0" w:footer="0" w:header="0"/>
          <w:type w:val="continuous"/>
        </w:sectPr>
      </w:pPr>
    </w:p>
    <w:p>
      <w:pPr>
        <w:ind w:left="5960"/>
        <w:spacing w:after="0"/>
        <w:tabs>
          <w:tab w:leader="none" w:pos="6200" w:val="left"/>
        </w:tabs>
        <w:rPr>
          <w:sz w:val="20"/>
          <w:szCs w:val="20"/>
          <w:color w:val="auto"/>
        </w:rPr>
      </w:pPr>
      <w:r>
        <w:rPr>
          <w:rFonts w:ascii="Arial" w:cs="Arial" w:eastAsia="Arial" w:hAnsi="Arial"/>
          <w:sz w:val="16"/>
          <w:szCs w:val="16"/>
          <w:color w:val="auto"/>
        </w:rPr>
        <w:t>·</w:t>
        <w:tab/>
        <w:t>Upon receipt by Tradeweb of a GRC sublicensee customer’s request,</w:t>
      </w:r>
    </w:p>
    <w:p>
      <w:pPr>
        <w:spacing w:after="0" w:line="32" w:lineRule="exact"/>
        <w:rPr>
          <w:sz w:val="20"/>
          <w:szCs w:val="20"/>
          <w:color w:val="auto"/>
        </w:rPr>
      </w:pPr>
    </w:p>
    <w:p>
      <w:pPr>
        <w:ind w:left="1380"/>
        <w:spacing w:after="0"/>
        <w:tabs>
          <w:tab w:leader="none" w:pos="6260" w:val="left"/>
        </w:tabs>
        <w:rPr>
          <w:sz w:val="20"/>
          <w:szCs w:val="20"/>
          <w:color w:val="auto"/>
        </w:rPr>
      </w:pPr>
      <w:r>
        <w:rPr>
          <w:rFonts w:ascii="Arial" w:cs="Arial" w:eastAsia="Arial" w:hAnsi="Arial"/>
          <w:sz w:val="16"/>
          <w:szCs w:val="16"/>
          <w:color w:val="auto"/>
        </w:rPr>
        <w:t>OR</w:t>
      </w:r>
      <w:r>
        <w:rPr>
          <w:sz w:val="20"/>
          <w:szCs w:val="20"/>
          <w:color w:val="auto"/>
        </w:rPr>
        <w:tab/>
      </w:r>
      <w:r>
        <w:rPr>
          <w:rFonts w:ascii="Arial" w:cs="Arial" w:eastAsia="Arial" w:hAnsi="Arial"/>
          <w:sz w:val="16"/>
          <w:szCs w:val="16"/>
          <w:color w:val="auto"/>
        </w:rPr>
        <w:t>Tradeweb will provide GRC with a customer statement within two (2)</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Business Days of such receipt. GRC will communicate the Tradeweb</w:t>
      </w:r>
    </w:p>
    <w:p>
      <w:pPr>
        <w:spacing w:after="0" w:line="32" w:lineRule="exact"/>
        <w:rPr>
          <w:sz w:val="20"/>
          <w:szCs w:val="20"/>
          <w:color w:val="auto"/>
        </w:rPr>
      </w:pPr>
    </w:p>
    <w:p>
      <w:pPr>
        <w:ind w:left="1380"/>
        <w:spacing w:after="0"/>
        <w:tabs>
          <w:tab w:leader="none" w:pos="6260" w:val="left"/>
        </w:tabs>
        <w:rPr>
          <w:sz w:val="20"/>
          <w:szCs w:val="20"/>
          <w:color w:val="auto"/>
        </w:rPr>
      </w:pPr>
      <w:r>
        <w:rPr>
          <w:rFonts w:ascii="Arial" w:cs="Arial" w:eastAsia="Arial" w:hAnsi="Arial"/>
          <w:sz w:val="18"/>
          <w:szCs w:val="18"/>
          <w:color w:val="auto"/>
        </w:rPr>
        <w:t>Widespread Data corruption of Data Set(s) over 1 hour.</w:t>
      </w:r>
      <w:r>
        <w:rPr>
          <w:sz w:val="20"/>
          <w:szCs w:val="20"/>
          <w:color w:val="auto"/>
        </w:rPr>
        <w:tab/>
      </w:r>
      <w:r>
        <w:rPr>
          <w:rFonts w:ascii="Arial" w:cs="Arial" w:eastAsia="Arial" w:hAnsi="Arial"/>
          <w:sz w:val="16"/>
          <w:szCs w:val="16"/>
          <w:color w:val="auto"/>
        </w:rPr>
        <w:t>customer statement as provided by Tradeweb with no edits or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additional interpretation, however GRC is fully responsible for any</w:t>
      </w:r>
    </w:p>
    <w:p>
      <w:pPr>
        <w:spacing w:after="0" w:line="21" w:lineRule="exact"/>
        <w:rPr>
          <w:sz w:val="20"/>
          <w:szCs w:val="20"/>
          <w:color w:val="auto"/>
        </w:rPr>
      </w:pPr>
    </w:p>
    <w:p>
      <w:pPr>
        <w:ind w:left="1380"/>
        <w:spacing w:after="0"/>
        <w:tabs>
          <w:tab w:leader="none" w:pos="6260" w:val="left"/>
        </w:tabs>
        <w:rPr>
          <w:sz w:val="20"/>
          <w:szCs w:val="20"/>
          <w:color w:val="auto"/>
        </w:rPr>
      </w:pPr>
      <w:r>
        <w:rPr>
          <w:rFonts w:ascii="Arial" w:cs="Arial" w:eastAsia="Arial" w:hAnsi="Arial"/>
          <w:sz w:val="18"/>
          <w:szCs w:val="18"/>
          <w:color w:val="auto"/>
        </w:rPr>
        <w:t>OR</w:t>
      </w:r>
      <w:r>
        <w:rPr>
          <w:sz w:val="20"/>
          <w:szCs w:val="20"/>
          <w:color w:val="auto"/>
        </w:rPr>
        <w:tab/>
      </w:r>
      <w:r>
        <w:rPr>
          <w:rFonts w:ascii="Arial" w:cs="Arial" w:eastAsia="Arial" w:hAnsi="Arial"/>
          <w:sz w:val="18"/>
          <w:szCs w:val="18"/>
          <w:color w:val="auto"/>
        </w:rPr>
        <w:t>additional GRC statements provided to sublicensee customers.</w:t>
      </w:r>
    </w:p>
    <w:p>
      <w:pPr>
        <w:spacing w:after="0" w:line="211" w:lineRule="exact"/>
        <w:rPr>
          <w:sz w:val="20"/>
          <w:szCs w:val="20"/>
          <w:color w:val="auto"/>
        </w:rPr>
      </w:pPr>
    </w:p>
    <w:p>
      <w:pPr>
        <w:ind w:left="1380"/>
        <w:spacing w:after="0"/>
        <w:tabs>
          <w:tab w:leader="none" w:pos="5940" w:val="left"/>
          <w:tab w:leader="none" w:pos="6200" w:val="left"/>
        </w:tabs>
        <w:rPr>
          <w:sz w:val="20"/>
          <w:szCs w:val="20"/>
          <w:color w:val="auto"/>
        </w:rPr>
      </w:pPr>
      <w:r>
        <w:rPr>
          <w:rFonts w:ascii="Arial" w:cs="Arial" w:eastAsia="Arial" w:hAnsi="Arial"/>
          <w:sz w:val="18"/>
          <w:szCs w:val="18"/>
          <w:color w:val="auto"/>
        </w:rPr>
        <w:t>Missing Data 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Root Cause analysis provided to GRC by Tradeweb within one (1)</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Business Day from the time the Root Cause is determined by</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Tradeweb.</w:t>
      </w:r>
    </w:p>
    <w:p>
      <w:pPr>
        <w:sectPr>
          <w:pgSz w:w="11900" w:h="16838" w:orient="portrait"/>
          <w:cols w:equalWidth="0" w:num="1">
            <w:col w:w="11400"/>
          </w:cols>
          <w:pgMar w:left="240" w:top="90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 High</w:t>
            </w:r>
          </w:p>
        </w:tc>
        <w:tc>
          <w:tcPr>
            <w:tcW w:w="4540" w:type="dxa"/>
            <w:vAlign w:val="bottom"/>
          </w:tcPr>
          <w:p>
            <w:pPr>
              <w:ind w:left="240"/>
              <w:spacing w:after="0"/>
              <w:rPr>
                <w:sz w:val="20"/>
                <w:szCs w:val="20"/>
                <w:color w:val="auto"/>
              </w:rPr>
            </w:pPr>
            <w:r>
              <w:rPr>
                <w:rFonts w:ascii="Arial" w:cs="Arial" w:eastAsia="Arial" w:hAnsi="Arial"/>
                <w:sz w:val="18"/>
                <w:szCs w:val="18"/>
                <w:color w:val="auto"/>
                <w:w w:val="93"/>
              </w:rPr>
              <w:t>Latency of more than 30 seconds for less than two hours.</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(Serious)</w:t>
            </w:r>
          </w:p>
        </w:tc>
        <w:tc>
          <w:tcPr>
            <w:tcW w:w="4540" w:type="dxa"/>
            <w:vAlign w:val="bottom"/>
            <w:vMerge w:val="restart"/>
          </w:tcPr>
          <w:p>
            <w:pPr>
              <w:ind w:left="240"/>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w w:val="95"/>
              </w:rPr>
              <w:t>Missing data from Data Set over market (Eurobonds, US</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Treasuries, etc.).</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Continual corrupt data for 1 hour for any Data Set.</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w w:val="91"/>
              </w:rPr>
              <w:t>Missing data on highly liquid Data Set (UST, US Agencies,</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etc.).</w:t>
            </w:r>
          </w:p>
        </w:tc>
        <w:tc>
          <w:tcPr>
            <w:tcW w:w="0" w:type="dxa"/>
            <w:vAlign w:val="bottom"/>
          </w:tcPr>
          <w:p>
            <w:pPr>
              <w:spacing w:after="0"/>
              <w:rPr>
                <w:sz w:val="1"/>
                <w:szCs w:val="1"/>
                <w:color w:val="auto"/>
              </w:rPr>
            </w:pPr>
          </w:p>
        </w:tc>
      </w:tr>
      <w:tr>
        <w:trPr>
          <w:trHeight w:val="648"/>
        </w:trPr>
        <w:tc>
          <w:tcPr>
            <w:tcW w:w="1140" w:type="dxa"/>
            <w:vAlign w:val="bottom"/>
          </w:tcPr>
          <w:p>
            <w:pPr>
              <w:spacing w:after="0"/>
              <w:rPr>
                <w:sz w:val="20"/>
                <w:szCs w:val="20"/>
                <w:color w:val="auto"/>
              </w:rPr>
            </w:pPr>
            <w:r>
              <w:rPr>
                <w:rFonts w:ascii="Arial" w:cs="Arial" w:eastAsia="Arial" w:hAnsi="Arial"/>
                <w:sz w:val="18"/>
                <w:szCs w:val="18"/>
                <w:color w:val="auto"/>
              </w:rPr>
              <w:t>3 – Medium</w:t>
            </w:r>
          </w:p>
        </w:tc>
        <w:tc>
          <w:tcPr>
            <w:tcW w:w="4540" w:type="dxa"/>
            <w:vAlign w:val="bottom"/>
          </w:tcPr>
          <w:p>
            <w:pPr>
              <w:ind w:left="240"/>
              <w:spacing w:after="0"/>
              <w:rPr>
                <w:sz w:val="20"/>
                <w:szCs w:val="20"/>
                <w:color w:val="auto"/>
              </w:rPr>
            </w:pPr>
            <w:r>
              <w:rPr>
                <w:rFonts w:ascii="Arial" w:cs="Arial" w:eastAsia="Arial" w:hAnsi="Arial"/>
                <w:sz w:val="18"/>
                <w:szCs w:val="18"/>
                <w:color w:val="auto"/>
              </w:rPr>
              <w:t>Intermittent corruption of data.</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w w:val="93"/>
              </w:rPr>
              <w:t>Missing data of remaining data sets (outside of country or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highly liquid items).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724662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330" w:right="140" w:hanging="330"/>
        <w:spacing w:after="0" w:line="277" w:lineRule="auto"/>
        <w:tabs>
          <w:tab w:leader="none" w:pos="27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GRC may require a meeting with Tradeweb senior management when critical issues are escalated.</w:t>
      </w:r>
    </w:p>
    <w:p>
      <w:pPr>
        <w:spacing w:after="0" w:line="170" w:lineRule="exact"/>
        <w:rPr>
          <w:rFonts w:ascii="Arial" w:cs="Arial" w:eastAsia="Arial" w:hAnsi="Arial"/>
          <w:sz w:val="18"/>
          <w:szCs w:val="18"/>
          <w:color w:val="auto"/>
        </w:rPr>
      </w:pPr>
    </w:p>
    <w:p>
      <w:pPr>
        <w:ind w:left="330" w:right="100" w:hanging="330"/>
        <w:spacing w:after="0" w:line="277" w:lineRule="auto"/>
        <w:tabs>
          <w:tab w:leader="none" w:pos="27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Tradeweb Support Desk to call GRC within 15 minutes in the instance that stale data /corruption is identified by Tradeweb.</w:t>
      </w:r>
    </w:p>
    <w:p>
      <w:pPr>
        <w:spacing w:after="0" w:line="170" w:lineRule="exact"/>
        <w:rPr>
          <w:rFonts w:ascii="Arial" w:cs="Arial" w:eastAsia="Arial" w:hAnsi="Arial"/>
          <w:sz w:val="18"/>
          <w:szCs w:val="18"/>
          <w:color w:val="auto"/>
        </w:rPr>
      </w:pPr>
    </w:p>
    <w:p>
      <w:pPr>
        <w:ind w:left="330" w:right="260" w:hanging="330"/>
        <w:spacing w:after="0" w:line="277" w:lineRule="auto"/>
        <w:tabs>
          <w:tab w:leader="none" w:pos="27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GRC to follow reporting procedures (as per ‘Support and Escalation Procedures’ section).</w:t>
      </w:r>
    </w:p>
    <w:p>
      <w:pPr>
        <w:spacing w:after="0" w:line="170" w:lineRule="exact"/>
        <w:rPr>
          <w:rFonts w:ascii="Arial" w:cs="Arial" w:eastAsia="Arial" w:hAnsi="Arial"/>
          <w:sz w:val="18"/>
          <w:szCs w:val="18"/>
          <w:color w:val="auto"/>
        </w:rPr>
      </w:pPr>
    </w:p>
    <w:p>
      <w:pPr>
        <w:ind w:left="330" w:right="80" w:hanging="330"/>
        <w:spacing w:after="0" w:line="273" w:lineRule="auto"/>
        <w:tabs>
          <w:tab w:leader="none" w:pos="27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Upon receipt by Tradeweb of a GRC sublicensee customer’s request, Tradeweb will provide GRC with a customer statement within two (2) Business Days of receipt. GRC will communicate the customer statement as provided by Tradeweb with no edits or additional interpretation, however GRC is fully responsible for any additional GRC statements provided to sublicensee customers.</w:t>
      </w:r>
    </w:p>
    <w:p>
      <w:pPr>
        <w:spacing w:after="0" w:line="178" w:lineRule="exact"/>
        <w:rPr>
          <w:rFonts w:ascii="Arial" w:cs="Arial" w:eastAsia="Arial" w:hAnsi="Arial"/>
          <w:sz w:val="17"/>
          <w:szCs w:val="17"/>
          <w:color w:val="auto"/>
        </w:rPr>
      </w:pPr>
    </w:p>
    <w:p>
      <w:pPr>
        <w:ind w:left="330" w:right="380" w:hanging="330"/>
        <w:spacing w:after="0" w:line="264" w:lineRule="auto"/>
        <w:tabs>
          <w:tab w:leader="none" w:pos="27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Root Cause analysis provided to GRC by Tradeweb within one (1) Business Day from the time the Root Cause is determined by Tradeweb.</w:t>
      </w:r>
    </w:p>
    <w:p>
      <w:pPr>
        <w:spacing w:after="0" w:line="181" w:lineRule="exact"/>
        <w:rPr>
          <w:rFonts w:ascii="Arial" w:cs="Arial" w:eastAsia="Arial" w:hAnsi="Arial"/>
          <w:sz w:val="18"/>
          <w:szCs w:val="18"/>
          <w:color w:val="auto"/>
        </w:rPr>
      </w:pPr>
    </w:p>
    <w:p>
      <w:pPr>
        <w:ind w:left="330" w:right="100" w:hanging="330"/>
        <w:spacing w:after="0" w:line="277" w:lineRule="auto"/>
        <w:tabs>
          <w:tab w:leader="none" w:pos="27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Tradeweb Support Desk to call GRC within 20 minutes in the instance that stale data /corruption is identified by Tradeweb.</w:t>
      </w:r>
    </w:p>
    <w:p>
      <w:pPr>
        <w:spacing w:after="0" w:line="170" w:lineRule="exact"/>
        <w:rPr>
          <w:rFonts w:ascii="Arial" w:cs="Arial" w:eastAsia="Arial" w:hAnsi="Arial"/>
          <w:sz w:val="18"/>
          <w:szCs w:val="18"/>
          <w:color w:val="auto"/>
        </w:rPr>
      </w:pPr>
    </w:p>
    <w:p>
      <w:pPr>
        <w:ind w:left="330" w:right="260" w:hanging="330"/>
        <w:spacing w:after="0" w:line="277" w:lineRule="auto"/>
        <w:tabs>
          <w:tab w:leader="none" w:pos="27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GRC to follow reporting procedures (as per ‘Support and Escalation Procedures’ section).</w:t>
      </w:r>
    </w:p>
    <w:p>
      <w:pPr>
        <w:spacing w:after="0" w:line="170" w:lineRule="exact"/>
        <w:rPr>
          <w:rFonts w:ascii="Arial" w:cs="Arial" w:eastAsia="Arial" w:hAnsi="Arial"/>
          <w:sz w:val="18"/>
          <w:szCs w:val="18"/>
          <w:color w:val="auto"/>
        </w:rPr>
      </w:pPr>
    </w:p>
    <w:p>
      <w:pPr>
        <w:ind w:left="330" w:right="60" w:hanging="330"/>
        <w:spacing w:after="0" w:line="264" w:lineRule="auto"/>
        <w:tabs>
          <w:tab w:leader="none" w:pos="27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GRC may request that Tradeweb to conduct Root Cause analysis on some severity 3 items owed to GRC within three (3) Business Days of the occurrence of the Severity 3 event.</w:t>
      </w:r>
    </w:p>
    <w:p>
      <w:pPr>
        <w:sectPr>
          <w:pgSz w:w="11900" w:h="16838" w:orient="portrait"/>
          <w:cols w:equalWidth="0" w:num="2">
            <w:col w:w="5680" w:space="270"/>
            <w:col w:w="5450"/>
          </w:cols>
          <w:pgMar w:left="240" w:top="904" w:right="259" w:bottom="1440" w:gutter="0" w:footer="0" w:header="0"/>
          <w:type w:val="continuous"/>
        </w:sectPr>
      </w:pPr>
    </w:p>
    <w:bookmarkStart w:id="338" w:name="page339"/>
    <w:bookmarkEnd w:id="338"/>
    <w:p>
      <w:pPr>
        <w:jc w:val="center"/>
        <w:ind w:right="-19"/>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904" w:right="239" w:bottom="1440" w:gutter="0" w:footer="0" w:header="0"/>
        </w:sectPr>
      </w:pPr>
    </w:p>
    <w:p>
      <w:pPr>
        <w:spacing w:after="0" w:line="229"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18"/>
          <w:szCs w:val="18"/>
          <w:color w:val="auto"/>
        </w:rPr>
        <w:t>4 – Minor</w:t>
      </w:r>
      <w:r>
        <w:rPr>
          <w:sz w:val="20"/>
          <w:szCs w:val="20"/>
          <w:color w:val="auto"/>
        </w:rPr>
        <w:tab/>
      </w:r>
      <w:r>
        <w:rPr>
          <w:rFonts w:ascii="Arial" w:cs="Arial" w:eastAsia="Arial" w:hAnsi="Arial"/>
          <w:sz w:val="16"/>
          <w:szCs w:val="16"/>
          <w:color w:val="auto"/>
        </w:rPr>
        <w:t>GRC has a query on one or more elements within a Data Set</w:t>
      </w:r>
    </w:p>
    <w:p>
      <w:pPr>
        <w:spacing w:after="0" w:line="23" w:lineRule="exact"/>
        <w:rPr>
          <w:sz w:val="20"/>
          <w:szCs w:val="20"/>
          <w:color w:val="auto"/>
        </w:rPr>
      </w:pPr>
    </w:p>
    <w:p>
      <w:pPr>
        <w:ind w:left="1460" w:right="360"/>
        <w:spacing w:after="0" w:line="255" w:lineRule="auto"/>
        <w:rPr>
          <w:sz w:val="20"/>
          <w:szCs w:val="20"/>
          <w:color w:val="auto"/>
        </w:rPr>
      </w:pPr>
      <w:r>
        <w:rPr>
          <w:rFonts w:ascii="Arial" w:cs="Arial" w:eastAsia="Arial" w:hAnsi="Arial"/>
          <w:sz w:val="18"/>
          <w:szCs w:val="18"/>
          <w:color w:val="auto"/>
        </w:rPr>
        <w:t>and requires Tradeweb to validate such data element or clarify the lack of updates on a small sub-set of data records.</w:t>
      </w:r>
    </w:p>
    <w:p>
      <w:pPr>
        <w:spacing w:after="0" w:line="190" w:lineRule="exact"/>
        <w:rPr>
          <w:sz w:val="20"/>
          <w:szCs w:val="20"/>
          <w:color w:val="auto"/>
        </w:rPr>
      </w:pPr>
    </w:p>
    <w:p>
      <w:pPr>
        <w:ind w:left="1460" w:right="100"/>
        <w:spacing w:after="0" w:line="264" w:lineRule="auto"/>
        <w:rPr>
          <w:sz w:val="20"/>
          <w:szCs w:val="20"/>
          <w:color w:val="auto"/>
        </w:rPr>
      </w:pPr>
      <w:r>
        <w:rPr>
          <w:rFonts w:ascii="Arial" w:cs="Arial" w:eastAsia="Arial" w:hAnsi="Arial"/>
          <w:sz w:val="18"/>
          <w:szCs w:val="18"/>
          <w:color w:val="auto"/>
        </w:rPr>
        <w:t>Impacts data quality/quantity without completely disabling GRC sublicensee customers from using the sub-set of Licensed Data.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30" w:right="380" w:hanging="330"/>
        <w:spacing w:after="0" w:line="277" w:lineRule="auto"/>
        <w:tabs>
          <w:tab w:leader="none" w:pos="27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Tradeweb to respond within one (1) hour of receipt acknowledging receipt of the query.</w:t>
      </w:r>
    </w:p>
    <w:p>
      <w:pPr>
        <w:spacing w:after="0" w:line="170" w:lineRule="exact"/>
        <w:rPr>
          <w:rFonts w:ascii="Arial" w:cs="Arial" w:eastAsia="Arial" w:hAnsi="Arial"/>
          <w:sz w:val="18"/>
          <w:szCs w:val="18"/>
          <w:color w:val="auto"/>
        </w:rPr>
      </w:pPr>
    </w:p>
    <w:p>
      <w:pPr>
        <w:ind w:left="330" w:right="280" w:hanging="330"/>
        <w:spacing w:after="0" w:line="277" w:lineRule="auto"/>
        <w:tabs>
          <w:tab w:leader="none" w:pos="27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GRC to follow reporting procedures (as per ‘Support and Escalation Procedures’ section).</w:t>
      </w:r>
    </w:p>
    <w:p>
      <w:pPr>
        <w:spacing w:after="0" w:line="814" w:lineRule="exact"/>
        <w:rPr>
          <w:sz w:val="20"/>
          <w:szCs w:val="20"/>
          <w:color w:val="auto"/>
        </w:rPr>
      </w:pPr>
    </w:p>
    <w:p>
      <w:pPr>
        <w:sectPr>
          <w:pgSz w:w="11900" w:h="16838" w:orient="portrait"/>
          <w:cols w:equalWidth="0" w:num="2">
            <w:col w:w="5800" w:space="150"/>
            <w:col w:w="5470"/>
          </w:cols>
          <w:pgMar w:left="240" w:top="90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Section 3</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Tradeweb is responsible for formally communicating to GRC about any material changes made to the Licensed Data, tags, data definitions, coverage, data feeds or the data delivery systems. Changes are divided into major, minor and exceptional and each type requires a minimum notification period that Tradeweb needs to provide GRC so that it can prepare for such changes. For the avoidance of doubt, this Section 3 shall apply to major, minor and exceptional changes, whatever their cause, including without limitation any such changes resulting from or necessitated by any Third Party Agreement entered into by Tradeweb during the term of this Second A&amp;R Agreement.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order to help understand the implications of changes and manage the process smoothly, Tradeweb will establish, formalise and make available to GRC a data dictionary. In addition Tradeweb and GRC will agree on a set of critical tags on the Tradeweb feed/s and any change to these tags will be considered a major change and require agreement on both the change and the scheduling of the change from both Tradeweb and GRC.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Tradeweb is also responsible for setting and communicating its procedures through which it will control modifications to its service.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Management 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Major Change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Tradeweb will provide a minimum of ninety (90) days’ notice for Major Change projects unless such notice is not permitted or practicable as a reasonable result of changes in regulation or market convention.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39" w:name="page340"/>
    <w:bookmarkEnd w:id="339"/>
    <w:p>
      <w:pPr>
        <w:ind w:left="4960"/>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major changes. A Major Change is defined as:</w:t>
      </w:r>
    </w:p>
    <w:p>
      <w:pPr>
        <w:spacing w:after="0" w:line="225" w:lineRule="exact"/>
        <w:rPr>
          <w:sz w:val="20"/>
          <w:szCs w:val="20"/>
          <w:color w:val="auto"/>
        </w:rPr>
      </w:pPr>
    </w:p>
    <w:p>
      <w:pPr>
        <w:ind w:left="660" w:hanging="328"/>
        <w:spacing w:after="0" w:line="277" w:lineRule="auto"/>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change that will cause a material service disruption if GRC is unable to implement the required changes prior to Tradeweb rolling out the change;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change that causes a significant portion of the feed to stop updating (greater than fifty percent (50%) of the feed);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change that requires GRC to carry out a significant amount of work to implement the change (more than thirty (30) working days continuous development work).</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the above are true for any proposed change from Tradeweb to any material portion of the Licensed Data, then Tradeweb will use commercially reasonable efforts to provide a sixty (60) day parallel run of old and new data files prior to cutting over if the feed is a streaming feed from Tradeweb, unless Tradeweb determines in consultation with GRC that it is reasonably necessary to release the change sooner than sixty (60) days, in which case Tradeweb will provide at least fifteen (15) days of such parallel run. GRC will evaluate the work required and provide Tradeweb an estimated release date within five (5) Business Days of notification. Both GRC and Tradeweb will then agree upon a mutually acceptable development and release schedule, provided that Tradeweb may make any release in its discretion to support its own business. GRC will make best endeavours to support such a release schedule.</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Examples of Major Changes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are examples of major changes (not an exhaustive list):</w:t>
      </w:r>
    </w:p>
    <w:p>
      <w:pPr>
        <w:spacing w:after="0" w:line="225" w:lineRule="exact"/>
        <w:rPr>
          <w:sz w:val="20"/>
          <w:szCs w:val="20"/>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Tradeweb changes the feed delivery mechanism, data files, message formats, etc.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Tradeweb changes the location into which it feeds the data to GRC.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Should a Severity 1, 2 or 3 event occur due to Tradeweb failing to provide the minimum notice period, then the associated SLA events will be triggered.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Minor 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minor change constitutes one that requires less than fifteen (15) days’ work for GRC to implement. Tradeweb will provide a minimum of fifteen</w:t>
      </w:r>
    </w:p>
    <w:p>
      <w:pPr>
        <w:spacing w:after="0" w:line="46" w:lineRule="exact"/>
        <w:rPr>
          <w:sz w:val="20"/>
          <w:szCs w:val="20"/>
          <w:color w:val="auto"/>
        </w:rPr>
      </w:pPr>
    </w:p>
    <w:p>
      <w:pPr>
        <w:jc w:val="both"/>
        <w:ind w:firstLine="8"/>
        <w:spacing w:after="0" w:line="255" w:lineRule="auto"/>
        <w:tabs>
          <w:tab w:leader="none" w:pos="3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days’ notice before such changes are implemented and rolled out to production,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this notice period is subject to market conditions that may not allow Tradeweb to provide such notice. In such case, Tradeweb shall provide as much prior notice as is reasonably practicable under the circumstances.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Examples of Minor Changes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are examples of minor changes (not an exhaustive list):</w:t>
      </w:r>
    </w:p>
    <w:p>
      <w:pPr>
        <w:spacing w:after="0" w:line="225"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Large new set of instruments added to a feed (&gt;25 records).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New data fields added to the files without changing the existing format. Hence not a production impact if the new fields are not read.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Should a Severity 1, 2 or 3 event occur due to Tradeweb failing to provide the minimum notice period, then the associated SLA events will be triggered.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Exceptional Change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represents large scale changes which require notification periods greater than 120 days and will be agreed upon by Tradeweb and GRC.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Examples of Exceptional Changes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are examples of exceptional changes (not an exhaustive list):</w:t>
      </w:r>
    </w:p>
    <w:p>
      <w:pPr>
        <w:spacing w:after="0" w:line="225" w:lineRule="exact"/>
        <w:rPr>
          <w:sz w:val="20"/>
          <w:szCs w:val="20"/>
          <w:color w:val="auto"/>
        </w:rPr>
      </w:pPr>
    </w:p>
    <w:p>
      <w:pPr>
        <w:ind w:left="660" w:right="20" w:hanging="328"/>
        <w:spacing w:after="0" w:line="277"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Changes to technical specifications related to network protocols or application level protocols, feed/file format, migration to a new feed or data file formats.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Implementation of a New Market Data Set.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the event that a change is required for regulatory or trading convention changes, Tradeweb will notify GRC as soon as practicable of becoming aware that the change will impact Licensed Data.</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GRC will endeavour to work with Tradeweb on exceptional changes to ensure that release times are kept to a minimum.</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Should a Severity 1, 2 or 3 event occur due to Tradeweb failing to provide the minimum notice period, then the associated SLA events will be triggered.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Data Removal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Tradeweb will provide GRC with a minimum of thirty (30) days’ notice prior to material data removal on the feeds of Licensed Data,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this notice period is subject to market conditions that may not allow Tradeweb to provide such notice. In such case, Tradeweb shall provide as much prior notice as is reasonably practicable under the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E-Mail Distribution List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facilitate efficient implementation of scheduled interruptions and ongoing maintenance, Tradeweb will send notification and supporting documentation via e-mail to an established GRC mailbox (e.g., rdacontributedpricing@thomsonreuters.com) from which GRC can distribute the information internally and an up-to-date distribution list supplied by GRC. In addition, each Party will ensure that its escalation and contact information remains current and will review and verify the accuracy of such information on at least an annual basis.</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Unplanned Interruptions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It is critical that Tradeweb notify GRC about unscheduled interruptions/outages. The following recommendations are limited to issues related to notification schedules/communication processes and include the following elements:</w:t>
      </w:r>
    </w:p>
    <w:p>
      <w:pPr>
        <w:spacing w:after="0" w:line="170" w:lineRule="exact"/>
        <w:rPr>
          <w:sz w:val="20"/>
          <w:szCs w:val="20"/>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Initial notice of problem including what is affected and an estimate for restoring service.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Periodic follow-up, subject to the notifications below, until the problem is resolved.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Notice when service has been restored.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a GRC sublicensee customer’s request, a description of the problem and when it was, or will be, fixed, and as appropriate and determined by Tradeweb, how the problem was fixed will be provided by Tradeweb. All communications to GRC sublicensee customers shall be identical to any such descriptions provided by Tradeweb, although GRC reserves the right to comment separately.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Immediate Notification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Tradeweb will, as soon as practicable, notify GRC of any unplanned interruption to service. Initial notice will describe the problem, outline what Licensed Data is affected and describe which systems are affected with estimated resolution times.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Communications Systems or Equipment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the outage is the result of a communications problem, Tradeweb will provide details of the entity responsible for fixing the problem (e.g., the ticker development department at Tradeweb or GRC sublicensee) and describe whether a restart of downstream devices or restart of an IP session is required.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Dedicated Resource for Communication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GRC will utilize the escalation contacts during unplanned interruption to service. The ‘Support and Escalation Procedures’ section indicates points of contact at Tradeweb within Support Hours to initiate notices to GRC and respond to any necessary inquiries from representatives at GRC. This Person should not also be responsible for recovery of the service to ensure that there is no conflict with the requirement for customer notification and support.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Notification Procedure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will be via all appropriate and available electronic mechanisms including telephone, e-mail, web site, and pager, etc.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Restoration Projection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Notice (or reasonable projection) of when service will be restored will be provided as soon as possible. Before the service restoration time is known, Tradeweb will provide next projected status update times on a regular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2" w:name="page343"/>
    <w:bookmarkEnd w:id="342"/>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longer outages, Tradeweb will provide periodic status updates indicating progress toward resolution and an estimate of the resolution timeframe.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frequency of these updates will be provided based on the estimated resolution times as per the following schedule:</w:t>
      </w:r>
    </w:p>
    <w:p>
      <w:pPr>
        <w:spacing w:after="0" w:line="205" w:lineRule="exact"/>
        <w:rPr>
          <w:sz w:val="20"/>
          <w:szCs w:val="20"/>
          <w:color w:val="auto"/>
        </w:rPr>
      </w:pPr>
    </w:p>
    <w:tbl>
      <w:tblPr>
        <w:tblLayout w:type="fixed"/>
        <w:tblInd w:w="2890" w:type="dxa"/>
        <w:tblCellMar>
          <w:top w:w="0" w:type="dxa"/>
          <w:left w:w="0" w:type="dxa"/>
          <w:bottom w:w="0" w:type="dxa"/>
          <w:right w:w="0" w:type="dxa"/>
        </w:tblCellMar>
      </w:tblPr>
      <w:tr>
        <w:trPr>
          <w:trHeight w:val="306"/>
        </w:trPr>
        <w:tc>
          <w:tcPr>
            <w:tcW w:w="23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Estimated Resolution</w:t>
            </w:r>
          </w:p>
        </w:tc>
        <w:tc>
          <w:tcPr>
            <w:tcW w:w="3400" w:type="dxa"/>
            <w:vAlign w:val="bottom"/>
            <w:tcBorders>
              <w:top w:val="single" w:sz="8" w:color="auto"/>
              <w:right w:val="single" w:sz="8" w:color="auto"/>
            </w:tcBorders>
          </w:tcPr>
          <w:p>
            <w:pPr>
              <w:spacing w:after="0"/>
              <w:rPr>
                <w:sz w:val="24"/>
                <w:szCs w:val="24"/>
                <w:color w:val="auto"/>
              </w:rPr>
            </w:pPr>
          </w:p>
        </w:tc>
      </w:tr>
      <w:tr>
        <w:trPr>
          <w:trHeight w:val="234"/>
        </w:trPr>
        <w:tc>
          <w:tcPr>
            <w:tcW w:w="2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Times</w:t>
            </w:r>
          </w:p>
        </w:tc>
        <w:tc>
          <w:tcPr>
            <w:tcW w:w="340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Frequency of Updates</w:t>
            </w:r>
          </w:p>
        </w:tc>
      </w:tr>
      <w:tr>
        <w:trPr>
          <w:trHeight w:val="304"/>
        </w:trPr>
        <w:tc>
          <w:tcPr>
            <w:tcW w:w="2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&lt; 3 hours</w:t>
            </w: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Every 1 hour or less –</w:t>
            </w:r>
          </w:p>
        </w:tc>
      </w:tr>
      <w:tr>
        <w:trPr>
          <w:trHeight w:val="95"/>
        </w:trPr>
        <w:tc>
          <w:tcPr>
            <w:tcW w:w="2300" w:type="dxa"/>
            <w:vAlign w:val="bottom"/>
            <w:tcBorders>
              <w:left w:val="single" w:sz="8" w:color="auto"/>
              <w:bottom w:val="single" w:sz="8" w:color="auto"/>
              <w:right w:val="single" w:sz="8" w:color="auto"/>
            </w:tcBorders>
          </w:tcPr>
          <w:p>
            <w:pPr>
              <w:spacing w:after="0"/>
              <w:rPr>
                <w:sz w:val="8"/>
                <w:szCs w:val="8"/>
                <w:color w:val="auto"/>
              </w:rPr>
            </w:pPr>
          </w:p>
        </w:tc>
        <w:tc>
          <w:tcPr>
            <w:tcW w:w="3400" w:type="dxa"/>
            <w:vAlign w:val="bottom"/>
            <w:tcBorders>
              <w:bottom w:val="single" w:sz="8" w:color="auto"/>
              <w:right w:val="single" w:sz="8" w:color="auto"/>
            </w:tcBorders>
          </w:tcPr>
          <w:p>
            <w:pPr>
              <w:spacing w:after="0"/>
              <w:rPr>
                <w:sz w:val="8"/>
                <w:szCs w:val="8"/>
                <w:color w:val="auto"/>
              </w:rPr>
            </w:pPr>
          </w:p>
        </w:tc>
      </w:tr>
      <w:tr>
        <w:trPr>
          <w:trHeight w:val="304"/>
        </w:trPr>
        <w:tc>
          <w:tcPr>
            <w:tcW w:w="2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 to 24 hours</w:t>
            </w: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Every 2 hours</w:t>
            </w:r>
          </w:p>
        </w:tc>
      </w:tr>
      <w:tr>
        <w:trPr>
          <w:trHeight w:val="95"/>
        </w:trPr>
        <w:tc>
          <w:tcPr>
            <w:tcW w:w="2300" w:type="dxa"/>
            <w:vAlign w:val="bottom"/>
            <w:tcBorders>
              <w:left w:val="single" w:sz="8" w:color="auto"/>
              <w:bottom w:val="single" w:sz="8" w:color="auto"/>
              <w:right w:val="single" w:sz="8" w:color="auto"/>
            </w:tcBorders>
          </w:tcPr>
          <w:p>
            <w:pPr>
              <w:spacing w:after="0"/>
              <w:rPr>
                <w:sz w:val="8"/>
                <w:szCs w:val="8"/>
                <w:color w:val="auto"/>
              </w:rPr>
            </w:pPr>
          </w:p>
        </w:tc>
        <w:tc>
          <w:tcPr>
            <w:tcW w:w="3400" w:type="dxa"/>
            <w:vAlign w:val="bottom"/>
            <w:tcBorders>
              <w:bottom w:val="single" w:sz="8" w:color="auto"/>
              <w:right w:val="single" w:sz="8" w:color="auto"/>
            </w:tcBorders>
          </w:tcPr>
          <w:p>
            <w:pPr>
              <w:spacing w:after="0"/>
              <w:rPr>
                <w:sz w:val="8"/>
                <w:szCs w:val="8"/>
                <w:color w:val="auto"/>
              </w:rPr>
            </w:pPr>
          </w:p>
        </w:tc>
      </w:tr>
      <w:tr>
        <w:trPr>
          <w:trHeight w:val="304"/>
        </w:trPr>
        <w:tc>
          <w:tcPr>
            <w:tcW w:w="2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24+ hours</w:t>
            </w: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Daily updates</w:t>
            </w:r>
          </w:p>
        </w:tc>
      </w:tr>
      <w:tr>
        <w:trPr>
          <w:trHeight w:val="95"/>
        </w:trPr>
        <w:tc>
          <w:tcPr>
            <w:tcW w:w="2300" w:type="dxa"/>
            <w:vAlign w:val="bottom"/>
            <w:tcBorders>
              <w:left w:val="single" w:sz="8" w:color="auto"/>
              <w:bottom w:val="single" w:sz="8" w:color="auto"/>
              <w:right w:val="single" w:sz="8" w:color="auto"/>
            </w:tcBorders>
          </w:tcPr>
          <w:p>
            <w:pPr>
              <w:spacing w:after="0"/>
              <w:rPr>
                <w:sz w:val="8"/>
                <w:szCs w:val="8"/>
                <w:color w:val="auto"/>
              </w:rPr>
            </w:pPr>
          </w:p>
        </w:tc>
        <w:tc>
          <w:tcPr>
            <w:tcW w:w="3400" w:type="dxa"/>
            <w:vAlign w:val="bottom"/>
            <w:tcBorders>
              <w:bottom w:val="single" w:sz="8" w:color="auto"/>
              <w:right w:val="single" w:sz="8" w:color="auto"/>
            </w:tcBorders>
          </w:tcPr>
          <w:p>
            <w:pPr>
              <w:spacing w:after="0"/>
              <w:rPr>
                <w:sz w:val="8"/>
                <w:szCs w:val="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Restart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resolution also requires GRC to restart a system or an IP session, it must be communicated to GRC.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 Restoration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Notification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Tradeweb will provide notice that the service has been restored as soon as possible. The notice will indicate whether restoration is partial or full. Such notice will also distinguish any data elements that remain corrupted from the universe that is accurate and reliable for client use. The notice will provide updated or corrected times of when the incident began and when it was resolved.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Under Investigation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matter is still under investigation, this will be explained and further updates will be provided to fill in missing details.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Final Description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 GRC request, Tradeweb will provide an appropriate written description, to the extent known, and a resolution to the problem, to the extent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Support and Escalation Procedures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Tradeweb is responsible for providing GRC with a support and escalation structure/procedure through which issues are raised. GRC has the right to escalate any issues through this structure to ensure such issues are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3" w:name="page344"/>
    <w:bookmarkEnd w:id="343"/>
    <w:tbl>
      <w:tblPr>
        <w:tblLayout w:type="fixed"/>
        <w:tblInd w:w="1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80" w:type="dxa"/>
            <w:vAlign w:val="bottom"/>
          </w:tcPr>
          <w:p>
            <w:pPr>
              <w:ind w:left="60"/>
              <w:spacing w:after="0"/>
              <w:rPr>
                <w:sz w:val="20"/>
                <w:szCs w:val="20"/>
                <w:color w:val="auto"/>
              </w:rPr>
            </w:pPr>
            <w:r>
              <w:rPr>
                <w:rFonts w:ascii="Arial" w:cs="Arial" w:eastAsia="Arial" w:hAnsi="Arial"/>
                <w:sz w:val="18"/>
                <w:szCs w:val="18"/>
                <w:b w:val="1"/>
                <w:bCs w:val="1"/>
                <w:color w:val="auto"/>
              </w:rPr>
              <w:t>(CONFIDENTIAL)</w:t>
            </w:r>
          </w:p>
        </w:tc>
        <w:tc>
          <w:tcPr>
            <w:tcW w:w="3840" w:type="dxa"/>
            <w:vAlign w:val="bottom"/>
          </w:tcPr>
          <w:p>
            <w:pPr>
              <w:spacing w:after="0"/>
              <w:rPr>
                <w:sz w:val="20"/>
                <w:szCs w:val="20"/>
                <w:color w:val="auto"/>
              </w:rPr>
            </w:pPr>
          </w:p>
        </w:tc>
      </w:tr>
      <w:tr>
        <w:trPr>
          <w:trHeight w:val="213"/>
        </w:trPr>
        <w:tc>
          <w:tcPr>
            <w:tcW w:w="7580" w:type="dxa"/>
            <w:vAlign w:val="bottom"/>
            <w:tcBorders>
              <w:bottom w:val="single" w:sz="8" w:color="auto"/>
            </w:tcBorders>
            <w:gridSpan w:val="3"/>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r>
        <w:trPr>
          <w:trHeight w:val="234"/>
        </w:trPr>
        <w:tc>
          <w:tcPr>
            <w:tcW w:w="758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Initial contacts for Tradeweb regarding all issues (data &amp; systems):</w:t>
            </w:r>
          </w:p>
        </w:tc>
        <w:tc>
          <w:tcPr>
            <w:tcW w:w="3840" w:type="dxa"/>
            <w:vAlign w:val="bottom"/>
            <w:tcBorders>
              <w:right w:val="single" w:sz="8" w:color="auto"/>
            </w:tcBorders>
          </w:tcPr>
          <w:p>
            <w:pPr>
              <w:spacing w:after="0"/>
              <w:rPr>
                <w:sz w:val="20"/>
                <w:szCs w:val="20"/>
                <w:color w:val="auto"/>
              </w:rPr>
            </w:pPr>
          </w:p>
        </w:tc>
      </w:tr>
      <w:tr>
        <w:trPr>
          <w:trHeight w:val="411"/>
        </w:trPr>
        <w:tc>
          <w:tcPr>
            <w:tcW w:w="28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Tradeweb Customer Support –</w:t>
            </w:r>
          </w:p>
        </w:tc>
        <w:tc>
          <w:tcPr>
            <w:tcW w:w="2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r>
      <w:tr>
        <w:trPr>
          <w:trHeight w:val="432"/>
        </w:trPr>
        <w:tc>
          <w:tcPr>
            <w:tcW w:w="28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3"/>
              </w:rPr>
              <w:t>Tradeweb Customer Support Email –</w:t>
            </w:r>
          </w:p>
        </w:tc>
        <w:tc>
          <w:tcPr>
            <w:tcW w:w="2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r>
      <w:tr>
        <w:trPr>
          <w:trHeight w:val="648"/>
        </w:trPr>
        <w:tc>
          <w:tcPr>
            <w:tcW w:w="28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Contact Details</w:t>
            </w:r>
          </w:p>
        </w:tc>
        <w:tc>
          <w:tcPr>
            <w:tcW w:w="2100" w:type="dxa"/>
            <w:vAlign w:val="bottom"/>
          </w:tcPr>
          <w:p>
            <w:pPr>
              <w:ind w:left="80"/>
              <w:spacing w:after="0"/>
              <w:rPr>
                <w:sz w:val="20"/>
                <w:szCs w:val="20"/>
                <w:color w:val="auto"/>
              </w:rPr>
            </w:pPr>
            <w:r>
              <w:rPr>
                <w:rFonts w:ascii="Arial" w:cs="Arial" w:eastAsia="Arial" w:hAnsi="Arial"/>
                <w:sz w:val="18"/>
                <w:szCs w:val="18"/>
                <w:color w:val="auto"/>
              </w:rPr>
              <w:t>Hrs of coverage</w:t>
            </w:r>
          </w:p>
        </w:tc>
        <w:tc>
          <w:tcPr>
            <w:tcW w:w="2680" w:type="dxa"/>
            <w:vAlign w:val="bottom"/>
          </w:tcPr>
          <w:p>
            <w:pPr>
              <w:ind w:left="820"/>
              <w:spacing w:after="0"/>
              <w:rPr>
                <w:sz w:val="20"/>
                <w:szCs w:val="20"/>
                <w:color w:val="auto"/>
              </w:rPr>
            </w:pPr>
            <w:r>
              <w:rPr>
                <w:rFonts w:ascii="Arial" w:cs="Arial" w:eastAsia="Arial" w:hAnsi="Arial"/>
                <w:sz w:val="18"/>
                <w:szCs w:val="18"/>
                <w:color w:val="auto"/>
              </w:rPr>
              <w:t>Work Phone</w:t>
            </w:r>
          </w:p>
        </w:tc>
        <w:tc>
          <w:tcPr>
            <w:tcW w:w="3840" w:type="dxa"/>
            <w:vAlign w:val="bottom"/>
            <w:tcBorders>
              <w:right w:val="single" w:sz="8" w:color="auto"/>
            </w:tcBorders>
          </w:tcPr>
          <w:p>
            <w:pPr>
              <w:spacing w:after="0"/>
              <w:rPr>
                <w:sz w:val="24"/>
                <w:szCs w:val="24"/>
                <w:color w:val="auto"/>
              </w:rPr>
            </w:pPr>
          </w:p>
        </w:tc>
      </w:tr>
      <w:tr>
        <w:trPr>
          <w:trHeight w:val="432"/>
        </w:trPr>
        <w:tc>
          <w:tcPr>
            <w:tcW w:w="490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Initial contacts for Refinitiv Customer Support/Systems Team:</w:t>
            </w:r>
          </w:p>
        </w:tc>
        <w:tc>
          <w:tcPr>
            <w:tcW w:w="268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r>
      <w:tr>
        <w:trPr>
          <w:trHeight w:val="432"/>
        </w:trPr>
        <w:tc>
          <w:tcPr>
            <w:tcW w:w="28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Development Staff</w:t>
            </w:r>
          </w:p>
        </w:tc>
        <w:tc>
          <w:tcPr>
            <w:tcW w:w="2100" w:type="dxa"/>
            <w:vAlign w:val="bottom"/>
          </w:tcPr>
          <w:p>
            <w:pPr>
              <w:ind w:left="80"/>
              <w:spacing w:after="0"/>
              <w:rPr>
                <w:sz w:val="20"/>
                <w:szCs w:val="20"/>
                <w:color w:val="auto"/>
              </w:rPr>
            </w:pPr>
            <w:r>
              <w:rPr>
                <w:rFonts w:ascii="Arial" w:cs="Arial" w:eastAsia="Arial" w:hAnsi="Arial"/>
                <w:sz w:val="18"/>
                <w:szCs w:val="18"/>
                <w:color w:val="auto"/>
              </w:rPr>
              <w:t>Hrs of coverage</w:t>
            </w:r>
          </w:p>
        </w:tc>
        <w:tc>
          <w:tcPr>
            <w:tcW w:w="2680" w:type="dxa"/>
            <w:vAlign w:val="bottom"/>
          </w:tcPr>
          <w:p>
            <w:pPr>
              <w:ind w:left="820"/>
              <w:spacing w:after="0"/>
              <w:rPr>
                <w:sz w:val="20"/>
                <w:szCs w:val="20"/>
                <w:color w:val="auto"/>
              </w:rPr>
            </w:pPr>
            <w:r>
              <w:rPr>
                <w:rFonts w:ascii="Arial" w:cs="Arial" w:eastAsia="Arial" w:hAnsi="Arial"/>
                <w:sz w:val="18"/>
                <w:szCs w:val="18"/>
                <w:color w:val="auto"/>
              </w:rPr>
              <w:t>Work Phone</w:t>
            </w:r>
          </w:p>
        </w:tc>
        <w:tc>
          <w:tcPr>
            <w:tcW w:w="3840" w:type="dxa"/>
            <w:vAlign w:val="bottom"/>
            <w:tcBorders>
              <w:right w:val="single" w:sz="8" w:color="auto"/>
            </w:tcBorders>
          </w:tcPr>
          <w:p>
            <w:pPr>
              <w:spacing w:after="0"/>
              <w:rPr>
                <w:sz w:val="24"/>
                <w:szCs w:val="24"/>
                <w:color w:val="auto"/>
              </w:rPr>
            </w:pPr>
          </w:p>
        </w:tc>
      </w:tr>
      <w:tr>
        <w:trPr>
          <w:trHeight w:val="442"/>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Data Operations Staff</w:t>
            </w: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Hrs of coverage</w:t>
            </w:r>
          </w:p>
        </w:tc>
        <w:tc>
          <w:tcPr>
            <w:tcW w:w="26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Work Phone</w:t>
            </w:r>
          </w:p>
        </w:tc>
        <w:tc>
          <w:tcPr>
            <w:tcW w:w="384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Cell Phone</w:t>
            </w:r>
          </w:p>
        </w:tc>
      </w:tr>
    </w:tbl>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Second level Escalation: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13931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50430" cy="1393190"/>
                    </a:xfrm>
                    <a:prstGeom prst="rect">
                      <a:avLst/>
                    </a:prstGeom>
                    <a:noFill/>
                  </pic:spPr>
                </pic:pic>
              </a:graphicData>
            </a:graphic>
          </wp:anchor>
        </w:drawing>
      </w:r>
    </w:p>
    <w:p>
      <w:pPr>
        <w:spacing w:after="0" w:line="20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If an issue has not been resolved in the time expected or resolution remains unsatisfactory then GRC and Tradeweb can escalate the issue to the following people: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Tradeweb -</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Primary Contact –</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Refinitiv – </w:t>
      </w:r>
      <w:r>
        <w:rPr>
          <w:rFonts w:ascii="Arial" w:cs="Arial" w:eastAsia="Arial" w:hAnsi="Arial"/>
          <w:sz w:val="18"/>
          <w:szCs w:val="18"/>
          <w:color w:val="auto"/>
        </w:rPr>
        <w:t>Primary Contact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4" w:name="page345"/>
    <w:bookmarkEnd w:id="344"/>
    <w:p>
      <w:pPr>
        <w:jc w:val="center"/>
        <w:spacing w:after="0"/>
        <w:rPr>
          <w:sz w:val="20"/>
          <w:szCs w:val="20"/>
          <w:color w:val="auto"/>
        </w:rPr>
      </w:pPr>
      <w:r>
        <w:rPr>
          <w:rFonts w:ascii="Arial" w:cs="Arial" w:eastAsia="Arial" w:hAnsi="Arial"/>
          <w:sz w:val="18"/>
          <w:szCs w:val="18"/>
          <w:b w:val="1"/>
          <w:bCs w:val="1"/>
          <w:color w:val="auto"/>
        </w:rPr>
        <w:t>(CONFIDENTIAL)</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Third Level Escalation: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9906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50430" cy="990600"/>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secondary level escalation has failed to satisfactorily resolve the issue then the issue can be escalated to the following parties: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Tradeweb </w:t>
      </w:r>
      <w:r>
        <w:rPr>
          <w:rFonts w:ascii="Arial" w:cs="Arial" w:eastAsia="Arial" w:hAnsi="Arial"/>
          <w:sz w:val="18"/>
          <w:szCs w:val="18"/>
          <w:color w:val="auto"/>
        </w:rPr>
        <w: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Refinitiv </w:t>
      </w:r>
      <w:r>
        <w:rPr>
          <w:rFonts w:ascii="Arial" w:cs="Arial" w:eastAsia="Arial" w:hAnsi="Arial"/>
          <w:sz w:val="18"/>
          <w:szCs w:val="18"/>
          <w:color w:val="auto"/>
        </w:rPr>
        <w:t>– Primary 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Metrics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metrics relate to a Data Set as defined in this SLA.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occurrence of either (a) twenty (20) Severity 3 incidents or (b) fifty (50) Severity 4 incidents will be deemed a failure by Tradeweb to reach a required target (a “</w:t>
      </w:r>
      <w:r>
        <w:rPr>
          <w:rFonts w:ascii="Arial" w:cs="Arial" w:eastAsia="Arial" w:hAnsi="Arial"/>
          <w:sz w:val="18"/>
          <w:szCs w:val="18"/>
          <w:u w:val="single" w:color="auto"/>
          <w:color w:val="auto"/>
        </w:rPr>
        <w:t>Target Failure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occurrence of either (a) two (2) Severity 1 incidents, (b) four (4) Severity 2 incidents, or (c) one (1) Severity 1 and two (2) Severity 2 incidents, in a calendar month, will be deemed a severe failure by Tradeweb to reach a required target (a “</w:t>
      </w:r>
      <w:r>
        <w:rPr>
          <w:rFonts w:ascii="Arial" w:cs="Arial" w:eastAsia="Arial" w:hAnsi="Arial"/>
          <w:sz w:val="18"/>
          <w:szCs w:val="18"/>
          <w:u w:val="single" w:color="auto"/>
          <w:color w:val="auto"/>
        </w:rPr>
        <w:t>Severe Target Failure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Target Failure or Severe Target Failure occurs in one (1) month, a meeting between the Third Level Escalation Contacts will be held to address such Target Failure or Severe Target Failure.</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If a Target Failure or Severe Target Failure in the same Data Set occurs for two (2) consecutive months, a meeting between a designated representative of TRM and a designated representative of Tradeweb will be held to address such Target Failure or Severe Target Failure.</w:t>
      </w:r>
    </w:p>
    <w:p>
      <w:pPr>
        <w:spacing w:after="0" w:line="1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If a Severe Target Failure in the same Data Set occurs for three (3) consecutive months, GRC shall have the right to suspend the applicable Data Set and cease paying the Fee Per Data Set with respect thereto, until the service with respect to such Data Set has reached acceptable levels;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the applicable Data Set is part of Exclusive Licensed Market Data and one Party reasonably considers the Fee Per Data Set (as calculated pursuant to this SLA) for such Data Set to be inequitable, the Parties will negotiate in good faith for a period of thirty (30) days (or a longer period, if mutually agreed by the Parties) a mutually-agreeable revised Fee Per Data Set for such applicable Data Set;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Parties do not mutually agree on a revised Fee Per Data Set within such period, the Fee Per Data Set shall be calculated as set forth in this SLA.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MD SERVER FEES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For the first unique pair of login passwords per customer assigned to an MD Server (each, an “</w:t>
      </w:r>
      <w:r>
        <w:rPr>
          <w:rFonts w:ascii="Arial" w:cs="Arial" w:eastAsia="Arial" w:hAnsi="Arial"/>
          <w:sz w:val="17"/>
          <w:szCs w:val="17"/>
          <w:u w:val="single" w:color="auto"/>
          <w:color w:val="auto"/>
        </w:rPr>
        <w:t>MD Server Pair</w:t>
      </w:r>
      <w:r>
        <w:rPr>
          <w:rFonts w:ascii="Arial" w:cs="Arial" w:eastAsia="Arial" w:hAnsi="Arial"/>
          <w:sz w:val="17"/>
          <w:szCs w:val="17"/>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TRM will pay four equal payments of</w:t>
      </w:r>
    </w:p>
    <w:p>
      <w:pPr>
        <w:jc w:val="both"/>
        <w:ind w:firstLine="8"/>
        <w:spacing w:after="0" w:line="262" w:lineRule="auto"/>
        <w:tabs>
          <w:tab w:leader="none" w:pos="43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per calendar year to Tradeweb quarterly in advance for each MD Server Pair in service. The total number of unique login passwords shall be calculated on the 15th of the month prior to the end of the applicable calendar quarter. No payment will be made in any subsequent period for servers canceled prior to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the month prior to the end of the applicable calendar quarter.</w:t>
      </w:r>
    </w:p>
    <w:p>
      <w:pPr>
        <w:spacing w:after="0" w:line="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Starting after the first 12 month period and for each subsequent 12 month period after the Effective Date, the quarterly payment for each MD Server Pair that remains in service will increase by [***].</w:t>
      </w:r>
    </w:p>
    <w:p>
      <w:pPr>
        <w:spacing w:after="0" w:line="17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For each additional customer login and password assigned to an MD Server (each, an “</w:t>
      </w:r>
      <w:r>
        <w:rPr>
          <w:rFonts w:ascii="Arial" w:cs="Arial" w:eastAsia="Arial" w:hAnsi="Arial"/>
          <w:sz w:val="18"/>
          <w:szCs w:val="18"/>
          <w:u w:val="single" w:color="auto"/>
          <w:color w:val="auto"/>
        </w:rPr>
        <w:t>Additional MD Server</w:t>
      </w:r>
      <w:r>
        <w:rPr>
          <w:rFonts w:ascii="Arial" w:cs="Arial" w:eastAsia="Arial" w:hAnsi="Arial"/>
          <w:sz w:val="18"/>
          <w:szCs w:val="18"/>
          <w:color w:val="auto"/>
        </w:rPr>
        <w:t>”),</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TRM will pay four equal payments of [***] per calendar year to Tradeweb quarterly in advance for each Additional MD Server in service. The total number of unique login passwords shall be calculated on the 15th of the month prior to the end of the applicable calendar quarter. No payment will be made in any subsequent period for servers canceled prior to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the month prior to the end of the applicable calendar quarter.</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Starting after the first 12 month period and for each subsequent 12 month period after the Effective Date, the quarterly payment for each Additional MD Server that remain in service will increase by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customer is entitled to a single Qualified Disaster Recovery or business continuity server at no charge to TRM provided that:</w:t>
      </w:r>
    </w:p>
    <w:p>
      <w:pPr>
        <w:spacing w:after="0" w:line="225" w:lineRule="exact"/>
        <w:rPr>
          <w:sz w:val="20"/>
          <w:szCs w:val="20"/>
          <w:color w:val="auto"/>
        </w:rPr>
      </w:pPr>
    </w:p>
    <w:p>
      <w:pPr>
        <w:ind w:left="980" w:hanging="324"/>
        <w:spacing w:after="0"/>
        <w:tabs>
          <w:tab w:leader="none" w:pos="9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server pair is not in the same physical geographic location as the MD Server Pair or Additional MD Server(s).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server pair does not have the same public IP address as the MD Server Pair or Additional MD Server(s).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TRM is not charging the customer a fee for the server 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1" w:lineRule="exact"/>
        <w:rPr>
          <w:sz w:val="20"/>
          <w:szCs w:val="20"/>
          <w:color w:val="auto"/>
        </w:rPr>
      </w:pPr>
    </w:p>
    <w:p>
      <w:pPr>
        <w:jc w:val="both"/>
        <w:ind w:firstLine="656"/>
        <w:spacing w:after="0" w:line="209" w:lineRule="auto"/>
        <w:tabs>
          <w:tab w:leader="none" w:pos="793" w:val="left"/>
        </w:tabs>
        <w:numPr>
          <w:ilvl w:val="0"/>
          <w:numId w:val="202"/>
        </w:numPr>
        <w:rPr>
          <w:rFonts w:ascii="Arial" w:cs="Arial" w:eastAsia="Arial" w:hAnsi="Arial"/>
          <w:sz w:val="30"/>
          <w:szCs w:val="30"/>
          <w:color w:val="auto"/>
          <w:vertAlign w:val="superscript"/>
        </w:rPr>
      </w:pPr>
      <w:r>
        <w:rPr>
          <w:rFonts w:ascii="Arial" w:cs="Arial" w:eastAsia="Arial" w:hAnsi="Arial"/>
          <w:sz w:val="18"/>
          <w:szCs w:val="18"/>
          <w:color w:val="auto"/>
        </w:rPr>
        <w:t>After the Effective Date, new Market Data Server login and passwords may be requested by email from an authorized Refinitiv employee to Tradeweb’s Market Data team. Each new unique login and password will be added to the current count and TRM agrees to pay the amount due as per the above payment schedule.</w:t>
      </w:r>
    </w:p>
    <w:p>
      <w:pPr>
        <w:spacing w:after="0" w:line="129" w:lineRule="exact"/>
        <w:rPr>
          <w:sz w:val="20"/>
          <w:szCs w:val="20"/>
          <w:color w:val="auto"/>
        </w:rPr>
      </w:pPr>
    </w:p>
    <w:p>
      <w:pPr>
        <w:ind w:left="780" w:hanging="124"/>
        <w:spacing w:after="0"/>
        <w:tabs>
          <w:tab w:leader="none" w:pos="780" w:val="left"/>
        </w:tabs>
        <w:numPr>
          <w:ilvl w:val="0"/>
          <w:numId w:val="203"/>
        </w:numPr>
        <w:rPr>
          <w:rFonts w:ascii="Arial" w:cs="Arial" w:eastAsia="Arial" w:hAnsi="Arial"/>
          <w:sz w:val="30"/>
          <w:szCs w:val="30"/>
          <w:color w:val="auto"/>
          <w:vertAlign w:val="superscript"/>
        </w:rPr>
      </w:pPr>
      <w:r>
        <w:rPr>
          <w:rFonts w:ascii="Arial" w:cs="Arial" w:eastAsia="Arial" w:hAnsi="Arial"/>
          <w:sz w:val="18"/>
          <w:szCs w:val="18"/>
          <w:color w:val="auto"/>
        </w:rPr>
        <w:t>Same process as set forth in fn.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Tradeweb shall provide TRM quarterly invoices indicating, company name, server login ID, server location, the number of billable MD Server Pairs, Additional MD Servers, and Qualified Disaster Recovery servers.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MARKS FEES</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TRM agrees to pay Tradeweb quarterly in advance the greater of: (i) [***] of the quarterly revenue (the “</w:t>
      </w:r>
      <w:r>
        <w:rPr>
          <w:rFonts w:ascii="Arial" w:cs="Arial" w:eastAsia="Arial" w:hAnsi="Arial"/>
          <w:sz w:val="16"/>
          <w:szCs w:val="16"/>
          <w:u w:val="single" w:color="auto"/>
          <w:color w:val="auto"/>
        </w:rPr>
        <w:t>Marks Account Service Fee</w:t>
      </w:r>
      <w:r>
        <w:rPr>
          <w:rFonts w:ascii="Arial" w:cs="Arial" w:eastAsia="Arial" w:hAnsi="Arial"/>
          <w:sz w:val="16"/>
          <w:szCs w:val="16"/>
          <w:color w:val="auto"/>
        </w:rPr>
        <w:t>”) for each Tradeweb Marks account maintained by Tradeweb for a customer of TRM or (ii) the sum of [***] for each set of Tradeweb Marks files respective to a specified market (e.g., U.S. Treasuries) (each a “</w:t>
      </w:r>
      <w:r>
        <w:rPr>
          <w:rFonts w:ascii="Arial" w:cs="Arial" w:eastAsia="Arial" w:hAnsi="Arial"/>
          <w:sz w:val="16"/>
          <w:szCs w:val="16"/>
          <w:u w:val="single" w:color="auto"/>
          <w:color w:val="auto"/>
        </w:rPr>
        <w:t>Marks Market File Set</w:t>
      </w:r>
      <w:r>
        <w:rPr>
          <w:rFonts w:ascii="Arial" w:cs="Arial" w:eastAsia="Arial" w:hAnsi="Arial"/>
          <w:sz w:val="16"/>
          <w:szCs w:val="16"/>
          <w:color w:val="auto"/>
        </w:rPr>
        <w:t>”) for each customer account to which the Marks Market File Sets are made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7" w:name="page348"/>
    <w:bookmarkEnd w:id="347"/>
    <w:p>
      <w:pPr>
        <w:jc w:val="center"/>
        <w:ind w:right="-20"/>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48" w:name="page349"/>
    <w:bookmarkEnd w:id="348"/>
    <w:p>
      <w:pPr>
        <w:jc w:val="center"/>
        <w:spacing w:after="0"/>
        <w:rPr>
          <w:sz w:val="20"/>
          <w:szCs w:val="20"/>
          <w:color w:val="auto"/>
        </w:rPr>
      </w:pPr>
      <w:r>
        <w:rPr>
          <w:rFonts w:ascii="Arial" w:cs="Arial" w:eastAsia="Arial" w:hAnsi="Arial"/>
          <w:sz w:val="18"/>
          <w:szCs w:val="18"/>
          <w:b w:val="1"/>
          <w:bCs w:val="1"/>
          <w:u w:val="single" w:color="auto"/>
          <w:color w:val="auto"/>
        </w:rPr>
        <w:t>SCHEDULE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 Process</w:t>
      </w:r>
    </w:p>
    <w:p>
      <w:pPr>
        <w:spacing w:after="0" w:line="225" w:lineRule="exact"/>
        <w:rPr>
          <w:sz w:val="20"/>
          <w:szCs w:val="20"/>
          <w:color w:val="auto"/>
        </w:rPr>
      </w:pPr>
    </w:p>
    <w:p>
      <w:pPr>
        <w:ind w:left="1240" w:hanging="584"/>
        <w:spacing w:after="0"/>
        <w:tabs>
          <w:tab w:leader="none" w:pos="12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Mediation.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Party elects to exercise its rights under this Second A&amp;R Agreement with respect to a Dispute Resolution Matter, the Parties shall submit such dispute to non-binding mediation to be conducted by JAMS. The Parties shall reasonably cooperate with JAMS and each other in the mediation process. The mediation shall be conducted by JAMS pursuant to its then-current mediation rules and procedures. Upon written notice to JAMS and to the other Party, either Party may at any time, terminate the mediation process. Each Party shall bear its own expenses in the mediation process and shall share equally the charges of JAMS.</w:t>
      </w:r>
    </w:p>
    <w:p>
      <w:pPr>
        <w:spacing w:after="0" w:line="184" w:lineRule="exact"/>
        <w:rPr>
          <w:sz w:val="20"/>
          <w:szCs w:val="20"/>
          <w:color w:val="auto"/>
        </w:rPr>
      </w:pPr>
    </w:p>
    <w:p>
      <w:pPr>
        <w:ind w:left="1240" w:hanging="584"/>
        <w:spacing w:after="0"/>
        <w:tabs>
          <w:tab w:leader="none" w:pos="12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applicable Dispute Resolution Matter has not been resolved within sixty (60) days after receipt by the other Party of the Dispute Notice, then either Party may initiate binding Arbitration in accordance with the following:</w:t>
      </w:r>
    </w:p>
    <w:p>
      <w:pPr>
        <w:spacing w:after="0" w:line="170" w:lineRule="exact"/>
        <w:rPr>
          <w:sz w:val="20"/>
          <w:szCs w:val="20"/>
          <w:color w:val="auto"/>
        </w:rPr>
      </w:pPr>
    </w:p>
    <w:p>
      <w:pPr>
        <w:jc w:val="both"/>
        <w:ind w:firstLine="656"/>
        <w:spacing w:after="0" w:line="264" w:lineRule="auto"/>
        <w:tabs>
          <w:tab w:leader="none" w:pos="151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Scope; Agreement to Arbitration</w:t>
      </w:r>
      <w:r>
        <w:rPr>
          <w:rFonts w:ascii="Arial" w:cs="Arial" w:eastAsia="Arial" w:hAnsi="Arial"/>
          <w:sz w:val="18"/>
          <w:szCs w:val="18"/>
          <w:color w:val="auto"/>
        </w:rPr>
        <w:t>. Any Dispute Resolution Matter shall be determined by binding Arbitration in New York City. The Arbitration shall be administered by JAMS pursuant to its then-current Arbitration rules and procedures. The arbitrator(s) (each, an “</w:t>
      </w:r>
      <w:r>
        <w:rPr>
          <w:rFonts w:ascii="Arial" w:cs="Arial" w:eastAsia="Arial" w:hAnsi="Arial"/>
          <w:sz w:val="18"/>
          <w:szCs w:val="18"/>
          <w:u w:val="single" w:color="auto"/>
          <w:color w:val="auto"/>
        </w:rPr>
        <w:t>Arbitrator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Arbitrators</w:t>
      </w:r>
      <w:r>
        <w:rPr>
          <w:rFonts w:ascii="Arial" w:cs="Arial" w:eastAsia="Arial" w:hAnsi="Arial"/>
          <w:sz w:val="18"/>
          <w:szCs w:val="18"/>
          <w:color w:val="auto"/>
        </w:rPr>
        <w:t>”) will be bound by the terms of this Second A&amp;R Agreement.</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Number of Arbitrators</w:t>
      </w:r>
      <w:r>
        <w:rPr>
          <w:rFonts w:ascii="Arial" w:cs="Arial" w:eastAsia="Arial" w:hAnsi="Arial"/>
          <w:sz w:val="18"/>
          <w:szCs w:val="18"/>
          <w:color w:val="auto"/>
        </w:rPr>
        <w:t>. The Parties hereby agree that the Arbitration shall be referred to three Arbitrators.</w:t>
      </w:r>
    </w:p>
    <w:p>
      <w:pPr>
        <w:spacing w:after="0" w:line="225" w:lineRule="exact"/>
        <w:rPr>
          <w:rFonts w:ascii="Arial" w:cs="Arial" w:eastAsia="Arial" w:hAnsi="Arial"/>
          <w:sz w:val="18"/>
          <w:szCs w:val="18"/>
          <w:color w:val="auto"/>
        </w:rPr>
      </w:pPr>
    </w:p>
    <w:p>
      <w:pPr>
        <w:jc w:val="both"/>
        <w:ind w:firstLine="656"/>
        <w:spacing w:after="0" w:line="276" w:lineRule="auto"/>
        <w:tabs>
          <w:tab w:leader="none" w:pos="1325"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Selecting of Arbitrators</w:t>
      </w:r>
      <w:r>
        <w:rPr>
          <w:rFonts w:ascii="Arial" w:cs="Arial" w:eastAsia="Arial" w:hAnsi="Arial"/>
          <w:sz w:val="17"/>
          <w:szCs w:val="17"/>
          <w:color w:val="auto"/>
        </w:rPr>
        <w:t>. One Arbitrator shall be appointed by each of Tradeweb and the applicable Refinitiv Party, and the third Arbitrator, who shall serve as chair, shall be appointed by the two Party-appointed Arbitrators (the “</w:t>
      </w:r>
      <w:r>
        <w:rPr>
          <w:rFonts w:ascii="Arial" w:cs="Arial" w:eastAsia="Arial" w:hAnsi="Arial"/>
          <w:sz w:val="17"/>
          <w:szCs w:val="17"/>
          <w:u w:val="single" w:color="auto"/>
          <w:color w:val="auto"/>
        </w:rPr>
        <w:t>Chair</w:t>
      </w:r>
      <w:r>
        <w:rPr>
          <w:rFonts w:ascii="Arial" w:cs="Arial" w:eastAsia="Arial" w:hAnsi="Arial"/>
          <w:sz w:val="17"/>
          <w:szCs w:val="17"/>
          <w:color w:val="auto"/>
        </w:rPr>
        <w:t>”). If either of the Parties fails to appoint its Arbitrator within thirty (30) days after the initiation of the Arbitration, then the Party that has appointed its Arbitrator may approach JAMS for the appointment of the second Arbitrator, and such appointment shall be binding on the Parties. If the two Party-appointed Arbitrators fail to agree on the third Arbitrator within thirty (30) days after the appointment of the later of the two, then the third Arbitrator will be appointed by JAMS.</w:t>
      </w:r>
    </w:p>
    <w:p>
      <w:pPr>
        <w:spacing w:after="0" w:line="172" w:lineRule="exact"/>
        <w:rPr>
          <w:rFonts w:ascii="Arial" w:cs="Arial" w:eastAsia="Arial" w:hAnsi="Arial"/>
          <w:sz w:val="17"/>
          <w:szCs w:val="17"/>
          <w:color w:val="auto"/>
        </w:rPr>
      </w:pPr>
    </w:p>
    <w:p>
      <w:pPr>
        <w:ind w:left="1320" w:hanging="664"/>
        <w:spacing w:after="0"/>
        <w:tabs>
          <w:tab w:leader="none" w:pos="132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All proceedings in any Arbitration will be conducted in the English language.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Entry of Judgment</w:t>
      </w:r>
      <w:r>
        <w:rPr>
          <w:rFonts w:ascii="Arial" w:cs="Arial" w:eastAsia="Arial" w:hAnsi="Arial"/>
          <w:sz w:val="18"/>
          <w:szCs w:val="18"/>
          <w:color w:val="auto"/>
        </w:rPr>
        <w:t>. Judgment on the award of the Arbitrator(s) may be entered by any court of competent jurisdiction.</w:t>
      </w:r>
    </w:p>
    <w:p>
      <w:pPr>
        <w:spacing w:after="0" w:line="225" w:lineRule="exact"/>
        <w:rPr>
          <w:rFonts w:ascii="Arial" w:cs="Arial" w:eastAsia="Arial" w:hAnsi="Arial"/>
          <w:sz w:val="18"/>
          <w:szCs w:val="18"/>
          <w:color w:val="auto"/>
        </w:rPr>
      </w:pPr>
    </w:p>
    <w:p>
      <w:pPr>
        <w:ind w:firstLine="656"/>
        <w:spacing w:after="0" w:line="277" w:lineRule="auto"/>
        <w:tabs>
          <w:tab w:leader="none" w:pos="1278"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Waiver of Appeals</w:t>
      </w:r>
      <w:r>
        <w:rPr>
          <w:rFonts w:ascii="Arial" w:cs="Arial" w:eastAsia="Arial" w:hAnsi="Arial"/>
          <w:sz w:val="18"/>
          <w:szCs w:val="18"/>
          <w:color w:val="auto"/>
        </w:rPr>
        <w:t>. To the extent permitted by law, any right to appeal from or to cause a review of any arbitral award by any court is hereby waived by the Parties.</w:t>
      </w:r>
    </w:p>
    <w:p>
      <w:pPr>
        <w:spacing w:after="0" w:line="170" w:lineRule="exact"/>
        <w:rPr>
          <w:rFonts w:ascii="Arial" w:cs="Arial" w:eastAsia="Arial" w:hAnsi="Arial"/>
          <w:sz w:val="18"/>
          <w:szCs w:val="18"/>
          <w:color w:val="auto"/>
        </w:rPr>
      </w:pPr>
    </w:p>
    <w:p>
      <w:pPr>
        <w:ind w:firstLine="656"/>
        <w:spacing w:after="0" w:line="277" w:lineRule="auto"/>
        <w:tabs>
          <w:tab w:leader="none" w:pos="1362"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Costs and Attorneys’ Fees</w:t>
      </w:r>
      <w:r>
        <w:rPr>
          <w:rFonts w:ascii="Arial" w:cs="Arial" w:eastAsia="Arial" w:hAnsi="Arial"/>
          <w:sz w:val="18"/>
          <w:szCs w:val="18"/>
          <w:color w:val="auto"/>
        </w:rPr>
        <w:t>. Each Party shall bear its own expenses in the Arbitration and shall share equally the charges of JAMS and the fees of the Arbitrators.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49" w:name="page350"/>
    <w:bookmarkEnd w:id="349"/>
    <w:p>
      <w:pPr>
        <w:jc w:val="center"/>
        <w:ind w:right="-114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color w:val="auto"/>
        </w:rPr>
        <w:t>Refinitiv Limited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Refinitiv Trading Division Senior Mgmt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Refinitiv Finance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Refinitiv GTM Senior Mgmt, Sales Mgmt &amp;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Refinitiv Trading Division Marketing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443865</wp:posOffset>
            </wp:positionV>
            <wp:extent cx="724662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39"/>
          </w:cols>
          <w:pgMar w:left="320" w:top="905" w:right="1440" w:bottom="1440" w:gutter="0" w:footer="0" w:header="0"/>
        </w:sectPr>
      </w:pPr>
    </w:p>
    <w:bookmarkStart w:id="350" w:name="page351"/>
    <w:bookmarkEnd w:id="350"/>
    <w:p>
      <w:pPr>
        <w:jc w:val="center"/>
        <w:ind w:right="-1120"/>
        <w:spacing w:after="0"/>
        <w:rPr>
          <w:sz w:val="20"/>
          <w:szCs w:val="20"/>
          <w:color w:val="auto"/>
        </w:rPr>
      </w:pPr>
      <w:r>
        <w:rPr>
          <w:rFonts w:ascii="Arial" w:cs="Arial" w:eastAsia="Arial" w:hAnsi="Arial"/>
          <w:sz w:val="18"/>
          <w:szCs w:val="18"/>
          <w:b w:val="1"/>
          <w:bCs w:val="1"/>
          <w:u w:val="single" w:color="auto"/>
          <w:color w:val="auto"/>
        </w:rPr>
        <w:t>SCHEDULE J</w:t>
      </w:r>
    </w:p>
    <w:p>
      <w:pPr>
        <w:spacing w:after="0" w:line="225" w:lineRule="exact"/>
        <w:rPr>
          <w:sz w:val="20"/>
          <w:szCs w:val="20"/>
          <w:color w:val="auto"/>
        </w:rPr>
      </w:pPr>
    </w:p>
    <w:p>
      <w:pPr>
        <w:jc w:val="right"/>
        <w:ind w:right="3539"/>
        <w:spacing w:after="0"/>
        <w:rPr>
          <w:sz w:val="20"/>
          <w:szCs w:val="20"/>
          <w:color w:val="auto"/>
        </w:rPr>
      </w:pPr>
      <w:r>
        <w:rPr>
          <w:rFonts w:ascii="Arial" w:cs="Arial" w:eastAsia="Arial" w:hAnsi="Arial"/>
          <w:sz w:val="18"/>
          <w:szCs w:val="18"/>
          <w:b w:val="1"/>
          <w:bCs w:val="1"/>
          <w:color w:val="auto"/>
        </w:rPr>
        <w:t>Refinitiv Competitor List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434340</wp:posOffset>
            </wp:positionV>
            <wp:extent cx="724662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1" w:name="page352"/>
    <w:bookmarkEnd w:id="351"/>
    <w:p>
      <w:pPr>
        <w:jc w:val="center"/>
        <w:ind w:right="-379"/>
        <w:spacing w:after="0"/>
        <w:rPr>
          <w:sz w:val="20"/>
          <w:szCs w:val="20"/>
          <w:color w:val="auto"/>
        </w:rPr>
      </w:pPr>
      <w:r>
        <w:rPr>
          <w:rFonts w:ascii="Arial" w:cs="Arial" w:eastAsia="Arial" w:hAnsi="Arial"/>
          <w:sz w:val="18"/>
          <w:szCs w:val="18"/>
          <w:b w:val="1"/>
          <w:bCs w:val="1"/>
          <w:u w:val="single" w:color="auto"/>
          <w:color w:val="auto"/>
        </w:rPr>
        <w:t>SCHEDULE K</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UST Restricted List</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TP ICAP’s provision of RCM 19901, this restriction shall not apply, except to the extent RCM 19901 includes Dealerweb volumes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240" w:top="904" w:right="619" w:bottom="1440" w:gutter="0" w:footer="0" w:header="0"/>
        </w:sectPr>
      </w:pPr>
    </w:p>
    <w:bookmarkStart w:id="352" w:name="page353"/>
    <w:bookmarkEnd w:id="352"/>
    <w:p>
      <w:pPr>
        <w:jc w:val="center"/>
        <w:ind w:right="-19"/>
        <w:spacing w:after="0"/>
        <w:rPr>
          <w:sz w:val="20"/>
          <w:szCs w:val="20"/>
          <w:color w:val="auto"/>
        </w:rPr>
      </w:pPr>
      <w:r>
        <w:rPr>
          <w:rFonts w:ascii="Arial" w:cs="Arial" w:eastAsia="Arial" w:hAnsi="Arial"/>
          <w:sz w:val="18"/>
          <w:szCs w:val="18"/>
          <w:b w:val="1"/>
          <w:bCs w:val="1"/>
          <w:u w:val="single" w:color="auto"/>
          <w:color w:val="auto"/>
        </w:rPr>
        <w:t>SCHEDULE 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Historical Market Data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Delivery Date – Nov 1, 2019: Institutional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Lookback Period: 6 years</w:t>
      </w:r>
    </w:p>
    <w:p>
      <w:pPr>
        <w:sectPr>
          <w:pgSz w:w="11900" w:h="16838" w:orient="portrait"/>
          <w:cols w:equalWidth="0" w:num="1">
            <w:col w:w="11420"/>
          </w:cols>
          <w:pgMar w:left="240" w:top="90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Asia Government Debt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European Government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TBA Butterflies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TBA Swaps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Agency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TBA-MBS Outright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Government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Money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Mortgage TBA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TBA-Mortgage Roll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Asia Supranationals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Dollar Supranationals</w:t>
      </w:r>
    </w:p>
    <w:p>
      <w:pPr>
        <w:spacing w:after="0" w:line="200" w:lineRule="exact"/>
        <w:rPr>
          <w:sz w:val="20"/>
          <w:szCs w:val="20"/>
          <w:color w:val="auto"/>
        </w:rPr>
      </w:pPr>
    </w:p>
    <w:p>
      <w:pPr>
        <w:sectPr>
          <w:pgSz w:w="11900" w:h="16838" w:orient="portrait"/>
          <w:cols w:equalWidth="0" w:num="2">
            <w:col w:w="780" w:space="720"/>
            <w:col w:w="9920"/>
          </w:cols>
          <w:pgMar w:left="240" w:top="904"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Delivery Date – Nov 1, 2020: Institutional Credit/Swap/DW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Lookback Period: 5 years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TWI</w:t>
            </w:r>
          </w:p>
        </w:tc>
        <w:tc>
          <w:tcPr>
            <w:tcW w:w="10500" w:type="dxa"/>
            <w:vAlign w:val="bottom"/>
          </w:tcPr>
          <w:p>
            <w:pPr>
              <w:ind w:left="580"/>
              <w:spacing w:after="0"/>
              <w:rPr>
                <w:sz w:val="20"/>
                <w:szCs w:val="20"/>
                <w:color w:val="auto"/>
              </w:rPr>
            </w:pPr>
            <w:r>
              <w:rPr>
                <w:rFonts w:ascii="Arial" w:cs="Arial" w:eastAsia="Arial" w:hAnsi="Arial"/>
                <w:sz w:val="18"/>
                <w:szCs w:val="18"/>
                <w:color w:val="auto"/>
              </w:rPr>
              <w:t>European CDS Index</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TWI</w:t>
            </w:r>
          </w:p>
        </w:tc>
        <w:tc>
          <w:tcPr>
            <w:tcW w:w="10500" w:type="dxa"/>
            <w:vAlign w:val="bottom"/>
          </w:tcPr>
          <w:p>
            <w:pPr>
              <w:ind w:left="580"/>
              <w:spacing w:after="0"/>
              <w:rPr>
                <w:sz w:val="20"/>
                <w:szCs w:val="20"/>
                <w:color w:val="auto"/>
              </w:rPr>
            </w:pPr>
            <w:r>
              <w:rPr>
                <w:rFonts w:ascii="Arial" w:cs="Arial" w:eastAsia="Arial" w:hAnsi="Arial"/>
                <w:sz w:val="18"/>
                <w:szCs w:val="18"/>
                <w:color w:val="auto"/>
              </w:rPr>
              <w:t>European Commercial Paper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TWI</w:t>
            </w:r>
          </w:p>
        </w:tc>
        <w:tc>
          <w:tcPr>
            <w:tcW w:w="10500" w:type="dxa"/>
            <w:vAlign w:val="bottom"/>
          </w:tcPr>
          <w:p>
            <w:pPr>
              <w:ind w:left="580"/>
              <w:spacing w:after="0"/>
              <w:rPr>
                <w:sz w:val="20"/>
                <w:szCs w:val="20"/>
                <w:color w:val="auto"/>
              </w:rPr>
            </w:pPr>
            <w:r>
              <w:rPr>
                <w:rFonts w:ascii="Arial" w:cs="Arial" w:eastAsia="Arial" w:hAnsi="Arial"/>
                <w:sz w:val="18"/>
                <w:szCs w:val="18"/>
                <w:color w:val="auto"/>
              </w:rPr>
              <w:t>European Corporate Bonds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TWI</w:t>
            </w:r>
          </w:p>
        </w:tc>
        <w:tc>
          <w:tcPr>
            <w:tcW w:w="10500" w:type="dxa"/>
            <w:vAlign w:val="bottom"/>
          </w:tcPr>
          <w:p>
            <w:pPr>
              <w:ind w:left="580"/>
              <w:spacing w:after="0"/>
              <w:rPr>
                <w:sz w:val="20"/>
                <w:szCs w:val="20"/>
                <w:color w:val="auto"/>
              </w:rPr>
            </w:pPr>
            <w:r>
              <w:rPr>
                <w:rFonts w:ascii="Arial" w:cs="Arial" w:eastAsia="Arial" w:hAnsi="Arial"/>
                <w:sz w:val="18"/>
                <w:szCs w:val="18"/>
                <w:color w:val="auto"/>
              </w:rPr>
              <w:t>European Pfan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TWI</w:t>
            </w:r>
          </w:p>
        </w:tc>
        <w:tc>
          <w:tcPr>
            <w:tcW w:w="10500" w:type="dxa"/>
            <w:vAlign w:val="bottom"/>
          </w:tcPr>
          <w:p>
            <w:pPr>
              <w:ind w:left="580"/>
              <w:spacing w:after="0"/>
              <w:rPr>
                <w:sz w:val="20"/>
                <w:szCs w:val="20"/>
                <w:color w:val="auto"/>
              </w:rPr>
            </w:pPr>
            <w:r>
              <w:rPr>
                <w:rFonts w:ascii="Arial" w:cs="Arial" w:eastAsia="Arial" w:hAnsi="Arial"/>
                <w:sz w:val="18"/>
                <w:szCs w:val="18"/>
                <w:color w:val="auto"/>
              </w:rPr>
              <w:t>European Supranationals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TWI</w:t>
            </w:r>
          </w:p>
        </w:tc>
        <w:tc>
          <w:tcPr>
            <w:tcW w:w="10500" w:type="dxa"/>
            <w:vAlign w:val="bottom"/>
          </w:tcPr>
          <w:p>
            <w:pPr>
              <w:ind w:left="580"/>
              <w:spacing w:after="0"/>
              <w:rPr>
                <w:sz w:val="20"/>
                <w:szCs w:val="20"/>
                <w:color w:val="auto"/>
              </w:rPr>
            </w:pPr>
            <w:r>
              <w:rPr>
                <w:rFonts w:ascii="Arial" w:cs="Arial" w:eastAsia="Arial" w:hAnsi="Arial"/>
                <w:sz w:val="18"/>
                <w:szCs w:val="18"/>
                <w:color w:val="auto"/>
              </w:rPr>
              <w:t>US CDS Index</w:t>
            </w:r>
          </w:p>
        </w:tc>
      </w:tr>
      <w:tr>
        <w:trPr>
          <w:trHeight w:val="675"/>
        </w:trPr>
        <w:tc>
          <w:tcPr>
            <w:tcW w:w="9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353" w:name="page354"/>
    <w:bookmarkEnd w:id="353"/>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Canadian Dollar Swaps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European Convertible Bonds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US Corporate Bond Evaluated Pricing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US Dollar Swap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Yen Swap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European Interest Rate Swap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Dollar Swaps</w:t>
      </w:r>
    </w:p>
    <w:p>
      <w:pPr>
        <w:spacing w:after="0" w:line="200" w:lineRule="exact"/>
        <w:rPr>
          <w:sz w:val="20"/>
          <w:szCs w:val="20"/>
          <w:color w:val="auto"/>
        </w:rPr>
      </w:pPr>
    </w:p>
    <w:p>
      <w:pPr>
        <w:sectPr>
          <w:pgSz w:w="11900" w:h="16838" w:orient="portrait"/>
          <w:cols w:equalWidth="0" w:num="2">
            <w:col w:w="780" w:space="720"/>
            <w:col w:w="9920"/>
          </w:cols>
          <w:pgMar w:left="240" w:top="909" w:right="23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Delivery Date – Nov 1, 2021: Dealerweb</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Lookback Period: 4 years</w:t>
      </w:r>
    </w:p>
    <w:p>
      <w:pPr>
        <w:sectPr>
          <w:pgSz w:w="11900" w:h="16838" w:orient="portrait"/>
          <w:cols w:equalWidth="0" w:num="1">
            <w:col w:w="11420"/>
          </w:cols>
          <w:pgMar w:left="240" w:top="909" w:right="2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US Treasury Actives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Treasury Off-the-Run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US TSY Cash Start , Benchmark 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US TSY Repo Regular Start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Delta One - EFP (DW)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ETF NAV Cross (DW)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 and GCF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Municipal Bonds - JJ Kenny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European Money Markets (DEPO)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US Repo Specials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Treasury Bills</w:t>
      </w:r>
    </w:p>
    <w:p>
      <w:pPr>
        <w:spacing w:after="0" w:line="200" w:lineRule="exact"/>
        <w:rPr>
          <w:sz w:val="20"/>
          <w:szCs w:val="20"/>
          <w:color w:val="auto"/>
        </w:rPr>
      </w:pPr>
    </w:p>
    <w:p>
      <w:pPr>
        <w:sectPr>
          <w:pgSz w:w="11900" w:h="16838" w:orient="portrait"/>
          <w:cols w:equalWidth="0" w:num="2">
            <w:col w:w="780" w:space="720"/>
            <w:col w:w="9920"/>
          </w:cols>
          <w:pgMar w:left="240" w:top="909"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Delivery Date – Nov 1, 2022: Tradeweb Direct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Lookback Period: 4 years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TWD</w:t>
            </w:r>
          </w:p>
        </w:tc>
        <w:tc>
          <w:tcPr>
            <w:tcW w:w="10460" w:type="dxa"/>
            <w:vAlign w:val="bottom"/>
          </w:tcPr>
          <w:p>
            <w:pPr>
              <w:ind w:left="540"/>
              <w:spacing w:after="0"/>
              <w:rPr>
                <w:sz w:val="20"/>
                <w:szCs w:val="20"/>
                <w:color w:val="auto"/>
              </w:rPr>
            </w:pPr>
            <w:r>
              <w:rPr>
                <w:rFonts w:ascii="Arial" w:cs="Arial" w:eastAsia="Arial" w:hAnsi="Arial"/>
                <w:sz w:val="18"/>
                <w:szCs w:val="18"/>
                <w:color w:val="auto"/>
              </w:rPr>
              <w:t>Asset-Backed Securities (ABS)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TWD</w:t>
            </w:r>
          </w:p>
        </w:tc>
        <w:tc>
          <w:tcPr>
            <w:tcW w:w="10460" w:type="dxa"/>
            <w:vAlign w:val="bottom"/>
          </w:tcPr>
          <w:p>
            <w:pPr>
              <w:ind w:left="540"/>
              <w:spacing w:after="0"/>
              <w:rPr>
                <w:sz w:val="20"/>
                <w:szCs w:val="20"/>
                <w:color w:val="auto"/>
              </w:rPr>
            </w:pPr>
            <w:r>
              <w:rPr>
                <w:rFonts w:ascii="Arial" w:cs="Arial" w:eastAsia="Arial" w:hAnsi="Arial"/>
                <w:sz w:val="18"/>
                <w:szCs w:val="18"/>
                <w:color w:val="auto"/>
              </w:rPr>
              <w:t>Certificates of Deposit (CDs)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TWD</w:t>
            </w:r>
          </w:p>
        </w:tc>
        <w:tc>
          <w:tcPr>
            <w:tcW w:w="10460" w:type="dxa"/>
            <w:vAlign w:val="bottom"/>
          </w:tcPr>
          <w:p>
            <w:pPr>
              <w:ind w:left="540"/>
              <w:spacing w:after="0"/>
              <w:rPr>
                <w:sz w:val="20"/>
                <w:szCs w:val="20"/>
                <w:color w:val="auto"/>
              </w:rPr>
            </w:pPr>
            <w:r>
              <w:rPr>
                <w:rFonts w:ascii="Arial" w:cs="Arial" w:eastAsia="Arial" w:hAnsi="Arial"/>
                <w:sz w:val="18"/>
                <w:szCs w:val="18"/>
                <w:color w:val="auto"/>
              </w:rPr>
              <w:t>Collateralized Mortgage Obligations</w:t>
            </w:r>
          </w:p>
        </w:tc>
      </w:tr>
      <w:tr>
        <w:trPr>
          <w:trHeight w:val="675"/>
        </w:trPr>
        <w:tc>
          <w:tcPr>
            <w:tcW w:w="9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type w:val="continuous"/>
        </w:sectPr>
      </w:pPr>
    </w:p>
    <w:bookmarkStart w:id="354" w:name="page355"/>
    <w:bookmarkEnd w:id="3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TWD</w:t>
            </w:r>
          </w:p>
        </w:tc>
        <w:tc>
          <w:tcPr>
            <w:tcW w:w="10460" w:type="dxa"/>
            <w:vAlign w:val="bottom"/>
          </w:tcPr>
          <w:p>
            <w:pPr>
              <w:ind w:left="540"/>
              <w:spacing w:after="0"/>
              <w:rPr>
                <w:sz w:val="20"/>
                <w:szCs w:val="20"/>
                <w:color w:val="auto"/>
              </w:rPr>
            </w:pPr>
            <w:r>
              <w:rPr>
                <w:rFonts w:ascii="Arial" w:cs="Arial" w:eastAsia="Arial" w:hAnsi="Arial"/>
                <w:sz w:val="18"/>
                <w:szCs w:val="18"/>
                <w:color w:val="auto"/>
              </w:rPr>
              <w:t>Mortgage-Backed Securities (MBS)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TWD</w:t>
            </w:r>
          </w:p>
        </w:tc>
        <w:tc>
          <w:tcPr>
            <w:tcW w:w="10460" w:type="dxa"/>
            <w:vAlign w:val="bottom"/>
          </w:tcPr>
          <w:p>
            <w:pPr>
              <w:ind w:left="540"/>
              <w:spacing w:after="0"/>
              <w:rPr>
                <w:sz w:val="20"/>
                <w:szCs w:val="20"/>
                <w:color w:val="auto"/>
              </w:rPr>
            </w:pPr>
            <w:r>
              <w:rPr>
                <w:rFonts w:ascii="Arial" w:cs="Arial" w:eastAsia="Arial" w:hAnsi="Arial"/>
                <w:sz w:val="18"/>
                <w:szCs w:val="18"/>
                <w:color w:val="auto"/>
              </w:rPr>
              <w:t>Municipal Bonds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TWD</w:t>
            </w:r>
          </w:p>
        </w:tc>
        <w:tc>
          <w:tcPr>
            <w:tcW w:w="10460" w:type="dxa"/>
            <w:vAlign w:val="bottom"/>
          </w:tcPr>
          <w:p>
            <w:pPr>
              <w:ind w:left="540"/>
              <w:spacing w:after="0"/>
              <w:rPr>
                <w:sz w:val="20"/>
                <w:szCs w:val="20"/>
                <w:color w:val="auto"/>
              </w:rPr>
            </w:pPr>
            <w:r>
              <w:rPr>
                <w:rFonts w:ascii="Arial" w:cs="Arial" w:eastAsia="Arial" w:hAnsi="Arial"/>
                <w:sz w:val="18"/>
                <w:szCs w:val="18"/>
                <w:color w:val="auto"/>
              </w:rPr>
              <w:t>Preferred Securities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TWD</w:t>
            </w:r>
          </w:p>
        </w:tc>
        <w:tc>
          <w:tcPr>
            <w:tcW w:w="10460" w:type="dxa"/>
            <w:vAlign w:val="bottom"/>
          </w:tcPr>
          <w:p>
            <w:pPr>
              <w:ind w:left="540"/>
              <w:spacing w:after="0"/>
              <w:rPr>
                <w:sz w:val="20"/>
                <w:szCs w:val="20"/>
                <w:color w:val="auto"/>
              </w:rPr>
            </w:pPr>
            <w:r>
              <w:rPr>
                <w:rFonts w:ascii="Arial" w:cs="Arial" w:eastAsia="Arial" w:hAnsi="Arial"/>
                <w:sz w:val="18"/>
                <w:szCs w:val="18"/>
                <w:color w:val="auto"/>
              </w:rPr>
              <w:t>Structured Products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TWD</w:t>
            </w:r>
          </w:p>
        </w:tc>
        <w:tc>
          <w:tcPr>
            <w:tcW w:w="10460" w:type="dxa"/>
            <w:vAlign w:val="bottom"/>
          </w:tcPr>
          <w:p>
            <w:pPr>
              <w:ind w:left="540"/>
              <w:spacing w:after="0"/>
              <w:rPr>
                <w:sz w:val="20"/>
                <w:szCs w:val="20"/>
                <w:color w:val="auto"/>
              </w:rPr>
            </w:pPr>
            <w:r>
              <w:rPr>
                <w:rFonts w:ascii="Arial" w:cs="Arial" w:eastAsia="Arial" w:hAnsi="Arial"/>
                <w:sz w:val="18"/>
                <w:szCs w:val="18"/>
                <w:color w:val="auto"/>
              </w:rPr>
              <w:t>Unit Investment Trusts (UITs)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TWD</w:t>
            </w:r>
          </w:p>
        </w:tc>
        <w:tc>
          <w:tcPr>
            <w:tcW w:w="10460" w:type="dxa"/>
            <w:vAlign w:val="bottom"/>
          </w:tcPr>
          <w:p>
            <w:pPr>
              <w:ind w:left="540"/>
              <w:spacing w:after="0"/>
              <w:rPr>
                <w:sz w:val="20"/>
                <w:szCs w:val="20"/>
                <w:color w:val="auto"/>
              </w:rPr>
            </w:pPr>
            <w:r>
              <w:rPr>
                <w:rFonts w:ascii="Arial" w:cs="Arial" w:eastAsia="Arial" w:hAnsi="Arial"/>
                <w:sz w:val="18"/>
                <w:szCs w:val="18"/>
                <w:color w:val="auto"/>
              </w:rPr>
              <w:t>U.S. Treasuries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TWD</w:t>
            </w:r>
          </w:p>
        </w:tc>
        <w:tc>
          <w:tcPr>
            <w:tcW w:w="10460" w:type="dxa"/>
            <w:vAlign w:val="bottom"/>
          </w:tcPr>
          <w:p>
            <w:pPr>
              <w:ind w:left="540"/>
              <w:spacing w:after="0"/>
              <w:rPr>
                <w:sz w:val="20"/>
                <w:szCs w:val="20"/>
                <w:color w:val="auto"/>
              </w:rPr>
            </w:pPr>
            <w:r>
              <w:rPr>
                <w:rFonts w:ascii="Arial" w:cs="Arial" w:eastAsia="Arial" w:hAnsi="Arial"/>
                <w:sz w:val="18"/>
                <w:szCs w:val="18"/>
                <w:color w:val="auto"/>
              </w:rPr>
              <w:t>U.S. Agencies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TWD</w:t>
            </w:r>
          </w:p>
        </w:tc>
        <w:tc>
          <w:tcPr>
            <w:tcW w:w="10460" w:type="dxa"/>
            <w:vAlign w:val="bottom"/>
          </w:tcPr>
          <w:p>
            <w:pPr>
              <w:ind w:left="540"/>
              <w:spacing w:after="0"/>
              <w:rPr>
                <w:sz w:val="20"/>
                <w:szCs w:val="20"/>
                <w:color w:val="auto"/>
              </w:rPr>
            </w:pPr>
            <w:r>
              <w:rPr>
                <w:rFonts w:ascii="Arial" w:cs="Arial" w:eastAsia="Arial" w:hAnsi="Arial"/>
                <w:sz w:val="18"/>
                <w:szCs w:val="18"/>
                <w:color w:val="auto"/>
              </w:rPr>
              <w:t>U.S. Corporate Bonds</w:t>
            </w:r>
          </w:p>
        </w:tc>
      </w:tr>
      <w:tr>
        <w:trPr>
          <w:trHeight w:val="675"/>
        </w:trPr>
        <w:tc>
          <w:tcPr>
            <w:tcW w:w="9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355" w:name="page356"/>
    <w:bookmarkEnd w:id="355"/>
    <w:p>
      <w:pPr>
        <w:jc w:val="right"/>
        <w:spacing w:after="0"/>
        <w:rPr>
          <w:sz w:val="20"/>
          <w:szCs w:val="20"/>
          <w:color w:val="auto"/>
        </w:rPr>
      </w:pPr>
      <w:r>
        <w:rPr>
          <w:rFonts w:ascii="Arial" w:cs="Arial" w:eastAsia="Arial" w:hAnsi="Arial"/>
          <w:sz w:val="22"/>
          <w:szCs w:val="22"/>
          <w:b w:val="1"/>
          <w:bCs w:val="1"/>
          <w:color w:val="auto"/>
        </w:rPr>
        <w:t>Exhibit 16.1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March </w:t>
      </w:r>
      <w:r>
        <w:rPr>
          <w:rFonts w:ascii="Arial" w:cs="Arial" w:eastAsia="Arial" w:hAnsi="Arial"/>
          <w:sz w:val="18"/>
          <w:szCs w:val="18"/>
          <w:b w:val="1"/>
          <w:bCs w:val="1"/>
          <w:color w:val="auto"/>
        </w:rPr>
        <w:t>7</w:t>
      </w:r>
      <w:r>
        <w:rPr>
          <w:rFonts w:ascii="Arial" w:cs="Arial" w:eastAsia="Arial" w:hAnsi="Arial"/>
          <w:sz w:val="18"/>
          <w:szCs w:val="18"/>
          <w:color w:val="auto"/>
        </w:rPr>
        <w:t>,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 xml:space="preserve">We have read the statements made by Tradeweb Markets LLC, pursuant to Item 304(a)(1) of Regulation S-K (copy attached), which we understand will be filed with the Securities and Exchange Commission as part of the Registration Statement on Form S-1 of Tradeweb Markets Inc. dated March </w:t>
      </w:r>
      <w:r>
        <w:rPr>
          <w:rFonts w:ascii="Arial" w:cs="Arial" w:eastAsia="Arial" w:hAnsi="Arial"/>
          <w:sz w:val="18"/>
          <w:szCs w:val="18"/>
          <w:b w:val="1"/>
          <w:bCs w:val="1"/>
          <w:color w:val="auto"/>
        </w:rPr>
        <w:t>7</w:t>
      </w:r>
      <w:r>
        <w:rPr>
          <w:rFonts w:ascii="Arial" w:cs="Arial" w:eastAsia="Arial" w:hAnsi="Arial"/>
          <w:sz w:val="18"/>
          <w:szCs w:val="18"/>
          <w:color w:val="auto"/>
        </w:rPr>
        <w:t>, 2019. We agree with the statements concerning our Firm contained therein.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Attachment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b w:val="1"/>
          <w:bCs w:val="1"/>
          <w:color w:val="auto"/>
        </w:rPr>
        <w:t>Attachment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a result of the Refinitiv Transaction, PricewaterhouseCoopers LLP, Tradeweb Markets LLC’s independent registered public accounting firm, ceased to be independent with respect to Tradeweb Markets LLC on October 1, 2018. Accordingly, PricewaterhouseCoopers LLP was dismissed as Tradeweb Markets LLC’s independent registered public accounting firm for financial statement periods beginning subsequent to September 30, 2018. The dismissal of PricewaterhouseCoopers LLP became effective upon issuance by PricewaterhouseCoopers LLP of its report on the consolidated financial statements as of and for the nine months ended September 30, 2018 included elsewhere in this prospectus.</w:t>
      </w:r>
    </w:p>
    <w:p>
      <w:pPr>
        <w:spacing w:after="0" w:line="17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During the years ended December 31, 2017 and 2016, and the subsequent interim period through September 30, 2018, (i) 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19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 xml:space="preserve">Tradeweb Markets LLC has provided a copy of the above statements to PricewaterhouseCoopers LLP and requested that PricewaterhouseCoopers LLP furnish Tradeweb Markets LLC with a letter addressed to the SEC stating whether or not they agree with the above disclosure. A copy of that letter, dated March </w:t>
      </w:r>
      <w:r>
        <w:rPr>
          <w:rFonts w:ascii="Arial" w:cs="Arial" w:eastAsia="Arial" w:hAnsi="Arial"/>
          <w:sz w:val="17"/>
          <w:szCs w:val="17"/>
          <w:b w:val="1"/>
          <w:bCs w:val="1"/>
          <w:color w:val="auto"/>
        </w:rPr>
        <w:t>7</w:t>
      </w:r>
      <w:r>
        <w:rPr>
          <w:rFonts w:ascii="Arial" w:cs="Arial" w:eastAsia="Arial" w:hAnsi="Arial"/>
          <w:sz w:val="17"/>
          <w:szCs w:val="17"/>
          <w:color w:val="auto"/>
        </w:rPr>
        <w:t>, 2019, is filed as an exhibit to the registration statement of which this prospectus is a part.</w:t>
      </w:r>
    </w:p>
    <w:p>
      <w:pPr>
        <w:spacing w:after="0" w:line="16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November 11, 2018, Tradeweb Markets Inc. engaged Deloitte &amp; Touche LLP as its independent registered public accounting firm, and Tradeweb Markets LLC also engaged Deloitte &amp; Touche LLP as its independent registered public accounting firm on February 6, 2019. During the fiscal years ended December 31, 2017 and 2016 and the subsequent interim period through September 30, 2018, Tradeweb Markets LLC (or any person on its behalf) did not consult with Deloitte &amp; Touche LLP regarding any of the matters described in Items 304(a)(2)(i) or 304(a)(2)(ii)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7" w:name="page358"/>
    <w:bookmarkEnd w:id="357"/>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consent to the use in this Registration Statement on Form S-1 of our report dated March 5, 2019 relating to the financial statement of Tradeweb Markets Inc., appearing in the Prospectus, which is part of such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58" w:name="page359"/>
    <w:bookmarkEnd w:id="358"/>
    <w:p>
      <w:pPr>
        <w:jc w:val="right"/>
        <w:spacing w:after="0"/>
        <w:rPr>
          <w:sz w:val="20"/>
          <w:szCs w:val="20"/>
          <w:color w:val="auto"/>
        </w:rPr>
      </w:pPr>
      <w:r>
        <w:rPr>
          <w:rFonts w:ascii="Arial" w:cs="Arial" w:eastAsia="Arial" w:hAnsi="Arial"/>
          <w:sz w:val="22"/>
          <w:szCs w:val="22"/>
          <w:b w:val="1"/>
          <w:bCs w:val="1"/>
          <w:color w:val="auto"/>
        </w:rPr>
        <w:t>Exhibit 23.2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consent to the use in this Registration Statement on Form S-1 of our report dated March 5, 2019 relating to the consolidated financial statements of Tradeweb Markets LLC (which report expresses an unqualified opinion and includes an emphasis of a matter paragraph relating to the Successor Period financial statements not being comparable to the Predecessor Period financial statements as a result of pushdown accounting) appearing in the Prospectus, which is part of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hereby consent to the use in this Registration Statement on Form S-1 of Tradeweb Markets Inc. of our report dated December 17, 2018 relating to the financial statements of Tradeweb Markets LLC, which appears in this Registration Statement. We also consent to the reference to us under the heading “Experts” in such Registration Statement.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0" w:name="page361"/>
    <w:bookmarkEnd w:id="360"/>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DIRECTOR NOMINEE</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in connection with the registration statement on Form S-1 (the “Registration Statement”) of Tradeweb Markets Inc. (the “Company”), the undersigned hereby consents to being named as an individual to become a director of the Company in the Registration Statement and any and all amendments and supplements thereto and to the filing of this consent with such Registration Statement and any and all amendments thereto.</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William Hult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 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1)"/>
      <w:numFmt w:val="decimal"/>
      <w:start w:val="1"/>
    </w:lvl>
  </w:abstractNum>
  <w:abstractNum w:abstractNumId="1">
    <w:nsid w:val="6A3DD3E8"/>
    <w:multiLevelType w:val="hybridMultilevel"/>
    <w:lvl w:ilvl="0">
      <w:lvlJc w:val="left"/>
      <w:lvlText w:val="(%1)"/>
      <w:numFmt w:val="decimal"/>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
      <w:numFmt w:val="bullet"/>
      <w:start w:val="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
      <w:numFmt w:val="bullet"/>
      <w:start w:val="1"/>
    </w:lvl>
  </w:abstractNum>
  <w:abstractNum w:abstractNumId="7">
    <w:nsid w:val="1D545C4D"/>
    <w:multiLevelType w:val="hybridMultilevel"/>
    <w:lvl w:ilvl="0">
      <w:lvlJc w:val="left"/>
      <w:lvlText w:val="•"/>
      <w:numFmt w:val="bullet"/>
      <w:start w:val="1"/>
    </w:lvl>
  </w:abstractNum>
  <w:abstractNum w:abstractNumId="8">
    <w:nsid w:val="59ADEA3D"/>
    <w:multiLevelType w:val="hybridMultilevel"/>
    <w:lvl w:ilvl="0">
      <w:lvlJc w:val="left"/>
      <w:lvlText w:val="•"/>
      <w:numFmt w:val="bullet"/>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
      <w:numFmt w:val="bullet"/>
      <w:start w:val="1"/>
    </w:lvl>
  </w:abstractNum>
  <w:abstractNum w:abstractNumId="13">
    <w:nsid w:val="51088277"/>
    <w:multiLevelType w:val="hybridMultilevel"/>
    <w:lvl w:ilvl="0">
      <w:lvlJc w:val="left"/>
      <w:lvlText w:val="(%1)"/>
      <w:numFmt w:val="lowerRoman"/>
      <w:start w:val="2"/>
    </w:lvl>
  </w:abstractNum>
  <w:abstractNum w:abstractNumId="14">
    <w:nsid w:val="1CA0C5FA"/>
    <w:multiLevelType w:val="hybridMultilevel"/>
    <w:lvl w:ilvl="0">
      <w:lvlJc w:val="left"/>
      <w:lvlText w:val="(%1)"/>
      <w:numFmt w:val="lowerRoman"/>
      <w:start w:val="1"/>
    </w:lvl>
  </w:abstractNum>
  <w:abstractNum w:abstractNumId="15">
    <w:nsid w:val="53584BCB"/>
    <w:multiLevelType w:val="hybridMultilevel"/>
    <w:lvl w:ilvl="0">
      <w:lvlJc w:val="left"/>
      <w:lvlText w:val="•"/>
      <w:numFmt w:val="bullet"/>
      <w:start w:val="1"/>
    </w:lvl>
  </w:abstractNum>
  <w:abstractNum w:abstractNumId="16">
    <w:nsid w:val="415E286C"/>
    <w:multiLevelType w:val="hybridMultilevel"/>
    <w:lvl w:ilvl="0">
      <w:lvlJc w:val="left"/>
      <w:lvlText w:val="•"/>
      <w:numFmt w:val="bullet"/>
      <w:start w:val="1"/>
    </w:lvl>
  </w:abstractNum>
  <w:abstractNum w:abstractNumId="17">
    <w:nsid w:val="7C58FD05"/>
    <w:multiLevelType w:val="hybridMultilevel"/>
    <w:lvl w:ilvl="0">
      <w:lvlJc w:val="left"/>
      <w:lvlText w:val="•"/>
      <w:numFmt w:val="bullet"/>
      <w:start w:val="1"/>
    </w:lvl>
  </w:abstractNum>
  <w:abstractNum w:abstractNumId="18">
    <w:nsid w:val="23D86AAC"/>
    <w:multiLevelType w:val="hybridMultilevel"/>
    <w:lvl w:ilvl="0">
      <w:lvlJc w:val="left"/>
      <w:lvlText w:val="$"/>
      <w:numFmt w:val="bullet"/>
      <w:start w:val="1"/>
    </w:lvl>
  </w:abstractNum>
  <w:abstractNum w:abstractNumId="19">
    <w:nsid w:val="45E6D486"/>
    <w:multiLevelType w:val="hybridMultilevel"/>
    <w:lvl w:ilvl="0">
      <w:lvlJc w:val="left"/>
      <w:lvlText w:val="(%1)"/>
      <w:numFmt w:val="decimal"/>
      <w:start w:val="1"/>
    </w:lvl>
  </w:abstractNum>
  <w:abstractNum w:abstractNumId="20">
    <w:nsid w:val="5C10FE21"/>
    <w:multiLevelType w:val="hybridMultilevel"/>
    <w:lvl w:ilvl="0">
      <w:lvlJc w:val="left"/>
      <w:lvlText w:val="(%1)"/>
      <w:numFmt w:val="decimal"/>
      <w:start w:val="5"/>
    </w:lvl>
  </w:abstractNum>
  <w:abstractNum w:abstractNumId="21">
    <w:nsid w:val="E7FFA2B"/>
    <w:multiLevelType w:val="hybridMultilevel"/>
    <w:lvl w:ilvl="0">
      <w:lvlJc w:val="left"/>
      <w:lvlText w:val="(%1)"/>
      <w:numFmt w:val="decimal"/>
      <w:start w:val="7"/>
    </w:lvl>
  </w:abstractNum>
  <w:abstractNum w:abstractNumId="22">
    <w:nsid w:val="3C5991AA"/>
    <w:multiLevelType w:val="hybridMultilevel"/>
    <w:lvl w:ilvl="0">
      <w:lvlJc w:val="left"/>
      <w:lvlText w:val="(%1)"/>
      <w:numFmt w:val="lowerLetter"/>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
      <w:numFmt w:val="bullet"/>
      <w:start w:val="1"/>
    </w:lvl>
  </w:abstractNum>
  <w:abstractNum w:abstractNumId="25">
    <w:nsid w:val="39B7AAA2"/>
    <w:multiLevelType w:val="hybridMultilevel"/>
    <w:lvl w:ilvl="0">
      <w:lvlJc w:val="left"/>
      <w:lvlText w:val="•"/>
      <w:numFmt w:val="bullet"/>
      <w:start w:val="1"/>
    </w:lvl>
  </w:abstractNum>
  <w:abstractNum w:abstractNumId="26">
    <w:nsid w:val="2B0D8DBE"/>
    <w:multiLevelType w:val="hybridMultilevel"/>
    <w:lvl w:ilvl="0">
      <w:lvlJc w:val="left"/>
      <w:lvlText w:val="(%1)"/>
      <w:numFmt w:val="lowerRoman"/>
      <w:start w:val="5"/>
    </w:lvl>
  </w:abstractNum>
  <w:abstractNum w:abstractNumId="27">
    <w:nsid w:val="6C80EC70"/>
    <w:multiLevelType w:val="hybridMultilevel"/>
    <w:lvl w:ilvl="0">
      <w:lvlJc w:val="left"/>
      <w:lvlText w:val="•"/>
      <w:numFmt w:val="bullet"/>
      <w:start w:val="1"/>
    </w:lvl>
  </w:abstractNum>
  <w:abstractNum w:abstractNumId="28">
    <w:nsid w:val="379E21B5"/>
    <w:multiLevelType w:val="hybridMultilevel"/>
    <w:lvl w:ilvl="0">
      <w:lvlJc w:val="left"/>
      <w:lvlText w:val="•"/>
      <w:numFmt w:val="bullet"/>
      <w:start w:val="1"/>
    </w:lvl>
  </w:abstractNum>
  <w:abstractNum w:abstractNumId="29">
    <w:nsid w:val="69E373"/>
    <w:multiLevelType w:val="hybridMultilevel"/>
    <w:lvl w:ilvl="0">
      <w:lvlJc w:val="left"/>
      <w:lvlText w:val="•"/>
      <w:numFmt w:val="bullet"/>
      <w:start w:val="1"/>
    </w:lvl>
  </w:abstractNum>
  <w:abstractNum w:abstractNumId="30">
    <w:nsid w:val="2C27173B"/>
    <w:multiLevelType w:val="hybridMultilevel"/>
    <w:lvl w:ilvl="0">
      <w:lvlJc w:val="left"/>
      <w:lvlText w:val="$"/>
      <w:numFmt w:val="bullet"/>
      <w:start w:val="1"/>
    </w:lvl>
  </w:abstractNum>
  <w:abstractNum w:abstractNumId="31">
    <w:nsid w:val="4C9B0904"/>
    <w:multiLevelType w:val="hybridMultilevel"/>
    <w:lvl w:ilvl="0">
      <w:lvlJc w:val="left"/>
      <w:lvlText w:val="(%1)"/>
      <w:numFmt w:val="lowerRoman"/>
      <w:start w:val="2"/>
    </w:lvl>
  </w:abstractNum>
  <w:abstractNum w:abstractNumId="32">
    <w:nsid w:val="6AA7B75C"/>
    <w:multiLevelType w:val="hybridMultilevel"/>
    <w:lvl w:ilvl="0">
      <w:lvlJc w:val="left"/>
      <w:lvlText w:val="•"/>
      <w:numFmt w:val="bullet"/>
      <w:start w:val="1"/>
    </w:lvl>
  </w:abstractNum>
  <w:abstractNum w:abstractNumId="33">
    <w:nsid w:val="1DF029D3"/>
    <w:multiLevelType w:val="hybridMultilevel"/>
    <w:lvl w:ilvl="0">
      <w:lvlJc w:val="left"/>
      <w:lvlText w:val="•"/>
      <w:numFmt w:val="bullet"/>
      <w:start w:val="1"/>
    </w:lvl>
  </w:abstractNum>
  <w:abstractNum w:abstractNumId="34">
    <w:nsid w:val="5675FF36"/>
    <w:multiLevelType w:val="hybridMultilevel"/>
    <w:lvl w:ilvl="0">
      <w:lvlJc w:val="left"/>
      <w:lvlText w:val="•"/>
      <w:numFmt w:val="bullet"/>
      <w:start w:val="1"/>
    </w:lvl>
  </w:abstractNum>
  <w:abstractNum w:abstractNumId="35">
    <w:nsid w:val="3DD15094"/>
    <w:multiLevelType w:val="hybridMultilevel"/>
    <w:lvl w:ilvl="0">
      <w:lvlJc w:val="left"/>
      <w:lvlText w:val="•"/>
      <w:numFmt w:val="bullet"/>
      <w:start w:val="1"/>
    </w:lvl>
  </w:abstractNum>
  <w:abstractNum w:abstractNumId="36">
    <w:nsid w:val="3DB012B3"/>
    <w:multiLevelType w:val="hybridMultilevel"/>
    <w:lvl w:ilvl="0">
      <w:lvlJc w:val="left"/>
      <w:lvlText w:val="$"/>
      <w:numFmt w:val="bullet"/>
      <w:start w:val="1"/>
    </w:lvl>
  </w:abstractNum>
  <w:abstractNum w:abstractNumId="37">
    <w:nsid w:val="2708C9AF"/>
    <w:multiLevelType w:val="hybridMultilevel"/>
    <w:lvl w:ilvl="0">
      <w:lvlJc w:val="left"/>
      <w:lvlText w:val="\emdash "/>
      <w:numFmt w:val="bullet"/>
      <w:start w:val="1"/>
    </w:lvl>
  </w:abstractNum>
  <w:abstractNum w:abstractNumId="38">
    <w:nsid w:val="5B25ACE2"/>
    <w:multiLevelType w:val="hybridMultilevel"/>
    <w:lvl w:ilvl="0">
      <w:lvlJc w:val="left"/>
      <w:lvlText w:val="•"/>
      <w:numFmt w:val="bullet"/>
      <w:start w:val="1"/>
    </w:lvl>
  </w:abstractNum>
  <w:abstractNum w:abstractNumId="39">
    <w:nsid w:val="175DFCF0"/>
    <w:multiLevelType w:val="hybridMultilevel"/>
    <w:lvl w:ilvl="0">
      <w:lvlJc w:val="left"/>
      <w:lvlText w:val="•"/>
      <w:numFmt w:val="bullet"/>
      <w:start w:val="1"/>
    </w:lvl>
  </w:abstractNum>
  <w:abstractNum w:abstractNumId="40">
    <w:nsid w:val="4F97E3E4"/>
    <w:multiLevelType w:val="hybridMultilevel"/>
    <w:lvl w:ilvl="0">
      <w:lvlJc w:val="left"/>
      <w:lvlText w:val="•"/>
      <w:numFmt w:val="bullet"/>
      <w:start w:val="1"/>
    </w:lvl>
  </w:abstractNum>
  <w:abstractNum w:abstractNumId="41">
    <w:nsid w:val="53B0A9E"/>
    <w:multiLevelType w:val="hybridMultilevel"/>
    <w:lvl w:ilvl="0">
      <w:lvlJc w:val="left"/>
      <w:lvlText w:val="•"/>
      <w:numFmt w:val="bullet"/>
      <w:start w:val="1"/>
    </w:lvl>
  </w:abstractNum>
  <w:abstractNum w:abstractNumId="42">
    <w:nsid w:val="34FD6B4F"/>
    <w:multiLevelType w:val="hybridMultilevel"/>
    <w:lvl w:ilvl="0">
      <w:lvlJc w:val="left"/>
      <w:lvlText w:val="•"/>
      <w:numFmt w:val="bullet"/>
      <w:start w:val="1"/>
    </w:lvl>
  </w:abstractNum>
  <w:abstractNum w:abstractNumId="43">
    <w:nsid w:val="5915FF32"/>
    <w:multiLevelType w:val="hybridMultilevel"/>
    <w:lvl w:ilvl="0">
      <w:lvlJc w:val="left"/>
      <w:lvlText w:val="•"/>
      <w:numFmt w:val="bullet"/>
      <w:start w:val="1"/>
    </w:lvl>
  </w:abstractNum>
  <w:abstractNum w:abstractNumId="44">
    <w:nsid w:val="56438D15"/>
    <w:multiLevelType w:val="hybridMultilevel"/>
    <w:lvl w:ilvl="0">
      <w:lvlJc w:val="left"/>
      <w:lvlText w:val="•"/>
      <w:numFmt w:val="bullet"/>
      <w:start w:val="1"/>
    </w:lvl>
  </w:abstractNum>
  <w:abstractNum w:abstractNumId="45">
    <w:nsid w:val="519E3149"/>
    <w:multiLevelType w:val="hybridMultilevel"/>
    <w:lvl w:ilvl="0">
      <w:lvlJc w:val="left"/>
      <w:lvlText w:val="•"/>
      <w:numFmt w:val="bullet"/>
      <w:start w:val="1"/>
    </w:lvl>
  </w:abstractNum>
  <w:abstractNum w:abstractNumId="46">
    <w:nsid w:val="2C6E4AFD"/>
    <w:multiLevelType w:val="hybridMultilevel"/>
    <w:lvl w:ilvl="0">
      <w:lvlJc w:val="left"/>
      <w:lvlText w:val="•"/>
      <w:numFmt w:val="bullet"/>
      <w:start w:val="1"/>
    </w:lvl>
  </w:abstractNum>
  <w:abstractNum w:abstractNumId="47">
    <w:nsid w:val="17A1B582"/>
    <w:multiLevelType w:val="hybridMultilevel"/>
    <w:lvl w:ilvl="0">
      <w:lvlJc w:val="left"/>
      <w:lvlText w:val="•"/>
      <w:numFmt w:val="bullet"/>
      <w:start w:val="1"/>
    </w:lvl>
  </w:abstractNum>
  <w:abstractNum w:abstractNumId="48">
    <w:nsid w:val="4DF72E4E"/>
    <w:multiLevelType w:val="hybridMultilevel"/>
    <w:lvl w:ilvl="0">
      <w:lvlJc w:val="left"/>
      <w:lvlText w:val="•"/>
      <w:numFmt w:val="bullet"/>
      <w:start w:val="1"/>
    </w:lvl>
  </w:abstractNum>
  <w:abstractNum w:abstractNumId="49">
    <w:nsid w:val="5046B5A9"/>
    <w:multiLevelType w:val="hybridMultilevel"/>
    <w:lvl w:ilvl="0">
      <w:lvlJc w:val="left"/>
      <w:lvlText w:val="*"/>
      <w:numFmt w:val="bullet"/>
      <w:start w:val="1"/>
    </w:lvl>
  </w:abstractNum>
  <w:abstractNum w:abstractNumId="50">
    <w:nsid w:val="5D888A08"/>
    <w:multiLevelType w:val="hybridMultilevel"/>
    <w:lvl w:ilvl="0">
      <w:lvlJc w:val="left"/>
      <w:lvlText w:val="\emdash "/>
      <w:numFmt w:val="bullet"/>
      <w:start w:val="1"/>
    </w:lvl>
  </w:abstractNum>
  <w:abstractNum w:abstractNumId="51">
    <w:nsid w:val="2A082C70"/>
    <w:multiLevelType w:val="hybridMultilevel"/>
    <w:lvl w:ilvl="0">
      <w:lvlJc w:val="left"/>
      <w:lvlText w:val="•"/>
      <w:numFmt w:val="bullet"/>
      <w:start w:val="1"/>
    </w:lvl>
  </w:abstractNum>
  <w:abstractNum w:abstractNumId="52">
    <w:nsid w:val="5EC6AFD4"/>
    <w:multiLevelType w:val="hybridMultilevel"/>
    <w:lvl w:ilvl="0">
      <w:lvlJc w:val="left"/>
      <w:lvlText w:val="(%1)"/>
      <w:numFmt w:val="decimal"/>
      <w:start w:val="1"/>
    </w:lvl>
  </w:abstractNum>
  <w:abstractNum w:abstractNumId="53">
    <w:nsid w:val="19E21BB2"/>
    <w:multiLevelType w:val="hybridMultilevel"/>
    <w:lvl w:ilvl="0">
      <w:lvlJc w:val="left"/>
      <w:lvlText w:val="(%1)"/>
      <w:numFmt w:val="decimal"/>
      <w:start w:val="3"/>
    </w:lvl>
  </w:abstractNum>
  <w:abstractNum w:abstractNumId="54">
    <w:nsid w:val="75E0858A"/>
    <w:multiLevelType w:val="hybridMultilevel"/>
    <w:lvl w:ilvl="0">
      <w:lvlJc w:val="left"/>
      <w:lvlText w:val="(%1)"/>
      <w:numFmt w:val="decimal"/>
      <w:start w:val="1"/>
    </w:lvl>
  </w:abstractNum>
  <w:abstractNum w:abstractNumId="55">
    <w:nsid w:val="57A61A29"/>
    <w:multiLevelType w:val="hybridMultilevel"/>
    <w:lvl w:ilvl="0">
      <w:lvlJc w:val="left"/>
      <w:lvlText w:val="(%1)"/>
      <w:numFmt w:val="lowerLetter"/>
      <w:start w:val="1"/>
    </w:lvl>
  </w:abstractNum>
  <w:abstractNum w:abstractNumId="56">
    <w:nsid w:val="5399C654"/>
    <w:multiLevelType w:val="hybridMultilevel"/>
    <w:lvl w:ilvl="0">
      <w:lvlJc w:val="left"/>
      <w:lvlText w:val="•"/>
      <w:numFmt w:val="bullet"/>
      <w:start w:val="1"/>
    </w:lvl>
  </w:abstractNum>
  <w:abstractNum w:abstractNumId="57">
    <w:nsid w:val="20EE1348"/>
    <w:multiLevelType w:val="hybridMultilevel"/>
    <w:lvl w:ilvl="0">
      <w:lvlJc w:val="left"/>
      <w:lvlText w:val="•"/>
      <w:numFmt w:val="bullet"/>
      <w:start w:val="1"/>
    </w:lvl>
  </w:abstractNum>
  <w:abstractNum w:abstractNumId="58">
    <w:nsid w:val="4427069A"/>
    <w:multiLevelType w:val="hybridMultilevel"/>
    <w:lvl w:ilvl="0">
      <w:lvlJc w:val="left"/>
      <w:lvlText w:val="•"/>
      <w:numFmt w:val="bullet"/>
      <w:start w:val="1"/>
    </w:lvl>
  </w:abstractNum>
  <w:abstractNum w:abstractNumId="59">
    <w:nsid w:val="B37E80A"/>
    <w:multiLevelType w:val="hybridMultilevel"/>
    <w:lvl w:ilvl="0">
      <w:lvlJc w:val="left"/>
      <w:lvlText w:val="(%1)"/>
      <w:numFmt w:val="decimal"/>
      <w:start w:val="1"/>
    </w:lvl>
  </w:abstractNum>
  <w:abstractNum w:abstractNumId="60">
    <w:nsid w:val="2157F6BC"/>
    <w:multiLevelType w:val="hybridMultilevel"/>
    <w:lvl w:ilvl="0">
      <w:lvlJc w:val="left"/>
      <w:lvlText w:val="(%1)"/>
      <w:numFmt w:val="decimal"/>
      <w:start w:val="5"/>
    </w:lvl>
  </w:abstractNum>
  <w:abstractNum w:abstractNumId="61">
    <w:nsid w:val="704E1DD5"/>
    <w:multiLevelType w:val="hybridMultilevel"/>
    <w:lvl w:ilvl="0">
      <w:lvlJc w:val="left"/>
      <w:lvlText w:val="(%1)"/>
      <w:numFmt w:val="decimal"/>
      <w:start w:val="7"/>
    </w:lvl>
  </w:abstractNum>
  <w:abstractNum w:abstractNumId="62">
    <w:nsid w:val="57D2F10E"/>
    <w:multiLevelType w:val="hybridMultilevel"/>
    <w:lvl w:ilvl="0">
      <w:lvlJc w:val="left"/>
      <w:lvlText w:val="(%1)"/>
      <w:numFmt w:val="lowerLetter"/>
      <w:start w:val="1"/>
    </w:lvl>
  </w:abstractNum>
  <w:abstractNum w:abstractNumId="63">
    <w:nsid w:val="BFFAE18"/>
    <w:multiLevelType w:val="hybridMultilevel"/>
    <w:lvl w:ilvl="0">
      <w:lvlJc w:val="left"/>
      <w:lvlText w:val="•"/>
      <w:numFmt w:val="bullet"/>
      <w:start w:val="1"/>
    </w:lvl>
    <w:lvl w:ilvl="1">
      <w:lvlJc w:val="left"/>
      <w:lvlText w:val="(%2)"/>
      <w:numFmt w:val="lowerRoman"/>
      <w:start w:val="2"/>
    </w:lvl>
  </w:abstractNum>
  <w:abstractNum w:abstractNumId="64">
    <w:nsid w:val="E3E47A8"/>
    <w:multiLevelType w:val="hybridMultilevel"/>
    <w:lvl w:ilvl="0">
      <w:lvlJc w:val="left"/>
      <w:lvlText w:val="•"/>
      <w:numFmt w:val="bullet"/>
      <w:start w:val="1"/>
    </w:lvl>
    <w:lvl w:ilvl="1">
      <w:lvlJc w:val="left"/>
      <w:lvlText w:val="(%2)"/>
      <w:numFmt w:val="lowerRoman"/>
      <w:start w:val="1"/>
    </w:lvl>
  </w:abstractNum>
  <w:abstractNum w:abstractNumId="65">
    <w:nsid w:val="2E48F044"/>
    <w:multiLevelType w:val="hybridMultilevel"/>
    <w:lvl w:ilvl="0">
      <w:lvlJc w:val="left"/>
      <w:lvlText w:val="•"/>
      <w:numFmt w:val="bullet"/>
      <w:start w:val="1"/>
    </w:lvl>
  </w:abstractNum>
  <w:abstractNum w:abstractNumId="66">
    <w:nsid w:val="49D0FEAC"/>
    <w:multiLevelType w:val="hybridMultilevel"/>
    <w:lvl w:ilvl="0">
      <w:lvlJc w:val="left"/>
      <w:lvlText w:val="•"/>
      <w:numFmt w:val="bullet"/>
      <w:start w:val="1"/>
    </w:lvl>
  </w:abstractNum>
  <w:abstractNum w:abstractNumId="67">
    <w:nsid w:val="4BEE5A5B"/>
    <w:multiLevelType w:val="hybridMultilevel"/>
    <w:lvl w:ilvl="0">
      <w:lvlJc w:val="left"/>
      <w:lvlText w:val="•"/>
      <w:numFmt w:val="bullet"/>
      <w:start w:val="1"/>
    </w:lvl>
  </w:abstractNum>
  <w:abstractNum w:abstractNumId="68">
    <w:nsid w:val="5551B9F3"/>
    <w:multiLevelType w:val="hybridMultilevel"/>
    <w:lvl w:ilvl="0">
      <w:lvlJc w:val="left"/>
      <w:lvlText w:val="(%1)"/>
      <w:numFmt w:val="decimal"/>
      <w:start w:val="1"/>
    </w:lvl>
  </w:abstractNum>
  <w:abstractNum w:abstractNumId="69">
    <w:nsid w:val="24F6AB8E"/>
    <w:multiLevelType w:val="hybridMultilevel"/>
    <w:lvl w:ilvl="0">
      <w:lvlJc w:val="left"/>
      <w:lvlText w:val="(%1)"/>
      <w:numFmt w:val="decimal"/>
      <w:start w:val="4"/>
    </w:lvl>
  </w:abstractNum>
  <w:abstractNum w:abstractNumId="70">
    <w:nsid w:val="634C574C"/>
    <w:multiLevelType w:val="hybridMultilevel"/>
    <w:lvl w:ilvl="0">
      <w:lvlJc w:val="left"/>
      <w:lvlText w:val="(%1)"/>
      <w:numFmt w:val="decimal"/>
      <w:start w:val="3"/>
    </w:lvl>
  </w:abstractNum>
  <w:abstractNum w:abstractNumId="71">
    <w:nsid w:val="24E99DD7"/>
    <w:multiLevelType w:val="hybridMultilevel"/>
    <w:lvl w:ilvl="0">
      <w:lvlJc w:val="left"/>
      <w:lvlText w:val="(%1)"/>
      <w:numFmt w:val="decimal"/>
      <w:start w:val="6"/>
    </w:lvl>
  </w:abstractNum>
  <w:abstractNum w:abstractNumId="72">
    <w:nsid w:val="2A31B62D"/>
    <w:multiLevelType w:val="hybridMultilevel"/>
    <w:lvl w:ilvl="0">
      <w:lvlJc w:val="left"/>
      <w:lvlText w:val="•"/>
      <w:numFmt w:val="bullet"/>
      <w:start w:val="1"/>
    </w:lvl>
  </w:abstractNum>
  <w:abstractNum w:abstractNumId="73">
    <w:nsid w:val="1849C29B"/>
    <w:multiLevelType w:val="hybridMultilevel"/>
    <w:lvl w:ilvl="0">
      <w:lvlJc w:val="left"/>
      <w:lvlText w:val="•"/>
      <w:numFmt w:val="bullet"/>
      <w:start w:val="1"/>
    </w:lvl>
  </w:abstractNum>
  <w:abstractNum w:abstractNumId="74">
    <w:nsid w:val="7DFF9D09"/>
    <w:multiLevelType w:val="hybridMultilevel"/>
    <w:lvl w:ilvl="0">
      <w:lvlJc w:val="left"/>
      <w:lvlText w:val="(%1)"/>
      <w:numFmt w:val="decimal"/>
      <w:start w:val="1"/>
    </w:lvl>
  </w:abstractNum>
  <w:abstractNum w:abstractNumId="75">
    <w:nsid w:val="754342"/>
    <w:multiLevelType w:val="hybridMultilevel"/>
    <w:lvl w:ilvl="0">
      <w:lvlJc w:val="left"/>
      <w:lvlText w:val="(%1)"/>
      <w:numFmt w:val="decimal"/>
      <w:start w:val="2"/>
    </w:lvl>
  </w:abstractNum>
  <w:abstractNum w:abstractNumId="76">
    <w:nsid w:val="69E7F3E5"/>
    <w:multiLevelType w:val="hybridMultilevel"/>
    <w:lvl w:ilvl="0">
      <w:lvlJc w:val="left"/>
      <w:lvlText w:val="(%1)"/>
      <w:numFmt w:val="decimal"/>
      <w:start w:val="3"/>
    </w:lvl>
  </w:abstractNum>
  <w:abstractNum w:abstractNumId="77">
    <w:nsid w:val="2A6DE806"/>
    <w:multiLevelType w:val="hybridMultilevel"/>
    <w:lvl w:ilvl="0">
      <w:lvlJc w:val="left"/>
      <w:lvlText w:val="(%1)"/>
      <w:numFmt w:val="decimal"/>
      <w:start w:val="5"/>
    </w:lvl>
  </w:abstractNum>
  <w:abstractNum w:abstractNumId="78">
    <w:nsid w:val="1816F8C4"/>
    <w:multiLevelType w:val="hybridMultilevel"/>
    <w:lvl w:ilvl="0">
      <w:lvlJc w:val="left"/>
      <w:lvlText w:val="(%1)"/>
      <w:numFmt w:val="decimal"/>
      <w:start w:val="1"/>
    </w:lvl>
  </w:abstractNum>
  <w:abstractNum w:abstractNumId="79">
    <w:nsid w:val="37DF2233"/>
    <w:multiLevelType w:val="hybridMultilevel"/>
    <w:lvl w:ilvl="0">
      <w:lvlJc w:val="left"/>
      <w:lvlText w:val="(%1)"/>
      <w:numFmt w:val="decimal"/>
      <w:start w:val="1"/>
    </w:lvl>
  </w:abstractNum>
  <w:abstractNum w:abstractNumId="80">
    <w:nsid w:val="7AB49DAF"/>
    <w:multiLevelType w:val="hybridMultilevel"/>
    <w:lvl w:ilvl="0">
      <w:lvlJc w:val="left"/>
      <w:lvlText w:val="(%1)"/>
      <w:numFmt w:val="decimal"/>
      <w:start w:val="1"/>
    </w:lvl>
  </w:abstractNum>
  <w:abstractNum w:abstractNumId="81">
    <w:nsid w:val="759F82CD"/>
    <w:multiLevelType w:val="hybridMultilevel"/>
    <w:lvl w:ilvl="0">
      <w:lvlJc w:val="left"/>
      <w:lvlText w:val="(%1)"/>
      <w:numFmt w:val="decimal"/>
      <w:start w:val="1"/>
    </w:lvl>
  </w:abstractNum>
  <w:abstractNum w:abstractNumId="82">
    <w:nsid w:val="61E74EA3"/>
    <w:multiLevelType w:val="hybridMultilevel"/>
    <w:lvl w:ilvl="0">
      <w:lvlJc w:val="left"/>
      <w:lvlText w:val="(%1)"/>
      <w:numFmt w:val="decimal"/>
      <w:start w:val="1"/>
    </w:lvl>
  </w:abstractNum>
  <w:abstractNum w:abstractNumId="83">
    <w:nsid w:val="597B4D84"/>
    <w:multiLevelType w:val="hybridMultilevel"/>
    <w:lvl w:ilvl="0">
      <w:lvlJc w:val="left"/>
      <w:lvlText w:val="(%1)"/>
      <w:numFmt w:val="decimal"/>
      <w:start w:val="1"/>
    </w:lvl>
  </w:abstractNum>
  <w:abstractNum w:abstractNumId="84">
    <w:nsid w:val="F819E7F"/>
    <w:multiLevelType w:val="hybridMultilevel"/>
    <w:lvl w:ilvl="0">
      <w:lvlJc w:val="left"/>
      <w:lvlText w:val="(%1)"/>
      <w:numFmt w:val="decimal"/>
      <w:start w:val="1"/>
    </w:lvl>
  </w:abstractNum>
  <w:abstractNum w:abstractNumId="85">
    <w:nsid w:val="57C7D42D"/>
    <w:multiLevelType w:val="hybridMultilevel"/>
    <w:lvl w:ilvl="0">
      <w:lvlJc w:val="left"/>
      <w:lvlText w:val="(%1)"/>
      <w:numFmt w:val="decimal"/>
      <w:start w:val="1"/>
    </w:lvl>
  </w:abstractNum>
  <w:abstractNum w:abstractNumId="86">
    <w:nsid w:val="312167AD"/>
    <w:multiLevelType w:val="hybridMultilevel"/>
    <w:lvl w:ilvl="0">
      <w:lvlJc w:val="left"/>
      <w:lvlText w:val="(%1)"/>
      <w:numFmt w:val="decimal"/>
      <w:start w:val="1"/>
    </w:lvl>
  </w:abstractNum>
  <w:abstractNum w:abstractNumId="87">
    <w:nsid w:val="631B64D4"/>
    <w:multiLevelType w:val="hybridMultilevel"/>
    <w:lvl w:ilvl="0">
      <w:lvlJc w:val="left"/>
      <w:lvlText w:val="•"/>
      <w:numFmt w:val="bullet"/>
      <w:start w:val="1"/>
    </w:lvl>
  </w:abstractNum>
  <w:abstractNum w:abstractNumId="88">
    <w:nsid w:val="78B5E776"/>
    <w:multiLevelType w:val="hybridMultilevel"/>
    <w:lvl w:ilvl="0">
      <w:lvlJc w:val="left"/>
      <w:lvlText w:val="•"/>
      <w:numFmt w:val="bullet"/>
      <w:start w:val="1"/>
    </w:lvl>
  </w:abstractNum>
  <w:abstractNum w:abstractNumId="89">
    <w:nsid w:val="75486E47"/>
    <w:multiLevelType w:val="hybridMultilevel"/>
    <w:lvl w:ilvl="0">
      <w:lvlJc w:val="left"/>
      <w:lvlText w:val="•"/>
      <w:numFmt w:val="bullet"/>
      <w:start w:val="1"/>
    </w:lvl>
  </w:abstractNum>
  <w:abstractNum w:abstractNumId="90">
    <w:nsid w:val="6E534CDE"/>
    <w:multiLevelType w:val="hybridMultilevel"/>
    <w:lvl w:ilvl="0">
      <w:lvlJc w:val="left"/>
      <w:lvlText w:val="•"/>
      <w:numFmt w:val="bullet"/>
      <w:start w:val="1"/>
    </w:lvl>
  </w:abstractNum>
  <w:abstractNum w:abstractNumId="91">
    <w:nsid w:val="1A0DDE32"/>
    <w:multiLevelType w:val="hybridMultilevel"/>
    <w:lvl w:ilvl="0">
      <w:lvlJc w:val="left"/>
      <w:lvlText w:val="•"/>
      <w:numFmt w:val="bullet"/>
      <w:start w:val="1"/>
    </w:lvl>
    <w:lvl w:ilvl="1">
      <w:lvlJc w:val="left"/>
      <w:lvlText w:val="•"/>
      <w:numFmt w:val="bullet"/>
      <w:start w:val="1"/>
    </w:lvl>
  </w:abstractNum>
  <w:abstractNum w:abstractNumId="92">
    <w:nsid w:val="65968C1C"/>
    <w:multiLevelType w:val="hybridMultilevel"/>
    <w:lvl w:ilvl="0">
      <w:lvlJc w:val="left"/>
      <w:lvlText w:val="•"/>
      <w:numFmt w:val="bullet"/>
      <w:start w:val="1"/>
    </w:lvl>
  </w:abstractNum>
  <w:abstractNum w:abstractNumId="93">
    <w:nsid w:val="46263DEC"/>
    <w:multiLevelType w:val="hybridMultilevel"/>
    <w:lvl w:ilvl="0">
      <w:lvlJc w:val="left"/>
      <w:lvlText w:val="•"/>
      <w:numFmt w:val="bullet"/>
      <w:start w:val="1"/>
    </w:lvl>
  </w:abstractNum>
  <w:abstractNum w:abstractNumId="94">
    <w:nsid w:val="260D8C4A"/>
    <w:multiLevelType w:val="hybridMultilevel"/>
    <w:lvl w:ilvl="0">
      <w:lvlJc w:val="left"/>
      <w:lvlText w:val="•"/>
      <w:numFmt w:val="bullet"/>
      <w:start w:val="1"/>
    </w:lvl>
  </w:abstractNum>
  <w:abstractNum w:abstractNumId="95">
    <w:nsid w:val="73D4D3C4"/>
    <w:multiLevelType w:val="hybridMultilevel"/>
    <w:lvl w:ilvl="0">
      <w:lvlJc w:val="left"/>
      <w:lvlText w:val="•"/>
      <w:numFmt w:val="bullet"/>
      <w:start w:val="1"/>
    </w:lvl>
  </w:abstractNum>
  <w:abstractNum w:abstractNumId="96">
    <w:nsid w:val="746F2E30"/>
    <w:multiLevelType w:val="hybridMultilevel"/>
    <w:lvl w:ilvl="0">
      <w:lvlJc w:val="left"/>
      <w:lvlText w:val="(%1)"/>
      <w:numFmt w:val="lowerRoman"/>
      <w:start w:val="2"/>
    </w:lvl>
  </w:abstractNum>
  <w:abstractNum w:abstractNumId="97">
    <w:nsid w:val="6FDE8AF6"/>
    <w:multiLevelType w:val="hybridMultilevel"/>
    <w:lvl w:ilvl="0">
      <w:lvlJc w:val="left"/>
      <w:lvlText w:val="(%1)"/>
      <w:numFmt w:val="lowerRoman"/>
      <w:start w:val="5"/>
    </w:lvl>
  </w:abstractNum>
  <w:abstractNum w:abstractNumId="98">
    <w:nsid w:val="3FC32E20"/>
    <w:multiLevelType w:val="hybridMultilevel"/>
    <w:lvl w:ilvl="0">
      <w:lvlJc w:val="left"/>
      <w:lvlText w:val="•"/>
      <w:numFmt w:val="bullet"/>
      <w:start w:val="1"/>
    </w:lvl>
  </w:abstractNum>
  <w:abstractNum w:abstractNumId="99">
    <w:nsid w:val="49C0E823"/>
    <w:multiLevelType w:val="hybridMultilevel"/>
    <w:lvl w:ilvl="0">
      <w:lvlJc w:val="left"/>
      <w:lvlText w:val="."/>
      <w:numFmt w:val="bullet"/>
      <w:start w:val="1"/>
    </w:lvl>
  </w:abstractNum>
  <w:abstractNum w:abstractNumId="100">
    <w:nsid w:val="14D53685"/>
    <w:multiLevelType w:val="hybridMultilevel"/>
    <w:lvl w:ilvl="0">
      <w:lvlJc w:val="left"/>
      <w:lvlText w:val="(%1)"/>
      <w:numFmt w:val="decimal"/>
      <w:start w:val="1"/>
    </w:lvl>
  </w:abstractNum>
  <w:abstractNum w:abstractNumId="101">
    <w:nsid w:val="230F856C"/>
    <w:multiLevelType w:val="hybridMultilevel"/>
    <w:lvl w:ilvl="0">
      <w:lvlJc w:val="left"/>
      <w:lvlText w:val="(%1)"/>
      <w:numFmt w:val="lowerRoman"/>
      <w:start w:val="7"/>
    </w:lvl>
  </w:abstractNum>
  <w:abstractNum w:abstractNumId="102">
    <w:nsid w:val="6EAA85FB"/>
    <w:multiLevelType w:val="hybridMultilevel"/>
    <w:lvl w:ilvl="0">
      <w:lvlJc w:val="left"/>
      <w:lvlText w:val="(%1)"/>
      <w:numFmt w:val="lowerRoman"/>
      <w:start w:val="10"/>
    </w:lvl>
  </w:abstractNum>
  <w:abstractNum w:abstractNumId="103">
    <w:nsid w:val="3F06ECB2"/>
    <w:multiLevelType w:val="hybridMultilevel"/>
    <w:lvl w:ilvl="0">
      <w:lvlJc w:val="left"/>
      <w:lvlText w:val="(%1)"/>
      <w:numFmt w:val="lowerRoman"/>
      <w:start w:val="1"/>
    </w:lvl>
  </w:abstractNum>
  <w:abstractNum w:abstractNumId="104">
    <w:nsid w:val="3B594807"/>
    <w:multiLevelType w:val="hybridMultilevel"/>
    <w:lvl w:ilvl="0">
      <w:lvlJc w:val="left"/>
      <w:lvlText w:val="(%1)"/>
      <w:numFmt w:val="upperLetter"/>
      <w:start w:val="2"/>
    </w:lvl>
  </w:abstractNum>
  <w:abstractNum w:abstractNumId="105">
    <w:nsid w:val="6CAA2304"/>
    <w:multiLevelType w:val="hybridMultilevel"/>
    <w:lvl w:ilvl="0">
      <w:lvlJc w:val="left"/>
      <w:lvlText w:val=","/>
      <w:numFmt w:val="bullet"/>
      <w:start w:val="1"/>
    </w:lvl>
  </w:abstractNum>
  <w:abstractNum w:abstractNumId="106">
    <w:nsid w:val="3F7C2FF4"/>
    <w:multiLevelType w:val="hybridMultilevel"/>
    <w:lvl w:ilvl="0">
      <w:lvlJc w:val="left"/>
      <w:lvlText w:val="(%1)"/>
      <w:numFmt w:val="lowerLetter"/>
      <w:start w:val="2"/>
    </w:lvl>
  </w:abstractNum>
  <w:abstractNum w:abstractNumId="107">
    <w:nsid w:val="25413BEC"/>
    <w:multiLevelType w:val="hybridMultilevel"/>
    <w:lvl w:ilvl="0">
      <w:lvlJc w:val="left"/>
      <w:lvlText w:val="(%1)"/>
      <w:numFmt w:val="lowerLetter"/>
      <w:start w:val="3"/>
    </w:lvl>
  </w:abstractNum>
  <w:abstractNum w:abstractNumId="108">
    <w:nsid w:val="17180B0B"/>
    <w:multiLevelType w:val="hybridMultilevel"/>
    <w:lvl w:ilvl="0">
      <w:lvlJc w:val="left"/>
      <w:lvlText w:val="(%1)"/>
      <w:numFmt w:val="lowerLetter"/>
      <w:start w:val="2"/>
    </w:lvl>
  </w:abstractNum>
  <w:abstractNum w:abstractNumId="109">
    <w:nsid w:val="579328B9"/>
    <w:multiLevelType w:val="hybridMultilevel"/>
    <w:lvl w:ilvl="0">
      <w:lvlJc w:val="left"/>
      <w:lvlText w:val="(%1)"/>
      <w:numFmt w:val="decimal"/>
      <w:start w:val="1"/>
    </w:lvl>
  </w:abstractNum>
  <w:abstractNum w:abstractNumId="110">
    <w:nsid w:val="5D205E20"/>
    <w:multiLevelType w:val="hybridMultilevel"/>
    <w:lvl w:ilvl="0">
      <w:lvlJc w:val="left"/>
      <w:lvlText w:val="(%1)"/>
      <w:numFmt w:val="decimal"/>
      <w:start w:val="11"/>
    </w:lvl>
  </w:abstractNum>
  <w:abstractNum w:abstractNumId="111">
    <w:nsid w:val="11CCA8BA"/>
    <w:multiLevelType w:val="hybridMultilevel"/>
    <w:lvl w:ilvl="0">
      <w:lvlJc w:val="left"/>
      <w:lvlText w:val="(%1)"/>
      <w:numFmt w:val="lowerRoman"/>
      <w:start w:val="2"/>
    </w:lvl>
  </w:abstractNum>
  <w:abstractNum w:abstractNumId="112">
    <w:nsid w:val="4D32AB86"/>
    <w:multiLevelType w:val="hybridMultilevel"/>
    <w:lvl w:ilvl="0">
      <w:lvlJc w:val="left"/>
      <w:lvlText w:val="•"/>
      <w:numFmt w:val="bullet"/>
      <w:start w:val="1"/>
    </w:lvl>
  </w:abstractNum>
  <w:abstractNum w:abstractNumId="113">
    <w:nsid w:val="3F07ACC3"/>
    <w:multiLevelType w:val="hybridMultilevel"/>
    <w:lvl w:ilvl="0">
      <w:lvlJc w:val="left"/>
      <w:lvlText w:val="(%1)"/>
      <w:numFmt w:val="decimal"/>
      <w:start w:val="1"/>
    </w:lvl>
  </w:abstractNum>
  <w:abstractNum w:abstractNumId="114">
    <w:nsid w:val="6B47F63E"/>
    <w:multiLevelType w:val="hybridMultilevel"/>
    <w:lvl w:ilvl="0">
      <w:lvlJc w:val="left"/>
      <w:lvlText w:val="(%1)"/>
      <w:numFmt w:val="upperLetter"/>
      <w:start w:val="9"/>
    </w:lvl>
  </w:abstractNum>
  <w:abstractNum w:abstractNumId="115">
    <w:nsid w:val="5CB44A05"/>
    <w:multiLevelType w:val="hybridMultilevel"/>
    <w:lvl w:ilvl="0">
      <w:lvlJc w:val="left"/>
      <w:lvlText w:val="•"/>
      <w:numFmt w:val="bullet"/>
      <w:start w:val="1"/>
    </w:lvl>
  </w:abstractNum>
  <w:abstractNum w:abstractNumId="116">
    <w:nsid w:val="16CF80F1"/>
    <w:multiLevelType w:val="hybridMultilevel"/>
    <w:lvl w:ilvl="0">
      <w:lvlJc w:val="left"/>
      <w:lvlText w:val="(%1)"/>
      <w:numFmt w:val="lowerRoman"/>
      <w:start w:val="1"/>
    </w:lvl>
  </w:abstractNum>
  <w:abstractNum w:abstractNumId="117">
    <w:nsid w:val="1C695DEC"/>
    <w:multiLevelType w:val="hybridMultilevel"/>
    <w:lvl w:ilvl="0">
      <w:lvlJc w:val="left"/>
      <w:lvlText w:val="(%1)"/>
      <w:numFmt w:val="lowerRoman"/>
      <w:start w:val="1"/>
    </w:lvl>
  </w:abstractNum>
  <w:abstractNum w:abstractNumId="118">
    <w:nsid w:val="3FCFAED9"/>
    <w:multiLevelType w:val="hybridMultilevel"/>
    <w:lvl w:ilvl="0">
      <w:lvlJc w:val="left"/>
      <w:lvlText w:val="•"/>
      <w:numFmt w:val="bullet"/>
      <w:start w:val="1"/>
    </w:lvl>
  </w:abstractNum>
  <w:abstractNum w:abstractNumId="119">
    <w:nsid w:val="F856867"/>
    <w:multiLevelType w:val="hybridMultilevel"/>
    <w:lvl w:ilvl="0">
      <w:lvlJc w:val="left"/>
      <w:lvlText w:val="•"/>
      <w:numFmt w:val="bullet"/>
      <w:start w:val="1"/>
    </w:lvl>
  </w:abstractNum>
  <w:abstractNum w:abstractNumId="120">
    <w:nsid w:val="11B1CC33"/>
    <w:multiLevelType w:val="hybridMultilevel"/>
    <w:lvl w:ilvl="0">
      <w:lvlJc w:val="left"/>
      <w:lvlText w:val="•"/>
      <w:numFmt w:val="bullet"/>
      <w:start w:val="1"/>
    </w:lvl>
  </w:abstractNum>
  <w:abstractNum w:abstractNumId="121">
    <w:nsid w:val="2E22FBB7"/>
    <w:multiLevelType w:val="hybridMultilevel"/>
    <w:lvl w:ilvl="0">
      <w:lvlJc w:val="left"/>
      <w:lvlText w:val="$"/>
      <w:numFmt w:val="bullet"/>
      <w:start w:val="1"/>
    </w:lvl>
  </w:abstractNum>
  <w:abstractNum w:abstractNumId="122">
    <w:nsid w:val="29934699"/>
    <w:multiLevelType w:val="hybridMultilevel"/>
    <w:lvl w:ilvl="0">
      <w:lvlJc w:val="left"/>
      <w:lvlText w:val="•"/>
      <w:numFmt w:val="bullet"/>
      <w:start w:val="1"/>
    </w:lvl>
  </w:abstractNum>
  <w:abstractNum w:abstractNumId="123">
    <w:nsid w:val="77485850"/>
    <w:multiLevelType w:val="hybridMultilevel"/>
    <w:lvl w:ilvl="0">
      <w:lvlJc w:val="left"/>
      <w:lvlText w:val="."/>
      <w:numFmt w:val="bullet"/>
      <w:start w:val="1"/>
    </w:lvl>
  </w:abstractNum>
  <w:abstractNum w:abstractNumId="124">
    <w:nsid w:val="744939A3"/>
    <w:multiLevelType w:val="hybridMultilevel"/>
    <w:lvl w:ilvl="0">
      <w:lvlJc w:val="left"/>
      <w:lvlText w:val="•"/>
      <w:numFmt w:val="bullet"/>
      <w:start w:val="1"/>
    </w:lvl>
  </w:abstractNum>
  <w:abstractNum w:abstractNumId="125">
    <w:nsid w:val="4FA0D2E3"/>
    <w:multiLevelType w:val="hybridMultilevel"/>
    <w:lvl w:ilvl="0">
      <w:lvlJc w:val="left"/>
      <w:lvlText w:val="•"/>
      <w:numFmt w:val="bullet"/>
      <w:start w:val="1"/>
    </w:lvl>
  </w:abstractNum>
  <w:abstractNum w:abstractNumId="126">
    <w:nsid w:val="6B1D2C14"/>
    <w:multiLevelType w:val="hybridMultilevel"/>
    <w:lvl w:ilvl="0">
      <w:lvlJc w:val="left"/>
      <w:lvlText w:val="•"/>
      <w:numFmt w:val="bullet"/>
      <w:start w:val="1"/>
    </w:lvl>
  </w:abstractNum>
  <w:abstractNum w:abstractNumId="127">
    <w:nsid w:val="68B867D3"/>
    <w:multiLevelType w:val="hybridMultilevel"/>
    <w:lvl w:ilvl="0">
      <w:lvlJc w:val="left"/>
      <w:lvlText w:val="•"/>
      <w:numFmt w:val="bullet"/>
      <w:start w:val="1"/>
    </w:lvl>
  </w:abstractNum>
  <w:abstractNum w:abstractNumId="128">
    <w:nsid w:val="3F7F5DD9"/>
    <w:multiLevelType w:val="hybridMultilevel"/>
    <w:lvl w:ilvl="0">
      <w:lvlJc w:val="left"/>
      <w:lvlText w:val="•"/>
      <w:numFmt w:val="bullet"/>
      <w:start w:val="1"/>
    </w:lvl>
  </w:abstractNum>
  <w:abstractNum w:abstractNumId="129">
    <w:nsid w:val="2AE05A34"/>
    <w:multiLevelType w:val="hybridMultilevel"/>
    <w:lvl w:ilvl="0">
      <w:lvlJc w:val="left"/>
      <w:lvlText w:val="(%1)"/>
      <w:numFmt w:val="lowerRoman"/>
      <w:start w:val="1"/>
    </w:lvl>
  </w:abstractNum>
  <w:abstractNum w:abstractNumId="130">
    <w:nsid w:val="32794FF7"/>
    <w:multiLevelType w:val="hybridMultilevel"/>
    <w:lvl w:ilvl="0">
      <w:lvlJc w:val="left"/>
      <w:lvlText w:val="$"/>
      <w:numFmt w:val="bullet"/>
      <w:start w:val="1"/>
    </w:lvl>
  </w:abstractNum>
  <w:abstractNum w:abstractNumId="131">
    <w:nsid w:val="5454945E"/>
    <w:multiLevelType w:val="hybridMultilevel"/>
    <w:lvl w:ilvl="0">
      <w:lvlJc w:val="left"/>
      <w:lvlText w:val=","/>
      <w:numFmt w:val="bullet"/>
      <w:start w:val="1"/>
    </w:lvl>
  </w:abstractNum>
  <w:abstractNum w:abstractNumId="132">
    <w:nsid w:val="4DEFDFA0"/>
    <w:multiLevelType w:val="hybridMultilevel"/>
    <w:lvl w:ilvl="0">
      <w:lvlJc w:val="left"/>
      <w:lvlText w:val="•"/>
      <w:numFmt w:val="bullet"/>
      <w:start w:val="1"/>
    </w:lvl>
  </w:abstractNum>
  <w:abstractNum w:abstractNumId="133">
    <w:nsid w:val="2123D5F2"/>
    <w:multiLevelType w:val="hybridMultilevel"/>
    <w:lvl w:ilvl="0">
      <w:lvlJc w:val="left"/>
      <w:lvlText w:val="•"/>
      <w:numFmt w:val="bullet"/>
      <w:start w:val="1"/>
    </w:lvl>
  </w:abstractNum>
  <w:abstractNum w:abstractNumId="134">
    <w:nsid w:val="135B8110"/>
    <w:multiLevelType w:val="hybridMultilevel"/>
    <w:lvl w:ilvl="0">
      <w:lvlJc w:val="left"/>
      <w:lvlText w:val="•"/>
      <w:numFmt w:val="bullet"/>
      <w:start w:val="1"/>
    </w:lvl>
  </w:abstractNum>
  <w:abstractNum w:abstractNumId="135">
    <w:nsid w:val="94927A8"/>
    <w:multiLevelType w:val="hybridMultilevel"/>
    <w:lvl w:ilvl="0">
      <w:lvlJc w:val="left"/>
      <w:lvlText w:val="•"/>
      <w:numFmt w:val="bullet"/>
      <w:start w:val="1"/>
    </w:lvl>
  </w:abstractNum>
  <w:abstractNum w:abstractNumId="136">
    <w:nsid w:val="DCDF8F6"/>
    <w:multiLevelType w:val="hybridMultilevel"/>
    <w:lvl w:ilvl="0">
      <w:lvlJc w:val="left"/>
      <w:lvlText w:val="•"/>
      <w:numFmt w:val="bullet"/>
      <w:start w:val="1"/>
    </w:lvl>
  </w:abstractNum>
  <w:abstractNum w:abstractNumId="137">
    <w:nsid w:val="52D7B105"/>
    <w:multiLevelType w:val="hybridMultilevel"/>
    <w:lvl w:ilvl="0">
      <w:lvlJc w:val="left"/>
      <w:lvlText w:val="•"/>
      <w:numFmt w:val="bullet"/>
      <w:start w:val="1"/>
    </w:lvl>
  </w:abstractNum>
  <w:abstractNum w:abstractNumId="138">
    <w:nsid w:val="2E8A6394"/>
    <w:multiLevelType w:val="hybridMultilevel"/>
    <w:lvl w:ilvl="0">
      <w:lvlJc w:val="left"/>
      <w:lvlText w:val="•"/>
      <w:numFmt w:val="bullet"/>
      <w:start w:val="1"/>
    </w:lvl>
  </w:abstractNum>
  <w:abstractNum w:abstractNumId="139">
    <w:nsid w:val="24E60401"/>
    <w:multiLevelType w:val="hybridMultilevel"/>
    <w:lvl w:ilvl="0">
      <w:lvlJc w:val="left"/>
      <w:lvlText w:val="•"/>
      <w:numFmt w:val="bullet"/>
      <w:start w:val="1"/>
    </w:lvl>
  </w:abstractNum>
  <w:abstractNum w:abstractNumId="140">
    <w:nsid w:val="2A6AD9BE"/>
    <w:multiLevelType w:val="hybridMultilevel"/>
    <w:lvl w:ilvl="0">
      <w:lvlJc w:val="left"/>
      <w:lvlText w:val="•"/>
      <w:numFmt w:val="bullet"/>
      <w:start w:val="1"/>
    </w:lvl>
  </w:abstractNum>
  <w:abstractNum w:abstractNumId="141">
    <w:nsid w:val="BAAC1B4"/>
    <w:multiLevelType w:val="hybridMultilevel"/>
    <w:lvl w:ilvl="0">
      <w:lvlJc w:val="left"/>
      <w:lvlText w:val="•"/>
      <w:numFmt w:val="bullet"/>
      <w:start w:val="1"/>
    </w:lvl>
  </w:abstractNum>
  <w:abstractNum w:abstractNumId="142">
    <w:nsid w:val="36B2ACBC"/>
    <w:multiLevelType w:val="hybridMultilevel"/>
    <w:lvl w:ilvl="0">
      <w:lvlJc w:val="left"/>
      <w:lvlText w:val="•"/>
      <w:numFmt w:val="bullet"/>
      <w:start w:val="1"/>
    </w:lvl>
  </w:abstractNum>
  <w:abstractNum w:abstractNumId="143">
    <w:nsid w:val="779D8544"/>
    <w:multiLevelType w:val="hybridMultilevel"/>
    <w:lvl w:ilvl="0">
      <w:lvlJc w:val="left"/>
      <w:lvlText w:val="•"/>
      <w:numFmt w:val="bullet"/>
      <w:start w:val="1"/>
    </w:lvl>
    <w:lvl w:ilvl="1">
      <w:lvlJc w:val="left"/>
      <w:lvlText w:val="•"/>
      <w:numFmt w:val="bullet"/>
      <w:start w:val="1"/>
    </w:lvl>
  </w:abstractNum>
  <w:abstractNum w:abstractNumId="144">
    <w:nsid w:val="4AB26E78"/>
    <w:multiLevelType w:val="hybridMultilevel"/>
    <w:lvl w:ilvl="0">
      <w:lvlJc w:val="left"/>
      <w:lvlText w:val="%1."/>
      <w:numFmt w:val="decimal"/>
      <w:start w:val="11"/>
    </w:lvl>
  </w:abstractNum>
  <w:abstractNum w:abstractNumId="145">
    <w:nsid w:val="21FAA2FA"/>
    <w:multiLevelType w:val="hybridMultilevel"/>
    <w:lvl w:ilvl="0">
      <w:lvlJc w:val="left"/>
      <w:lvlText w:val="%1."/>
      <w:numFmt w:val="decimal"/>
      <w:start w:val="12"/>
    </w:lvl>
  </w:abstractNum>
  <w:abstractNum w:abstractNumId="146">
    <w:nsid w:val="5451CF49"/>
    <w:multiLevelType w:val="hybridMultilevel"/>
    <w:lvl w:ilvl="0">
      <w:lvlJc w:val="left"/>
      <w:lvlText w:val="%1."/>
      <w:numFmt w:val="decimal"/>
      <w:start w:val="18"/>
    </w:lvl>
  </w:abstractNum>
  <w:abstractNum w:abstractNumId="147">
    <w:nsid w:val="6181EF69"/>
    <w:multiLevelType w:val="hybridMultilevel"/>
    <w:lvl w:ilvl="0">
      <w:lvlJc w:val="left"/>
      <w:lvlText w:val="%1."/>
      <w:numFmt w:val="decimal"/>
      <w:start w:val="22"/>
    </w:lvl>
  </w:abstractNum>
  <w:abstractNum w:abstractNumId="148">
    <w:nsid w:val="3E6400E6"/>
    <w:multiLevelType w:val="hybridMultilevel"/>
    <w:lvl w:ilvl="0">
      <w:lvlJc w:val="left"/>
      <w:lvlText w:val="(%1)"/>
      <w:numFmt w:val="lowerRoman"/>
      <w:start w:val="1"/>
    </w:lvl>
  </w:abstractNum>
  <w:abstractNum w:abstractNumId="149">
    <w:nsid w:val="14217E23"/>
    <w:multiLevelType w:val="hybridMultilevel"/>
    <w:lvl w:ilvl="0">
      <w:lvlJc w:val="left"/>
      <w:lvlText w:val="(%1)"/>
      <w:numFmt w:val="lowerLetter"/>
      <w:start w:val="2"/>
    </w:lvl>
  </w:abstractNum>
  <w:abstractNum w:abstractNumId="150">
    <w:nsid w:val="710757D0"/>
    <w:multiLevelType w:val="hybridMultilevel"/>
    <w:lvl w:ilvl="0">
      <w:lvlJc w:val="left"/>
      <w:lvlText w:val="(%1)"/>
      <w:numFmt w:val="decimal"/>
      <w:start w:val="2"/>
    </w:lvl>
  </w:abstractNum>
  <w:abstractNum w:abstractNumId="151">
    <w:nsid w:val="5015CD1A"/>
    <w:multiLevelType w:val="hybridMultilevel"/>
    <w:lvl w:ilvl="0">
      <w:lvlJc w:val="left"/>
      <w:lvlText w:val="(%1)"/>
      <w:numFmt w:val="decimal"/>
      <w:start w:val="1"/>
    </w:lvl>
  </w:abstractNum>
  <w:abstractNum w:abstractNumId="152">
    <w:nsid w:val="424479DA"/>
    <w:multiLevelType w:val="hybridMultilevel"/>
    <w:lvl w:ilvl="0">
      <w:lvlJc w:val="left"/>
      <w:lvlText w:val="*"/>
      <w:numFmt w:val="bullet"/>
      <w:start w:val="1"/>
    </w:lvl>
  </w:abstractNum>
  <w:abstractNum w:abstractNumId="153">
    <w:nsid w:val="1A9A9E69"/>
    <w:multiLevelType w:val="hybridMultilevel"/>
    <w:lvl w:ilvl="0">
      <w:lvlJc w:val="left"/>
      <w:lvlText w:val="+"/>
      <w:numFmt w:val="bullet"/>
      <w:start w:val="1"/>
    </w:lvl>
  </w:abstractNum>
  <w:abstractNum w:abstractNumId="154">
    <w:nsid w:val="475E256A"/>
    <w:multiLevelType w:val="hybridMultilevel"/>
    <w:lvl w:ilvl="0">
      <w:lvlJc w:val="left"/>
      <w:lvlText w:val="†"/>
      <w:numFmt w:val="bullet"/>
      <w:start w:val="1"/>
    </w:lvl>
  </w:abstractNum>
  <w:abstractNum w:abstractNumId="155">
    <w:nsid w:val="368DB37E"/>
    <w:multiLevelType w:val="hybridMultilevel"/>
    <w:lvl w:ilvl="0">
      <w:lvlJc w:val="left"/>
      <w:lvlText w:val="(%1)"/>
      <w:numFmt w:val="lowerLetter"/>
      <w:start w:val="1"/>
    </w:lvl>
  </w:abstractNum>
  <w:abstractNum w:abstractNumId="156">
    <w:nsid w:val="6A3B714C"/>
    <w:multiLevelType w:val="hybridMultilevel"/>
    <w:lvl w:ilvl="0">
      <w:lvlJc w:val="left"/>
      <w:lvlText w:val="(%1)"/>
      <w:numFmt w:val="lowerLetter"/>
      <w:start w:val="1"/>
    </w:lvl>
  </w:abstractNum>
  <w:abstractNum w:abstractNumId="157">
    <w:nsid w:val="327B517E"/>
    <w:multiLevelType w:val="hybridMultilevel"/>
    <w:lvl w:ilvl="0">
      <w:lvlJc w:val="left"/>
      <w:lvlText w:val="(%1)"/>
      <w:numFmt w:val="lowerLetter"/>
      <w:start w:val="1"/>
    </w:lvl>
    <w:lvl w:ilvl="1">
      <w:lvlJc w:val="left"/>
      <w:lvlText w:val="(%2)"/>
      <w:numFmt w:val="lowerRoman"/>
      <w:start w:val="1"/>
    </w:lvl>
  </w:abstractNum>
  <w:abstractNum w:abstractNumId="158">
    <w:nsid w:val="1F461B51"/>
    <w:multiLevelType w:val="hybridMultilevel"/>
    <w:lvl w:ilvl="0">
      <w:lvlJc w:val="left"/>
      <w:lvlText w:val="(%1)"/>
      <w:numFmt w:val="lowerLetter"/>
      <w:start w:val="2"/>
    </w:lvl>
    <w:lvl w:ilvl="1">
      <w:lvlJc w:val="left"/>
      <w:lvlText w:val="(%2)"/>
      <w:numFmt w:val="lowerRoman"/>
      <w:start w:val="1"/>
    </w:lvl>
  </w:abstractNum>
  <w:abstractNum w:abstractNumId="159">
    <w:nsid w:val="29BACF25"/>
    <w:multiLevelType w:val="hybridMultilevel"/>
    <w:lvl w:ilvl="0">
      <w:lvlJc w:val="left"/>
      <w:lvlText w:val="(%1)"/>
      <w:numFmt w:val="lowerLetter"/>
      <w:start w:val="1"/>
    </w:lvl>
    <w:lvl w:ilvl="1">
      <w:lvlJc w:val="left"/>
      <w:lvlText w:val="(%2)"/>
      <w:numFmt w:val="lowerLetter"/>
      <w:start w:val="9"/>
    </w:lvl>
  </w:abstractNum>
  <w:abstractNum w:abstractNumId="160">
    <w:nsid w:val="5D5BABB3"/>
    <w:multiLevelType w:val="hybridMultilevel"/>
    <w:lvl w:ilvl="0">
      <w:lvlJc w:val="left"/>
      <w:lvlText w:val="%1"/>
      <w:numFmt w:val="lowerLetter"/>
      <w:start w:val="1"/>
    </w:lvl>
    <w:lvl w:ilvl="1">
      <w:lvlJc w:val="left"/>
      <w:lvlText w:val="(%2)"/>
      <w:numFmt w:val="lowerRoman"/>
      <w:start w:val="2"/>
    </w:lvl>
  </w:abstractNum>
  <w:abstractNum w:abstractNumId="161">
    <w:nsid w:val="51BF6B48"/>
    <w:multiLevelType w:val="hybridMultilevel"/>
    <w:lvl w:ilvl="0">
      <w:lvlJc w:val="left"/>
      <w:lvlText w:val="(%1)"/>
      <w:numFmt w:val="lowerLetter"/>
      <w:start w:val="3"/>
    </w:lvl>
    <w:lvl w:ilvl="1">
      <w:lvlJc w:val="left"/>
      <w:lvlText w:val="%2"/>
      <w:numFmt w:val="lowerRoman"/>
      <w:start w:val="1"/>
    </w:lvl>
  </w:abstractNum>
  <w:abstractNum w:abstractNumId="162">
    <w:nsid w:val="7E0F6384"/>
    <w:multiLevelType w:val="hybridMultilevel"/>
    <w:lvl w:ilvl="0">
      <w:lvlJc w:val="left"/>
      <w:lvlText w:val="(%1)"/>
      <w:numFmt w:val="lowerLetter"/>
      <w:start w:val="1"/>
    </w:lvl>
  </w:abstractNum>
  <w:abstractNum w:abstractNumId="163">
    <w:nsid w:val="2B4B8B53"/>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abstractNum>
  <w:abstractNum w:abstractNumId="164">
    <w:nsid w:val="72E3413A"/>
    <w:multiLevelType w:val="hybridMultilevel"/>
    <w:lvl w:ilvl="0">
      <w:lvlJc w:val="left"/>
      <w:lvlText w:val="(%1)"/>
      <w:numFmt w:val="lowerRoman"/>
      <w:start w:val="3"/>
    </w:lvl>
  </w:abstractNum>
  <w:abstractNum w:abstractNumId="165">
    <w:nsid w:val="116AE494"/>
    <w:multiLevelType w:val="hybridMultilevel"/>
    <w:lvl w:ilvl="0">
      <w:lvlJc w:val="left"/>
      <w:lvlText w:val="(%1)"/>
      <w:numFmt w:val="lowerLetter"/>
      <w:start w:val="2"/>
    </w:lvl>
    <w:lvl w:ilvl="1">
      <w:lvlJc w:val="left"/>
      <w:lvlText w:val="(%2)"/>
      <w:numFmt w:val="lowerRoman"/>
      <w:start w:val="1"/>
    </w:lvl>
  </w:abstractNum>
  <w:abstractNum w:abstractNumId="166">
    <w:nsid w:val="3494B2F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7">
    <w:nsid w:val="B13A31"/>
    <w:multiLevelType w:val="hybridMultilevel"/>
    <w:lvl w:ilvl="0">
      <w:lvlJc w:val="left"/>
      <w:lvlText w:val="(%1)"/>
      <w:numFmt w:val="lowerLetter"/>
      <w:start w:val="4"/>
    </w:lvl>
  </w:abstractNum>
  <w:abstractNum w:abstractNumId="168">
    <w:nsid w:val="64429599"/>
    <w:multiLevelType w:val="hybridMultilevel"/>
    <w:lvl w:ilvl="0">
      <w:lvlJc w:val="left"/>
      <w:lvlText w:val="(%1)"/>
      <w:numFmt w:val="lowerLetter"/>
      <w:start w:val="3"/>
    </w:lvl>
  </w:abstractNum>
  <w:abstractNum w:abstractNumId="169">
    <w:nsid w:val="631F1690"/>
    <w:multiLevelType w:val="hybridMultilevel"/>
    <w:lvl w:ilvl="0">
      <w:lvlJc w:val="left"/>
      <w:lvlText w:val="(%1)"/>
      <w:numFmt w:val="lowerLetter"/>
      <w:start w:val="1"/>
    </w:lvl>
    <w:lvl w:ilvl="1">
      <w:lvlJc w:val="left"/>
      <w:lvlText w:val="(%2)"/>
      <w:numFmt w:val="lowerRoman"/>
      <w:start w:val="1"/>
    </w:lvl>
  </w:abstractNum>
  <w:abstractNum w:abstractNumId="170">
    <w:nsid w:val="25973E3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71">
    <w:nsid w:val="EAD6F5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72">
    <w:nsid w:val="6EC9D844"/>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1"/>
    </w:lvl>
  </w:abstractNum>
  <w:abstractNum w:abstractNumId="173">
    <w:nsid w:val="5C49EAEE"/>
    <w:multiLevelType w:val="hybridMultilevel"/>
    <w:lvl w:ilvl="0">
      <w:lvlJc w:val="left"/>
      <w:lvlText w:val="(%1)"/>
      <w:numFmt w:val="lowerLetter"/>
      <w:start w:val="1"/>
    </w:lvl>
  </w:abstractNum>
  <w:abstractNum w:abstractNumId="174">
    <w:nsid w:val="64AF49B"/>
    <w:multiLevelType w:val="hybridMultilevel"/>
    <w:lvl w:ilvl="0">
      <w:lvlJc w:val="left"/>
      <w:lvlText w:val="(%1)"/>
      <w:numFmt w:val="lowerLetter"/>
      <w:start w:val="1"/>
    </w:lvl>
  </w:abstractNum>
  <w:abstractNum w:abstractNumId="175">
    <w:nsid w:val="397C46BC"/>
    <w:multiLevelType w:val="hybridMultilevel"/>
    <w:lvl w:ilvl="0">
      <w:lvlJc w:val="left"/>
      <w:lvlText w:val="%1"/>
      <w:numFmt w:val="upperLetter"/>
      <w:start w:val="1"/>
    </w:lvl>
    <w:lvl w:ilvl="1">
      <w:lvlJc w:val="left"/>
      <w:lvlText w:val="(%2)"/>
      <w:numFmt w:val="lowerLetter"/>
      <w:start w:val="2"/>
    </w:lvl>
  </w:abstractNum>
  <w:abstractNum w:abstractNumId="176">
    <w:nsid w:val="7E448DE9"/>
    <w:multiLevelType w:val="hybridMultilevel"/>
    <w:lvl w:ilvl="0">
      <w:lvlJc w:val="left"/>
      <w:lvlText w:val="(%1)"/>
      <w:numFmt w:val="upperLetter"/>
      <w:start w:val="1"/>
    </w:lvl>
    <w:lvl w:ilvl="1">
      <w:lvlJc w:val="left"/>
      <w:lvlText w:val="%2"/>
      <w:numFmt w:val="lowerLetter"/>
      <w:start w:val="1"/>
    </w:lvl>
  </w:abstractNum>
  <w:abstractNum w:abstractNumId="177">
    <w:nsid w:val="5A9CC3E5"/>
    <w:multiLevelType w:val="hybridMultilevel"/>
    <w:lvl w:ilvl="0">
      <w:lvlJc w:val="left"/>
      <w:lvlText w:val="(%1)"/>
      <w:numFmt w:val="lowerLetter"/>
      <w:start w:val="1"/>
    </w:lvl>
  </w:abstractNum>
  <w:abstractNum w:abstractNumId="178">
    <w:nsid w:val="1AFE3625"/>
    <w:multiLevelType w:val="hybridMultilevel"/>
    <w:lvl w:ilvl="0">
      <w:lvlJc w:val="left"/>
      <w:lvlText w:val="(%1)"/>
      <w:numFmt w:val="lowerLetter"/>
      <w:start w:val="4"/>
    </w:lvl>
  </w:abstractNum>
  <w:abstractNum w:abstractNumId="179">
    <w:nsid w:val="3CA88ECF"/>
    <w:multiLevelType w:val="hybridMultilevel"/>
    <w:lvl w:ilvl="0">
      <w:lvlJc w:val="left"/>
      <w:lvlText w:val="(%1)"/>
      <w:numFmt w:val="lowerLetter"/>
      <w:start w:val="1"/>
    </w:lvl>
  </w:abstractNum>
  <w:abstractNum w:abstractNumId="180">
    <w:nsid w:val="6EBE4208"/>
    <w:multiLevelType w:val="hybridMultilevel"/>
    <w:lvl w:ilvl="0">
      <w:lvlJc w:val="left"/>
      <w:lvlText w:val="(%1)"/>
      <w:numFmt w:val="lowerLetter"/>
      <w:start w:val="1"/>
    </w:lvl>
  </w:abstractNum>
  <w:abstractNum w:abstractNumId="181">
    <w:nsid w:val="C058DF5"/>
    <w:multiLevelType w:val="hybridMultilevel"/>
    <w:lvl w:ilvl="0">
      <w:lvlJc w:val="left"/>
      <w:lvlText w:val="(%1)"/>
      <w:numFmt w:val="lowerLetter"/>
      <w:start w:val="3"/>
    </w:lvl>
    <w:lvl w:ilvl="1">
      <w:lvlJc w:val="left"/>
      <w:lvlText w:val="(%2)"/>
      <w:numFmt w:val="lowerLetter"/>
      <w:start w:val="9"/>
    </w:lvl>
  </w:abstractNum>
  <w:abstractNum w:abstractNumId="182">
    <w:nsid w:val="CBE5BE9"/>
    <w:multiLevelType w:val="hybridMultilevel"/>
    <w:lvl w:ilvl="0">
      <w:lvlJc w:val="left"/>
      <w:lvlText w:val="(%1)"/>
      <w:numFmt w:val="lowerRoman"/>
      <w:start w:val="2"/>
    </w:lvl>
  </w:abstractNum>
  <w:abstractNum w:abstractNumId="183">
    <w:nsid w:val="3102BBE2"/>
    <w:multiLevelType w:val="hybridMultilevel"/>
    <w:lvl w:ilvl="0">
      <w:lvlJc w:val="left"/>
      <w:lvlText w:val="(%1)"/>
      <w:numFmt w:val="lowerRoman"/>
      <w:start w:val="3"/>
    </w:lvl>
  </w:abstractNum>
  <w:abstractNum w:abstractNumId="184">
    <w:nsid w:val="26A02C5E"/>
    <w:multiLevelType w:val="hybridMultilevel"/>
    <w:lvl w:ilvl="0">
      <w:lvlJc w:val="left"/>
      <w:lvlText w:val="*"/>
      <w:numFmt w:val="bullet"/>
      <w:start w:val="1"/>
    </w:lvl>
    <w:lvl w:ilvl="1">
      <w:lvlJc w:val="left"/>
      <w:lvlText w:val="%2."/>
      <w:numFmt w:val="decimal"/>
      <w:start w:val="1"/>
    </w:lvl>
  </w:abstractNum>
  <w:abstractNum w:abstractNumId="185">
    <w:nsid w:val="541C8153"/>
    <w:multiLevelType w:val="hybridMultilevel"/>
    <w:lvl w:ilvl="0">
      <w:lvlJc w:val="left"/>
      <w:lvlText w:val="%1."/>
      <w:numFmt w:val="decimal"/>
      <w:start w:val="1"/>
    </w:lvl>
  </w:abstractNum>
  <w:abstractNum w:abstractNumId="186">
    <w:nsid w:val="67906F60"/>
    <w:multiLevelType w:val="hybridMultilevel"/>
    <w:lvl w:ilvl="0">
      <w:lvlJc w:val="left"/>
      <w:lvlText w:val="·"/>
      <w:numFmt w:val="bullet"/>
      <w:start w:val="1"/>
    </w:lvl>
  </w:abstractNum>
  <w:abstractNum w:abstractNumId="187">
    <w:nsid w:val="10DB9DAA"/>
    <w:multiLevelType w:val="hybridMultilevel"/>
    <w:lvl w:ilvl="0">
      <w:lvlJc w:val="left"/>
      <w:lvlText w:val="%1."/>
      <w:numFmt w:val="decimal"/>
      <w:start w:val="1"/>
    </w:lvl>
  </w:abstractNum>
  <w:abstractNum w:abstractNumId="188">
    <w:nsid w:val="697D2D2"/>
    <w:multiLevelType w:val="hybridMultilevel"/>
    <w:lvl w:ilvl="0">
      <w:lvlJc w:val="left"/>
      <w:lvlText w:val="·"/>
      <w:numFmt w:val="bullet"/>
      <w:start w:val="1"/>
    </w:lvl>
  </w:abstractNum>
  <w:abstractNum w:abstractNumId="189">
    <w:nsid w:val="6D68AB2"/>
    <w:multiLevelType w:val="hybridMultilevel"/>
    <w:lvl w:ilvl="0">
      <w:lvlJc w:val="left"/>
      <w:lvlText w:val="·"/>
      <w:numFmt w:val="bullet"/>
      <w:start w:val="1"/>
    </w:lvl>
  </w:abstractNum>
  <w:abstractNum w:abstractNumId="190">
    <w:nsid w:val="3A966CD0"/>
    <w:multiLevelType w:val="hybridMultilevel"/>
    <w:lvl w:ilvl="0">
      <w:lvlJc w:val="left"/>
      <w:lvlText w:val="·"/>
      <w:numFmt w:val="bullet"/>
      <w:start w:val="1"/>
    </w:lvl>
  </w:abstractNum>
  <w:abstractNum w:abstractNumId="191">
    <w:nsid w:val="63F37E85"/>
    <w:multiLevelType w:val="hybridMultilevel"/>
    <w:lvl w:ilvl="0">
      <w:lvlJc w:val="left"/>
      <w:lvlText w:val="·"/>
      <w:numFmt w:val="bullet"/>
      <w:start w:val="1"/>
    </w:lvl>
  </w:abstractNum>
  <w:abstractNum w:abstractNumId="192">
    <w:nsid w:val="5895F5FA"/>
    <w:multiLevelType w:val="hybridMultilevel"/>
    <w:lvl w:ilvl="0">
      <w:lvlJc w:val="left"/>
      <w:lvlText w:val="·"/>
      <w:numFmt w:val="bullet"/>
      <w:start w:val="1"/>
    </w:lvl>
  </w:abstractNum>
  <w:abstractNum w:abstractNumId="193">
    <w:nsid w:val="38A5D054"/>
    <w:multiLevelType w:val="hybridMultilevel"/>
    <w:lvl w:ilvl="0">
      <w:lvlJc w:val="left"/>
      <w:lvlText w:val="·"/>
      <w:numFmt w:val="bullet"/>
      <w:start w:val="1"/>
    </w:lvl>
  </w:abstractNum>
  <w:abstractNum w:abstractNumId="194">
    <w:nsid w:val="F3F09D8"/>
    <w:multiLevelType w:val="hybridMultilevel"/>
    <w:lvl w:ilvl="0">
      <w:lvlJc w:val="left"/>
      <w:lvlText w:val="%1."/>
      <w:numFmt w:val="decimal"/>
      <w:start w:val="1"/>
    </w:lvl>
  </w:abstractNum>
  <w:abstractNum w:abstractNumId="195">
    <w:nsid w:val="4B793735"/>
    <w:multiLevelType w:val="hybridMultilevel"/>
    <w:lvl w:ilvl="0">
      <w:lvlJc w:val="left"/>
      <w:lvlText w:val="(%1)"/>
      <w:numFmt w:val="decimal"/>
      <w:start w:val="15"/>
    </w:lvl>
  </w:abstractNum>
  <w:abstractNum w:abstractNumId="196">
    <w:nsid w:val="4A10B4E8"/>
    <w:multiLevelType w:val="hybridMultilevel"/>
    <w:lvl w:ilvl="0">
      <w:lvlJc w:val="left"/>
      <w:lvlText w:val="%1."/>
      <w:numFmt w:val="decimal"/>
      <w:start w:val="1"/>
    </w:lvl>
  </w:abstractNum>
  <w:abstractNum w:abstractNumId="197">
    <w:nsid w:val="43D3BCD4"/>
    <w:multiLevelType w:val="hybridMultilevel"/>
    <w:lvl w:ilvl="0">
      <w:lvlJc w:val="left"/>
      <w:lvlText w:val="%1."/>
      <w:numFmt w:val="decimal"/>
      <w:start w:val="1"/>
    </w:lvl>
  </w:abstractNum>
  <w:abstractNum w:abstractNumId="198">
    <w:nsid w:val="4C2A7166"/>
    <w:multiLevelType w:val="hybridMultilevel"/>
    <w:lvl w:ilvl="0">
      <w:lvlJc w:val="left"/>
      <w:lvlText w:val="·"/>
      <w:numFmt w:val="bullet"/>
      <w:start w:val="1"/>
    </w:lvl>
  </w:abstractNum>
  <w:abstractNum w:abstractNumId="199">
    <w:nsid w:val="2E534A82"/>
    <w:multiLevelType w:val="hybridMultilevel"/>
    <w:lvl w:ilvl="0">
      <w:lvlJc w:val="left"/>
      <w:lvlText w:val="[***]"/>
      <w:numFmt w:val="bullet"/>
      <w:start w:val="1"/>
    </w:lvl>
  </w:abstractNum>
  <w:abstractNum w:abstractNumId="200">
    <w:nsid w:val="26F2D364"/>
    <w:multiLevelType w:val="hybridMultilevel"/>
    <w:lvl w:ilvl="0">
      <w:lvlJc w:val="left"/>
      <w:lvlText w:val="(%1)"/>
      <w:numFmt w:val="lowerRoman"/>
      <w:start w:val="1"/>
    </w:lvl>
  </w:abstractNum>
  <w:abstractNum w:abstractNumId="201">
    <w:nsid w:val="71C1AF98"/>
    <w:multiLevelType w:val="hybridMultilevel"/>
    <w:lvl w:ilvl="0">
      <w:lvlJc w:val="left"/>
      <w:lvlText w:val="1"/>
      <w:numFmt w:val="bullet"/>
      <w:start w:val="1"/>
    </w:lvl>
  </w:abstractNum>
  <w:abstractNum w:abstractNumId="202">
    <w:nsid w:val="3D00B9D9"/>
    <w:multiLevelType w:val="hybridMultilevel"/>
    <w:lvl w:ilvl="0">
      <w:lvlJc w:val="left"/>
      <w:lvlText w:val="2"/>
      <w:numFmt w:val="bullet"/>
      <w:start w:val="1"/>
    </w:lvl>
  </w:abstractNum>
  <w:abstractNum w:abstractNumId="203">
    <w:nsid w:val="15BCABA8"/>
    <w:multiLevelType w:val="hybridMultilevel"/>
    <w:lvl w:ilvl="0">
      <w:lvlJc w:val="left"/>
      <w:lvlText w:val="%1."/>
      <w:numFmt w:val="decimal"/>
      <w:start w:val="1"/>
    </w:lvl>
  </w:abstractNum>
  <w:abstractNum w:abstractNumId="204">
    <w:nsid w:val="4E0B9A87"/>
    <w:multiLevelType w:val="hybridMultilevel"/>
    <w:lvl w:ilvl="0">
      <w:lvlJc w:val="left"/>
      <w:lvlText w:val="%1."/>
      <w:numFmt w:val="decimal"/>
      <w:start w:val="2"/>
    </w:lvl>
  </w:abstractNum>
  <w:abstractNum w:abstractNumId="205">
    <w:nsid w:val="434BAE7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2019-12-20T16:16:16Z</dcterms:created>
  <dcterms:modified xsi:type="dcterms:W3CDTF">2019-12-20T16:16:16Z</dcterms:modified>
</cp:coreProperties>
</file>