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10,112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95,133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89,131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89,206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(i)3,682 unvested RSUs in respect of Class A Common Stock which are scheduled to vest on March 15, 2025, (ii) 14,271 unvested RSUs in respect of Class A Common Stock that are scheduled to vest on January 1, 2025, (iii) 11,879 unvested RSUs in respect of Class A Common Stock which are scheduled to vest in equal installments on March 15, 2025 and March 15, 2026, (iv) 32,305 unvested RSUs in respect of Class A Common Stock which are scheduled to vest on January 1, 2026, and (v) 10,112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2024-03-19T17:54:18Z</dcterms:created>
  <dcterms:modified xsi:type="dcterms:W3CDTF">2024-03-19T17:54:18Z</dcterms:modified>
</cp:coreProperties>
</file>