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0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172720</wp:posOffset>
            </wp:positionV>
            <wp:extent cx="7132320" cy="104317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04317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6" w:lineRule="exact"/>
        <w:rPr>
          <w:sz w:val="24"/>
          <w:szCs w:val="24"/>
          <w:color w:val="auto"/>
        </w:rPr>
      </w:pPr>
    </w:p>
    <w:p>
      <w:pPr>
        <w:jc w:val="center"/>
        <w:ind w:right="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>UNITED STATES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>SECURITIES AND EXCHANGE COMMISSION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33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Washington, D.C. 20549</w:t>
      </w:r>
    </w:p>
    <w:p>
      <w:pPr>
        <w:spacing w:after="0" w:line="121" w:lineRule="exact"/>
        <w:rPr>
          <w:sz w:val="24"/>
          <w:szCs w:val="24"/>
          <w:color w:val="auto"/>
        </w:rPr>
      </w:pPr>
    </w:p>
    <w:p>
      <w:pPr>
        <w:ind w:left="33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______________________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>SCHEDULE 14A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Proxy Statement Pursuant to Section 14(a) of the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Securities Exchange Act of 1934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33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______________________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Filed by the Registrant </w:t>
      </w:r>
      <w:r>
        <w:rPr>
          <w:rFonts w:ascii="Wingdings" w:cs="Wingdings" w:eastAsia="Wingdings" w:hAnsi="Wingdings"/>
          <w:sz w:val="18"/>
          <w:szCs w:val="18"/>
          <w:b w:val="1"/>
          <w:bCs w:val="1"/>
          <w:color w:val="auto"/>
        </w:rPr>
        <w:t>x</w:t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Filed by a Party other than the Registrant </w:t>
      </w:r>
      <w:r>
        <w:rPr>
          <w:rFonts w:ascii="Wingdings" w:cs="Wingdings" w:eastAsia="Wingdings" w:hAnsi="Wingdings"/>
          <w:sz w:val="18"/>
          <w:szCs w:val="18"/>
          <w:b w:val="1"/>
          <w:bCs w:val="1"/>
          <w:color w:val="auto"/>
        </w:rPr>
        <w:t>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Check the appropriate box: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4" w:lineRule="exact"/>
        <w:rPr>
          <w:sz w:val="24"/>
          <w:szCs w:val="24"/>
          <w:color w:val="auto"/>
        </w:rPr>
      </w:pPr>
    </w:p>
    <w:p>
      <w:pPr>
        <w:ind w:left="460" w:hanging="350"/>
        <w:spacing w:after="0"/>
        <w:tabs>
          <w:tab w:leader="none" w:pos="460" w:val="left"/>
        </w:tabs>
        <w:numPr>
          <w:ilvl w:val="0"/>
          <w:numId w:val="1"/>
        </w:numPr>
        <w:rPr>
          <w:rFonts w:ascii="Wingdings" w:cs="Wingdings" w:eastAsia="Wingdings" w:hAnsi="Wingdings"/>
          <w:sz w:val="18"/>
          <w:szCs w:val="18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Preliminary Proxy Statement</w:t>
      </w:r>
    </w:p>
    <w:p>
      <w:pPr>
        <w:spacing w:after="0" w:line="153" w:lineRule="exact"/>
        <w:rPr>
          <w:rFonts w:ascii="Wingdings" w:cs="Wingdings" w:eastAsia="Wingdings" w:hAnsi="Wingdings"/>
          <w:sz w:val="18"/>
          <w:szCs w:val="18"/>
          <w:b w:val="1"/>
          <w:bCs w:val="1"/>
          <w:color w:val="auto"/>
        </w:rPr>
      </w:pPr>
    </w:p>
    <w:p>
      <w:pPr>
        <w:ind w:left="460" w:hanging="350"/>
        <w:spacing w:after="0"/>
        <w:tabs>
          <w:tab w:leader="none" w:pos="460" w:val="left"/>
        </w:tabs>
        <w:numPr>
          <w:ilvl w:val="0"/>
          <w:numId w:val="1"/>
        </w:numPr>
        <w:rPr>
          <w:rFonts w:ascii="Wingdings" w:cs="Wingdings" w:eastAsia="Wingdings" w:hAnsi="Wingdings"/>
          <w:sz w:val="18"/>
          <w:szCs w:val="18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Confidential, for Use of the Commission Only (as permitted by Rule 14a-6(e)(2))</w:t>
      </w:r>
    </w:p>
    <w:p>
      <w:pPr>
        <w:spacing w:after="0" w:line="161" w:lineRule="exact"/>
        <w:rPr>
          <w:rFonts w:ascii="Wingdings" w:cs="Wingdings" w:eastAsia="Wingdings" w:hAnsi="Wingdings"/>
          <w:sz w:val="18"/>
          <w:szCs w:val="18"/>
          <w:b w:val="1"/>
          <w:bCs w:val="1"/>
          <w:color w:val="auto"/>
        </w:rPr>
      </w:pPr>
    </w:p>
    <w:p>
      <w:pPr>
        <w:ind w:left="460" w:hanging="350"/>
        <w:spacing w:after="0"/>
        <w:tabs>
          <w:tab w:leader="none" w:pos="460" w:val="left"/>
        </w:tabs>
        <w:numPr>
          <w:ilvl w:val="0"/>
          <w:numId w:val="1"/>
        </w:numPr>
        <w:rPr>
          <w:rFonts w:ascii="Wingdings" w:cs="Wingdings" w:eastAsia="Wingdings" w:hAnsi="Wingdings"/>
          <w:sz w:val="18"/>
          <w:szCs w:val="18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Definitive Proxy Statement</w:t>
      </w:r>
    </w:p>
    <w:p>
      <w:pPr>
        <w:spacing w:after="0" w:line="171" w:lineRule="exact"/>
        <w:rPr>
          <w:sz w:val="24"/>
          <w:szCs w:val="24"/>
          <w:color w:val="auto"/>
        </w:rPr>
      </w:pPr>
    </w:p>
    <w:p>
      <w:pPr>
        <w:ind w:left="460" w:hanging="350"/>
        <w:spacing w:after="0"/>
        <w:tabs>
          <w:tab w:leader="none" w:pos="460" w:val="left"/>
        </w:tabs>
        <w:numPr>
          <w:ilvl w:val="0"/>
          <w:numId w:val="2"/>
        </w:numPr>
        <w:rPr>
          <w:rFonts w:ascii="Wingdings" w:cs="Wingdings" w:eastAsia="Wingdings" w:hAnsi="Wingdings"/>
          <w:sz w:val="18"/>
          <w:szCs w:val="18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Definitive Additional Materials</w:t>
      </w:r>
    </w:p>
    <w:p>
      <w:pPr>
        <w:spacing w:after="0" w:line="171" w:lineRule="exact"/>
        <w:rPr>
          <w:sz w:val="24"/>
          <w:szCs w:val="24"/>
          <w:color w:val="auto"/>
        </w:rPr>
      </w:pPr>
    </w:p>
    <w:p>
      <w:pPr>
        <w:ind w:left="460" w:hanging="350"/>
        <w:spacing w:after="0"/>
        <w:tabs>
          <w:tab w:leader="none" w:pos="460" w:val="left"/>
        </w:tabs>
        <w:numPr>
          <w:ilvl w:val="0"/>
          <w:numId w:val="3"/>
        </w:numPr>
        <w:rPr>
          <w:rFonts w:ascii="Wingdings" w:cs="Wingdings" w:eastAsia="Wingdings" w:hAnsi="Wingdings"/>
          <w:sz w:val="18"/>
          <w:szCs w:val="18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Soliciting Material under §240.14a-12</w:t>
      </w:r>
    </w:p>
    <w:p>
      <w:pPr>
        <w:spacing w:after="0" w:line="156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>Tradeweb Markets Inc.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(Name of Registrant as Specified In Its Charter)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17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(Name of Person(s) Filing Proxy Statement, if other than the Registrant)</w:t>
      </w:r>
    </w:p>
    <w:p>
      <w:pPr>
        <w:spacing w:after="0" w:line="22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Payment of Filing Fee (Check all boxes that apply):</w:t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60" w:hanging="350"/>
        <w:spacing w:after="0"/>
        <w:tabs>
          <w:tab w:leader="none" w:pos="460" w:val="left"/>
        </w:tabs>
        <w:numPr>
          <w:ilvl w:val="0"/>
          <w:numId w:val="4"/>
        </w:numPr>
        <w:rPr>
          <w:rFonts w:ascii="Wingdings" w:cs="Wingdings" w:eastAsia="Wingdings" w:hAnsi="Wingdings"/>
          <w:sz w:val="18"/>
          <w:szCs w:val="18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No fee required</w:t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ind w:left="460" w:hanging="350"/>
        <w:spacing w:after="0"/>
        <w:tabs>
          <w:tab w:leader="none" w:pos="460" w:val="left"/>
        </w:tabs>
        <w:numPr>
          <w:ilvl w:val="0"/>
          <w:numId w:val="5"/>
        </w:numPr>
        <w:rPr>
          <w:rFonts w:ascii="Wingdings" w:cs="Wingdings" w:eastAsia="Wingdings" w:hAnsi="Wingdings"/>
          <w:sz w:val="18"/>
          <w:szCs w:val="18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Fee paid previously with preliminary materials</w:t>
      </w:r>
    </w:p>
    <w:p>
      <w:pPr>
        <w:spacing w:after="0" w:line="279" w:lineRule="exact"/>
        <w:rPr>
          <w:rFonts w:ascii="Wingdings" w:cs="Wingdings" w:eastAsia="Wingdings" w:hAnsi="Wingdings"/>
          <w:sz w:val="18"/>
          <w:szCs w:val="18"/>
          <w:b w:val="1"/>
          <w:bCs w:val="1"/>
          <w:color w:val="auto"/>
        </w:rPr>
      </w:pPr>
    </w:p>
    <w:p>
      <w:pPr>
        <w:ind w:left="460" w:hanging="350"/>
        <w:spacing w:after="0"/>
        <w:tabs>
          <w:tab w:leader="none" w:pos="460" w:val="left"/>
        </w:tabs>
        <w:numPr>
          <w:ilvl w:val="0"/>
          <w:numId w:val="5"/>
        </w:numPr>
        <w:rPr>
          <w:rFonts w:ascii="Wingdings" w:cs="Wingdings" w:eastAsia="Wingdings" w:hAnsi="Wingdings"/>
          <w:sz w:val="18"/>
          <w:szCs w:val="18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Fee computed on table in exhibit required by Item 25(b) per Exchange Act Rules 14a-6(i)(1) and 0-11</w:t>
      </w:r>
    </w:p>
    <w:p>
      <w:pPr>
        <w:sectPr>
          <w:pgSz w:w="11900" w:h="16838" w:orient="portrait"/>
          <w:cols w:equalWidth="0" w:num="1">
            <w:col w:w="9019"/>
          </w:cols>
          <w:pgMar w:left="1440" w:top="1440" w:right="1440" w:bottom="1440" w:gutter="0" w:footer="0" w:header="0"/>
        </w:sectPr>
      </w:pPr>
    </w:p>
    <w:bookmarkStart w:id="1" w:name="page2"/>
    <w:bookmarkEnd w:id="1"/>
    <w:p>
      <w:pPr>
        <w:spacing w:after="0" w:line="20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88900</wp:posOffset>
            </wp:positionV>
            <wp:extent cx="7132320" cy="105156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0515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04" w:lineRule="exact"/>
        <w:rPr>
          <w:sz w:val="20"/>
          <w:szCs w:val="20"/>
          <w:color w:val="auto"/>
        </w:rPr>
      </w:pPr>
    </w:p>
    <w:p>
      <w:pPr>
        <w:ind w:left="8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8"/>
          <w:szCs w:val="8"/>
          <w:color w:val="auto"/>
        </w:rPr>
        <w:t>V1.1</w:t>
      </w:r>
    </w:p>
    <w:p>
      <w:pPr>
        <w:sectPr>
          <w:pgSz w:w="11900" w:h="16838" w:orient="portrait"/>
          <w:cols w:equalWidth="0" w:num="1">
            <w:col w:w="9019"/>
          </w:cols>
          <w:pgMar w:left="1440" w:top="1440" w:right="1440" w:bottom="1440" w:gutter="0" w:footer="0" w:header="0"/>
        </w:sectPr>
      </w:pPr>
    </w:p>
    <w:bookmarkStart w:id="2" w:name="page3"/>
    <w:bookmarkEnd w:id="2"/>
    <w:p>
      <w:pPr>
        <w:spacing w:after="0" w:line="20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88900</wp:posOffset>
            </wp:positionV>
            <wp:extent cx="7132320" cy="641413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64141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44" w:lineRule="exact"/>
        <w:rPr>
          <w:sz w:val="20"/>
          <w:szCs w:val="20"/>
          <w:color w:val="auto"/>
        </w:rPr>
      </w:pPr>
    </w:p>
    <w:p>
      <w:pPr>
        <w:ind w:left="8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8"/>
          <w:szCs w:val="8"/>
          <w:color w:val="auto"/>
        </w:rPr>
        <w:t>V1.1</w:t>
      </w:r>
    </w:p>
    <w:sectPr>
      <w:pgSz w:w="11900" w:h="16838" w:orient="portrait"/>
      <w:cols w:equalWidth="0" w:num="1">
        <w:col w:w="9019"/>
      </w:cols>
      <w:pgMar w:left="1440" w:top="144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Wingdings">
    <w:panose1 w:val="05000000000000000000"/>
    <w:charset w:val="00"/>
    <w:family w:val="auto"/>
    <w:pitch w:val="variable"/>
    <w:sig w:usb0="00000000" w:usb1="0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o"/>
      <w:numFmt w:val="bullet"/>
      <w:start w:val="1"/>
    </w:lvl>
  </w:abstractNum>
  <w:abstractNum w:abstractNumId="1">
    <w:nsid w:val="2AE8944A"/>
    <w:multiLevelType w:val="hybridMultilevel"/>
    <w:lvl w:ilvl="0">
      <w:lvlJc w:val="left"/>
      <w:lvlText w:val="x"/>
      <w:numFmt w:val="bullet"/>
      <w:start w:val="1"/>
    </w:lvl>
  </w:abstractNum>
  <w:abstractNum w:abstractNumId="2">
    <w:nsid w:val="625558EC"/>
    <w:multiLevelType w:val="hybridMultilevel"/>
    <w:lvl w:ilvl="0">
      <w:lvlJc w:val="left"/>
      <w:lvlText w:val="o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x"/>
      <w:numFmt w:val="bullet"/>
      <w:start w:val="1"/>
    </w:lvl>
  </w:abstractNum>
  <w:abstractNum w:abstractNumId="4">
    <w:nsid w:val="46E87CCD"/>
    <w:multiLevelType w:val="hybridMultilevel"/>
    <w:lvl w:ilvl="0">
      <w:lvlJc w:val="left"/>
      <w:lvlText w:val="o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2026-03-26T15:30:19Z</dcterms:created>
  <dcterms:modified xsi:type="dcterms:W3CDTF">2026-03-26T15:30:19Z</dcterms:modified>
</cp:coreProperties>
</file>