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252" w:lineRule="exact"/>
        <w:rPr>
          <w:sz w:val="24"/>
          <w:szCs w:val="24"/>
          <w:color w:val="auto"/>
        </w:rPr>
      </w:pPr>
    </w:p>
    <w:p>
      <w:pPr>
        <w:jc w:val="center"/>
        <w:ind w:left="1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30" w:lineRule="exact"/>
        <w:rPr>
          <w:sz w:val="24"/>
          <w:szCs w:val="24"/>
          <w:color w:val="auto"/>
        </w:rPr>
      </w:pPr>
    </w:p>
    <w:p>
      <w:pPr>
        <w:jc w:val="center"/>
        <w:ind w:left="-19"/>
        <w:spacing w:after="0"/>
        <w:rPr>
          <w:sz w:val="20"/>
          <w:szCs w:val="20"/>
          <w:color w:val="auto"/>
        </w:rPr>
      </w:pPr>
      <w:r>
        <w:rPr>
          <w:rFonts w:ascii="Arial" w:cs="Arial" w:eastAsia="Arial" w:hAnsi="Arial"/>
          <w:sz w:val="13"/>
          <w:szCs w:val="13"/>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STATEMENT OF CHANGES IN BENEFICIAL OWNERSHIP</w:t>
      </w:r>
    </w:p>
    <w:p>
      <w:pPr>
        <w:spacing w:after="0" w:line="267" w:lineRule="exact"/>
        <w:rPr>
          <w:sz w:val="24"/>
          <w:szCs w:val="24"/>
          <w:color w:val="auto"/>
        </w:rPr>
      </w:pPr>
    </w:p>
    <w:p>
      <w:pPr>
        <w:jc w:val="center"/>
        <w:ind w:left="-19"/>
        <w:spacing w:after="0"/>
        <w:rPr>
          <w:sz w:val="20"/>
          <w:szCs w:val="20"/>
          <w:color w:val="auto"/>
        </w:rPr>
      </w:pPr>
      <w:r>
        <w:rPr>
          <w:rFonts w:ascii="Arial" w:cs="Arial" w:eastAsia="Arial" w:hAnsi="Arial"/>
          <w:sz w:val="13"/>
          <w:szCs w:val="13"/>
          <w:color w:val="auto"/>
        </w:rPr>
        <w:t>Filed pursuant to Section 16(a) of the Securities Exchange Act of 1934</w:t>
      </w:r>
    </w:p>
    <w:p>
      <w:pPr>
        <w:jc w:val="center"/>
        <w:ind w:left="-39"/>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-1544320</wp:posOffset>
            </wp:positionH>
            <wp:positionV relativeFrom="paragraph">
              <wp:posOffset>32385</wp:posOffset>
            </wp:positionV>
            <wp:extent cx="6964045" cy="1802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60"/>
        <w:spacing w:after="0"/>
        <w:rPr>
          <w:sz w:val="20"/>
          <w:szCs w:val="20"/>
          <w:color w:val="auto"/>
        </w:rPr>
      </w:pPr>
      <w:r>
        <w:rPr>
          <w:rFonts w:ascii="Arial" w:cs="Arial" w:eastAsia="Arial" w:hAnsi="Arial"/>
          <w:sz w:val="17"/>
          <w:szCs w:val="17"/>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-167640</wp:posOffset>
            </wp:positionV>
            <wp:extent cx="131127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634365"/>
                    </a:xfrm>
                    <a:prstGeom prst="rect">
                      <a:avLst/>
                    </a:prstGeom>
                    <a:noFill/>
                  </pic:spPr>
                </pic:pic>
              </a:graphicData>
            </a:graphic>
          </wp:anchor>
        </w:drawing>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45"/>
        </w:trPr>
        <w:tc>
          <w:tcPr>
            <w:tcW w:w="4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r>
      <w:tr>
        <w:trPr>
          <w:trHeight w:val="187"/>
        </w:trPr>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r>
      <w:tr>
        <w:trPr>
          <w:trHeight w:val="187"/>
        </w:trPr>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r>
      <w:tr>
        <w:trPr>
          <w:trHeight w:val="44"/>
        </w:trPr>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3" w:lineRule="exact"/>
        <w:rPr>
          <w:sz w:val="24"/>
          <w:szCs w:val="24"/>
          <w:color w:val="auto"/>
        </w:rPr>
      </w:pPr>
    </w:p>
    <w:p>
      <w:pPr>
        <w:sectPr>
          <w:pgSz w:w="11900" w:h="16838" w:orient="portrait"/>
          <w:cols w:equalWidth="0" w:num="3">
            <w:col w:w="2200" w:space="240"/>
            <w:col w:w="6240" w:space="180"/>
            <w:col w:w="22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 xml:space="preserve">1. Name and Address of Reporting Person </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1">
        <w:r>
          <w:rPr>
            <w:rFonts w:ascii="Arial" w:cs="Arial" w:eastAsia="Arial" w:hAnsi="Arial"/>
            <w:sz w:val="21"/>
            <w:szCs w:val="21"/>
            <w:u w:val="single" w:color="auto"/>
            <w:color w:val="0000EE"/>
          </w:rPr>
          <w:t>Friedman Douglas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04/27/2020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General Counsel and Secretary</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20" w:type="dxa"/>
            <w:vAlign w:val="bottom"/>
            <w:gridSpan w:val="10"/>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80" w:type="dxa"/>
            <w:vAlign w:val="bottom"/>
          </w:tcPr>
          <w:p>
            <w:pPr>
              <w:spacing w:after="0"/>
              <w:rPr>
                <w:sz w:val="11"/>
                <w:szCs w:val="11"/>
                <w:color w:val="auto"/>
              </w:rPr>
            </w:pPr>
          </w:p>
        </w:tc>
        <w:tc>
          <w:tcPr>
            <w:tcW w:w="1280" w:type="dxa"/>
            <w:vAlign w:val="bottom"/>
            <w:vMerge w:val="restart"/>
          </w:tcPr>
          <w:p>
            <w:pPr>
              <w:ind w:left="8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28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60" w:type="dxa"/>
            <w:vAlign w:val="bottom"/>
            <w:tcBorders>
              <w:bottom w:val="single" w:sz="8" w:color="2C2C2C"/>
            </w:tcBorders>
            <w:gridSpan w:val="5"/>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6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6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gridSpan w:val="3"/>
            <w:vMerge w:val="restart"/>
          </w:tcPr>
          <w:p>
            <w:pPr>
              <w:ind w:left="840"/>
              <w:spacing w:after="0"/>
              <w:rPr>
                <w:sz w:val="20"/>
                <w:szCs w:val="20"/>
                <w:color w:val="auto"/>
              </w:rPr>
            </w:pPr>
            <w:r>
              <w:rPr>
                <w:rFonts w:ascii="Arial" w:cs="Arial" w:eastAsia="Arial" w:hAnsi="Arial"/>
                <w:sz w:val="17"/>
                <w:szCs w:val="17"/>
                <w:color w:val="0000FF"/>
              </w:rPr>
              <w:t>04/27/2020</w:t>
            </w: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D</w:t>
            </w:r>
          </w:p>
        </w:tc>
        <w:tc>
          <w:tcPr>
            <w:tcW w:w="720" w:type="dxa"/>
            <w:vAlign w:val="bottom"/>
            <w:vMerge w:val="restart"/>
          </w:tcPr>
          <w:p>
            <w:pPr>
              <w:ind w:left="180"/>
              <w:spacing w:after="0"/>
              <w:rPr>
                <w:sz w:val="20"/>
                <w:szCs w:val="20"/>
                <w:color w:val="auto"/>
              </w:rPr>
            </w:pPr>
            <w:r>
              <w:rPr>
                <w:rFonts w:ascii="Arial" w:cs="Arial" w:eastAsia="Arial" w:hAnsi="Arial"/>
                <w:sz w:val="17"/>
                <w:szCs w:val="17"/>
                <w:color w:val="0000FF"/>
                <w:w w:val="99"/>
              </w:rPr>
              <w:t>14,708</w:t>
            </w:r>
          </w:p>
        </w:tc>
        <w:tc>
          <w:tcPr>
            <w:tcW w:w="420" w:type="dxa"/>
            <w:vAlign w:val="bottom"/>
            <w:vMerge w:val="restart"/>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1"/>
                <w:szCs w:val="21"/>
                <w:color w:val="auto"/>
              </w:rPr>
            </w:pPr>
          </w:p>
        </w:tc>
        <w:tc>
          <w:tcPr>
            <w:tcW w:w="300" w:type="dxa"/>
            <w:vAlign w:val="bottom"/>
          </w:tcPr>
          <w:p>
            <w:pPr>
              <w:jc w:val="center"/>
              <w:ind w:left="13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67,875 </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60" w:type="dxa"/>
            <w:vAlign w:val="bottom"/>
            <w:gridSpan w:val="5"/>
            <w:vMerge w:val="continue"/>
          </w:tcPr>
          <w:p>
            <w:pPr>
              <w:spacing w:after="0"/>
              <w:rPr>
                <w:sz w:val="18"/>
                <w:szCs w:val="18"/>
                <w:color w:val="auto"/>
              </w:rPr>
            </w:pPr>
          </w:p>
        </w:tc>
        <w:tc>
          <w:tcPr>
            <w:tcW w:w="1760" w:type="dxa"/>
            <w:vAlign w:val="bottom"/>
            <w:gridSpan w:val="3"/>
            <w:vMerge w:val="continue"/>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3"/>
          </w:tcPr>
          <w:p>
            <w:pPr>
              <w:jc w:val="center"/>
              <w:spacing w:after="0"/>
              <w:rPr>
                <w:sz w:val="20"/>
                <w:szCs w:val="20"/>
                <w:color w:val="auto"/>
              </w:rPr>
            </w:pPr>
            <w:r>
              <w:rPr>
                <w:rFonts w:ascii="Arial" w:cs="Arial" w:eastAsia="Arial" w:hAnsi="Arial"/>
                <w:sz w:val="17"/>
                <w:szCs w:val="17"/>
                <w:color w:val="0000FF"/>
                <w:w w:val="89"/>
              </w:rPr>
              <w:t>48.79</w:t>
            </w:r>
          </w:p>
        </w:tc>
        <w:tc>
          <w:tcPr>
            <w:tcW w:w="12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gridSpan w:val="2"/>
          </w:tcPr>
          <w:p>
            <w:pPr>
              <w:jc w:val="center"/>
              <w:ind w:left="5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40" w:type="dxa"/>
            <w:vAlign w:val="bottom"/>
            <w:tcBorders>
              <w:top w:val="single" w:sz="8" w:color="2C2C2C"/>
            </w:tcBorders>
            <w:gridSpan w:val="14"/>
          </w:tcPr>
          <w:p>
            <w:pPr>
              <w:ind w:left="8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60" w:type="dxa"/>
            <w:vAlign w:val="bottom"/>
            <w:gridSpan w:val="11"/>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tcPr>
          <w:p>
            <w:pPr>
              <w:ind w:left="24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represents the $50.25 per-share price at which shares of the issuer's Class A common stock (the "Class A Common Stock") were sold in a public offering of the Class A Common Stock, less the underwriters' discount of $1.46 per share.</w:t>
      </w:r>
    </w:p>
    <w:p>
      <w:pPr>
        <w:spacing w:after="0" w:line="15" w:lineRule="exact"/>
        <w:rPr>
          <w:rFonts w:ascii="Arial" w:cs="Arial" w:eastAsia="Arial" w:hAnsi="Arial"/>
          <w:sz w:val="13"/>
          <w:szCs w:val="13"/>
          <w:color w:val="008000"/>
        </w:rPr>
      </w:pPr>
    </w:p>
    <w:p>
      <w:pPr>
        <w:jc w:val="both"/>
        <w:ind w:left="40" w:right="2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22,867 unvested restricted stock units ("RSUs") in respect of Class A Common Stock which are scheduled to vest on January 1, 2021, (ii) 33,004 unvested RSUs in respect of Class A Common Stock which are scheduled to vest on January 1, 2022, and (iii) 9,004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2"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04/28/2020</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Douglas Friedman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amp;CIK=0001771193" TargetMode="External"/><Relationship Id="rId12" Type="http://schemas.openxmlformats.org/officeDocument/2006/relationships/hyperlink" Target="http://www.sec.gov/cgi-bin/browse-edgar?action=getcompany&amp;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2020-04-28T18:26:31Z</dcterms:created>
  <dcterms:modified xsi:type="dcterms:W3CDTF">2020-04-28T18:26:31Z</dcterms:modified>
</cp:coreProperties>
</file>