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Zucker Scott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02/24/2023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Chief Admin. and Risk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5,785</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30,087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15, 2022, subject to the achievement of certain performance goals in respect of calendar year 2022. The level of achievement of those performance goals was determined on February 24, 2023. These RSUs remain unvested and are scheduled to vest on January 1, 2025, subject to the reporting person's continued employment through such date.</w:t>
      </w:r>
    </w:p>
    <w:p>
      <w:pPr>
        <w:spacing w:after="0" w:line="8" w:lineRule="exact"/>
        <w:rPr>
          <w:rFonts w:ascii="Arial" w:cs="Arial" w:eastAsia="Arial" w:hAnsi="Arial"/>
          <w:sz w:val="12"/>
          <w:szCs w:val="12"/>
          <w:color w:val="008000"/>
        </w:rPr>
      </w:pPr>
    </w:p>
    <w:p>
      <w:pPr>
        <w:ind w:left="40" w:right="140" w:firstLine="7"/>
        <w:spacing w:after="0" w:line="29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3,001 unvested RSUs in respect of Class A Common Stock which are scheduled to vest on March 17, 2023, (ii) 3,393 unvested RSUs in respect of Class A Common Stock which are scheduled to vest in equal installments on each of March 15, 2023 and March 15, 2024, (iii) 10,180 unvested RSUs in respect of Class A Common Stock which are scheduled to vest on January 1, 2024, (iv) 4,478 unvested RSUs in respect of Class A Common Stock which are scheduled to vest in equal installments on the first, second and third anniversaries of March 15, 2022, and (v) 5,785 unvested RSUs in respect of Class A Common Stock that are scheduled to vest on January 1, 2025, in each case subject to the reporting person's continued employment through the applicable vesting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02/28/2023</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2023-02-28T19:40:46Z</dcterms:created>
  <dcterms:modified xsi:type="dcterms:W3CDTF">2023-02-28T19:40:46Z</dcterms:modified>
</cp:coreProperties>
</file>