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1570385.xml.htm"/>
      <w:bookmarkStart w:id="1" w:name="kswkform4_17115703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Peterson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4"/>
        <w:gridCol w:w="801"/>
        <w:gridCol w:w="620"/>
        <w:gridCol w:w="348"/>
        <w:gridCol w:w="833"/>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03/25/2024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5,013</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104.8268</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57,349</w:t>
            </w:r>
            <w:r>
              <w:rPr>
                <w:rFonts w:ascii="Times;serif" w:hAnsi="Times;serif"/>
                <w:color w:val="008000"/>
                <w:position w:val="7"/>
                <w:sz w:val="16"/>
                <w:sz w:val="20"/>
                <w:shd w:fill="FFFFFF" w:val="clear"/>
              </w:rPr>
              <w:t>(3)</w:t>
            </w:r>
            <w:r>
              <w:rPr/>
              <w:t xml:space="preserve"> </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November 30,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$104.36 to $105.56,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amount includes (i)3,204 unvested restricted stock units ("RSUs") in respect of the issuer's Class A common stock ("Class A Common Stock") which are scheduled to vest on March 15, 2025, (ii) 12,419 unvested RSUs in respect of Class A Common Stock that are scheduled to vest on January 1, 2025, (iii) 9,153 unvested RSUs in respect of Class A Common Stock which are scheduled to vest in equal installments on March 15, 2025 and March 15, 2026, (iv) 24,890 unvested RSUs in respect of Class A Common Stock, which are scheduled to vest on January 1, 2026, and (v) 7,643 unvested RSUs in respect of Class A Common Stock, which are scheduled to vest in equal installments on March 15, 2025, March 15, 2026 and March 15, 2027, in each case subject to the reporting person's continued employment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Justin Peterson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07231"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808</Words>
  <Characters>4286</Characters>
  <CharactersWithSpaces>5028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