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3"/>
            <w:vMerge w:val="restart"/>
          </w:tcPr>
          <w:p>
            <w:pPr>
              <w:spacing w:after="0"/>
              <w:rPr>
                <w:rFonts w:ascii="Arial" w:cs="Arial" w:eastAsia="Arial" w:hAnsi="Arial"/>
                <w:sz w:val="21"/>
                <w:szCs w:val="21"/>
                <w:color w:val="0000EE"/>
                <w:w w:val="89"/>
              </w:rPr>
            </w:pPr>
            <w:hyperlink r:id="rId12">
              <w:r>
                <w:rPr>
                  <w:rFonts w:ascii="Arial" w:cs="Arial" w:eastAsia="Arial" w:hAnsi="Arial"/>
                  <w:sz w:val="21"/>
                  <w:szCs w:val="21"/>
                  <w:color w:val="0000EE"/>
                  <w:w w:val="89"/>
                </w:rPr>
                <w:t>Ganeles Scott</w:t>
              </w:r>
            </w:hyperlink>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Tradeweb Markets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TRADEWEB MARKETS INC.</w:t>
            </w: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03/22/2021</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1177 AVENUE OF THE AMERICAS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spacing w:after="0"/>
              <w:rPr>
                <w:sz w:val="20"/>
                <w:szCs w:val="20"/>
                <w:color w:val="auto"/>
              </w:rPr>
            </w:pPr>
            <w:r>
              <w:rPr>
                <w:rFonts w:ascii="Arial" w:cs="Arial" w:eastAsia="Arial" w:hAnsi="Arial"/>
                <w:sz w:val="17"/>
                <w:szCs w:val="17"/>
                <w:color w:val="0000FF"/>
              </w:rPr>
              <w:t>NEW YORK</w:t>
            </w:r>
          </w:p>
        </w:tc>
        <w:tc>
          <w:tcPr>
            <w:tcW w:w="280" w:type="dxa"/>
            <w:vAlign w:val="bottom"/>
          </w:tcPr>
          <w:p>
            <w:pPr>
              <w:ind w:left="2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03/22/2021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1,356</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7,606</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transaction is an award of restricted stock units in respect of the issuer's Class A common stock. Subject to the reporting person's continued service as a director of the issuer through the vesting date, these restricted stock units are scheduled to vest on March 22, 2022 and settle in Class A common stock of the issuer within 30 days thereafter.</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amount includes 1,356 unvested restricted stock units in respect of the issuer's Class A common stock as described in footnote 1 to this Form 4.</w:t>
      </w:r>
    </w:p>
    <w:p>
      <w:pPr>
        <w:spacing w:after="0" w:line="44"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03/24/2021</w:t>
            </w:r>
          </w:p>
        </w:tc>
        <w:tc>
          <w:tcPr>
            <w:tcW w:w="0" w:type="dxa"/>
            <w:vAlign w:val="bottom"/>
          </w:tcPr>
          <w:p>
            <w:pPr>
              <w:spacing w:after="0"/>
              <w:rPr>
                <w:sz w:val="1"/>
                <w:szCs w:val="1"/>
                <w:color w:val="auto"/>
              </w:rPr>
            </w:pPr>
          </w:p>
        </w:tc>
      </w:tr>
      <w:tr>
        <w:trPr>
          <w:trHeight w:val="87"/>
        </w:trPr>
        <w:tc>
          <w:tcPr>
            <w:tcW w:w="1560" w:type="dxa"/>
            <w:vAlign w:val="bottom"/>
            <w:vMerge w:val="restart"/>
          </w:tcPr>
          <w:p>
            <w:pPr>
              <w:spacing w:after="0" w:line="194" w:lineRule="exact"/>
              <w:rPr>
                <w:sz w:val="20"/>
                <w:szCs w:val="20"/>
                <w:color w:val="auto"/>
              </w:rPr>
            </w:pPr>
            <w:r>
              <w:rPr>
                <w:rFonts w:ascii="Arial" w:cs="Arial" w:eastAsia="Arial" w:hAnsi="Arial"/>
                <w:sz w:val="17"/>
                <w:szCs w:val="17"/>
                <w:color w:val="0000FF"/>
                <w:w w:val="91"/>
              </w:rPr>
              <w:t>Fact for Scott Ganeles</w:t>
            </w:r>
          </w:p>
        </w:tc>
        <w:tc>
          <w:tcPr>
            <w:tcW w:w="56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60" w:type="dxa"/>
            <w:vAlign w:val="bottom"/>
            <w:tcBorders>
              <w:bottom w:val="single" w:sz="8" w:color="auto"/>
            </w:tcBorders>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1"/>
          <w:szCs w:val="21"/>
          <w:b w:val="1"/>
          <w:bCs w:val="1"/>
          <w:color w:val="auto"/>
        </w:rPr>
        <w:t>POWER OF ATTORNEY</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Know all by these presents, that the undersigned hereby constitutes and appoints Scott Zucker, Douglas Friedman, and</w:t>
      </w:r>
    </w:p>
    <w:p>
      <w:pPr>
        <w:spacing w:after="0" w:line="39" w:lineRule="exact"/>
        <w:rPr>
          <w:sz w:val="20"/>
          <w:szCs w:val="20"/>
          <w:color w:val="auto"/>
        </w:rPr>
      </w:pPr>
    </w:p>
    <w:p>
      <w:pPr>
        <w:spacing w:after="0"/>
        <w:rPr>
          <w:sz w:val="20"/>
          <w:szCs w:val="20"/>
          <w:color w:val="auto"/>
        </w:rPr>
      </w:pPr>
      <w:r>
        <w:rPr>
          <w:rFonts w:ascii="Arial" w:cs="Arial" w:eastAsia="Arial" w:hAnsi="Arial"/>
          <w:sz w:val="21"/>
          <w:szCs w:val="21"/>
          <w:color w:val="auto"/>
        </w:rPr>
        <w:t>Scott Wells, and each of them, with full power of substitution, the undersigned’s true and lawful attorneys-in-fact to:</w:t>
      </w:r>
    </w:p>
    <w:p>
      <w:pPr>
        <w:spacing w:after="0" w:line="149" w:lineRule="exact"/>
        <w:rPr>
          <w:sz w:val="20"/>
          <w:szCs w:val="20"/>
          <w:color w:val="auto"/>
        </w:rPr>
      </w:pPr>
    </w:p>
    <w:p>
      <w:pPr>
        <w:ind w:left="1280" w:right="20" w:hanging="634"/>
        <w:spacing w:after="0" w:line="251" w:lineRule="auto"/>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executive officer, director and/or beneficial owner of equity securities of Tradeweb Markets Inc. (the “</w:t>
      </w:r>
      <w:r>
        <w:rPr>
          <w:rFonts w:ascii="Arial" w:cs="Arial" w:eastAsia="Arial" w:hAnsi="Arial"/>
          <w:sz w:val="18"/>
          <w:szCs w:val="18"/>
          <w:u w:val="single" w:color="auto"/>
          <w:color w:val="auto"/>
        </w:rPr>
        <w:t>Company</w:t>
      </w:r>
      <w:r>
        <w:rPr>
          <w:rFonts w:ascii="Arial" w:cs="Arial" w:eastAsia="Arial" w:hAnsi="Arial"/>
          <w:sz w:val="18"/>
          <w:szCs w:val="18"/>
          <w:color w:val="auto"/>
        </w:rPr>
        <w:t>”), (i) any forms required to be filed by the undersigned pursuant to Rule 144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(ii) Forms 3, 4, and 5 in accordance with Section 16(a) of the Exchange Act, (iii) Schedules 13D and 13G in accordance with Section 13 of the Exchange Act, and (iv) and any other forms or reports the undersigned may be required to file in connection with the undersigned’s ownership, acquisition, or disposition of securities of the Company;</w:t>
      </w:r>
    </w:p>
    <w:p>
      <w:pPr>
        <w:spacing w:after="0" w:line="140" w:lineRule="exact"/>
        <w:rPr>
          <w:rFonts w:ascii="Arial" w:cs="Arial" w:eastAsia="Arial" w:hAnsi="Arial"/>
          <w:sz w:val="18"/>
          <w:szCs w:val="18"/>
          <w:color w:val="auto"/>
        </w:rPr>
      </w:pPr>
    </w:p>
    <w:p>
      <w:pPr>
        <w:ind w:left="1280" w:right="20" w:hanging="634"/>
        <w:spacing w:after="0" w:line="270" w:lineRule="auto"/>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 any such (i) form required to be filed by the undersigned pursuant to Rule 144 under the Securities Act, (ii) Form 3, 4, or 5 under Section 16(a) of the Exchange Act, (iii) Schedule 13D or 13G under Section 13 of the Exchange Act, or (iv) other form or report, including, without limitation, all forms or reports necessary to obtain EDGAR Identification Numbers, and timely file such form or report with the United States Securities and Exchange Commission and any stock exchange or similar authority; and</w:t>
      </w:r>
    </w:p>
    <w:p>
      <w:pPr>
        <w:spacing w:after="0" w:line="126" w:lineRule="exact"/>
        <w:rPr>
          <w:rFonts w:ascii="Arial" w:cs="Arial" w:eastAsia="Arial" w:hAnsi="Arial"/>
          <w:sz w:val="17"/>
          <w:szCs w:val="17"/>
          <w:color w:val="auto"/>
        </w:rPr>
      </w:pPr>
    </w:p>
    <w:p>
      <w:pPr>
        <w:ind w:left="1280" w:hanging="634"/>
        <w:spacing w:after="0" w:line="273" w:lineRule="auto"/>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any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4" w:lineRule="exact"/>
        <w:rPr>
          <w:sz w:val="20"/>
          <w:szCs w:val="20"/>
          <w:color w:val="auto"/>
        </w:rPr>
      </w:pPr>
    </w:p>
    <w:p>
      <w:pPr>
        <w:ind w:right="120" w:firstLine="640"/>
        <w:spacing w:after="0" w:line="242"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Rule 144 under the Securities Act or Sections 13 or 16 of the Exchange Act.</w:t>
      </w:r>
    </w:p>
    <w:p>
      <w:pPr>
        <w:spacing w:after="0" w:line="131" w:lineRule="exact"/>
        <w:rPr>
          <w:sz w:val="20"/>
          <w:szCs w:val="20"/>
          <w:color w:val="auto"/>
        </w:rPr>
      </w:pPr>
    </w:p>
    <w:p>
      <w:pPr>
        <w:ind w:firstLine="640"/>
        <w:spacing w:after="0" w:line="245"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any form required to be filed by the undersigned pursuant to Rule 144 under the Securities Act, any Form 3, 4, or 5 under Section 16(a) of the Exchange Act, or any Schedule 13D or 13G under Section 13 of the Exchange Act with respect to the undersigned’s holdings of and transactions in securities issued by the Company, unless earlier revoked by the undersigned in a signed writing delivered to the foregoing attorneys-in-fact.</w:t>
      </w:r>
    </w:p>
    <w:p>
      <w:pPr>
        <w:spacing w:after="0" w:line="122" w:lineRule="exact"/>
        <w:rPr>
          <w:sz w:val="20"/>
          <w:szCs w:val="20"/>
          <w:color w:val="auto"/>
        </w:rPr>
      </w:pPr>
    </w:p>
    <w:p>
      <w:pPr>
        <w:ind w:right="500" w:firstLine="640"/>
        <w:spacing w:after="0" w:line="192" w:lineRule="auto"/>
        <w:rPr>
          <w:sz w:val="20"/>
          <w:szCs w:val="20"/>
          <w:color w:val="auto"/>
        </w:rPr>
      </w:pPr>
      <w:r>
        <w:rPr>
          <w:rFonts w:ascii="Arial" w:cs="Arial" w:eastAsia="Arial" w:hAnsi="Arial"/>
          <w:sz w:val="21"/>
          <w:szCs w:val="21"/>
          <w:color w:val="auto"/>
        </w:rPr>
        <w:t>IN WITNESS WHEREOF, the undersigned has caused this Power of Attorney to be executed as of this 15</w:t>
      </w:r>
      <w:r>
        <w:rPr>
          <w:rFonts w:ascii="Arial" w:cs="Arial" w:eastAsia="Arial" w:hAnsi="Arial"/>
          <w:sz w:val="35"/>
          <w:szCs w:val="35"/>
          <w:color w:val="auto"/>
          <w:vertAlign w:val="superscript"/>
        </w:rPr>
        <w:t>th</w:t>
      </w:r>
      <w:r>
        <w:rPr>
          <w:rFonts w:ascii="Arial" w:cs="Arial" w:eastAsia="Arial" w:hAnsi="Arial"/>
          <w:sz w:val="21"/>
          <w:szCs w:val="21"/>
          <w:color w:val="auto"/>
        </w:rPr>
        <w:t xml:space="preserve"> day of March, 2021.</w:t>
      </w:r>
    </w:p>
    <w:p>
      <w:pPr>
        <w:spacing w:after="0" w:line="29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Scott Ganeles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12065</wp:posOffset>
            </wp:positionV>
            <wp:extent cx="347789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477895" cy="17145"/>
                    </a:xfrm>
                    <a:prstGeom prst="rect">
                      <a:avLst/>
                    </a:prstGeom>
                    <a:noFill/>
                  </pic:spPr>
                </pic:pic>
              </a:graphicData>
            </a:graphic>
          </wp:anchor>
        </w:drawing>
      </w:r>
    </w:p>
    <w:p>
      <w:pPr>
        <w:spacing w:after="0" w:line="1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Scott Ganeles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688975</wp:posOffset>
            </wp:positionV>
            <wp:extent cx="69640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sectPr>
      <w:pgSz w:w="11900" w:h="16838" w:orient="portrait"/>
      <w:cols w:equalWidth="0" w:num="1">
        <w:col w:w="10960"/>
      </w:cols>
      <w:pgMar w:left="460" w:top="11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2250"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2021-03-25T20:03:27Z</dcterms:created>
  <dcterms:modified xsi:type="dcterms:W3CDTF">2021-03-25T20:03:27Z</dcterms:modified>
</cp:coreProperties>
</file>